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eastAsia="方正小标宋简体"/>
          <w:sz w:val="44"/>
          <w:szCs w:val="44"/>
        </w:rPr>
      </w:pPr>
      <w:r>
        <w:rPr>
          <w:rFonts w:hint="eastAsia" w:eastAsia="方正小标宋简体"/>
          <w:sz w:val="44"/>
          <w:szCs w:val="44"/>
          <w:lang w:eastAsia="zh-CN"/>
        </w:rPr>
        <w:t>吉林省统计局（本级）</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4</w:t>
      </w:r>
      <w:r>
        <w:rPr>
          <w:rFonts w:eastAsia="方正小标宋简体"/>
          <w:sz w:val="44"/>
          <w:szCs w:val="44"/>
        </w:rPr>
        <w:t>年</w:t>
      </w:r>
      <w:r>
        <w:rPr>
          <w:rFonts w:hint="eastAsia" w:eastAsia="方正小标宋简体"/>
          <w:sz w:val="44"/>
          <w:szCs w:val="44"/>
          <w:lang w:eastAsia="zh-CN"/>
        </w:rPr>
        <w:t>单位</w:t>
      </w:r>
      <w:r>
        <w:rPr>
          <w:rFonts w:eastAsia="方正小标宋简体"/>
          <w:sz w:val="44"/>
          <w:szCs w:val="44"/>
        </w:rPr>
        <w:t>预算</w:t>
      </w:r>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eastAsia="华文细黑"/>
        </w:rPr>
        <w:t>二〇二</w:t>
      </w:r>
      <w:r>
        <w:rPr>
          <w:rFonts w:hint="eastAsia" w:eastAsia="华文细黑"/>
          <w:lang w:eastAsia="zh-CN"/>
        </w:rPr>
        <w:t>四</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二十六</w:t>
      </w:r>
      <w:r>
        <w:rPr>
          <w:rFonts w:eastAsia="华文细黑"/>
        </w:rPr>
        <w:t>日</w:t>
      </w:r>
    </w:p>
    <w:p>
      <w:pPr>
        <w:rPr>
          <w:rFonts w:eastAsia="黑体"/>
        </w:rPr>
      </w:pPr>
    </w:p>
    <w:p>
      <w:pPr>
        <w:ind w:firstLine="640" w:firstLineChars="200"/>
        <w:rPr>
          <w:rFonts w:eastAsia="黑体"/>
        </w:rPr>
      </w:pPr>
    </w:p>
    <w:p>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pPr>
        <w:ind w:firstLine="640" w:firstLineChars="200"/>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 xml:space="preserve">第一部分  </w:t>
      </w:r>
      <w:r>
        <w:rPr>
          <w:rFonts w:hint="eastAsia" w:eastAsia="黑体"/>
          <w:lang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pPr>
      <w:r>
        <w:t>一、主要职能</w:t>
      </w:r>
    </w:p>
    <w:p>
      <w:pPr>
        <w:ind w:left="320" w:leftChars="100" w:firstLine="320" w:firstLineChars="100"/>
      </w:pPr>
      <w:r>
        <w:t>二、机构设置</w:t>
      </w:r>
    </w:p>
    <w:p>
      <w:pPr>
        <w:rPr>
          <w:rFonts w:eastAsia="黑体"/>
        </w:rPr>
      </w:pPr>
      <w:r>
        <w:rPr>
          <w:rFonts w:eastAsia="黑体"/>
        </w:rPr>
        <w:t>第二部分  预算表格</w:t>
      </w:r>
    </w:p>
    <w:p>
      <w:pPr>
        <w:ind w:left="320" w:leftChars="100" w:firstLine="320" w:firstLineChars="100"/>
      </w:pPr>
      <w:r>
        <w:t>一、收支</w:t>
      </w:r>
      <w:r>
        <w:rPr>
          <w:rFonts w:hint="eastAsia"/>
          <w:lang w:eastAsia="zh-CN"/>
        </w:rPr>
        <w:t>预算</w:t>
      </w:r>
      <w:r>
        <w:rPr>
          <w:rFonts w:hint="eastAsia"/>
        </w:rPr>
        <w:t>总</w:t>
      </w:r>
      <w:r>
        <w:t>表</w:t>
      </w:r>
    </w:p>
    <w:p>
      <w:pPr>
        <w:ind w:left="320" w:leftChars="100" w:firstLine="320" w:firstLineChars="100"/>
      </w:pPr>
      <w:r>
        <w:t>二、收入</w:t>
      </w:r>
      <w:r>
        <w:rPr>
          <w:rFonts w:hint="eastAsia"/>
          <w:lang w:eastAsia="zh-CN"/>
        </w:rPr>
        <w:t>预算</w:t>
      </w:r>
      <w:r>
        <w:rPr>
          <w:rFonts w:hint="eastAsia"/>
        </w:rPr>
        <w:t>总</w:t>
      </w:r>
      <w:r>
        <w:t>表</w:t>
      </w:r>
    </w:p>
    <w:p>
      <w:pPr>
        <w:ind w:left="320" w:leftChars="100" w:firstLine="320" w:firstLineChars="100"/>
      </w:pPr>
      <w:r>
        <w:t>三、支出</w:t>
      </w:r>
      <w:r>
        <w:rPr>
          <w:rFonts w:hint="eastAsia"/>
          <w:lang w:eastAsia="zh-CN"/>
        </w:rPr>
        <w:t>预算</w:t>
      </w:r>
      <w:r>
        <w:rPr>
          <w:rFonts w:hint="eastAsia"/>
        </w:rPr>
        <w:t>总</w:t>
      </w:r>
      <w:r>
        <w:t>表</w:t>
      </w:r>
    </w:p>
    <w:p>
      <w:pPr>
        <w:ind w:left="320" w:leftChars="100" w:firstLine="320" w:firstLineChars="100"/>
      </w:pPr>
      <w:r>
        <w:t>四、财政拨款收支</w:t>
      </w:r>
      <w:r>
        <w:rPr>
          <w:rFonts w:hint="eastAsia"/>
          <w:lang w:eastAsia="zh-CN"/>
        </w:rPr>
        <w:t>预算</w:t>
      </w:r>
      <w:r>
        <w:rPr>
          <w:rFonts w:hint="eastAsia"/>
        </w:rPr>
        <w:t>总</w:t>
      </w:r>
      <w:r>
        <w:t>表</w:t>
      </w:r>
    </w:p>
    <w:p>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pPr>
        <w:ind w:left="320" w:leftChars="100" w:firstLine="320" w:firstLineChars="100"/>
      </w:pPr>
      <w:r>
        <w:t>七、一般公共预算“三公”经费支出</w:t>
      </w:r>
      <w:r>
        <w:rPr>
          <w:rFonts w:hint="eastAsia"/>
          <w:lang w:eastAsia="zh-CN"/>
        </w:rPr>
        <w:t>预算</w:t>
      </w:r>
      <w:r>
        <w:t>表</w:t>
      </w:r>
    </w:p>
    <w:p>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pPr>
        <w:ind w:left="320" w:leftChars="100" w:firstLine="320" w:firstLineChars="100"/>
      </w:pPr>
      <w:r>
        <w:rPr>
          <w:rFonts w:hint="eastAsia"/>
        </w:rPr>
        <w:t>九、国有资本经营</w:t>
      </w:r>
      <w:r>
        <w:t>预算支出</w:t>
      </w:r>
      <w:r>
        <w:rPr>
          <w:rFonts w:hint="eastAsia"/>
          <w:lang w:eastAsia="zh-CN"/>
        </w:rPr>
        <w:t>预算</w:t>
      </w:r>
      <w:r>
        <w:t>表</w:t>
      </w:r>
    </w:p>
    <w:p>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pPr>
        <w:ind w:left="320" w:leftChars="100" w:firstLine="320" w:firstLineChars="100"/>
        <w:rPr>
          <w:rFonts w:hint="eastAsia" w:eastAsia="仿宋_GB2312"/>
          <w:lang w:eastAsia="zh-CN"/>
        </w:rPr>
      </w:pPr>
      <w:r>
        <w:rPr>
          <w:rFonts w:hint="eastAsia"/>
          <w:lang w:eastAsia="zh-CN"/>
        </w:rPr>
        <w:t>十一、财政拨款委托业务费支出预算表</w:t>
      </w:r>
    </w:p>
    <w:p>
      <w:pPr>
        <w:ind w:firstLine="640" w:firstLineChars="200"/>
        <w:rPr>
          <w:rFonts w:hint="eastAsia"/>
        </w:rPr>
      </w:pPr>
      <w:r>
        <w:rPr>
          <w:rFonts w:hint="eastAsia"/>
        </w:rPr>
        <w:t>十</w:t>
      </w:r>
      <w:r>
        <w:rPr>
          <w:rFonts w:hint="eastAsia"/>
          <w:lang w:eastAsia="zh-CN"/>
        </w:rPr>
        <w:t>二</w:t>
      </w:r>
      <w:r>
        <w:rPr>
          <w:rFonts w:hint="eastAsia"/>
        </w:rPr>
        <w:t>、项目支出绩效目标表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rPr>
          <w:rFonts w:eastAsia="黑体"/>
        </w:rPr>
      </w:pPr>
      <w:r>
        <w:rPr>
          <w:rFonts w:eastAsia="黑体"/>
        </w:rPr>
        <w:br w:type="page"/>
      </w:r>
    </w:p>
    <w:p>
      <w:pPr>
        <w:ind w:firstLine="640" w:firstLineChars="200"/>
        <w:jc w:val="center"/>
        <w:rPr>
          <w:rFonts w:eastAsia="黑体"/>
        </w:rPr>
      </w:pPr>
      <w:r>
        <w:rPr>
          <w:rFonts w:eastAsia="黑体"/>
        </w:rPr>
        <w:t xml:space="preserve">第一部分 </w:t>
      </w:r>
      <w:r>
        <w:rPr>
          <w:rFonts w:hint="eastAsia" w:eastAsia="黑体"/>
          <w:lang w:eastAsia="zh-CN"/>
        </w:rPr>
        <w:t>单位</w:t>
      </w:r>
      <w:r>
        <w:rPr>
          <w:rFonts w:eastAsia="黑体"/>
        </w:rPr>
        <w:t>概况</w:t>
      </w:r>
    </w:p>
    <w:p>
      <w:pPr>
        <w:ind w:firstLine="640" w:firstLineChars="200"/>
        <w:rPr>
          <w:rFonts w:eastAsia="楷体_GB2312"/>
        </w:rPr>
      </w:pPr>
    </w:p>
    <w:p>
      <w:pPr>
        <w:ind w:firstLine="640" w:firstLineChars="200"/>
        <w:rPr>
          <w:rFonts w:eastAsia="楷体_GB2312"/>
        </w:rPr>
      </w:pPr>
      <w:r>
        <w:rPr>
          <w:rFonts w:eastAsia="楷体_GB2312"/>
        </w:rPr>
        <w:t>一、主要职能</w:t>
      </w:r>
    </w:p>
    <w:p>
      <w:pPr>
        <w:ind w:firstLine="640" w:firstLineChars="200"/>
        <w:rPr>
          <w:rFonts w:hint="eastAsia"/>
          <w:color w:val="000000"/>
          <w:szCs w:val="32"/>
        </w:rPr>
      </w:pPr>
      <w:r>
        <w:rPr>
          <w:rFonts w:hint="eastAsia"/>
          <w:color w:val="000000"/>
          <w:szCs w:val="32"/>
        </w:rPr>
        <w:t>1.贯彻执行国家统计方针、政策和法律法规，制定全省统计规划及全省性统计调查计划，起草地方性统计法规和省政府规章草案；监督检查统计法律、法规的实施。组织领导全省统计工作，承担确保统计数据真实、准确、及时的责任。</w:t>
      </w:r>
    </w:p>
    <w:p>
      <w:pPr>
        <w:ind w:firstLine="640" w:firstLineChars="200"/>
        <w:rPr>
          <w:rFonts w:hint="eastAsia"/>
          <w:color w:val="000000"/>
          <w:szCs w:val="32"/>
        </w:rPr>
      </w:pPr>
      <w:r>
        <w:rPr>
          <w:rFonts w:hint="eastAsia"/>
          <w:color w:val="000000"/>
          <w:szCs w:val="32"/>
        </w:rPr>
        <w:t>2.根据全国统一的基本统计制度，建立健全省国民经济核算体系和统计指标体系，制定全省统一的基本统计报表制度和统计标准；汇编提供全省国民经济核算资料，监督管理省内各级统计机关国民经济核算工作。</w:t>
      </w:r>
    </w:p>
    <w:p>
      <w:pPr>
        <w:ind w:firstLine="640" w:firstLineChars="200"/>
        <w:rPr>
          <w:rFonts w:hint="eastAsia"/>
          <w:color w:val="000000"/>
          <w:szCs w:val="32"/>
        </w:rPr>
      </w:pPr>
      <w:r>
        <w:rPr>
          <w:rFonts w:hint="eastAsia"/>
          <w:color w:val="000000"/>
          <w:szCs w:val="32"/>
        </w:rPr>
        <w:t>3.研究提出重大的省情省力普查计划，并组织实施；统一组织协调各地、各部门的社会经济统计调查；对国民经济各行业、科技、资源环境和社会发展等情况进行统计分析、统计预测预警和统计监督，向省委、省政府及有关部门提供统计信息和咨询建议；收集、整理、提供国家及外省的统计资料，并进行对比分析和研究。</w:t>
      </w:r>
    </w:p>
    <w:p>
      <w:pPr>
        <w:ind w:firstLine="640" w:firstLineChars="200"/>
        <w:rPr>
          <w:rFonts w:hint="eastAsia"/>
          <w:color w:val="000000"/>
          <w:szCs w:val="32"/>
        </w:rPr>
      </w:pPr>
      <w:r>
        <w:rPr>
          <w:rFonts w:hint="eastAsia"/>
          <w:color w:val="000000"/>
          <w:szCs w:val="32"/>
        </w:rPr>
        <w:t>4.统一核定、管理、公布全省性的基本统计资料，定期向社会公布全省国民经济和社会发展情况的统计信息。</w:t>
      </w:r>
    </w:p>
    <w:p>
      <w:pPr>
        <w:ind w:firstLine="640" w:firstLineChars="200"/>
        <w:rPr>
          <w:rFonts w:hint="eastAsia"/>
          <w:color w:val="000000"/>
          <w:szCs w:val="32"/>
        </w:rPr>
      </w:pPr>
      <w:r>
        <w:rPr>
          <w:rFonts w:hint="eastAsia"/>
          <w:color w:val="000000"/>
          <w:szCs w:val="32"/>
        </w:rPr>
        <w:t>5.建立、完善和管理全省统计信息自动化网络和数据库体系；组织指导各市（州）统计信息自动化网络和数据库系统建设。</w:t>
      </w:r>
    </w:p>
    <w:p>
      <w:pPr>
        <w:ind w:firstLine="640" w:firstLineChars="200"/>
        <w:rPr>
          <w:rFonts w:hint="eastAsia"/>
          <w:color w:val="000000"/>
          <w:szCs w:val="32"/>
        </w:rPr>
      </w:pPr>
      <w:r>
        <w:rPr>
          <w:rFonts w:hint="eastAsia"/>
          <w:color w:val="000000"/>
          <w:szCs w:val="32"/>
        </w:rPr>
        <w:t>6.依法管理各部门统计调查项目和统计标准，指导专业统计基础工作、统计基层业务基础建设，组织建立服务业统计信息管理制度，建立健全统计数据质量审核、监控和评估制度，负责重要统计数据的审核、监控和评估，依法监督管理涉外调查活动。</w:t>
      </w:r>
    </w:p>
    <w:p>
      <w:pPr>
        <w:ind w:firstLine="640" w:firstLineChars="200"/>
        <w:rPr>
          <w:rFonts w:hint="eastAsia"/>
          <w:color w:val="000000"/>
          <w:szCs w:val="32"/>
        </w:rPr>
      </w:pPr>
      <w:r>
        <w:rPr>
          <w:rFonts w:hint="eastAsia"/>
          <w:color w:val="000000"/>
          <w:szCs w:val="32"/>
        </w:rPr>
        <w:t>7.负责全省统计系统的干部人事、机构编制和财务经费、审计监督及资产设施管理。</w:t>
      </w:r>
    </w:p>
    <w:p>
      <w:pPr>
        <w:ind w:firstLine="640" w:firstLineChars="200"/>
        <w:rPr>
          <w:rFonts w:hint="eastAsia"/>
          <w:color w:val="000000"/>
          <w:szCs w:val="32"/>
        </w:rPr>
      </w:pPr>
      <w:r>
        <w:rPr>
          <w:rFonts w:hint="eastAsia"/>
          <w:color w:val="000000"/>
          <w:szCs w:val="32"/>
        </w:rPr>
        <w:t>8.领导省属各级调查队和国家统计局委托管理的中直调查机构和事业单位。</w:t>
      </w:r>
    </w:p>
    <w:p>
      <w:pPr>
        <w:ind w:firstLine="640" w:firstLineChars="200"/>
        <w:rPr>
          <w:color w:val="000000"/>
          <w:sz w:val="21"/>
          <w:szCs w:val="21"/>
        </w:rPr>
      </w:pPr>
      <w:r>
        <w:rPr>
          <w:rFonts w:hint="eastAsia"/>
          <w:color w:val="000000"/>
          <w:szCs w:val="32"/>
        </w:rPr>
        <w:t>9.承办省政府交办的其他事项。</w:t>
      </w:r>
    </w:p>
    <w:p>
      <w:pPr>
        <w:ind w:firstLine="640" w:firstLineChars="200"/>
      </w:pPr>
      <w:r>
        <w:rPr>
          <w:rFonts w:eastAsia="楷体_GB2312"/>
        </w:rPr>
        <w:t>二、机构设置</w:t>
      </w:r>
    </w:p>
    <w:p>
      <w:pPr>
        <w:pStyle w:val="48"/>
        <w:ind w:firstLine="640" w:firstLineChars="200"/>
        <w:rPr>
          <w:rFonts w:eastAsia="楷体"/>
        </w:rPr>
      </w:pPr>
      <w:r>
        <w:rPr>
          <w:rFonts w:hint="eastAsia" w:eastAsia="仿宋_GB2312"/>
        </w:rPr>
        <w:t>根据上述职责，吉林省统计局内设18个机构，分别为办公室、法规处（行政审批办公室）、统计设计管理处、国民经济综合统计处、国民经济核算处、工业统计处、能源统计处、固定资产投资统计处、贸易外经统计处、服务业统计处、人口</w:t>
      </w:r>
      <w:r>
        <w:rPr>
          <w:rFonts w:hint="eastAsia" w:eastAsia="仿宋_GB2312"/>
          <w:lang w:eastAsia="zh-CN"/>
        </w:rPr>
        <w:t>和就业</w:t>
      </w:r>
      <w:r>
        <w:rPr>
          <w:rFonts w:hint="eastAsia" w:eastAsia="仿宋_GB2312"/>
        </w:rPr>
        <w:t>统计处、社会科技和文化产业统计处、农业统计处、财务处、人事处、老干部处、统计执法监督处、巡察工作办公室。</w:t>
      </w:r>
    </w:p>
    <w:p>
      <w:pPr>
        <w:pStyle w:val="48"/>
        <w:ind w:firstLine="640" w:firstLineChars="200"/>
        <w:rPr>
          <w:rFonts w:eastAsia="楷体"/>
        </w:rPr>
      </w:pPr>
      <w:r>
        <w:rPr>
          <w:rFonts w:hint="eastAsia" w:eastAsia="仿宋_GB2312"/>
        </w:rPr>
        <w:t>本单位</w:t>
      </w:r>
      <w:r>
        <w:rPr>
          <w:rFonts w:eastAsia="仿宋_GB2312"/>
        </w:rPr>
        <w:t>无下设预算单位。</w:t>
      </w: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pPr>
              <w:widowControl/>
              <w:jc w:val="center"/>
              <w:rPr>
                <w:rFonts w:eastAsia="宋体"/>
                <w:kern w:val="0"/>
                <w:sz w:val="20"/>
              </w:rPr>
            </w:pPr>
          </w:p>
        </w:tc>
        <w:tc>
          <w:tcPr>
            <w:tcW w:w="1200" w:type="dxa"/>
            <w:gridSpan w:val="2"/>
            <w:tcBorders>
              <w:top w:val="nil"/>
              <w:left w:val="nil"/>
              <w:bottom w:val="nil"/>
              <w:right w:val="nil"/>
            </w:tcBorders>
            <w:noWrap w:val="0"/>
            <w:vAlign w:val="center"/>
          </w:tcPr>
          <w:p>
            <w:pPr>
              <w:widowControl/>
              <w:jc w:val="center"/>
              <w:rPr>
                <w:rFonts w:eastAsia="宋体"/>
                <w:kern w:val="0"/>
                <w:sz w:val="20"/>
              </w:rPr>
            </w:pPr>
          </w:p>
        </w:tc>
        <w:tc>
          <w:tcPr>
            <w:tcW w:w="2498" w:type="dxa"/>
            <w:gridSpan w:val="2"/>
            <w:tcBorders>
              <w:top w:val="nil"/>
              <w:left w:val="nil"/>
              <w:bottom w:val="nil"/>
              <w:right w:val="nil"/>
            </w:tcBorders>
            <w:noWrap w:val="0"/>
            <w:vAlign w:val="center"/>
          </w:tcPr>
          <w:p>
            <w:pPr>
              <w:widowControl/>
              <w:jc w:val="center"/>
              <w:rPr>
                <w:rFonts w:eastAsia="宋体"/>
                <w:kern w:val="0"/>
                <w:sz w:val="20"/>
              </w:rPr>
            </w:pPr>
          </w:p>
        </w:tc>
        <w:tc>
          <w:tcPr>
            <w:tcW w:w="2340" w:type="dxa"/>
            <w:gridSpan w:val="3"/>
            <w:tcBorders>
              <w:top w:val="nil"/>
              <w:left w:val="nil"/>
              <w:bottom w:val="nil"/>
              <w:right w:val="nil"/>
            </w:tcBorders>
            <w:noWrap w:val="0"/>
            <w:vAlign w:val="bottom"/>
          </w:tcPr>
          <w:p>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3816.12</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3260.47</w:t>
            </w: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r>
              <w:rPr>
                <w:rFonts w:hint="eastAsia" w:eastAsia="宋体"/>
                <w:kern w:val="0"/>
                <w:sz w:val="20"/>
              </w:rPr>
              <w:t>555.65</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eastAsia="宋体"/>
                <w:color w:val="000000"/>
                <w:kern w:val="0"/>
                <w:sz w:val="20"/>
                <w:lang w:eastAsia="zh-CN"/>
              </w:rPr>
            </w:pPr>
            <w:r>
              <w:rPr>
                <w:rFonts w:eastAsia="宋体"/>
                <w:color w:val="000000"/>
                <w:kern w:val="0"/>
                <w:sz w:val="20"/>
              </w:rPr>
              <w:t>一、一般公共服务</w:t>
            </w:r>
            <w:r>
              <w:rPr>
                <w:rFonts w:hint="eastAsia" w:eastAsia="宋体"/>
                <w:color w:val="000000"/>
                <w:kern w:val="0"/>
                <w:sz w:val="20"/>
                <w:lang w:eastAsia="zh-CN"/>
              </w:rPr>
              <w:t>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hint="eastAsia" w:eastAsia="宋体"/>
                <w:color w:val="000000"/>
                <w:kern w:val="0"/>
                <w:sz w:val="20"/>
              </w:rPr>
              <w:t>2705.41</w:t>
            </w: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2470.1</w:t>
            </w: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235.31</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 w:val="20"/>
                <w:lang w:val="en-US" w:eastAsia="zh-CN" w:bidi="ar-SA"/>
              </w:rPr>
            </w:pPr>
            <w:r>
              <w:rPr>
                <w:rFonts w:hint="eastAsia" w:eastAsia="宋体"/>
                <w:kern w:val="0"/>
                <w:sz w:val="20"/>
              </w:rPr>
              <w:t>3816.12</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 w:val="20"/>
                <w:lang w:val="en-US" w:eastAsia="zh-CN" w:bidi="ar-SA"/>
              </w:rPr>
            </w:pPr>
            <w:r>
              <w:rPr>
                <w:rFonts w:hint="eastAsia" w:eastAsia="宋体"/>
                <w:kern w:val="0"/>
                <w:sz w:val="20"/>
              </w:rPr>
              <w:t>3260.47</w:t>
            </w:r>
          </w:p>
        </w:tc>
        <w:tc>
          <w:tcPr>
            <w:tcW w:w="1134" w:type="dxa"/>
            <w:tcBorders>
              <w:top w:val="nil"/>
              <w:left w:val="single" w:color="auto" w:sz="4" w:space="0"/>
              <w:bottom w:val="single" w:color="auto" w:sz="4" w:space="0"/>
              <w:right w:val="nil"/>
            </w:tcBorders>
            <w:noWrap w:val="0"/>
            <w:vAlign w:val="center"/>
          </w:tcPr>
          <w:p>
            <w:pPr>
              <w:widowControl/>
              <w:jc w:val="center"/>
              <w:rPr>
                <w:rFonts w:ascii="Times New Roman" w:hAnsi="Times New Roman" w:eastAsia="宋体" w:cs="Times New Roman"/>
                <w:kern w:val="0"/>
                <w:sz w:val="20"/>
                <w:lang w:val="en-US" w:eastAsia="zh-CN" w:bidi="ar-SA"/>
              </w:rPr>
            </w:pPr>
            <w:r>
              <w:rPr>
                <w:rFonts w:hint="eastAsia" w:eastAsia="宋体"/>
                <w:kern w:val="0"/>
                <w:sz w:val="20"/>
              </w:rPr>
              <w:t>555.65</w:t>
            </w: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rPr>
            </w:pPr>
            <w:r>
              <w:rPr>
                <w:rFonts w:eastAsia="宋体"/>
                <w:color w:val="000000"/>
                <w:sz w:val="20"/>
              </w:rPr>
              <w:t>二、</w:t>
            </w:r>
            <w:r>
              <w:rPr>
                <w:rFonts w:hint="eastAsia" w:eastAsia="宋体"/>
                <w:color w:val="000000"/>
                <w:sz w:val="20"/>
              </w:rPr>
              <w:t>社会保障和就业支出　</w:t>
            </w:r>
          </w:p>
        </w:tc>
        <w:tc>
          <w:tcPr>
            <w:tcW w:w="1156"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rPr>
            </w:pPr>
            <w:r>
              <w:rPr>
                <w:rFonts w:hint="eastAsia" w:eastAsia="宋体"/>
                <w:color w:val="000000"/>
                <w:kern w:val="0"/>
                <w:sz w:val="20"/>
              </w:rPr>
              <w:t>504.05</w:t>
            </w: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r>
              <w:rPr>
                <w:rFonts w:hint="eastAsia" w:eastAsia="宋体"/>
                <w:kern w:val="0"/>
                <w:sz w:val="20"/>
              </w:rPr>
              <w:t>460.89</w:t>
            </w: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r>
              <w:rPr>
                <w:rFonts w:hint="eastAsia" w:eastAsia="宋体"/>
                <w:kern w:val="0"/>
                <w:sz w:val="20"/>
              </w:rPr>
              <w:t>43.16</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rPr>
            </w:pPr>
            <w:r>
              <w:rPr>
                <w:rFonts w:eastAsia="宋体"/>
                <w:color w:val="000000"/>
                <w:sz w:val="20"/>
              </w:rPr>
              <w:t>三、</w:t>
            </w:r>
            <w:r>
              <w:rPr>
                <w:rFonts w:hint="eastAsia" w:eastAsia="宋体"/>
                <w:color w:val="000000"/>
                <w:sz w:val="20"/>
              </w:rPr>
              <w:t>卫生健康支出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rPr>
            </w:pPr>
            <w:r>
              <w:rPr>
                <w:rFonts w:hint="eastAsia" w:eastAsia="宋体"/>
                <w:color w:val="000000"/>
                <w:kern w:val="0"/>
                <w:sz w:val="20"/>
              </w:rPr>
              <w:t>157.11</w:t>
            </w: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r>
              <w:rPr>
                <w:rFonts w:hint="eastAsia" w:eastAsia="宋体"/>
                <w:kern w:val="0"/>
                <w:sz w:val="20"/>
              </w:rPr>
              <w:t>157.11</w:t>
            </w: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eastAsia" w:eastAsia="宋体"/>
                <w:color w:val="000000"/>
                <w:kern w:val="0"/>
                <w:sz w:val="20"/>
                <w:lang w:eastAsia="zh-CN"/>
              </w:rPr>
            </w:pPr>
            <w:r>
              <w:rPr>
                <w:rFonts w:hint="eastAsia" w:eastAsia="宋体"/>
                <w:color w:val="000000"/>
                <w:kern w:val="0"/>
                <w:sz w:val="20"/>
                <w:lang w:eastAsia="zh-CN"/>
              </w:rPr>
              <w:t>四、商业服务业等支出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rPr>
            </w:pPr>
            <w:r>
              <w:rPr>
                <w:rFonts w:hint="eastAsia" w:eastAsia="宋体"/>
                <w:color w:val="000000"/>
                <w:kern w:val="0"/>
                <w:sz w:val="20"/>
              </w:rPr>
              <w:t>270</w:t>
            </w: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r>
              <w:rPr>
                <w:rFonts w:hint="eastAsia" w:eastAsia="宋体"/>
                <w:kern w:val="0"/>
                <w:sz w:val="20"/>
              </w:rPr>
              <w:t>270</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eastAsia="宋体"/>
                <w:color w:val="000000"/>
                <w:kern w:val="0"/>
                <w:sz w:val="20"/>
                <w:lang w:eastAsia="zh-CN"/>
              </w:rPr>
            </w:pPr>
            <w:r>
              <w:rPr>
                <w:rFonts w:hint="eastAsia" w:eastAsia="宋体"/>
                <w:color w:val="000000"/>
                <w:kern w:val="0"/>
                <w:sz w:val="20"/>
                <w:lang w:eastAsia="zh-CN"/>
              </w:rPr>
              <w:t>五、住房保障支出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hint="eastAsia" w:eastAsia="宋体"/>
                <w:color w:val="000000"/>
                <w:kern w:val="0"/>
                <w:sz w:val="20"/>
              </w:rPr>
              <w:t>179.55</w:t>
            </w: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172.37</w:t>
            </w: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7.18</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pPr>
              <w:jc w:val="center"/>
              <w:rPr>
                <w:rFonts w:hint="eastAsia" w:eastAsia="宋体"/>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eastAsia="宋体"/>
                <w:sz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pPr>
              <w:jc w:val="center"/>
              <w:rPr>
                <w:rFonts w:hint="eastAsia" w:eastAsia="宋体"/>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3816.12</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3260.47</w:t>
            </w: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r>
              <w:rPr>
                <w:rFonts w:hint="eastAsia" w:eastAsia="宋体"/>
                <w:kern w:val="0"/>
                <w:sz w:val="20"/>
              </w:rPr>
              <w:t>555.65</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 w:val="20"/>
                <w:lang w:val="en-US" w:eastAsia="zh-CN" w:bidi="ar-SA"/>
              </w:rPr>
            </w:pPr>
            <w:r>
              <w:rPr>
                <w:rFonts w:hint="eastAsia" w:eastAsia="宋体"/>
                <w:kern w:val="0"/>
                <w:sz w:val="20"/>
              </w:rPr>
              <w:t>3816.12</w:t>
            </w: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 w:val="20"/>
                <w:lang w:val="en-US" w:eastAsia="zh-CN" w:bidi="ar-SA"/>
              </w:rPr>
            </w:pPr>
            <w:r>
              <w:rPr>
                <w:rFonts w:hint="eastAsia" w:eastAsia="宋体"/>
                <w:kern w:val="0"/>
                <w:sz w:val="20"/>
              </w:rPr>
              <w:t>3260.47</w:t>
            </w:r>
          </w:p>
        </w:tc>
        <w:tc>
          <w:tcPr>
            <w:tcW w:w="115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 w:val="20"/>
                <w:lang w:val="en-US" w:eastAsia="zh-CN" w:bidi="ar-SA"/>
              </w:rPr>
            </w:pPr>
            <w:r>
              <w:rPr>
                <w:rFonts w:hint="eastAsia" w:eastAsia="宋体"/>
                <w:kern w:val="0"/>
                <w:sz w:val="20"/>
              </w:rPr>
              <w:t>555.65</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 w:val="20"/>
                <w:lang w:val="en-US" w:eastAsia="zh-CN" w:bidi="ar-SA"/>
              </w:rPr>
            </w:pPr>
            <w:r>
              <w:rPr>
                <w:rFonts w:hint="eastAsia" w:eastAsia="宋体"/>
                <w:kern w:val="0"/>
                <w:sz w:val="20"/>
              </w:rPr>
              <w:t>3816.12</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 w:val="20"/>
                <w:lang w:val="en-US" w:eastAsia="zh-CN" w:bidi="ar-SA"/>
              </w:rPr>
            </w:pPr>
            <w:r>
              <w:rPr>
                <w:rFonts w:hint="eastAsia" w:eastAsia="宋体"/>
                <w:kern w:val="0"/>
                <w:sz w:val="20"/>
              </w:rPr>
              <w:t>3260.47</w:t>
            </w:r>
          </w:p>
        </w:tc>
        <w:tc>
          <w:tcPr>
            <w:tcW w:w="1134" w:type="dxa"/>
            <w:tcBorders>
              <w:top w:val="nil"/>
              <w:left w:val="single" w:color="auto" w:sz="4" w:space="0"/>
              <w:bottom w:val="single" w:color="auto" w:sz="4" w:space="0"/>
              <w:right w:val="nil"/>
            </w:tcBorders>
            <w:noWrap w:val="0"/>
            <w:vAlign w:val="center"/>
          </w:tcPr>
          <w:p>
            <w:pPr>
              <w:widowControl/>
              <w:jc w:val="center"/>
              <w:rPr>
                <w:rFonts w:ascii="Times New Roman" w:hAnsi="Times New Roman" w:eastAsia="宋体" w:cs="Times New Roman"/>
                <w:kern w:val="0"/>
                <w:sz w:val="20"/>
                <w:lang w:val="en-US" w:eastAsia="zh-CN" w:bidi="ar-SA"/>
              </w:rPr>
            </w:pPr>
            <w:r>
              <w:rPr>
                <w:rFonts w:hint="eastAsia" w:eastAsia="宋体"/>
                <w:kern w:val="0"/>
                <w:sz w:val="20"/>
              </w:rPr>
              <w:t>555.65</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 w:val="20"/>
                <w:lang w:val="en-US" w:eastAsia="zh-CN" w:bidi="ar-SA"/>
              </w:rPr>
            </w:pPr>
            <w:r>
              <w:rPr>
                <w:rFonts w:hint="eastAsia" w:eastAsia="宋体"/>
                <w:kern w:val="0"/>
                <w:sz w:val="20"/>
              </w:rPr>
              <w:t>3816.12</w:t>
            </w: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 w:val="20"/>
                <w:lang w:val="en-US" w:eastAsia="zh-CN" w:bidi="ar-SA"/>
              </w:rPr>
            </w:pPr>
            <w:r>
              <w:rPr>
                <w:rFonts w:hint="eastAsia" w:eastAsia="宋体"/>
                <w:kern w:val="0"/>
                <w:sz w:val="20"/>
              </w:rPr>
              <w:t>3260.47</w:t>
            </w:r>
          </w:p>
        </w:tc>
        <w:tc>
          <w:tcPr>
            <w:tcW w:w="115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 w:val="20"/>
                <w:lang w:val="en-US" w:eastAsia="zh-CN" w:bidi="ar-SA"/>
              </w:rPr>
            </w:pPr>
            <w:r>
              <w:rPr>
                <w:rFonts w:hint="eastAsia" w:eastAsia="宋体"/>
                <w:kern w:val="0"/>
                <w:sz w:val="20"/>
              </w:rPr>
              <w:t>555.65</w:t>
            </w:r>
          </w:p>
        </w:tc>
      </w:tr>
    </w:tbl>
    <w:p>
      <w:pPr>
        <w:ind w:firstLine="640" w:firstLineChars="200"/>
        <w:rPr>
          <w:rFonts w:eastAsia="楷体_GB2312"/>
          <w:strike/>
        </w:rPr>
      </w:pPr>
    </w:p>
    <w:p>
      <w:pPr>
        <w:ind w:firstLine="640" w:firstLineChars="200"/>
        <w:rPr>
          <w:rFonts w:eastAsia="楷体_GB2312"/>
        </w:rPr>
      </w:pPr>
    </w:p>
    <w:p>
      <w:pPr>
        <w:rPr>
          <w:rFonts w:hAnsi="楷体" w:eastAsia="楷体"/>
        </w:rPr>
      </w:pPr>
    </w:p>
    <w:p>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11656" w:type="dxa"/>
        <w:jc w:val="center"/>
        <w:tblLayout w:type="fixed"/>
        <w:tblCellMar>
          <w:top w:w="0" w:type="dxa"/>
          <w:left w:w="108" w:type="dxa"/>
          <w:bottom w:w="0" w:type="dxa"/>
          <w:right w:w="108" w:type="dxa"/>
        </w:tblCellMar>
      </w:tblPr>
      <w:tblGrid>
        <w:gridCol w:w="955"/>
        <w:gridCol w:w="941"/>
        <w:gridCol w:w="982"/>
        <w:gridCol w:w="1009"/>
        <w:gridCol w:w="478"/>
        <w:gridCol w:w="436"/>
        <w:gridCol w:w="450"/>
        <w:gridCol w:w="395"/>
        <w:gridCol w:w="505"/>
        <w:gridCol w:w="477"/>
        <w:gridCol w:w="464"/>
        <w:gridCol w:w="409"/>
        <w:gridCol w:w="802"/>
        <w:gridCol w:w="902"/>
        <w:gridCol w:w="236"/>
        <w:gridCol w:w="255"/>
        <w:gridCol w:w="587"/>
        <w:gridCol w:w="613"/>
        <w:gridCol w:w="709"/>
        <w:gridCol w:w="51"/>
      </w:tblGrid>
      <w:tr>
        <w:tblPrEx>
          <w:tblCellMar>
            <w:top w:w="0" w:type="dxa"/>
            <w:left w:w="108" w:type="dxa"/>
            <w:bottom w:w="0" w:type="dxa"/>
            <w:right w:w="108" w:type="dxa"/>
          </w:tblCellMar>
        </w:tblPrEx>
        <w:trPr>
          <w:trHeight w:val="335" w:hRule="atLeast"/>
          <w:jc w:val="center"/>
        </w:trPr>
        <w:tc>
          <w:tcPr>
            <w:tcW w:w="955" w:type="dxa"/>
            <w:tcBorders>
              <w:bottom w:val="single" w:color="000000" w:sz="4" w:space="0"/>
            </w:tcBorders>
            <w:noWrap w:val="0"/>
            <w:vAlign w:val="top"/>
          </w:tcPr>
          <w:p>
            <w:pPr>
              <w:autoSpaceDN w:val="0"/>
              <w:jc w:val="left"/>
              <w:textAlignment w:val="center"/>
              <w:rPr>
                <w:rFonts w:eastAsia="华文细黑"/>
                <w:color w:val="000000"/>
                <w:sz w:val="20"/>
              </w:rPr>
            </w:pPr>
          </w:p>
        </w:tc>
        <w:tc>
          <w:tcPr>
            <w:tcW w:w="5196" w:type="dxa"/>
            <w:gridSpan w:val="8"/>
            <w:tcBorders>
              <w:bottom w:val="single" w:color="000000" w:sz="4" w:space="0"/>
            </w:tcBorders>
            <w:noWrap w:val="0"/>
            <w:vAlign w:val="center"/>
          </w:tcPr>
          <w:p>
            <w:pPr>
              <w:autoSpaceDN w:val="0"/>
              <w:jc w:val="left"/>
              <w:textAlignment w:val="center"/>
              <w:rPr>
                <w:rFonts w:eastAsia="华文细黑"/>
                <w:color w:val="000000"/>
                <w:sz w:val="20"/>
              </w:rPr>
            </w:pPr>
          </w:p>
        </w:tc>
        <w:tc>
          <w:tcPr>
            <w:tcW w:w="941" w:type="dxa"/>
            <w:gridSpan w:val="2"/>
            <w:noWrap w:val="0"/>
            <w:vAlign w:val="center"/>
          </w:tcPr>
          <w:p>
            <w:pPr>
              <w:autoSpaceDN w:val="0"/>
              <w:jc w:val="left"/>
              <w:textAlignment w:val="center"/>
              <w:rPr>
                <w:rFonts w:eastAsia="华文细黑"/>
                <w:color w:val="000000"/>
                <w:sz w:val="20"/>
              </w:rPr>
            </w:pPr>
          </w:p>
        </w:tc>
        <w:tc>
          <w:tcPr>
            <w:tcW w:w="409" w:type="dxa"/>
            <w:noWrap w:val="0"/>
            <w:vAlign w:val="center"/>
          </w:tcPr>
          <w:p>
            <w:pPr>
              <w:autoSpaceDN w:val="0"/>
              <w:jc w:val="left"/>
              <w:textAlignment w:val="center"/>
              <w:rPr>
                <w:rFonts w:eastAsia="华文细黑"/>
                <w:color w:val="000000"/>
                <w:sz w:val="20"/>
              </w:rPr>
            </w:pPr>
          </w:p>
        </w:tc>
        <w:tc>
          <w:tcPr>
            <w:tcW w:w="1704" w:type="dxa"/>
            <w:gridSpan w:val="2"/>
            <w:noWrap w:val="0"/>
            <w:vAlign w:val="center"/>
          </w:tcPr>
          <w:p>
            <w:pPr>
              <w:autoSpaceDN w:val="0"/>
              <w:jc w:val="left"/>
              <w:textAlignment w:val="center"/>
              <w:rPr>
                <w:rFonts w:eastAsia="华文细黑"/>
                <w:color w:val="000000"/>
                <w:sz w:val="20"/>
              </w:rPr>
            </w:pPr>
          </w:p>
        </w:tc>
        <w:tc>
          <w:tcPr>
            <w:tcW w:w="236" w:type="dxa"/>
            <w:noWrap w:val="0"/>
            <w:vAlign w:val="bottom"/>
          </w:tcPr>
          <w:p>
            <w:pPr>
              <w:autoSpaceDN w:val="0"/>
              <w:jc w:val="right"/>
              <w:textAlignment w:val="bottom"/>
              <w:rPr>
                <w:rFonts w:eastAsia="宋体"/>
                <w:color w:val="000000"/>
                <w:sz w:val="20"/>
              </w:rPr>
            </w:pPr>
          </w:p>
        </w:tc>
        <w:tc>
          <w:tcPr>
            <w:tcW w:w="2215" w:type="dxa"/>
            <w:gridSpan w:val="5"/>
            <w:noWrap w:val="0"/>
            <w:vAlign w:val="bottom"/>
          </w:tcPr>
          <w:p>
            <w:pPr>
              <w:wordWrap/>
              <w:autoSpaceDN w:val="0"/>
              <w:jc w:val="right"/>
              <w:textAlignment w:val="center"/>
              <w:rPr>
                <w:rFonts w:eastAsia="宋体"/>
                <w:color w:val="000000"/>
                <w:sz w:val="20"/>
              </w:rPr>
            </w:pPr>
            <w:r>
              <w:rPr>
                <w:rFonts w:eastAsia="宋体"/>
                <w:color w:val="000000"/>
                <w:sz w:val="20"/>
              </w:rPr>
              <w:t>单位：万元</w:t>
            </w:r>
          </w:p>
        </w:tc>
      </w:tr>
      <w:tr>
        <w:tblPrEx>
          <w:tblCellMar>
            <w:top w:w="0" w:type="dxa"/>
            <w:left w:w="108" w:type="dxa"/>
            <w:bottom w:w="0" w:type="dxa"/>
            <w:right w:w="108" w:type="dxa"/>
          </w:tblCellMar>
        </w:tblPrEx>
        <w:trPr>
          <w:gridAfter w:val="1"/>
          <w:wAfter w:w="51" w:type="dxa"/>
          <w:trHeight w:val="517" w:hRule="atLeast"/>
          <w:jc w:val="center"/>
        </w:trPr>
        <w:tc>
          <w:tcPr>
            <w:tcW w:w="955" w:type="dxa"/>
            <w:vMerge w:val="restart"/>
            <w:tcBorders>
              <w:left w:val="single" w:color="000000" w:sz="4" w:space="0"/>
              <w:right w:val="single" w:color="000000" w:sz="4" w:space="0"/>
            </w:tcBorders>
            <w:noWrap w:val="0"/>
            <w:vAlign w:val="center"/>
          </w:tcPr>
          <w:p>
            <w:pPr>
              <w:widowControl/>
              <w:jc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部门（单位）名称</w:t>
            </w:r>
          </w:p>
        </w:tc>
        <w:tc>
          <w:tcPr>
            <w:tcW w:w="941" w:type="dxa"/>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总计</w:t>
            </w:r>
          </w:p>
        </w:tc>
        <w:tc>
          <w:tcPr>
            <w:tcW w:w="5605" w:type="dxa"/>
            <w:gridSpan w:val="10"/>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lang w:eastAsia="zh-CN"/>
              </w:rPr>
              <w:t>本年预算</w:t>
            </w:r>
          </w:p>
        </w:tc>
        <w:tc>
          <w:tcPr>
            <w:tcW w:w="4104" w:type="dxa"/>
            <w:gridSpan w:val="7"/>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上年结转结余</w:t>
            </w:r>
          </w:p>
        </w:tc>
      </w:tr>
      <w:tr>
        <w:tblPrEx>
          <w:tblCellMar>
            <w:top w:w="0" w:type="dxa"/>
            <w:left w:w="108" w:type="dxa"/>
            <w:bottom w:w="0" w:type="dxa"/>
            <w:right w:w="108" w:type="dxa"/>
          </w:tblCellMar>
        </w:tblPrEx>
        <w:trPr>
          <w:gridAfter w:val="1"/>
          <w:wAfter w:w="51" w:type="dxa"/>
          <w:trHeight w:val="517" w:hRule="atLeast"/>
          <w:jc w:val="center"/>
        </w:trPr>
        <w:tc>
          <w:tcPr>
            <w:tcW w:w="955" w:type="dxa"/>
            <w:vMerge w:val="continue"/>
            <w:tcBorders>
              <w:left w:val="single" w:color="000000" w:sz="4" w:space="0"/>
              <w:right w:val="single" w:color="000000" w:sz="4" w:space="0"/>
            </w:tcBorders>
            <w:noWrap w:val="0"/>
            <w:vAlign w:val="center"/>
          </w:tcPr>
          <w:p>
            <w:pPr>
              <w:widowControl/>
              <w:jc w:val="left"/>
              <w:rPr>
                <w:rFonts w:hint="eastAsia" w:ascii="宋体" w:hAnsi="宋体" w:eastAsia="宋体" w:cs="宋体"/>
                <w:color w:val="000000"/>
                <w:sz w:val="20"/>
                <w:lang w:eastAsia="zh-CN"/>
              </w:rPr>
            </w:pPr>
          </w:p>
        </w:tc>
        <w:tc>
          <w:tcPr>
            <w:tcW w:w="941" w:type="dxa"/>
            <w:vMerge w:val="continue"/>
            <w:tcBorders>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p>
        </w:tc>
        <w:tc>
          <w:tcPr>
            <w:tcW w:w="982" w:type="dxa"/>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923" w:type="dxa"/>
            <w:gridSpan w:val="3"/>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w:t>
            </w:r>
            <w:r>
              <w:rPr>
                <w:rFonts w:hint="eastAsia" w:ascii="宋体" w:hAnsi="宋体" w:eastAsia="宋体" w:cs="宋体"/>
                <w:color w:val="000000"/>
                <w:sz w:val="20"/>
                <w:lang w:val="en-US" w:eastAsia="zh-CN"/>
              </w:rPr>
              <w:t xml:space="preserve">    </w:t>
            </w:r>
            <w:r>
              <w:rPr>
                <w:rFonts w:hint="eastAsia" w:ascii="宋体" w:hAnsi="宋体" w:eastAsia="宋体" w:cs="宋体"/>
                <w:color w:val="000000"/>
                <w:sz w:val="20"/>
                <w:lang w:eastAsia="zh-CN"/>
              </w:rPr>
              <w:t>款收入</w:t>
            </w:r>
          </w:p>
        </w:tc>
        <w:tc>
          <w:tcPr>
            <w:tcW w:w="450" w:type="dxa"/>
            <w:vMerge w:val="restart"/>
            <w:tcBorders>
              <w:top w:val="single" w:color="000000" w:sz="4" w:space="0"/>
              <w:left w:val="single" w:color="auto"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财政专户管理资金收入</w:t>
            </w:r>
          </w:p>
        </w:tc>
        <w:tc>
          <w:tcPr>
            <w:tcW w:w="2250" w:type="dxa"/>
            <w:gridSpan w:val="5"/>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单位资</w:t>
            </w:r>
            <w:r>
              <w:rPr>
                <w:rFonts w:hint="eastAsia" w:ascii="宋体" w:hAnsi="宋体" w:eastAsia="宋体" w:cs="宋体"/>
                <w:color w:val="000000"/>
                <w:sz w:val="20"/>
                <w:lang w:val="en-US" w:eastAsia="zh-CN"/>
              </w:rPr>
              <w:t xml:space="preserve">            </w:t>
            </w:r>
            <w:r>
              <w:rPr>
                <w:rFonts w:hint="eastAsia" w:ascii="宋体" w:hAnsi="宋体" w:eastAsia="宋体" w:cs="宋体"/>
                <w:color w:val="000000"/>
                <w:sz w:val="20"/>
                <w:lang w:eastAsia="zh-CN"/>
              </w:rPr>
              <w:t>金收入</w:t>
            </w:r>
          </w:p>
        </w:tc>
        <w:tc>
          <w:tcPr>
            <w:tcW w:w="802" w:type="dxa"/>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980" w:type="dxa"/>
            <w:gridSpan w:val="4"/>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w:t>
            </w:r>
            <w:r>
              <w:rPr>
                <w:rFonts w:hint="eastAsia" w:ascii="宋体" w:hAnsi="宋体" w:eastAsia="宋体" w:cs="宋体"/>
                <w:color w:val="000000"/>
                <w:sz w:val="20"/>
                <w:lang w:val="en-US" w:eastAsia="zh-CN"/>
              </w:rPr>
              <w:t xml:space="preserve">   </w:t>
            </w:r>
            <w:r>
              <w:rPr>
                <w:rFonts w:hint="eastAsia" w:ascii="宋体" w:hAnsi="宋体" w:eastAsia="宋体" w:cs="宋体"/>
                <w:color w:val="000000"/>
                <w:sz w:val="20"/>
                <w:lang w:eastAsia="zh-CN"/>
              </w:rPr>
              <w:t>款结转</w:t>
            </w:r>
          </w:p>
        </w:tc>
        <w:tc>
          <w:tcPr>
            <w:tcW w:w="1322" w:type="dxa"/>
            <w:gridSpan w:val="2"/>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非财政拨款结转结余</w:t>
            </w:r>
          </w:p>
        </w:tc>
      </w:tr>
      <w:tr>
        <w:tblPrEx>
          <w:tblCellMar>
            <w:top w:w="0" w:type="dxa"/>
            <w:left w:w="108" w:type="dxa"/>
            <w:bottom w:w="0" w:type="dxa"/>
            <w:right w:w="108" w:type="dxa"/>
          </w:tblCellMar>
        </w:tblPrEx>
        <w:trPr>
          <w:gridAfter w:val="1"/>
          <w:wAfter w:w="51" w:type="dxa"/>
          <w:trHeight w:val="2818" w:hRule="atLeast"/>
          <w:jc w:val="center"/>
        </w:trPr>
        <w:tc>
          <w:tcPr>
            <w:tcW w:w="955" w:type="dxa"/>
            <w:vMerge w:val="continue"/>
            <w:tcBorders>
              <w:left w:val="single" w:color="000000" w:sz="4" w:space="0"/>
              <w:bottom w:val="single" w:color="000000" w:sz="4" w:space="0"/>
              <w:right w:val="single" w:color="000000" w:sz="4" w:space="0"/>
            </w:tcBorders>
            <w:shd w:val="solid" w:color="FFFFFF" w:fill="auto"/>
            <w:noWrap w:val="0"/>
            <w:vAlign w:val="center"/>
          </w:tcPr>
          <w:p>
            <w:pPr>
              <w:widowControl/>
              <w:jc w:val="left"/>
              <w:rPr>
                <w:rFonts w:hint="eastAsia" w:ascii="宋体" w:hAnsi="宋体" w:eastAsia="宋体" w:cs="宋体"/>
                <w:color w:val="000000"/>
                <w:sz w:val="20"/>
                <w:shd w:val="clear" w:color="auto" w:fill="FFFFFF"/>
              </w:rPr>
            </w:pPr>
          </w:p>
        </w:tc>
        <w:tc>
          <w:tcPr>
            <w:tcW w:w="941" w:type="dxa"/>
            <w:vMerge w:val="continue"/>
            <w:tcBorders>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982"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1009"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一般公共预算收入</w:t>
            </w:r>
          </w:p>
        </w:tc>
        <w:tc>
          <w:tcPr>
            <w:tcW w:w="478" w:type="dxa"/>
            <w:tcBorders>
              <w:top w:val="single" w:color="000000" w:sz="4" w:space="0"/>
              <w:left w:val="single" w:color="000000" w:sz="4" w:space="0"/>
              <w:bottom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政府性基金预算收入</w:t>
            </w:r>
          </w:p>
        </w:tc>
        <w:tc>
          <w:tcPr>
            <w:tcW w:w="436"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国有资本经营预算收入</w:t>
            </w:r>
          </w:p>
        </w:tc>
        <w:tc>
          <w:tcPr>
            <w:tcW w:w="450" w:type="dxa"/>
            <w:vMerge w:val="continue"/>
            <w:tcBorders>
              <w:left w:val="single" w:color="auto" w:sz="4" w:space="0"/>
              <w:bottom w:val="single" w:color="000000" w:sz="4" w:space="0"/>
              <w:right w:val="single" w:color="auto"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39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事业收入</w:t>
            </w:r>
          </w:p>
        </w:tc>
        <w:tc>
          <w:tcPr>
            <w:tcW w:w="50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事业单位经营收入</w:t>
            </w:r>
          </w:p>
        </w:tc>
        <w:tc>
          <w:tcPr>
            <w:tcW w:w="47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上级补助收入</w:t>
            </w:r>
          </w:p>
        </w:tc>
        <w:tc>
          <w:tcPr>
            <w:tcW w:w="464"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附属单位上缴收入</w:t>
            </w:r>
          </w:p>
        </w:tc>
        <w:tc>
          <w:tcPr>
            <w:tcW w:w="409"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其他收入</w:t>
            </w:r>
          </w:p>
        </w:tc>
        <w:tc>
          <w:tcPr>
            <w:tcW w:w="802"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902"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一般公共预算拨款结转</w:t>
            </w:r>
          </w:p>
        </w:tc>
        <w:tc>
          <w:tcPr>
            <w:tcW w:w="491"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政府性基金预算拨款结转</w:t>
            </w:r>
          </w:p>
        </w:tc>
        <w:tc>
          <w:tcPr>
            <w:tcW w:w="587"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国有资本经营预算拨款结转</w:t>
            </w:r>
          </w:p>
        </w:tc>
        <w:tc>
          <w:tcPr>
            <w:tcW w:w="613"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lang w:eastAsia="zh-CN"/>
              </w:rPr>
              <w:t>财政专户管理资金结转结余</w:t>
            </w:r>
          </w:p>
        </w:tc>
        <w:tc>
          <w:tcPr>
            <w:tcW w:w="709"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单位资金结转结余</w:t>
            </w:r>
          </w:p>
        </w:tc>
      </w:tr>
      <w:tr>
        <w:tblPrEx>
          <w:tblCellMar>
            <w:top w:w="0" w:type="dxa"/>
            <w:left w:w="108" w:type="dxa"/>
            <w:bottom w:w="0" w:type="dxa"/>
            <w:right w:w="108" w:type="dxa"/>
          </w:tblCellMar>
        </w:tblPrEx>
        <w:trPr>
          <w:gridAfter w:val="1"/>
          <w:wAfter w:w="51" w:type="dxa"/>
          <w:trHeight w:val="517" w:hRule="atLeast"/>
          <w:jc w:val="center"/>
        </w:trPr>
        <w:tc>
          <w:tcPr>
            <w:tcW w:w="955"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r>
              <w:rPr>
                <w:rFonts w:hint="eastAsia" w:ascii="Times New Roman" w:hAnsi="Times New Roman" w:eastAsia="宋体" w:cs="Times New Roman"/>
                <w:sz w:val="20"/>
                <w:lang w:val="en-US" w:eastAsia="zh-CN"/>
              </w:rPr>
              <w:t>吉林省统计局（本级）</w:t>
            </w:r>
          </w:p>
        </w:tc>
        <w:tc>
          <w:tcPr>
            <w:tcW w:w="94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3816.12</w:t>
            </w:r>
          </w:p>
        </w:tc>
        <w:tc>
          <w:tcPr>
            <w:tcW w:w="98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3260.47</w:t>
            </w:r>
          </w:p>
        </w:tc>
        <w:tc>
          <w:tcPr>
            <w:tcW w:w="100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3260.47</w:t>
            </w:r>
          </w:p>
        </w:tc>
        <w:tc>
          <w:tcPr>
            <w:tcW w:w="478"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6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0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0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555.65</w:t>
            </w:r>
          </w:p>
        </w:tc>
        <w:tc>
          <w:tcPr>
            <w:tcW w:w="90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555.65</w:t>
            </w:r>
          </w:p>
        </w:tc>
        <w:tc>
          <w:tcPr>
            <w:tcW w:w="49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5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1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0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51" w:type="dxa"/>
          <w:trHeight w:val="517" w:hRule="atLeast"/>
          <w:jc w:val="center"/>
        </w:trPr>
        <w:tc>
          <w:tcPr>
            <w:tcW w:w="955"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94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98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100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78"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6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0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0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90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9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5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1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0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51" w:type="dxa"/>
          <w:trHeight w:val="517" w:hRule="atLeast"/>
          <w:jc w:val="center"/>
        </w:trPr>
        <w:tc>
          <w:tcPr>
            <w:tcW w:w="955"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94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98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100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78"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6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0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0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90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9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5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1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0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51" w:type="dxa"/>
          <w:trHeight w:val="517" w:hRule="atLeast"/>
          <w:jc w:val="center"/>
        </w:trPr>
        <w:tc>
          <w:tcPr>
            <w:tcW w:w="955"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94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98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100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78"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6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0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0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90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9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5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1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0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51" w:type="dxa"/>
          <w:trHeight w:val="530" w:hRule="atLeast"/>
          <w:jc w:val="center"/>
        </w:trPr>
        <w:tc>
          <w:tcPr>
            <w:tcW w:w="955"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94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r>
              <w:rPr>
                <w:rFonts w:hint="eastAsia" w:eastAsia="宋体"/>
                <w:color w:val="000000"/>
                <w:sz w:val="20"/>
                <w:shd w:val="clear" w:color="auto" w:fill="FFFFFF"/>
              </w:rPr>
              <w:t>3816.12</w:t>
            </w:r>
          </w:p>
        </w:tc>
        <w:tc>
          <w:tcPr>
            <w:tcW w:w="98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r>
              <w:rPr>
                <w:rFonts w:hint="eastAsia" w:eastAsia="宋体"/>
                <w:color w:val="000000"/>
                <w:sz w:val="20"/>
                <w:shd w:val="clear" w:color="auto" w:fill="FFFFFF"/>
              </w:rPr>
              <w:t>3260.47</w:t>
            </w:r>
          </w:p>
        </w:tc>
        <w:tc>
          <w:tcPr>
            <w:tcW w:w="100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r>
              <w:rPr>
                <w:rFonts w:hint="eastAsia" w:eastAsia="宋体"/>
                <w:color w:val="000000"/>
                <w:sz w:val="20"/>
                <w:shd w:val="clear" w:color="auto" w:fill="FFFFFF"/>
              </w:rPr>
              <w:t>3260.47</w:t>
            </w:r>
          </w:p>
        </w:tc>
        <w:tc>
          <w:tcPr>
            <w:tcW w:w="478"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5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color w:val="000000"/>
                <w:sz w:val="20"/>
                <w:shd w:val="clear" w:color="auto" w:fill="FFFFFF"/>
              </w:rPr>
            </w:pPr>
          </w:p>
        </w:tc>
        <w:tc>
          <w:tcPr>
            <w:tcW w:w="3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5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6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0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80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r>
              <w:rPr>
                <w:rFonts w:hint="eastAsia" w:eastAsia="宋体"/>
                <w:color w:val="000000"/>
                <w:sz w:val="20"/>
                <w:shd w:val="clear" w:color="auto" w:fill="FFFFFF"/>
              </w:rPr>
              <w:t>555.65</w:t>
            </w:r>
          </w:p>
        </w:tc>
        <w:tc>
          <w:tcPr>
            <w:tcW w:w="90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r>
              <w:rPr>
                <w:rFonts w:hint="eastAsia" w:eastAsia="宋体"/>
                <w:color w:val="000000"/>
                <w:sz w:val="20"/>
                <w:shd w:val="clear" w:color="auto" w:fill="FFFFFF"/>
              </w:rPr>
              <w:t>555.65</w:t>
            </w:r>
          </w:p>
        </w:tc>
        <w:tc>
          <w:tcPr>
            <w:tcW w:w="49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color w:val="000000"/>
                <w:sz w:val="20"/>
                <w:shd w:val="clear" w:color="auto" w:fill="FFFFFF"/>
              </w:rPr>
            </w:pPr>
          </w:p>
        </w:tc>
        <w:tc>
          <w:tcPr>
            <w:tcW w:w="5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61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70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r>
    </w:tbl>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noWrap w:val="0"/>
            <w:vAlign w:val="bottom"/>
          </w:tcPr>
          <w:p>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840" w:type="dxa"/>
              <w:tblInd w:w="442" w:type="dxa"/>
              <w:tblLayout w:type="fixed"/>
              <w:tblCellMar>
                <w:top w:w="15" w:type="dxa"/>
                <w:left w:w="15" w:type="dxa"/>
                <w:bottom w:w="15" w:type="dxa"/>
                <w:right w:w="15" w:type="dxa"/>
              </w:tblCellMar>
            </w:tblPr>
            <w:tblGrid>
              <w:gridCol w:w="2149"/>
              <w:gridCol w:w="1267"/>
              <w:gridCol w:w="1306"/>
              <w:gridCol w:w="1090"/>
              <w:gridCol w:w="1297"/>
              <w:gridCol w:w="1266"/>
              <w:gridCol w:w="30"/>
              <w:gridCol w:w="1297"/>
              <w:gridCol w:w="138"/>
            </w:tblGrid>
            <w:tr>
              <w:tblPrEx>
                <w:tblCellMar>
                  <w:top w:w="15" w:type="dxa"/>
                  <w:left w:w="15" w:type="dxa"/>
                  <w:bottom w:w="15" w:type="dxa"/>
                  <w:right w:w="15" w:type="dxa"/>
                </w:tblCellMar>
              </w:tblPrEx>
              <w:trPr>
                <w:gridAfter w:val="1"/>
                <w:wAfter w:w="138" w:type="dxa"/>
                <w:trHeight w:val="636" w:hRule="atLeast"/>
              </w:trPr>
              <w:tc>
                <w:tcPr>
                  <w:tcW w:w="5812" w:type="dxa"/>
                  <w:gridSpan w:val="4"/>
                  <w:tcBorders>
                    <w:bottom w:val="single" w:color="000000" w:sz="4" w:space="0"/>
                  </w:tcBorders>
                  <w:noWrap w:val="0"/>
                  <w:vAlign w:val="center"/>
                </w:tcPr>
                <w:p>
                  <w:pPr>
                    <w:widowControl/>
                    <w:jc w:val="left"/>
                    <w:rPr>
                      <w:rFonts w:eastAsia="华文细黑"/>
                      <w:color w:val="000000"/>
                      <w:kern w:val="0"/>
                      <w:sz w:val="20"/>
                    </w:rPr>
                  </w:pPr>
                </w:p>
              </w:tc>
              <w:tc>
                <w:tcPr>
                  <w:tcW w:w="1297" w:type="dxa"/>
                  <w:tcBorders>
                    <w:bottom w:val="single" w:color="000000" w:sz="4" w:space="0"/>
                  </w:tcBorders>
                  <w:noWrap w:val="0"/>
                  <w:vAlign w:val="center"/>
                </w:tcPr>
                <w:p>
                  <w:pPr>
                    <w:widowControl/>
                    <w:jc w:val="right"/>
                    <w:rPr>
                      <w:rFonts w:eastAsia="华文细黑"/>
                      <w:color w:val="000000"/>
                      <w:kern w:val="0"/>
                      <w:sz w:val="20"/>
                    </w:rPr>
                  </w:pPr>
                </w:p>
              </w:tc>
              <w:tc>
                <w:tcPr>
                  <w:tcW w:w="1296" w:type="dxa"/>
                  <w:gridSpan w:val="2"/>
                  <w:tcBorders>
                    <w:bottom w:val="single" w:color="000000" w:sz="4" w:space="0"/>
                  </w:tcBorders>
                  <w:noWrap w:val="0"/>
                  <w:vAlign w:val="center"/>
                </w:tcPr>
                <w:p>
                  <w:pPr>
                    <w:widowControl/>
                    <w:jc w:val="right"/>
                    <w:rPr>
                      <w:rFonts w:eastAsia="华文细黑"/>
                      <w:color w:val="000000"/>
                      <w:kern w:val="0"/>
                      <w:sz w:val="20"/>
                    </w:rPr>
                  </w:pPr>
                </w:p>
              </w:tc>
              <w:tc>
                <w:tcPr>
                  <w:tcW w:w="1297" w:type="dxa"/>
                  <w:tcBorders>
                    <w:bottom w:val="single" w:color="000000" w:sz="4" w:space="0"/>
                  </w:tcBorders>
                  <w:noWrap w:val="0"/>
                  <w:vAlign w:val="bottom"/>
                </w:tcPr>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2211" w:hRule="atLeast"/>
              </w:trPr>
              <w:tc>
                <w:tcPr>
                  <w:tcW w:w="2149"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267" w:type="dxa"/>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总计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p>
                <w:p>
                  <w:pPr>
                    <w:widowControl/>
                    <w:jc w:val="center"/>
                    <w:rPr>
                      <w:rFonts w:eastAsia="华文细黑"/>
                      <w:color w:val="000000"/>
                      <w:kern w:val="0"/>
                      <w:sz w:val="20"/>
                    </w:rPr>
                  </w:pPr>
                  <w:r>
                    <w:rPr>
                      <w:rFonts w:eastAsia="华文细黑"/>
                      <w:color w:val="000000"/>
                      <w:kern w:val="0"/>
                      <w:sz w:val="20"/>
                    </w:rPr>
                    <w:t>基本</w:t>
                  </w:r>
                </w:p>
                <w:p>
                  <w:pPr>
                    <w:widowControl/>
                    <w:jc w:val="center"/>
                    <w:rPr>
                      <w:rFonts w:eastAsia="华文细黑"/>
                      <w:color w:val="000000"/>
                      <w:kern w:val="0"/>
                      <w:sz w:val="20"/>
                    </w:rPr>
                  </w:pPr>
                  <w:r>
                    <w:rPr>
                      <w:rFonts w:eastAsia="华文细黑"/>
                      <w:color w:val="000000"/>
                      <w:kern w:val="0"/>
                      <w:sz w:val="20"/>
                    </w:rPr>
                    <w:t>支出</w:t>
                  </w:r>
                </w:p>
                <w:p>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事业单位</w:t>
                  </w:r>
                </w:p>
                <w:p>
                  <w:pPr>
                    <w:widowControl/>
                    <w:jc w:val="center"/>
                    <w:rPr>
                      <w:rFonts w:hint="eastAsia" w:eastAsia="华文细黑"/>
                      <w:color w:val="000000"/>
                      <w:kern w:val="0"/>
                      <w:sz w:val="20"/>
                    </w:rPr>
                  </w:pPr>
                  <w:r>
                    <w:rPr>
                      <w:rFonts w:hint="eastAsia" w:eastAsia="华文细黑"/>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对附属                                           单位补                                      助支出</w:t>
                  </w:r>
                </w:p>
              </w:tc>
            </w:tr>
            <w:tr>
              <w:tblPrEx>
                <w:tblCellMar>
                  <w:top w:w="15" w:type="dxa"/>
                  <w:left w:w="15" w:type="dxa"/>
                  <w:bottom w:w="15" w:type="dxa"/>
                  <w:right w:w="15" w:type="dxa"/>
                </w:tblCellMar>
              </w:tblPrEx>
              <w:trPr>
                <w:trHeight w:val="23"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autoSpaceDN w:val="0"/>
                    <w:jc w:val="center"/>
                    <w:textAlignment w:val="center"/>
                    <w:rPr>
                      <w:rFonts w:eastAsia="宋体"/>
                      <w:color w:val="000000"/>
                      <w:sz w:val="20"/>
                      <w:lang w:val="en-US" w:eastAsia="zh-CN"/>
                    </w:rPr>
                  </w:pPr>
                  <w:r>
                    <w:rPr>
                      <w:rFonts w:hint="eastAsia" w:eastAsia="宋体"/>
                      <w:color w:val="000000"/>
                      <w:sz w:val="20"/>
                      <w:lang w:val="en-US" w:eastAsia="zh-CN"/>
                    </w:rPr>
                    <w:t>一、一般公共服务支出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2705.41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1749.78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955.63</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23"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autoSpaceDN w:val="0"/>
                    <w:jc w:val="center"/>
                    <w:textAlignment w:val="center"/>
                    <w:rPr>
                      <w:rFonts w:hint="eastAsia" w:eastAsia="宋体"/>
                      <w:color w:val="000000"/>
                      <w:sz w:val="20"/>
                      <w:lang w:val="en-US" w:eastAsia="zh-CN"/>
                    </w:rPr>
                  </w:pPr>
                  <w:r>
                    <w:rPr>
                      <w:rFonts w:hint="eastAsia" w:eastAsia="宋体"/>
                      <w:color w:val="000000"/>
                      <w:sz w:val="20"/>
                      <w:lang w:val="en-US" w:eastAsia="zh-CN"/>
                    </w:rPr>
                    <w:t>统计信息事务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2705.41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1749.78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955.63</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23"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autoSpaceDN w:val="0"/>
                    <w:jc w:val="center"/>
                    <w:textAlignment w:val="center"/>
                    <w:rPr>
                      <w:rFonts w:hint="eastAsia" w:eastAsia="宋体"/>
                      <w:color w:val="000000"/>
                      <w:sz w:val="20"/>
                      <w:lang w:val="en-US" w:eastAsia="zh-CN"/>
                    </w:rPr>
                  </w:pPr>
                  <w:r>
                    <w:rPr>
                      <w:rFonts w:hint="eastAsia" w:eastAsia="宋体"/>
                      <w:color w:val="000000"/>
                      <w:sz w:val="20"/>
                      <w:lang w:val="en-US" w:eastAsia="zh-CN"/>
                    </w:rPr>
                    <w:t>行政运行</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1749.78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1749.78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Arial" w:hAnsi="Arial" w:eastAsia="仿宋_GB2312" w:cs="Arial"/>
                      <w:i w:val="0"/>
                      <w:iCs w:val="0"/>
                      <w:color w:val="000000"/>
                      <w:kern w:val="2"/>
                      <w:sz w:val="20"/>
                      <w:szCs w:val="20"/>
                      <w:u w:val="none"/>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23"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autoSpaceDN w:val="0"/>
                    <w:jc w:val="left"/>
                    <w:textAlignment w:val="center"/>
                    <w:rPr>
                      <w:rFonts w:hint="eastAsia" w:eastAsia="宋体"/>
                      <w:color w:val="000000"/>
                      <w:sz w:val="20"/>
                      <w:lang w:val="en-US" w:eastAsia="zh-CN"/>
                    </w:rPr>
                  </w:pPr>
                  <w:r>
                    <w:rPr>
                      <w:rFonts w:hint="eastAsia" w:eastAsia="宋体"/>
                      <w:color w:val="000000"/>
                      <w:sz w:val="20"/>
                      <w:lang w:val="en-US" w:eastAsia="zh-CN"/>
                    </w:rPr>
                    <w:t>　　  一般行政管理事务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123.45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Arial" w:hAnsi="Arial" w:eastAsia="仿宋_GB2312" w:cs="Arial"/>
                      <w:i w:val="0"/>
                      <w:iCs w:val="0"/>
                      <w:color w:val="000000"/>
                      <w:kern w:val="2"/>
                      <w:sz w:val="20"/>
                      <w:szCs w:val="20"/>
                      <w:u w:val="none"/>
                      <w:lang w:val="en-US" w:eastAsia="zh-CN" w:bidi="ar-SA"/>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123.45</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23"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autoSpaceDN w:val="0"/>
                    <w:jc w:val="center"/>
                    <w:textAlignment w:val="center"/>
                    <w:rPr>
                      <w:rFonts w:hint="eastAsia" w:eastAsia="宋体"/>
                      <w:color w:val="000000"/>
                      <w:sz w:val="20"/>
                      <w:lang w:val="en-US" w:eastAsia="zh-CN"/>
                    </w:rPr>
                  </w:pPr>
                  <w:r>
                    <w:rPr>
                      <w:rFonts w:hint="eastAsia" w:eastAsia="宋体"/>
                      <w:color w:val="000000"/>
                      <w:sz w:val="20"/>
                      <w:lang w:val="en-US" w:eastAsia="zh-CN"/>
                    </w:rPr>
                    <w:t>　　专项统计业务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166.43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Arial" w:hAnsi="Arial" w:eastAsia="仿宋_GB2312" w:cs="Arial"/>
                      <w:i w:val="0"/>
                      <w:iCs w:val="0"/>
                      <w:color w:val="000000"/>
                      <w:kern w:val="2"/>
                      <w:sz w:val="20"/>
                      <w:szCs w:val="20"/>
                      <w:u w:val="none"/>
                      <w:lang w:val="en-US" w:eastAsia="zh-CN" w:bidi="ar-SA"/>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166.43</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23"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autoSpaceDN w:val="0"/>
                    <w:jc w:val="center"/>
                    <w:textAlignment w:val="center"/>
                    <w:rPr>
                      <w:rFonts w:hint="eastAsia" w:eastAsia="宋体"/>
                      <w:color w:val="000000"/>
                      <w:sz w:val="20"/>
                      <w:lang w:val="en-US" w:eastAsia="zh-CN"/>
                    </w:rPr>
                  </w:pPr>
                  <w:r>
                    <w:rPr>
                      <w:rFonts w:hint="eastAsia" w:eastAsia="宋体"/>
                      <w:color w:val="000000"/>
                      <w:sz w:val="20"/>
                      <w:lang w:val="en-US" w:eastAsia="zh-CN"/>
                    </w:rPr>
                    <w:t>统计管理</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581.48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Arial" w:hAnsi="Arial" w:eastAsia="仿宋_GB2312" w:cs="Arial"/>
                      <w:i w:val="0"/>
                      <w:iCs w:val="0"/>
                      <w:color w:val="000000"/>
                      <w:kern w:val="2"/>
                      <w:sz w:val="20"/>
                      <w:szCs w:val="20"/>
                      <w:u w:val="none"/>
                      <w:lang w:val="en-US" w:eastAsia="zh-CN" w:bidi="ar-SA"/>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581.48</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23"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autoSpaceDN w:val="0"/>
                    <w:jc w:val="center"/>
                    <w:textAlignment w:val="center"/>
                    <w:rPr>
                      <w:rFonts w:hint="eastAsia" w:eastAsia="宋体"/>
                      <w:color w:val="000000"/>
                      <w:sz w:val="20"/>
                      <w:lang w:val="en-US" w:eastAsia="zh-CN"/>
                    </w:rPr>
                  </w:pPr>
                  <w:r>
                    <w:rPr>
                      <w:rFonts w:hint="eastAsia" w:eastAsia="宋体"/>
                      <w:color w:val="000000"/>
                      <w:sz w:val="20"/>
                      <w:lang w:val="en-US" w:eastAsia="zh-CN"/>
                    </w:rPr>
                    <w:t>　　专项普查活动</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84.27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Arial" w:hAnsi="Arial" w:eastAsia="仿宋_GB2312" w:cs="Arial"/>
                      <w:i w:val="0"/>
                      <w:iCs w:val="0"/>
                      <w:color w:val="000000"/>
                      <w:kern w:val="2"/>
                      <w:sz w:val="20"/>
                      <w:szCs w:val="20"/>
                      <w:u w:val="none"/>
                      <w:lang w:val="en-US" w:eastAsia="zh-CN" w:bidi="ar-SA"/>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84.27</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23"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autoSpaceDN w:val="0"/>
                    <w:jc w:val="left"/>
                    <w:textAlignment w:val="center"/>
                    <w:rPr>
                      <w:rFonts w:hint="eastAsia" w:eastAsia="宋体"/>
                      <w:color w:val="000000"/>
                      <w:sz w:val="20"/>
                      <w:lang w:val="en-US" w:eastAsia="zh-CN"/>
                    </w:rPr>
                  </w:pPr>
                  <w:r>
                    <w:rPr>
                      <w:rFonts w:hint="eastAsia" w:eastAsia="宋体"/>
                      <w:color w:val="000000"/>
                      <w:sz w:val="20"/>
                      <w:lang w:val="en-US" w:eastAsia="zh-CN"/>
                    </w:rPr>
                    <w:t>　　  其他统计信息事务支出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Arial" w:hAnsi="Arial" w:eastAsia="仿宋_GB2312" w:cs="Arial"/>
                      <w:i w:val="0"/>
                      <w:iCs w:val="0"/>
                      <w:color w:val="000000"/>
                      <w:kern w:val="2"/>
                      <w:sz w:val="20"/>
                      <w:szCs w:val="20"/>
                      <w:u w:val="none"/>
                      <w:lang w:val="en-US" w:eastAsia="zh-CN" w:bidi="ar-SA"/>
                    </w:rPr>
                  </w:pP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Arial" w:hAnsi="Arial" w:eastAsia="仿宋_GB2312" w:cs="Arial"/>
                      <w:i w:val="0"/>
                      <w:iCs w:val="0"/>
                      <w:color w:val="000000"/>
                      <w:kern w:val="2"/>
                      <w:sz w:val="20"/>
                      <w:szCs w:val="20"/>
                      <w:u w:val="none"/>
                      <w:lang w:val="en-US" w:eastAsia="zh-CN" w:bidi="ar-SA"/>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Arial" w:hAnsi="Arial" w:eastAsia="仿宋_GB2312" w:cs="Arial"/>
                      <w:i w:val="0"/>
                      <w:iCs w:val="0"/>
                      <w:color w:val="000000"/>
                      <w:kern w:val="2"/>
                      <w:sz w:val="20"/>
                      <w:szCs w:val="20"/>
                      <w:u w:val="none"/>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23"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autoSpaceDN w:val="0"/>
                    <w:jc w:val="center"/>
                    <w:textAlignment w:val="center"/>
                    <w:rPr>
                      <w:rFonts w:hint="eastAsia" w:eastAsia="宋体"/>
                      <w:color w:val="000000"/>
                      <w:sz w:val="20"/>
                      <w:lang w:val="en-US" w:eastAsia="zh-CN"/>
                    </w:rPr>
                  </w:pPr>
                  <w:r>
                    <w:rPr>
                      <w:rFonts w:hint="eastAsia" w:eastAsia="宋体"/>
                      <w:color w:val="000000"/>
                      <w:sz w:val="20"/>
                      <w:lang w:val="en-US" w:eastAsia="zh-CN"/>
                    </w:rPr>
                    <w:t>二、社会保障和就业支出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504.05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504.05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Arial" w:hAnsi="Arial" w:eastAsia="仿宋_GB2312" w:cs="Arial"/>
                      <w:i w:val="0"/>
                      <w:iCs w:val="0"/>
                      <w:color w:val="000000"/>
                      <w:kern w:val="2"/>
                      <w:sz w:val="20"/>
                      <w:szCs w:val="20"/>
                      <w:u w:val="none"/>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23"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autoSpaceDN w:val="0"/>
                    <w:jc w:val="left"/>
                    <w:textAlignment w:val="center"/>
                    <w:rPr>
                      <w:rFonts w:hint="eastAsia" w:eastAsia="宋体"/>
                      <w:color w:val="000000"/>
                      <w:sz w:val="20"/>
                      <w:lang w:val="en-US" w:eastAsia="zh-CN"/>
                    </w:rPr>
                  </w:pPr>
                  <w:r>
                    <w:rPr>
                      <w:rFonts w:hint="eastAsia" w:eastAsia="宋体"/>
                      <w:color w:val="000000"/>
                      <w:sz w:val="20"/>
                      <w:lang w:val="en-US" w:eastAsia="zh-CN"/>
                    </w:rPr>
                    <w:t>　行政事业单位养老支出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504.05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504.05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Arial" w:hAnsi="Arial" w:eastAsia="仿宋_GB2312" w:cs="Arial"/>
                      <w:i w:val="0"/>
                      <w:iCs w:val="0"/>
                      <w:color w:val="000000"/>
                      <w:kern w:val="2"/>
                      <w:sz w:val="20"/>
                      <w:szCs w:val="20"/>
                      <w:u w:val="none"/>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23"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autoSpaceDN w:val="0"/>
                    <w:jc w:val="center"/>
                    <w:textAlignment w:val="center"/>
                    <w:rPr>
                      <w:rFonts w:hint="eastAsia" w:eastAsia="宋体"/>
                      <w:color w:val="000000"/>
                      <w:sz w:val="20"/>
                      <w:lang w:val="en-US" w:eastAsia="zh-CN"/>
                    </w:rPr>
                  </w:pPr>
                  <w:r>
                    <w:rPr>
                      <w:rFonts w:hint="eastAsia" w:eastAsia="宋体"/>
                      <w:color w:val="000000"/>
                      <w:sz w:val="20"/>
                      <w:lang w:val="en-US" w:eastAsia="zh-CN"/>
                    </w:rPr>
                    <w:t>　行政单位离退休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274.21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274.21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Arial" w:hAnsi="Arial" w:eastAsia="仿宋_GB2312" w:cs="Arial"/>
                      <w:i w:val="0"/>
                      <w:iCs w:val="0"/>
                      <w:color w:val="000000"/>
                      <w:kern w:val="2"/>
                      <w:sz w:val="20"/>
                      <w:szCs w:val="20"/>
                      <w:u w:val="none"/>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23"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autoSpaceDN w:val="0"/>
                    <w:jc w:val="left"/>
                    <w:textAlignment w:val="center"/>
                    <w:rPr>
                      <w:rFonts w:hint="eastAsia" w:eastAsia="宋体"/>
                      <w:color w:val="000000"/>
                      <w:sz w:val="20"/>
                      <w:lang w:val="en-US" w:eastAsia="zh-CN"/>
                    </w:rPr>
                  </w:pPr>
                  <w:r>
                    <w:rPr>
                      <w:rFonts w:hint="eastAsia" w:eastAsia="宋体"/>
                      <w:color w:val="000000"/>
                      <w:sz w:val="20"/>
                      <w:lang w:val="en-US" w:eastAsia="zh-CN"/>
                    </w:rPr>
                    <w:t>　　机关事业单位基本养老保险缴费支出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229.84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229.84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Arial" w:hAnsi="Arial" w:eastAsia="仿宋_GB2312" w:cs="Arial"/>
                      <w:i w:val="0"/>
                      <w:iCs w:val="0"/>
                      <w:color w:val="000000"/>
                      <w:kern w:val="2"/>
                      <w:sz w:val="20"/>
                      <w:szCs w:val="20"/>
                      <w:u w:val="none"/>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23"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autoSpaceDN w:val="0"/>
                    <w:jc w:val="both"/>
                    <w:textAlignment w:val="center"/>
                    <w:rPr>
                      <w:rFonts w:hint="eastAsia" w:eastAsia="宋体"/>
                      <w:color w:val="000000"/>
                      <w:sz w:val="20"/>
                      <w:lang w:val="en-US" w:eastAsia="zh-CN"/>
                    </w:rPr>
                  </w:pPr>
                  <w:r>
                    <w:rPr>
                      <w:rFonts w:hint="eastAsia" w:eastAsia="宋体"/>
                      <w:color w:val="000000"/>
                      <w:sz w:val="20"/>
                      <w:lang w:val="en-US" w:eastAsia="zh-CN"/>
                    </w:rPr>
                    <w:t>三、卫生健康支出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157.11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157.11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Arial" w:hAnsi="Arial" w:eastAsia="仿宋_GB2312" w:cs="Arial"/>
                      <w:i w:val="0"/>
                      <w:iCs w:val="0"/>
                      <w:color w:val="000000"/>
                      <w:kern w:val="2"/>
                      <w:sz w:val="20"/>
                      <w:szCs w:val="20"/>
                      <w:u w:val="none"/>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23"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autoSpaceDN w:val="0"/>
                    <w:jc w:val="center"/>
                    <w:textAlignment w:val="center"/>
                    <w:rPr>
                      <w:rFonts w:hint="eastAsia" w:eastAsia="宋体"/>
                      <w:color w:val="000000"/>
                      <w:sz w:val="20"/>
                      <w:lang w:val="en-US" w:eastAsia="zh-CN"/>
                    </w:rPr>
                  </w:pPr>
                  <w:r>
                    <w:rPr>
                      <w:rFonts w:hint="eastAsia" w:eastAsia="宋体"/>
                      <w:color w:val="000000"/>
                      <w:sz w:val="20"/>
                      <w:lang w:val="en-US" w:eastAsia="zh-CN"/>
                    </w:rPr>
                    <w:t>　 行政事业单位医疗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157.11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157.11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Arial" w:hAnsi="Arial" w:eastAsia="仿宋_GB2312" w:cs="Arial"/>
                      <w:i w:val="0"/>
                      <w:iCs w:val="0"/>
                      <w:color w:val="000000"/>
                      <w:kern w:val="2"/>
                      <w:sz w:val="20"/>
                      <w:szCs w:val="20"/>
                      <w:u w:val="none"/>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23"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autoSpaceDN w:val="0"/>
                    <w:jc w:val="center"/>
                    <w:textAlignment w:val="center"/>
                    <w:rPr>
                      <w:rFonts w:hint="eastAsia" w:eastAsia="宋体"/>
                      <w:color w:val="000000"/>
                      <w:sz w:val="20"/>
                      <w:lang w:val="en-US" w:eastAsia="zh-CN"/>
                    </w:rPr>
                  </w:pPr>
                  <w:r>
                    <w:rPr>
                      <w:rFonts w:hint="eastAsia" w:eastAsia="宋体"/>
                      <w:color w:val="000000"/>
                      <w:sz w:val="20"/>
                      <w:lang w:val="en-US" w:eastAsia="zh-CN"/>
                    </w:rPr>
                    <w:t>行政单位医疗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157.11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157.11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Arial" w:hAnsi="Arial" w:eastAsia="仿宋_GB2312" w:cs="Arial"/>
                      <w:i w:val="0"/>
                      <w:iCs w:val="0"/>
                      <w:color w:val="000000"/>
                      <w:kern w:val="2"/>
                      <w:sz w:val="20"/>
                      <w:szCs w:val="20"/>
                      <w:u w:val="none"/>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23"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autoSpaceDN w:val="0"/>
                    <w:jc w:val="center"/>
                    <w:textAlignment w:val="center"/>
                    <w:rPr>
                      <w:rFonts w:hint="eastAsia" w:eastAsia="宋体"/>
                      <w:color w:val="000000"/>
                      <w:sz w:val="20"/>
                      <w:lang w:val="en-US" w:eastAsia="zh-CN"/>
                    </w:rPr>
                  </w:pPr>
                  <w:r>
                    <w:rPr>
                      <w:rFonts w:hint="eastAsia" w:eastAsia="宋体"/>
                      <w:color w:val="000000"/>
                      <w:sz w:val="20"/>
                      <w:lang w:val="en-US" w:eastAsia="zh-CN"/>
                    </w:rPr>
                    <w:t>四、商业服务业等支出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270.00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Arial" w:hAnsi="Arial" w:eastAsia="仿宋_GB2312" w:cs="Arial"/>
                      <w:i w:val="0"/>
                      <w:iCs w:val="0"/>
                      <w:color w:val="000000"/>
                      <w:kern w:val="2"/>
                      <w:sz w:val="20"/>
                      <w:szCs w:val="20"/>
                      <w:u w:val="none"/>
                      <w:lang w:val="en-US" w:eastAsia="zh-CN" w:bidi="ar-SA"/>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270.00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23"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autoSpaceDN w:val="0"/>
                    <w:jc w:val="left"/>
                    <w:textAlignment w:val="center"/>
                    <w:rPr>
                      <w:rFonts w:hint="eastAsia" w:eastAsia="宋体"/>
                      <w:color w:val="000000"/>
                      <w:sz w:val="20"/>
                      <w:lang w:val="en-US" w:eastAsia="zh-CN"/>
                    </w:rPr>
                  </w:pPr>
                  <w:r>
                    <w:rPr>
                      <w:rFonts w:hint="eastAsia" w:eastAsia="宋体"/>
                      <w:color w:val="000000"/>
                      <w:sz w:val="20"/>
                      <w:lang w:val="en-US" w:eastAsia="zh-CN"/>
                    </w:rPr>
                    <w:t>　  其他商业服务业等支出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270.00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Arial" w:hAnsi="Arial" w:eastAsia="仿宋_GB2312" w:cs="Arial"/>
                      <w:i w:val="0"/>
                      <w:iCs w:val="0"/>
                      <w:color w:val="000000"/>
                      <w:kern w:val="2"/>
                      <w:sz w:val="20"/>
                      <w:szCs w:val="20"/>
                      <w:u w:val="none"/>
                      <w:lang w:val="en-US" w:eastAsia="zh-CN" w:bidi="ar-SA"/>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270.00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23"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autoSpaceDN w:val="0"/>
                    <w:jc w:val="left"/>
                    <w:textAlignment w:val="center"/>
                    <w:rPr>
                      <w:rFonts w:hint="eastAsia" w:eastAsia="宋体"/>
                      <w:color w:val="000000"/>
                      <w:sz w:val="20"/>
                      <w:lang w:val="en-US" w:eastAsia="zh-CN"/>
                    </w:rPr>
                  </w:pPr>
                  <w:r>
                    <w:rPr>
                      <w:rFonts w:hint="eastAsia" w:eastAsia="宋体"/>
                      <w:color w:val="000000"/>
                      <w:sz w:val="20"/>
                      <w:lang w:val="en-US" w:eastAsia="zh-CN"/>
                    </w:rPr>
                    <w:t>　　  其他商业服务业等支出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270.00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Arial" w:hAnsi="Arial" w:eastAsia="仿宋_GB2312" w:cs="Arial"/>
                      <w:i w:val="0"/>
                      <w:iCs w:val="0"/>
                      <w:color w:val="000000"/>
                      <w:kern w:val="2"/>
                      <w:sz w:val="20"/>
                      <w:szCs w:val="20"/>
                      <w:u w:val="none"/>
                      <w:lang w:val="en-US" w:eastAsia="zh-CN" w:bidi="ar-SA"/>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270.00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23"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autoSpaceDN w:val="0"/>
                    <w:jc w:val="both"/>
                    <w:textAlignment w:val="center"/>
                    <w:rPr>
                      <w:rFonts w:hint="eastAsia" w:eastAsia="宋体"/>
                      <w:color w:val="000000"/>
                      <w:sz w:val="20"/>
                      <w:lang w:val="en-US" w:eastAsia="zh-CN"/>
                    </w:rPr>
                  </w:pPr>
                  <w:r>
                    <w:rPr>
                      <w:rFonts w:hint="eastAsia" w:eastAsia="宋体"/>
                      <w:color w:val="000000"/>
                      <w:sz w:val="20"/>
                      <w:lang w:val="en-US" w:eastAsia="zh-CN"/>
                    </w:rPr>
                    <w:t>五、住房保障支出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179.55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179.55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Arial" w:hAnsi="Arial" w:eastAsia="仿宋_GB2312" w:cs="Arial"/>
                      <w:i w:val="0"/>
                      <w:iCs w:val="0"/>
                      <w:color w:val="000000"/>
                      <w:kern w:val="2"/>
                      <w:sz w:val="20"/>
                      <w:szCs w:val="20"/>
                      <w:u w:val="none"/>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23"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autoSpaceDN w:val="0"/>
                    <w:jc w:val="center"/>
                    <w:textAlignment w:val="center"/>
                    <w:rPr>
                      <w:rFonts w:hint="eastAsia" w:eastAsia="宋体"/>
                      <w:color w:val="000000"/>
                      <w:sz w:val="20"/>
                      <w:lang w:val="en-US" w:eastAsia="zh-CN"/>
                    </w:rPr>
                  </w:pPr>
                  <w:r>
                    <w:rPr>
                      <w:rFonts w:hint="eastAsia" w:eastAsia="宋体"/>
                      <w:color w:val="000000"/>
                      <w:sz w:val="20"/>
                      <w:lang w:val="en-US" w:eastAsia="zh-CN"/>
                    </w:rPr>
                    <w:t>　住房改革支出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179.55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179.55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Arial" w:hAnsi="Arial" w:eastAsia="仿宋_GB2312" w:cs="Arial"/>
                      <w:i w:val="0"/>
                      <w:iCs w:val="0"/>
                      <w:color w:val="000000"/>
                      <w:kern w:val="2"/>
                      <w:sz w:val="20"/>
                      <w:szCs w:val="20"/>
                      <w:u w:val="none"/>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23"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autoSpaceDN w:val="0"/>
                    <w:jc w:val="center"/>
                    <w:textAlignment w:val="center"/>
                    <w:rPr>
                      <w:rFonts w:hint="eastAsia" w:eastAsia="宋体"/>
                      <w:color w:val="000000"/>
                      <w:sz w:val="20"/>
                      <w:lang w:val="en-US" w:eastAsia="zh-CN"/>
                    </w:rPr>
                  </w:pPr>
                  <w:r>
                    <w:rPr>
                      <w:rFonts w:hint="eastAsia" w:eastAsia="宋体"/>
                      <w:color w:val="000000"/>
                      <w:sz w:val="20"/>
                      <w:lang w:val="en-US" w:eastAsia="zh-CN"/>
                    </w:rPr>
                    <w:t>　　住房公积金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179.55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179.55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Arial" w:hAnsi="Arial" w:eastAsia="仿宋_GB2312" w:cs="Arial"/>
                      <w:i w:val="0"/>
                      <w:iCs w:val="0"/>
                      <w:color w:val="000000"/>
                      <w:kern w:val="2"/>
                      <w:sz w:val="20"/>
                      <w:szCs w:val="20"/>
                      <w:u w:val="none"/>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23"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autoSpaceDN w:val="0"/>
                    <w:jc w:val="center"/>
                    <w:textAlignment w:val="center"/>
                    <w:rPr>
                      <w:rFonts w:hint="eastAsia" w:eastAsia="宋体"/>
                      <w:color w:val="000000"/>
                      <w:sz w:val="20"/>
                      <w:lang w:val="en-US" w:eastAsia="zh-CN"/>
                    </w:rPr>
                  </w:pPr>
                  <w:r>
                    <w:rPr>
                      <w:rFonts w:hint="eastAsia" w:eastAsia="宋体"/>
                      <w:color w:val="000000"/>
                      <w:sz w:val="20"/>
                      <w:lang w:val="en-US" w:eastAsia="zh-CN"/>
                    </w:rPr>
                    <w:t>合计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3816.12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2590.49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1225.63</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widowControl/>
              <w:jc w:val="center"/>
              <w:rPr>
                <w:rFonts w:eastAsia="方正小标宋简体"/>
                <w:kern w:val="0"/>
                <w:sz w:val="44"/>
                <w:szCs w:val="44"/>
              </w:rPr>
            </w:pPr>
          </w:p>
        </w:tc>
      </w:tr>
    </w:tbl>
    <w:p>
      <w:pPr>
        <w:ind w:firstLine="640" w:firstLineChars="200"/>
      </w:pPr>
    </w:p>
    <w:tbl>
      <w:tblPr>
        <w:tblStyle w:val="9"/>
        <w:tblW w:w="0" w:type="auto"/>
        <w:jc w:val="center"/>
        <w:tblLayout w:type="fixed"/>
        <w:tblCellMar>
          <w:top w:w="0" w:type="dxa"/>
          <w:left w:w="108" w:type="dxa"/>
          <w:bottom w:w="0" w:type="dxa"/>
          <w:right w:w="108" w:type="dxa"/>
        </w:tblCellMar>
      </w:tblPr>
      <w:tblGrid>
        <w:gridCol w:w="9960"/>
      </w:tblGrid>
      <w:tr>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支      出</w:t>
                  </w:r>
                </w:p>
              </w:tc>
            </w:tr>
            <w:tr>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r>
            <w:tr>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 w:val="20"/>
                      <w:lang w:val="en-US" w:eastAsia="zh-CN" w:bidi="ar-SA"/>
                    </w:rPr>
                  </w:pPr>
                  <w:r>
                    <w:rPr>
                      <w:rFonts w:hint="eastAsia" w:eastAsia="宋体"/>
                      <w:kern w:val="0"/>
                      <w:sz w:val="20"/>
                    </w:rPr>
                    <w:t>3816.12</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 w:val="20"/>
                      <w:lang w:val="en-US" w:eastAsia="zh-CN" w:bidi="ar-SA"/>
                    </w:rPr>
                  </w:pPr>
                  <w:r>
                    <w:rPr>
                      <w:rFonts w:hint="eastAsia" w:eastAsia="宋体"/>
                      <w:kern w:val="0"/>
                      <w:sz w:val="20"/>
                    </w:rPr>
                    <w:t>3260.47</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 w:val="20"/>
                      <w:lang w:val="en-US" w:eastAsia="zh-CN" w:bidi="ar-SA"/>
                    </w:rPr>
                  </w:pPr>
                  <w:r>
                    <w:rPr>
                      <w:rFonts w:hint="eastAsia" w:eastAsia="宋体"/>
                      <w:kern w:val="0"/>
                      <w:sz w:val="20"/>
                    </w:rPr>
                    <w:t>555.65</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一、本年支出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 w:val="20"/>
                      <w:lang w:val="en-US" w:eastAsia="zh-CN" w:bidi="ar-SA"/>
                    </w:rPr>
                  </w:pPr>
                  <w:r>
                    <w:rPr>
                      <w:rFonts w:hint="eastAsia" w:eastAsia="宋体"/>
                      <w:kern w:val="0"/>
                      <w:sz w:val="20"/>
                    </w:rPr>
                    <w:t>3816.12</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 w:val="20"/>
                      <w:lang w:val="en-US" w:eastAsia="zh-CN" w:bidi="ar-SA"/>
                    </w:rPr>
                  </w:pPr>
                  <w:r>
                    <w:rPr>
                      <w:rFonts w:hint="eastAsia" w:eastAsia="宋体"/>
                      <w:kern w:val="0"/>
                      <w:sz w:val="20"/>
                    </w:rPr>
                    <w:t>3260.47</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 w:val="20"/>
                      <w:lang w:val="en-US" w:eastAsia="zh-CN" w:bidi="ar-SA"/>
                    </w:rPr>
                  </w:pPr>
                  <w:r>
                    <w:rPr>
                      <w:rFonts w:hint="eastAsia" w:eastAsia="宋体"/>
                      <w:kern w:val="0"/>
                      <w:sz w:val="20"/>
                    </w:rPr>
                    <w:t>555.65</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 w:val="20"/>
                      <w:lang w:val="en-US" w:eastAsia="zh-CN" w:bidi="ar-SA"/>
                    </w:rPr>
                  </w:pPr>
                  <w:r>
                    <w:rPr>
                      <w:rFonts w:hint="eastAsia" w:eastAsia="宋体"/>
                      <w:kern w:val="0"/>
                      <w:sz w:val="20"/>
                    </w:rPr>
                    <w:t>3816.12</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 w:val="20"/>
                      <w:lang w:val="en-US" w:eastAsia="zh-CN" w:bidi="ar-SA"/>
                    </w:rPr>
                  </w:pPr>
                  <w:r>
                    <w:rPr>
                      <w:rFonts w:hint="eastAsia" w:eastAsia="宋体"/>
                      <w:kern w:val="0"/>
                      <w:sz w:val="20"/>
                    </w:rPr>
                    <w:t>3260.47</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 w:val="20"/>
                      <w:lang w:val="en-US" w:eastAsia="zh-CN" w:bidi="ar-SA"/>
                    </w:rPr>
                  </w:pPr>
                  <w:r>
                    <w:rPr>
                      <w:rFonts w:hint="eastAsia" w:eastAsia="宋体"/>
                      <w:kern w:val="0"/>
                      <w:sz w:val="20"/>
                    </w:rPr>
                    <w:t>555.65</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eastAsia="zh-CN"/>
                    </w:rPr>
                    <w:t>（</w:t>
                  </w:r>
                  <w:r>
                    <w:rPr>
                      <w:rFonts w:eastAsia="宋体"/>
                      <w:color w:val="000000"/>
                      <w:kern w:val="0"/>
                      <w:sz w:val="20"/>
                    </w:rPr>
                    <w:t>一</w:t>
                  </w:r>
                  <w:r>
                    <w:rPr>
                      <w:rFonts w:hint="eastAsia" w:eastAsia="宋体"/>
                      <w:color w:val="000000"/>
                      <w:kern w:val="0"/>
                      <w:sz w:val="20"/>
                      <w:lang w:eastAsia="zh-CN"/>
                    </w:rPr>
                    <w:t>）</w:t>
                  </w:r>
                  <w:r>
                    <w:rPr>
                      <w:rFonts w:eastAsia="宋体"/>
                      <w:color w:val="000000"/>
                      <w:kern w:val="0"/>
                      <w:sz w:val="20"/>
                    </w:rPr>
                    <w:t>、一般公共服务</w:t>
                  </w:r>
                  <w:r>
                    <w:rPr>
                      <w:rFonts w:hint="eastAsia" w:eastAsia="宋体"/>
                      <w:color w:val="000000"/>
                      <w:kern w:val="0"/>
                      <w:sz w:val="20"/>
                      <w:lang w:eastAsia="zh-CN"/>
                    </w:rPr>
                    <w:t>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rPr>
                    <w:t>2705.41</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 w:val="20"/>
                      <w:lang w:val="en-US" w:eastAsia="zh-CN" w:bidi="ar-SA"/>
                    </w:rPr>
                  </w:pPr>
                  <w:r>
                    <w:rPr>
                      <w:rFonts w:hint="eastAsia" w:eastAsia="宋体"/>
                      <w:kern w:val="0"/>
                      <w:sz w:val="20"/>
                    </w:rPr>
                    <w:t>2470.1</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 w:val="20"/>
                      <w:lang w:val="en-US" w:eastAsia="zh-CN" w:bidi="ar-SA"/>
                    </w:rPr>
                  </w:pPr>
                  <w:r>
                    <w:rPr>
                      <w:rFonts w:hint="eastAsia" w:eastAsia="宋体"/>
                      <w:kern w:val="0"/>
                      <w:sz w:val="20"/>
                    </w:rPr>
                    <w:t>235.31</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ascii="Times New Roman" w:hAnsi="Times New Roman" w:eastAsia="宋体" w:cs="Times New Roman"/>
                      <w:color w:val="000000"/>
                      <w:kern w:val="0"/>
                      <w:sz w:val="20"/>
                      <w:lang w:val="en-US" w:eastAsia="zh-CN" w:bidi="ar-SA"/>
                    </w:rPr>
                  </w:pPr>
                  <w:r>
                    <w:rPr>
                      <w:rFonts w:hint="eastAsia" w:eastAsia="宋体"/>
                      <w:color w:val="000000"/>
                      <w:sz w:val="20"/>
                      <w:lang w:eastAsia="zh-CN"/>
                    </w:rPr>
                    <w:t>（</w:t>
                  </w:r>
                  <w:r>
                    <w:rPr>
                      <w:rFonts w:eastAsia="宋体"/>
                      <w:color w:val="000000"/>
                      <w:sz w:val="20"/>
                    </w:rPr>
                    <w:t>二</w:t>
                  </w:r>
                  <w:r>
                    <w:rPr>
                      <w:rFonts w:hint="eastAsia" w:eastAsia="宋体"/>
                      <w:color w:val="000000"/>
                      <w:sz w:val="20"/>
                      <w:lang w:eastAsia="zh-CN"/>
                    </w:rPr>
                    <w:t>）</w:t>
                  </w:r>
                  <w:r>
                    <w:rPr>
                      <w:rFonts w:eastAsia="宋体"/>
                      <w:color w:val="000000"/>
                      <w:sz w:val="20"/>
                    </w:rPr>
                    <w:t>、</w:t>
                  </w:r>
                  <w:r>
                    <w:rPr>
                      <w:rFonts w:hint="eastAsia" w:eastAsia="宋体"/>
                      <w:color w:val="000000"/>
                      <w:sz w:val="20"/>
                    </w:rPr>
                    <w:t>社会保障和就业支出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rPr>
                    <w:t>504.05</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kern w:val="0"/>
                      <w:sz w:val="20"/>
                      <w:lang w:val="en-US" w:eastAsia="zh-CN" w:bidi="ar-SA"/>
                    </w:rPr>
                  </w:pPr>
                  <w:r>
                    <w:rPr>
                      <w:rFonts w:hint="eastAsia" w:eastAsia="宋体"/>
                      <w:kern w:val="0"/>
                      <w:sz w:val="20"/>
                    </w:rPr>
                    <w:t>460.89</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kern w:val="0"/>
                      <w:sz w:val="20"/>
                      <w:lang w:val="en-US" w:eastAsia="zh-CN" w:bidi="ar-SA"/>
                    </w:rPr>
                  </w:pPr>
                  <w:r>
                    <w:rPr>
                      <w:rFonts w:hint="eastAsia" w:eastAsia="宋体"/>
                      <w:kern w:val="0"/>
                      <w:sz w:val="20"/>
                    </w:rPr>
                    <w:t>43.16</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sz w:val="20"/>
                      <w:lang w:eastAsia="zh-CN"/>
                    </w:rPr>
                    <w:t>（</w:t>
                  </w:r>
                  <w:r>
                    <w:rPr>
                      <w:rFonts w:eastAsia="宋体"/>
                      <w:color w:val="000000"/>
                      <w:sz w:val="20"/>
                    </w:rPr>
                    <w:t>三</w:t>
                  </w:r>
                  <w:r>
                    <w:rPr>
                      <w:rFonts w:hint="eastAsia" w:eastAsia="宋体"/>
                      <w:color w:val="000000"/>
                      <w:sz w:val="20"/>
                      <w:lang w:eastAsia="zh-CN"/>
                    </w:rPr>
                    <w:t>）</w:t>
                  </w:r>
                  <w:r>
                    <w:rPr>
                      <w:rFonts w:eastAsia="宋体"/>
                      <w:color w:val="000000"/>
                      <w:sz w:val="20"/>
                    </w:rPr>
                    <w:t>、</w:t>
                  </w:r>
                  <w:r>
                    <w:rPr>
                      <w:rFonts w:hint="eastAsia" w:eastAsia="宋体"/>
                      <w:color w:val="000000"/>
                      <w:sz w:val="20"/>
                    </w:rPr>
                    <w:t>卫生健康支出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rPr>
                    <w:t>157.11</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kern w:val="0"/>
                      <w:sz w:val="20"/>
                      <w:lang w:val="en-US" w:eastAsia="zh-CN" w:bidi="ar-SA"/>
                    </w:rPr>
                  </w:pPr>
                  <w:r>
                    <w:rPr>
                      <w:rFonts w:hint="eastAsia" w:eastAsia="宋体"/>
                      <w:kern w:val="0"/>
                      <w:sz w:val="20"/>
                    </w:rPr>
                    <w:t>157.11</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kern w:val="0"/>
                      <w:sz w:val="20"/>
                      <w:lang w:val="en-US" w:eastAsia="zh-CN" w:bidi="ar-SA"/>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eastAsia="zh-CN"/>
                    </w:rPr>
                    <w:t>（四）、商业服务业等支出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rPr>
                    <w:t>270</w:t>
                  </w:r>
                  <w:r>
                    <w:rPr>
                      <w:rFonts w:hint="eastAsia" w:eastAsia="宋体"/>
                      <w:color w:val="000000"/>
                      <w:kern w:val="0"/>
                      <w:sz w:val="20"/>
                      <w:lang w:val="en-US" w:eastAsia="zh-CN"/>
                    </w:rPr>
                    <w:t>.00</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kern w:val="0"/>
                      <w:sz w:val="20"/>
                      <w:lang w:val="en-US" w:eastAsia="zh-CN" w:bidi="ar-SA"/>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kern w:val="0"/>
                      <w:sz w:val="20"/>
                      <w:lang w:val="en-US" w:eastAsia="zh-CN" w:bidi="ar-SA"/>
                    </w:rPr>
                  </w:pPr>
                  <w:r>
                    <w:rPr>
                      <w:rFonts w:hint="eastAsia" w:eastAsia="宋体"/>
                      <w:kern w:val="0"/>
                      <w:sz w:val="20"/>
                    </w:rPr>
                    <w:t>270</w:t>
                  </w:r>
                  <w:r>
                    <w:rPr>
                      <w:rFonts w:hint="eastAsia" w:eastAsia="宋体"/>
                      <w:kern w:val="0"/>
                      <w:sz w:val="20"/>
                      <w:lang w:val="en-US" w:eastAsia="zh-CN"/>
                    </w:rPr>
                    <w:t>.00</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eastAsia="zh-CN"/>
                    </w:rPr>
                    <w:t>（五）、住房保障支出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rPr>
                    <w:t>179.55</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 w:val="20"/>
                      <w:lang w:val="en-US" w:eastAsia="zh-CN" w:bidi="ar-SA"/>
                    </w:rPr>
                  </w:pPr>
                  <w:r>
                    <w:rPr>
                      <w:rFonts w:hint="eastAsia" w:eastAsia="宋体"/>
                      <w:kern w:val="0"/>
                      <w:sz w:val="20"/>
                    </w:rPr>
                    <w:t>172.37</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 w:val="20"/>
                      <w:lang w:val="en-US" w:eastAsia="zh-CN" w:bidi="ar-SA"/>
                    </w:rPr>
                  </w:pPr>
                  <w:r>
                    <w:rPr>
                      <w:rFonts w:hint="eastAsia" w:eastAsia="宋体"/>
                      <w:kern w:val="0"/>
                      <w:sz w:val="20"/>
                    </w:rPr>
                    <w:t>7.18</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eastAsia="宋体"/>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eastAsia="宋体"/>
                      <w:sz w:val="20"/>
                    </w:rPr>
                  </w:pPr>
                </w:p>
              </w:tc>
            </w:tr>
            <w:tr>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 w:val="20"/>
                      <w:lang w:val="en-US" w:eastAsia="zh-CN" w:bidi="ar-SA"/>
                    </w:rPr>
                  </w:pPr>
                  <w:r>
                    <w:rPr>
                      <w:rFonts w:hint="eastAsia" w:eastAsia="宋体"/>
                      <w:kern w:val="0"/>
                      <w:sz w:val="20"/>
                    </w:rPr>
                    <w:t>3816.12</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 w:val="20"/>
                      <w:lang w:val="en-US" w:eastAsia="zh-CN" w:bidi="ar-SA"/>
                    </w:rPr>
                  </w:pPr>
                  <w:r>
                    <w:rPr>
                      <w:rFonts w:hint="eastAsia" w:eastAsia="宋体"/>
                      <w:kern w:val="0"/>
                      <w:sz w:val="20"/>
                    </w:rPr>
                    <w:t>3260.47</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 w:val="20"/>
                      <w:lang w:val="en-US" w:eastAsia="zh-CN" w:bidi="ar-SA"/>
                    </w:rPr>
                  </w:pPr>
                  <w:r>
                    <w:rPr>
                      <w:rFonts w:hint="eastAsia" w:eastAsia="宋体"/>
                      <w:kern w:val="0"/>
                      <w:sz w:val="20"/>
                    </w:rPr>
                    <w:t>555.65</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 w:val="20"/>
                      <w:lang w:val="en-US" w:eastAsia="zh-CN" w:bidi="ar-SA"/>
                    </w:rPr>
                  </w:pPr>
                  <w:r>
                    <w:rPr>
                      <w:rFonts w:hint="eastAsia" w:eastAsia="宋体"/>
                      <w:kern w:val="0"/>
                      <w:sz w:val="20"/>
                    </w:rPr>
                    <w:t>3816.12</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 w:val="20"/>
                      <w:lang w:val="en-US" w:eastAsia="zh-CN" w:bidi="ar-SA"/>
                    </w:rPr>
                  </w:pPr>
                  <w:r>
                    <w:rPr>
                      <w:rFonts w:hint="eastAsia" w:eastAsia="宋体"/>
                      <w:kern w:val="0"/>
                      <w:sz w:val="20"/>
                    </w:rPr>
                    <w:t>3260.47</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 w:val="20"/>
                      <w:lang w:val="en-US" w:eastAsia="zh-CN" w:bidi="ar-SA"/>
                    </w:rPr>
                  </w:pPr>
                  <w:r>
                    <w:rPr>
                      <w:rFonts w:hint="eastAsia" w:eastAsia="宋体"/>
                      <w:kern w:val="0"/>
                      <w:sz w:val="20"/>
                    </w:rPr>
                    <w:t>555.65</w:t>
                  </w:r>
                </w:p>
              </w:tc>
            </w:tr>
          </w:tbl>
          <w:p>
            <w:pPr>
              <w:widowControl/>
              <w:rPr>
                <w:rFonts w:eastAsia="方正小标宋简体"/>
                <w:kern w:val="0"/>
                <w:sz w:val="44"/>
                <w:szCs w:val="44"/>
              </w:rPr>
            </w:pPr>
          </w:p>
        </w:tc>
      </w:tr>
    </w:tbl>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r>
            <w:tr>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2705.41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1749.78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1339.58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410.20</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955.63</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2705.41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1749.78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1339.58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410.20</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955.63</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1749.78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1749.78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1339.58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410.20</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Arial" w:hAnsi="Arial" w:eastAsia="仿宋_GB2312" w:cs="Arial"/>
                      <w:i w:val="0"/>
                      <w:iCs w:val="0"/>
                      <w:color w:val="000000"/>
                      <w:kern w:val="2"/>
                      <w:sz w:val="20"/>
                      <w:szCs w:val="20"/>
                      <w:u w:val="none"/>
                      <w:lang w:val="en-US" w:eastAsia="zh-CN" w:bidi="ar-SA"/>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一般行政管理事务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123.45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Arial" w:hAnsi="Arial" w:eastAsia="仿宋_GB2312" w:cs="Arial"/>
                      <w:i w:val="0"/>
                      <w:iCs w:val="0"/>
                      <w:color w:val="000000"/>
                      <w:kern w:val="2"/>
                      <w:sz w:val="20"/>
                      <w:szCs w:val="20"/>
                      <w:u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Arial" w:hAnsi="Arial" w:eastAsia="仿宋_GB2312" w:cs="Arial"/>
                      <w:i w:val="0"/>
                      <w:iCs w:val="0"/>
                      <w:color w:val="000000"/>
                      <w:kern w:val="2"/>
                      <w:sz w:val="20"/>
                      <w:szCs w:val="20"/>
                      <w:u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Arial" w:hAnsi="Arial" w:eastAsia="仿宋_GB2312" w:cs="Arial"/>
                      <w:i w:val="0"/>
                      <w:iCs w:val="0"/>
                      <w:color w:val="000000"/>
                      <w:kern w:val="2"/>
                      <w:sz w:val="20"/>
                      <w:szCs w:val="20"/>
                      <w:u w:val="none"/>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123.45</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专项统计业务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166.43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Arial" w:hAnsi="Arial" w:eastAsia="仿宋_GB2312" w:cs="Arial"/>
                      <w:i w:val="0"/>
                      <w:iCs w:val="0"/>
                      <w:color w:val="000000"/>
                      <w:kern w:val="2"/>
                      <w:sz w:val="20"/>
                      <w:szCs w:val="20"/>
                      <w:u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Arial" w:hAnsi="Arial" w:eastAsia="仿宋_GB2312" w:cs="Arial"/>
                      <w:i w:val="0"/>
                      <w:iCs w:val="0"/>
                      <w:color w:val="000000"/>
                      <w:kern w:val="2"/>
                      <w:sz w:val="20"/>
                      <w:szCs w:val="20"/>
                      <w:u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Arial" w:hAnsi="Arial" w:eastAsia="仿宋_GB2312" w:cs="Arial"/>
                      <w:i w:val="0"/>
                      <w:iCs w:val="0"/>
                      <w:color w:val="000000"/>
                      <w:kern w:val="2"/>
                      <w:sz w:val="20"/>
                      <w:szCs w:val="20"/>
                      <w:u w:val="none"/>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166.43</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统计管理</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581.48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Arial" w:hAnsi="Arial" w:eastAsia="仿宋_GB2312" w:cs="Arial"/>
                      <w:i w:val="0"/>
                      <w:iCs w:val="0"/>
                      <w:color w:val="000000"/>
                      <w:kern w:val="2"/>
                      <w:sz w:val="20"/>
                      <w:szCs w:val="20"/>
                      <w:u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Arial" w:hAnsi="Arial" w:eastAsia="仿宋_GB2312" w:cs="Arial"/>
                      <w:i w:val="0"/>
                      <w:iCs w:val="0"/>
                      <w:color w:val="000000"/>
                      <w:kern w:val="2"/>
                      <w:sz w:val="20"/>
                      <w:szCs w:val="20"/>
                      <w:u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Arial" w:hAnsi="Arial" w:eastAsia="仿宋_GB2312" w:cs="Arial"/>
                      <w:i w:val="0"/>
                      <w:iCs w:val="0"/>
                      <w:color w:val="000000"/>
                      <w:kern w:val="2"/>
                      <w:sz w:val="20"/>
                      <w:szCs w:val="20"/>
                      <w:u w:val="none"/>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581.48</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专项普查活动</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84.27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Arial" w:hAnsi="Arial" w:eastAsia="仿宋_GB2312" w:cs="Arial"/>
                      <w:i w:val="0"/>
                      <w:iCs w:val="0"/>
                      <w:color w:val="000000"/>
                      <w:kern w:val="2"/>
                      <w:sz w:val="20"/>
                      <w:szCs w:val="20"/>
                      <w:u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Arial" w:hAnsi="Arial" w:eastAsia="仿宋_GB2312" w:cs="Arial"/>
                      <w:i w:val="0"/>
                      <w:iCs w:val="0"/>
                      <w:color w:val="000000"/>
                      <w:kern w:val="2"/>
                      <w:sz w:val="20"/>
                      <w:szCs w:val="20"/>
                      <w:u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Arial" w:hAnsi="Arial" w:eastAsia="仿宋_GB2312" w:cs="Arial"/>
                      <w:i w:val="0"/>
                      <w:iCs w:val="0"/>
                      <w:color w:val="000000"/>
                      <w:kern w:val="2"/>
                      <w:sz w:val="20"/>
                      <w:szCs w:val="20"/>
                      <w:u w:val="none"/>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84.27</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二、社会保障和就业支出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504.05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504.05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504.05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Arial" w:hAnsi="Arial" w:eastAsia="仿宋_GB2312" w:cs="Arial"/>
                      <w:i w:val="0"/>
                      <w:iCs w:val="0"/>
                      <w:color w:val="000000"/>
                      <w:kern w:val="2"/>
                      <w:sz w:val="20"/>
                      <w:szCs w:val="20"/>
                      <w:u w:val="none"/>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Arial" w:hAnsi="Arial" w:eastAsia="仿宋_GB2312" w:cs="Arial"/>
                      <w:i w:val="0"/>
                      <w:iCs w:val="0"/>
                      <w:color w:val="000000"/>
                      <w:kern w:val="2"/>
                      <w:sz w:val="20"/>
                      <w:szCs w:val="20"/>
                      <w:u w:val="none"/>
                      <w:lang w:val="en-US" w:eastAsia="zh-CN" w:bidi="ar-SA"/>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504.05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504.05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504.05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Arial" w:hAnsi="Arial" w:eastAsia="仿宋_GB2312" w:cs="Arial"/>
                      <w:i w:val="0"/>
                      <w:iCs w:val="0"/>
                      <w:color w:val="000000"/>
                      <w:kern w:val="2"/>
                      <w:sz w:val="20"/>
                      <w:szCs w:val="20"/>
                      <w:u w:val="none"/>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Arial" w:hAnsi="Arial" w:eastAsia="仿宋_GB2312" w:cs="Arial"/>
                      <w:i w:val="0"/>
                      <w:iCs w:val="0"/>
                      <w:color w:val="000000"/>
                      <w:kern w:val="2"/>
                      <w:sz w:val="20"/>
                      <w:szCs w:val="20"/>
                      <w:u w:val="none"/>
                      <w:lang w:val="en-US" w:eastAsia="zh-CN" w:bidi="ar-SA"/>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274.21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274.21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274.21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Arial" w:hAnsi="Arial" w:eastAsia="仿宋_GB2312" w:cs="Arial"/>
                      <w:i w:val="0"/>
                      <w:iCs w:val="0"/>
                      <w:color w:val="000000"/>
                      <w:kern w:val="2"/>
                      <w:sz w:val="20"/>
                      <w:szCs w:val="20"/>
                      <w:u w:val="none"/>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Arial" w:hAnsi="Arial" w:eastAsia="仿宋_GB2312" w:cs="Arial"/>
                      <w:i w:val="0"/>
                      <w:iCs w:val="0"/>
                      <w:color w:val="000000"/>
                      <w:kern w:val="2"/>
                      <w:sz w:val="20"/>
                      <w:szCs w:val="20"/>
                      <w:u w:val="none"/>
                      <w:lang w:val="en-US" w:eastAsia="zh-CN" w:bidi="ar-SA"/>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229.84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229.84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229.84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Arial" w:hAnsi="Arial" w:eastAsia="仿宋_GB2312" w:cs="Arial"/>
                      <w:i w:val="0"/>
                      <w:iCs w:val="0"/>
                      <w:color w:val="000000"/>
                      <w:kern w:val="2"/>
                      <w:sz w:val="20"/>
                      <w:szCs w:val="20"/>
                      <w:u w:val="none"/>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Arial" w:hAnsi="Arial" w:eastAsia="仿宋_GB2312" w:cs="Arial"/>
                      <w:i w:val="0"/>
                      <w:iCs w:val="0"/>
                      <w:color w:val="000000"/>
                      <w:kern w:val="2"/>
                      <w:sz w:val="20"/>
                      <w:szCs w:val="20"/>
                      <w:u w:val="none"/>
                      <w:lang w:val="en-US" w:eastAsia="zh-CN" w:bidi="ar-SA"/>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157.11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157.11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157.11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Arial" w:hAnsi="Arial" w:eastAsia="仿宋_GB2312" w:cs="Arial"/>
                      <w:i w:val="0"/>
                      <w:iCs w:val="0"/>
                      <w:color w:val="000000"/>
                      <w:kern w:val="2"/>
                      <w:sz w:val="20"/>
                      <w:szCs w:val="20"/>
                      <w:u w:val="none"/>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Arial" w:hAnsi="Arial" w:eastAsia="仿宋_GB2312" w:cs="Arial"/>
                      <w:i w:val="0"/>
                      <w:iCs w:val="0"/>
                      <w:color w:val="000000"/>
                      <w:kern w:val="2"/>
                      <w:sz w:val="20"/>
                      <w:szCs w:val="20"/>
                      <w:u w:val="none"/>
                      <w:lang w:val="en-US" w:eastAsia="zh-CN" w:bidi="ar-SA"/>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157.11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157.11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157.11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Arial" w:hAnsi="Arial" w:eastAsia="仿宋_GB2312" w:cs="Arial"/>
                      <w:i w:val="0"/>
                      <w:iCs w:val="0"/>
                      <w:color w:val="000000"/>
                      <w:kern w:val="2"/>
                      <w:sz w:val="20"/>
                      <w:szCs w:val="20"/>
                      <w:u w:val="none"/>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Arial" w:hAnsi="Arial" w:eastAsia="仿宋_GB2312" w:cs="Arial"/>
                      <w:i w:val="0"/>
                      <w:iCs w:val="0"/>
                      <w:color w:val="000000"/>
                      <w:kern w:val="2"/>
                      <w:sz w:val="20"/>
                      <w:szCs w:val="20"/>
                      <w:u w:val="none"/>
                      <w:lang w:val="en-US" w:eastAsia="zh-CN" w:bidi="ar-SA"/>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157.11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157.11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157.11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Arial" w:hAnsi="Arial" w:eastAsia="仿宋_GB2312" w:cs="Arial"/>
                      <w:i w:val="0"/>
                      <w:iCs w:val="0"/>
                      <w:color w:val="000000"/>
                      <w:kern w:val="2"/>
                      <w:sz w:val="20"/>
                      <w:szCs w:val="20"/>
                      <w:u w:val="none"/>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Arial" w:hAnsi="Arial" w:eastAsia="仿宋_GB2312" w:cs="Arial"/>
                      <w:i w:val="0"/>
                      <w:iCs w:val="0"/>
                      <w:color w:val="000000"/>
                      <w:kern w:val="2"/>
                      <w:sz w:val="20"/>
                      <w:szCs w:val="20"/>
                      <w:u w:val="none"/>
                      <w:lang w:val="en-US" w:eastAsia="zh-CN" w:bidi="ar-SA"/>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四、商业服务业等支出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270.00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Arial" w:hAnsi="Arial" w:eastAsia="仿宋_GB2312" w:cs="Arial"/>
                      <w:i w:val="0"/>
                      <w:iCs w:val="0"/>
                      <w:color w:val="000000"/>
                      <w:kern w:val="2"/>
                      <w:sz w:val="20"/>
                      <w:szCs w:val="20"/>
                      <w:u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Arial" w:hAnsi="Arial" w:eastAsia="仿宋_GB2312" w:cs="Arial"/>
                      <w:i w:val="0"/>
                      <w:iCs w:val="0"/>
                      <w:color w:val="000000"/>
                      <w:kern w:val="2"/>
                      <w:sz w:val="20"/>
                      <w:szCs w:val="20"/>
                      <w:u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Arial" w:hAnsi="Arial" w:eastAsia="仿宋_GB2312" w:cs="Arial"/>
                      <w:i w:val="0"/>
                      <w:iCs w:val="0"/>
                      <w:color w:val="000000"/>
                      <w:kern w:val="2"/>
                      <w:sz w:val="20"/>
                      <w:szCs w:val="20"/>
                      <w:u w:val="none"/>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270.00</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其他商业服务业等支出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270.00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Arial" w:hAnsi="Arial" w:eastAsia="仿宋_GB2312" w:cs="Arial"/>
                      <w:i w:val="0"/>
                      <w:iCs w:val="0"/>
                      <w:color w:val="000000"/>
                      <w:kern w:val="2"/>
                      <w:sz w:val="20"/>
                      <w:szCs w:val="20"/>
                      <w:u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Arial" w:hAnsi="Arial" w:eastAsia="仿宋_GB2312" w:cs="Arial"/>
                      <w:i w:val="0"/>
                      <w:iCs w:val="0"/>
                      <w:color w:val="000000"/>
                      <w:kern w:val="2"/>
                      <w:sz w:val="20"/>
                      <w:szCs w:val="20"/>
                      <w:u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Arial" w:hAnsi="Arial" w:eastAsia="仿宋_GB2312" w:cs="Arial"/>
                      <w:i w:val="0"/>
                      <w:iCs w:val="0"/>
                      <w:color w:val="000000"/>
                      <w:kern w:val="2"/>
                      <w:sz w:val="20"/>
                      <w:szCs w:val="20"/>
                      <w:u w:val="none"/>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270.00</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其他商业服务业等支出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270.00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Arial" w:hAnsi="Arial" w:eastAsia="仿宋_GB2312" w:cs="Arial"/>
                      <w:i w:val="0"/>
                      <w:iCs w:val="0"/>
                      <w:color w:val="000000"/>
                      <w:kern w:val="2"/>
                      <w:sz w:val="20"/>
                      <w:szCs w:val="20"/>
                      <w:u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Arial" w:hAnsi="Arial" w:eastAsia="仿宋_GB2312" w:cs="Arial"/>
                      <w:i w:val="0"/>
                      <w:iCs w:val="0"/>
                      <w:color w:val="000000"/>
                      <w:kern w:val="2"/>
                      <w:sz w:val="20"/>
                      <w:szCs w:val="20"/>
                      <w:u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Arial" w:hAnsi="Arial" w:eastAsia="仿宋_GB2312" w:cs="Arial"/>
                      <w:i w:val="0"/>
                      <w:iCs w:val="0"/>
                      <w:color w:val="000000"/>
                      <w:kern w:val="2"/>
                      <w:sz w:val="20"/>
                      <w:szCs w:val="20"/>
                      <w:u w:val="none"/>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270.00</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五、住房保障支出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179.55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179.55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179.55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Arial" w:hAnsi="Arial" w:eastAsia="仿宋_GB2312" w:cs="Arial"/>
                      <w:i w:val="0"/>
                      <w:iCs w:val="0"/>
                      <w:color w:val="000000"/>
                      <w:kern w:val="2"/>
                      <w:sz w:val="20"/>
                      <w:szCs w:val="20"/>
                      <w:u w:val="none"/>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Arial" w:hAnsi="Arial" w:eastAsia="仿宋_GB2312" w:cs="Arial"/>
                      <w:i w:val="0"/>
                      <w:iCs w:val="0"/>
                      <w:color w:val="000000"/>
                      <w:kern w:val="2"/>
                      <w:sz w:val="20"/>
                      <w:szCs w:val="20"/>
                      <w:u w:val="none"/>
                      <w:lang w:val="en-US" w:eastAsia="zh-CN" w:bidi="ar-SA"/>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179.55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179.55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179.55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Arial" w:hAnsi="Arial" w:eastAsia="仿宋_GB2312" w:cs="Arial"/>
                      <w:i w:val="0"/>
                      <w:iCs w:val="0"/>
                      <w:color w:val="000000"/>
                      <w:kern w:val="2"/>
                      <w:sz w:val="20"/>
                      <w:szCs w:val="20"/>
                      <w:u w:val="none"/>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Arial" w:hAnsi="Arial" w:eastAsia="仿宋_GB2312" w:cs="Arial"/>
                      <w:i w:val="0"/>
                      <w:iCs w:val="0"/>
                      <w:color w:val="000000"/>
                      <w:kern w:val="2"/>
                      <w:sz w:val="20"/>
                      <w:szCs w:val="20"/>
                      <w:u w:val="none"/>
                      <w:lang w:val="en-US" w:eastAsia="zh-CN" w:bidi="ar-SA"/>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179.55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179.55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179.55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Arial" w:hAnsi="Arial" w:eastAsia="仿宋_GB2312" w:cs="Arial"/>
                      <w:i w:val="0"/>
                      <w:iCs w:val="0"/>
                      <w:color w:val="000000"/>
                      <w:kern w:val="2"/>
                      <w:sz w:val="20"/>
                      <w:szCs w:val="20"/>
                      <w:u w:val="none"/>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Arial" w:hAnsi="Arial" w:eastAsia="仿宋_GB2312" w:cs="Arial"/>
                      <w:i w:val="0"/>
                      <w:iCs w:val="0"/>
                      <w:color w:val="000000"/>
                      <w:kern w:val="2"/>
                      <w:sz w:val="20"/>
                      <w:szCs w:val="20"/>
                      <w:u w:val="none"/>
                      <w:lang w:val="en-US" w:eastAsia="zh-CN" w:bidi="ar-SA"/>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3816.12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2590.49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2180.29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410.20</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1225.63</w:t>
                  </w:r>
                </w:p>
              </w:tc>
            </w:tr>
          </w:tbl>
          <w:p>
            <w:pPr>
              <w:widowControl/>
              <w:jc w:val="center"/>
              <w:rPr>
                <w:rFonts w:eastAsia="方正小标宋简体"/>
                <w:kern w:val="0"/>
                <w:sz w:val="44"/>
                <w:szCs w:val="44"/>
              </w:rPr>
            </w:pPr>
          </w:p>
        </w:tc>
      </w:tr>
    </w:tbl>
    <w:p>
      <w:pPr>
        <w:ind w:firstLine="640" w:firstLineChars="200"/>
      </w:pPr>
    </w:p>
    <w:p>
      <w:pPr>
        <w:ind w:firstLine="640" w:firstLineChars="200"/>
        <w:rPr>
          <w:rFonts w:eastAsia="楷体"/>
        </w:rPr>
      </w:pPr>
    </w:p>
    <w:p>
      <w:pPr>
        <w:ind w:firstLine="640" w:firstLineChars="200"/>
        <w:rPr>
          <w:rFonts w:eastAsia="楷体"/>
        </w:rPr>
      </w:pP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pPr>
              <w:widowControl/>
              <w:jc w:val="center"/>
              <w:rPr>
                <w:rFonts w:eastAsia="方正小标宋简体"/>
                <w:kern w:val="0"/>
                <w:sz w:val="44"/>
                <w:szCs w:val="44"/>
              </w:rPr>
            </w:pPr>
          </w:p>
          <w:p>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noWrap w:val="0"/>
            <w:vAlign w:val="center"/>
          </w:tcPr>
          <w:p>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CellMar>
            <w:top w:w="0" w:type="dxa"/>
            <w:left w:w="108" w:type="dxa"/>
            <w:bottom w:w="0" w:type="dxa"/>
            <w:right w:w="108" w:type="dxa"/>
          </w:tblCellMar>
        </w:tblPrEx>
        <w:trPr>
          <w:trHeight w:val="812" w:hRule="atLeast"/>
          <w:jc w:val="center"/>
        </w:trPr>
        <w:tc>
          <w:tcPr>
            <w:tcW w:w="3176" w:type="dxa"/>
            <w:tcBorders>
              <w:top w:val="single" w:color="auto" w:sz="4" w:space="0"/>
              <w:left w:val="single" w:color="auto" w:sz="4" w:space="0"/>
              <w:right w:val="single" w:color="auto" w:sz="4" w:space="0"/>
            </w:tcBorders>
            <w:noWrap w:val="0"/>
            <w:vAlign w:val="center"/>
          </w:tcPr>
          <w:p>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noWrap w:val="0"/>
            <w:vAlign w:val="center"/>
          </w:tcPr>
          <w:p>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eastAsia="华文细黑"/>
                <w:color w:val="000000"/>
                <w:kern w:val="0"/>
                <w:sz w:val="20"/>
              </w:rPr>
              <w:t>公用经费</w:t>
            </w:r>
          </w:p>
        </w:tc>
      </w:tr>
      <w:tr>
        <w:tblPrEx>
          <w:tblCellMar>
            <w:top w:w="0" w:type="dxa"/>
            <w:left w:w="108" w:type="dxa"/>
            <w:bottom w:w="0" w:type="dxa"/>
            <w:right w:w="108" w:type="dxa"/>
          </w:tblCellMar>
        </w:tblPrEx>
        <w:trPr>
          <w:trHeight w:val="53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hAnsi="华文细黑" w:eastAsia="华文细黑"/>
                <w:kern w:val="0"/>
                <w:sz w:val="20"/>
                <w:lang w:val="en-US" w:eastAsia="zh-CN"/>
              </w:rPr>
            </w:pPr>
            <w:r>
              <w:rPr>
                <w:rFonts w:hint="eastAsia" w:hAnsi="华文细黑" w:eastAsia="华文细黑"/>
                <w:kern w:val="0"/>
                <w:sz w:val="20"/>
                <w:lang w:val="en-US" w:eastAsia="zh-CN"/>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hAnsi="华文细黑" w:eastAsia="华文细黑"/>
                <w:kern w:val="0"/>
                <w:sz w:val="20"/>
                <w:lang w:val="en-US" w:eastAsia="zh-CN"/>
              </w:rPr>
            </w:pPr>
            <w:r>
              <w:rPr>
                <w:rFonts w:hint="eastAsia" w:hAnsi="华文细黑" w:eastAsia="华文细黑"/>
                <w:kern w:val="0"/>
                <w:sz w:val="20"/>
                <w:lang w:val="en-US" w:eastAsia="zh-CN"/>
              </w:rPr>
              <w:t>1899.48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hAnsi="华文细黑" w:eastAsia="华文细黑"/>
                <w:kern w:val="0"/>
                <w:sz w:val="20"/>
                <w:lang w:val="en-US" w:eastAsia="zh-CN"/>
              </w:rPr>
            </w:pPr>
            <w:r>
              <w:rPr>
                <w:rFonts w:hint="eastAsia" w:hAnsi="华文细黑" w:eastAsia="华文细黑"/>
                <w:kern w:val="0"/>
                <w:sz w:val="20"/>
                <w:lang w:val="en-US" w:eastAsia="zh-CN"/>
              </w:rPr>
              <w:t>1899.48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hAnsi="华文细黑" w:eastAsia="华文细黑"/>
                <w:kern w:val="0"/>
                <w:sz w:val="20"/>
                <w:lang w:val="en-US" w:eastAsia="zh-CN"/>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hAnsi="华文细黑" w:eastAsia="华文细黑"/>
                <w:kern w:val="0"/>
                <w:sz w:val="20"/>
                <w:lang w:val="en-US" w:eastAsia="zh-CN"/>
              </w:rPr>
            </w:pPr>
            <w:r>
              <w:rPr>
                <w:rFonts w:hint="eastAsia" w:hAnsi="华文细黑" w:eastAsia="华文细黑"/>
                <w:kern w:val="0"/>
                <w:sz w:val="20"/>
                <w:lang w:val="en-US" w:eastAsia="zh-CN"/>
              </w:rPr>
              <w:t>　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hAnsi="华文细黑" w:eastAsia="华文细黑"/>
                <w:kern w:val="0"/>
                <w:sz w:val="20"/>
                <w:lang w:val="en-US" w:eastAsia="zh-CN"/>
              </w:rPr>
            </w:pPr>
            <w:r>
              <w:rPr>
                <w:rFonts w:hint="eastAsia" w:hAnsi="华文细黑" w:eastAsia="华文细黑"/>
                <w:kern w:val="0"/>
                <w:sz w:val="20"/>
                <w:lang w:val="en-US" w:eastAsia="zh-CN"/>
              </w:rPr>
              <w:t>592.16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hAnsi="华文细黑" w:eastAsia="华文细黑"/>
                <w:kern w:val="0"/>
                <w:sz w:val="20"/>
                <w:lang w:val="en-US" w:eastAsia="zh-CN"/>
              </w:rPr>
            </w:pPr>
            <w:r>
              <w:rPr>
                <w:rFonts w:hint="eastAsia" w:hAnsi="华文细黑" w:eastAsia="华文细黑"/>
                <w:kern w:val="0"/>
                <w:sz w:val="20"/>
                <w:lang w:val="en-US" w:eastAsia="zh-CN"/>
              </w:rPr>
              <w:t>592.16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hAnsi="华文细黑" w:eastAsia="华文细黑"/>
                <w:kern w:val="0"/>
                <w:sz w:val="20"/>
                <w:lang w:val="en-US" w:eastAsia="zh-CN"/>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hAnsi="华文细黑" w:eastAsia="华文细黑"/>
                <w:kern w:val="0"/>
                <w:sz w:val="20"/>
                <w:lang w:val="en-US" w:eastAsia="zh-CN"/>
              </w:rPr>
            </w:pPr>
            <w:r>
              <w:rPr>
                <w:rFonts w:hint="eastAsia" w:hAnsi="华文细黑" w:eastAsia="华文细黑"/>
                <w:kern w:val="0"/>
                <w:sz w:val="20"/>
                <w:lang w:val="en-US" w:eastAsia="zh-CN"/>
              </w:rPr>
              <w:t>　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hAnsi="华文细黑" w:eastAsia="华文细黑"/>
                <w:kern w:val="0"/>
                <w:sz w:val="20"/>
                <w:lang w:val="en-US" w:eastAsia="zh-CN"/>
              </w:rPr>
            </w:pPr>
            <w:r>
              <w:rPr>
                <w:rFonts w:hint="eastAsia" w:hAnsi="华文细黑" w:eastAsia="华文细黑"/>
                <w:kern w:val="0"/>
                <w:sz w:val="20"/>
                <w:lang w:val="en-US" w:eastAsia="zh-CN"/>
              </w:rPr>
              <w:t>301.49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hAnsi="华文细黑" w:eastAsia="华文细黑"/>
                <w:kern w:val="0"/>
                <w:sz w:val="20"/>
                <w:lang w:val="en-US" w:eastAsia="zh-CN"/>
              </w:rPr>
            </w:pPr>
            <w:r>
              <w:rPr>
                <w:rFonts w:hint="eastAsia" w:hAnsi="华文细黑" w:eastAsia="华文细黑"/>
                <w:kern w:val="0"/>
                <w:sz w:val="20"/>
                <w:lang w:val="en-US" w:eastAsia="zh-CN"/>
              </w:rPr>
              <w:t>301.49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hAnsi="华文细黑" w:eastAsia="华文细黑"/>
                <w:kern w:val="0"/>
                <w:sz w:val="20"/>
                <w:lang w:val="en-US" w:eastAsia="zh-CN"/>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hAnsi="华文细黑" w:eastAsia="华文细黑"/>
                <w:kern w:val="0"/>
                <w:sz w:val="20"/>
                <w:lang w:val="en-US" w:eastAsia="zh-CN"/>
              </w:rPr>
            </w:pPr>
            <w:r>
              <w:rPr>
                <w:rFonts w:hint="eastAsia" w:hAnsi="华文细黑" w:eastAsia="华文细黑"/>
                <w:kern w:val="0"/>
                <w:sz w:val="20"/>
                <w:lang w:val="en-US" w:eastAsia="zh-CN"/>
              </w:rPr>
              <w:t>　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hAnsi="华文细黑" w:eastAsia="华文细黑"/>
                <w:kern w:val="0"/>
                <w:sz w:val="20"/>
                <w:lang w:val="en-US" w:eastAsia="zh-CN"/>
              </w:rPr>
            </w:pPr>
            <w:r>
              <w:rPr>
                <w:rFonts w:hint="eastAsia" w:hAnsi="华文细黑" w:eastAsia="华文细黑"/>
                <w:kern w:val="0"/>
                <w:sz w:val="20"/>
                <w:lang w:val="en-US" w:eastAsia="zh-CN"/>
              </w:rPr>
              <w:t>385.91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hAnsi="华文细黑" w:eastAsia="华文细黑"/>
                <w:kern w:val="0"/>
                <w:sz w:val="20"/>
                <w:lang w:val="en-US" w:eastAsia="zh-CN"/>
              </w:rPr>
            </w:pPr>
            <w:r>
              <w:rPr>
                <w:rFonts w:hint="eastAsia" w:hAnsi="华文细黑" w:eastAsia="华文细黑"/>
                <w:kern w:val="0"/>
                <w:sz w:val="20"/>
                <w:lang w:val="en-US" w:eastAsia="zh-CN"/>
              </w:rPr>
              <w:t>385.91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hAnsi="华文细黑" w:eastAsia="华文细黑"/>
                <w:kern w:val="0"/>
                <w:sz w:val="20"/>
                <w:lang w:val="en-US" w:eastAsia="zh-CN"/>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hAnsi="华文细黑" w:eastAsia="华文细黑"/>
                <w:kern w:val="0"/>
                <w:sz w:val="20"/>
                <w:lang w:val="en-US" w:eastAsia="zh-CN"/>
              </w:rPr>
            </w:pPr>
            <w:r>
              <w:rPr>
                <w:rFonts w:hint="eastAsia" w:hAnsi="华文细黑" w:eastAsia="华文细黑"/>
                <w:kern w:val="0"/>
                <w:sz w:val="20"/>
                <w:lang w:val="en-US" w:eastAsia="zh-CN"/>
              </w:rPr>
              <w:t>　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hAnsi="华文细黑" w:eastAsia="华文细黑"/>
                <w:kern w:val="0"/>
                <w:sz w:val="20"/>
                <w:lang w:val="en-US" w:eastAsia="zh-CN"/>
              </w:rPr>
            </w:pPr>
            <w:r>
              <w:rPr>
                <w:rFonts w:hint="eastAsia" w:hAnsi="华文细黑" w:eastAsia="华文细黑"/>
                <w:kern w:val="0"/>
                <w:sz w:val="20"/>
                <w:lang w:val="en-US" w:eastAsia="zh-CN"/>
              </w:rPr>
              <w:t>229.84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hAnsi="华文细黑" w:eastAsia="华文细黑"/>
                <w:kern w:val="0"/>
                <w:sz w:val="20"/>
                <w:lang w:val="en-US" w:eastAsia="zh-CN"/>
              </w:rPr>
            </w:pPr>
            <w:r>
              <w:rPr>
                <w:rFonts w:hint="eastAsia" w:hAnsi="华文细黑" w:eastAsia="华文细黑"/>
                <w:kern w:val="0"/>
                <w:sz w:val="20"/>
                <w:lang w:val="en-US" w:eastAsia="zh-CN"/>
              </w:rPr>
              <w:t>229.84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hAnsi="华文细黑" w:eastAsia="华文细黑"/>
                <w:kern w:val="0"/>
                <w:sz w:val="20"/>
                <w:lang w:val="en-US" w:eastAsia="zh-CN"/>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hAnsi="华文细黑" w:eastAsia="华文细黑"/>
                <w:kern w:val="0"/>
                <w:sz w:val="20"/>
                <w:lang w:val="en-US" w:eastAsia="zh-CN"/>
              </w:rPr>
            </w:pPr>
            <w:r>
              <w:rPr>
                <w:rFonts w:hint="eastAsia" w:hAnsi="华文细黑" w:eastAsia="华文细黑"/>
                <w:kern w:val="0"/>
                <w:sz w:val="20"/>
                <w:lang w:val="en-US" w:eastAsia="zh-CN"/>
              </w:rPr>
              <w:t>　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hAnsi="华文细黑" w:eastAsia="华文细黑"/>
                <w:kern w:val="0"/>
                <w:sz w:val="20"/>
                <w:lang w:val="en-US" w:eastAsia="zh-CN"/>
              </w:rPr>
            </w:pPr>
            <w:r>
              <w:rPr>
                <w:rFonts w:hint="eastAsia" w:hAnsi="华文细黑" w:eastAsia="华文细黑"/>
                <w:kern w:val="0"/>
                <w:sz w:val="20"/>
                <w:lang w:val="en-US" w:eastAsia="zh-CN"/>
              </w:rPr>
              <w:t>62.14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hAnsi="华文细黑" w:eastAsia="华文细黑"/>
                <w:kern w:val="0"/>
                <w:sz w:val="20"/>
                <w:lang w:val="en-US" w:eastAsia="zh-CN"/>
              </w:rPr>
            </w:pPr>
            <w:r>
              <w:rPr>
                <w:rFonts w:hint="eastAsia" w:hAnsi="华文细黑" w:eastAsia="华文细黑"/>
                <w:kern w:val="0"/>
                <w:sz w:val="20"/>
                <w:lang w:val="en-US" w:eastAsia="zh-CN"/>
              </w:rPr>
              <w:t>62.14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hAnsi="华文细黑" w:eastAsia="华文细黑"/>
                <w:kern w:val="0"/>
                <w:sz w:val="20"/>
                <w:lang w:val="en-US" w:eastAsia="zh-CN"/>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hAnsi="华文细黑" w:eastAsia="华文细黑"/>
                <w:kern w:val="0"/>
                <w:sz w:val="20"/>
                <w:lang w:val="en-US" w:eastAsia="zh-CN"/>
              </w:rPr>
            </w:pPr>
            <w:r>
              <w:rPr>
                <w:rFonts w:hint="eastAsia" w:hAnsi="华文细黑" w:eastAsia="华文细黑"/>
                <w:kern w:val="0"/>
                <w:sz w:val="20"/>
                <w:lang w:val="en-US" w:eastAsia="zh-CN"/>
              </w:rPr>
              <w:t>　公务员医疗补助缴费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hAnsi="华文细黑" w:eastAsia="华文细黑"/>
                <w:kern w:val="0"/>
                <w:sz w:val="20"/>
                <w:lang w:val="en-US" w:eastAsia="zh-CN"/>
              </w:rPr>
            </w:pPr>
            <w:r>
              <w:rPr>
                <w:rFonts w:hint="eastAsia" w:hAnsi="华文细黑" w:eastAsia="华文细黑"/>
                <w:kern w:val="0"/>
                <w:sz w:val="20"/>
                <w:lang w:val="en-US" w:eastAsia="zh-CN"/>
              </w:rPr>
              <w:t>71.89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hAnsi="华文细黑" w:eastAsia="华文细黑"/>
                <w:kern w:val="0"/>
                <w:sz w:val="20"/>
                <w:lang w:val="en-US" w:eastAsia="zh-CN"/>
              </w:rPr>
            </w:pPr>
            <w:r>
              <w:rPr>
                <w:rFonts w:hint="eastAsia" w:hAnsi="华文细黑" w:eastAsia="华文细黑"/>
                <w:kern w:val="0"/>
                <w:sz w:val="20"/>
                <w:lang w:val="en-US" w:eastAsia="zh-CN"/>
              </w:rPr>
              <w:t>71.89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hAnsi="华文细黑" w:eastAsia="华文细黑"/>
                <w:kern w:val="0"/>
                <w:sz w:val="20"/>
                <w:lang w:val="en-US" w:eastAsia="zh-CN"/>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hAnsi="华文细黑" w:eastAsia="华文细黑"/>
                <w:kern w:val="0"/>
                <w:sz w:val="20"/>
                <w:lang w:val="en-US" w:eastAsia="zh-CN"/>
              </w:rPr>
            </w:pPr>
            <w:r>
              <w:rPr>
                <w:rFonts w:hint="eastAsia" w:hAnsi="华文细黑" w:eastAsia="华文细黑"/>
                <w:kern w:val="0"/>
                <w:sz w:val="20"/>
                <w:lang w:val="en-US" w:eastAsia="zh-CN"/>
              </w:rPr>
              <w:t>　其他社会保障缴费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hAnsi="华文细黑" w:eastAsia="华文细黑"/>
                <w:kern w:val="0"/>
                <w:sz w:val="20"/>
                <w:lang w:val="en-US" w:eastAsia="zh-CN"/>
              </w:rPr>
            </w:pPr>
            <w:r>
              <w:rPr>
                <w:rFonts w:hint="eastAsia" w:hAnsi="华文细黑" w:eastAsia="华文细黑"/>
                <w:kern w:val="0"/>
                <w:sz w:val="20"/>
                <w:lang w:val="en-US" w:eastAsia="zh-CN"/>
              </w:rPr>
              <w:t>36.52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hAnsi="华文细黑" w:eastAsia="华文细黑"/>
                <w:kern w:val="0"/>
                <w:sz w:val="20"/>
                <w:lang w:val="en-US" w:eastAsia="zh-CN"/>
              </w:rPr>
            </w:pPr>
            <w:r>
              <w:rPr>
                <w:rFonts w:hint="eastAsia" w:hAnsi="华文细黑" w:eastAsia="华文细黑"/>
                <w:kern w:val="0"/>
                <w:sz w:val="20"/>
                <w:lang w:val="en-US" w:eastAsia="zh-CN"/>
              </w:rPr>
              <w:t>36.52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hAnsi="华文细黑" w:eastAsia="华文细黑"/>
                <w:kern w:val="0"/>
                <w:sz w:val="20"/>
                <w:lang w:val="en-US" w:eastAsia="zh-CN"/>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hAnsi="华文细黑" w:eastAsia="华文细黑"/>
                <w:kern w:val="0"/>
                <w:sz w:val="20"/>
                <w:lang w:val="en-US" w:eastAsia="zh-CN"/>
              </w:rPr>
            </w:pPr>
            <w:r>
              <w:rPr>
                <w:rFonts w:hint="eastAsia" w:hAnsi="华文细黑" w:eastAsia="华文细黑"/>
                <w:kern w:val="0"/>
                <w:sz w:val="20"/>
                <w:lang w:val="en-US" w:eastAsia="zh-CN"/>
              </w:rPr>
              <w:t>　住房公积金</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r>
              <w:rPr>
                <w:rFonts w:hint="eastAsia" w:hAnsi="华文细黑" w:eastAsia="华文细黑"/>
                <w:kern w:val="0"/>
                <w:sz w:val="20"/>
                <w:lang w:val="en-US" w:eastAsia="zh-CN"/>
              </w:rPr>
              <w:t>179.55</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r>
              <w:rPr>
                <w:rFonts w:hint="eastAsia" w:hAnsi="华文细黑" w:eastAsia="华文细黑"/>
                <w:kern w:val="0"/>
                <w:sz w:val="20"/>
                <w:lang w:val="en-US" w:eastAsia="zh-CN"/>
              </w:rPr>
              <w:t>179.55</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hAnsi="华文细黑" w:eastAsia="华文细黑"/>
                <w:kern w:val="0"/>
                <w:sz w:val="20"/>
                <w:lang w:val="en-US" w:eastAsia="zh-CN"/>
              </w:rPr>
            </w:pPr>
            <w:r>
              <w:rPr>
                <w:rFonts w:hint="eastAsia" w:hAnsi="华文细黑" w:eastAsia="华文细黑"/>
                <w:kern w:val="0"/>
                <w:sz w:val="20"/>
                <w:lang w:val="en-US" w:eastAsia="zh-CN"/>
              </w:rPr>
              <w:t>　医疗费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r>
              <w:rPr>
                <w:rFonts w:hint="eastAsia" w:hAnsi="华文细黑" w:eastAsia="华文细黑"/>
                <w:kern w:val="0"/>
                <w:sz w:val="20"/>
                <w:lang w:val="en-US" w:eastAsia="zh-CN"/>
              </w:rPr>
              <w:t>14.80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r>
              <w:rPr>
                <w:rFonts w:hint="eastAsia" w:hAnsi="华文细黑" w:eastAsia="华文细黑"/>
                <w:kern w:val="0"/>
                <w:sz w:val="20"/>
                <w:lang w:val="en-US" w:eastAsia="zh-CN"/>
              </w:rPr>
              <w:t>14.80</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hAnsi="华文细黑" w:eastAsia="华文细黑"/>
                <w:kern w:val="0"/>
                <w:sz w:val="20"/>
                <w:lang w:val="en-US" w:eastAsia="zh-CN"/>
              </w:rPr>
            </w:pPr>
            <w:r>
              <w:rPr>
                <w:rFonts w:hint="eastAsia" w:hAnsi="华文细黑" w:eastAsia="华文细黑"/>
                <w:kern w:val="0"/>
                <w:sz w:val="20"/>
                <w:lang w:val="en-US" w:eastAsia="zh-CN"/>
              </w:rPr>
              <w:t>　其他工资福利支出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r>
              <w:rPr>
                <w:rFonts w:hint="eastAsia" w:hAnsi="华文细黑" w:eastAsia="华文细黑"/>
                <w:kern w:val="0"/>
                <w:sz w:val="20"/>
                <w:lang w:val="en-US" w:eastAsia="zh-CN"/>
              </w:rPr>
              <w:t>25.18</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r>
              <w:rPr>
                <w:rFonts w:hint="eastAsia" w:hAnsi="华文细黑" w:eastAsia="华文细黑"/>
                <w:kern w:val="0"/>
                <w:sz w:val="20"/>
                <w:lang w:val="en-US" w:eastAsia="zh-CN"/>
              </w:rPr>
              <w:t>25.18</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p>
        </w:tc>
      </w:tr>
      <w:tr>
        <w:tblPrEx>
          <w:tblCellMar>
            <w:top w:w="0" w:type="dxa"/>
            <w:left w:w="108" w:type="dxa"/>
            <w:bottom w:w="0" w:type="dxa"/>
            <w:right w:w="108" w:type="dxa"/>
          </w:tblCellMar>
        </w:tblPrEx>
        <w:trPr>
          <w:trHeight w:val="549"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hAnsi="华文细黑" w:eastAsia="华文细黑"/>
                <w:kern w:val="0"/>
                <w:sz w:val="20"/>
                <w:lang w:val="en-US" w:eastAsia="zh-CN"/>
              </w:rPr>
            </w:pPr>
            <w:r>
              <w:rPr>
                <w:rFonts w:hint="eastAsia" w:hAnsi="华文细黑" w:eastAsia="华文细黑"/>
                <w:kern w:val="0"/>
                <w:sz w:val="20"/>
                <w:lang w:val="en-US" w:eastAsia="zh-CN"/>
              </w:rPr>
              <w:t>二、商品和服务支出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r>
              <w:rPr>
                <w:rFonts w:hint="eastAsia" w:hAnsi="华文细黑" w:eastAsia="华文细黑"/>
                <w:kern w:val="0"/>
                <w:sz w:val="20"/>
                <w:lang w:val="en-US" w:eastAsia="zh-CN"/>
              </w:rPr>
              <w:t>406.13</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r>
              <w:rPr>
                <w:rFonts w:hint="eastAsia" w:hAnsi="华文细黑" w:eastAsia="华文细黑"/>
                <w:kern w:val="0"/>
                <w:sz w:val="20"/>
                <w:lang w:val="en-US" w:eastAsia="zh-CN"/>
              </w:rPr>
              <w:t>406.13</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hAnsi="华文细黑" w:eastAsia="华文细黑"/>
                <w:kern w:val="0"/>
                <w:sz w:val="20"/>
                <w:lang w:val="en-US" w:eastAsia="zh-CN"/>
              </w:rPr>
            </w:pPr>
            <w:r>
              <w:rPr>
                <w:rFonts w:hint="eastAsia" w:hAnsi="华文细黑" w:eastAsia="华文细黑"/>
                <w:kern w:val="0"/>
                <w:sz w:val="20"/>
                <w:lang w:val="en-US" w:eastAsia="zh-CN"/>
              </w:rPr>
              <w:t>　办公费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r>
              <w:rPr>
                <w:rFonts w:hint="eastAsia" w:hAnsi="华文细黑" w:eastAsia="华文细黑"/>
                <w:kern w:val="0"/>
                <w:sz w:val="20"/>
                <w:lang w:val="en-US" w:eastAsia="zh-CN"/>
              </w:rPr>
              <w:t>15.00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r>
              <w:rPr>
                <w:rFonts w:hint="eastAsia" w:hAnsi="华文细黑" w:eastAsia="华文细黑"/>
                <w:kern w:val="0"/>
                <w:sz w:val="20"/>
                <w:lang w:val="en-US" w:eastAsia="zh-CN"/>
              </w:rPr>
              <w:t>15.00</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hAnsi="华文细黑" w:eastAsia="华文细黑"/>
                <w:kern w:val="0"/>
                <w:sz w:val="20"/>
                <w:lang w:val="en-US" w:eastAsia="zh-CN"/>
              </w:rPr>
            </w:pPr>
            <w:r>
              <w:rPr>
                <w:rFonts w:hint="eastAsia" w:hAnsi="华文细黑" w:eastAsia="华文细黑"/>
                <w:kern w:val="0"/>
                <w:sz w:val="20"/>
                <w:lang w:val="en-US" w:eastAsia="zh-CN"/>
              </w:rPr>
              <w:t>　印刷费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r>
              <w:rPr>
                <w:rFonts w:hint="eastAsia" w:hAnsi="华文细黑" w:eastAsia="华文细黑"/>
                <w:kern w:val="0"/>
                <w:sz w:val="20"/>
                <w:lang w:val="en-US" w:eastAsia="zh-CN"/>
              </w:rPr>
              <w:t>9.52</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r>
              <w:rPr>
                <w:rFonts w:hint="eastAsia" w:hAnsi="华文细黑" w:eastAsia="华文细黑"/>
                <w:kern w:val="0"/>
                <w:sz w:val="20"/>
                <w:lang w:val="en-US" w:eastAsia="zh-CN"/>
              </w:rPr>
              <w:t>9.52</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hAnsi="华文细黑" w:eastAsia="华文细黑"/>
                <w:kern w:val="0"/>
                <w:sz w:val="20"/>
                <w:lang w:val="en-US" w:eastAsia="zh-CN"/>
              </w:rPr>
            </w:pPr>
            <w:r>
              <w:rPr>
                <w:rFonts w:hint="eastAsia" w:hAnsi="华文细黑" w:eastAsia="华文细黑"/>
                <w:kern w:val="0"/>
                <w:sz w:val="20"/>
                <w:lang w:val="en-US" w:eastAsia="zh-CN"/>
              </w:rPr>
              <w:t>　水费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r>
              <w:rPr>
                <w:rFonts w:hint="eastAsia" w:hAnsi="华文细黑" w:eastAsia="华文细黑"/>
                <w:kern w:val="0"/>
                <w:sz w:val="20"/>
                <w:lang w:val="en-US" w:eastAsia="zh-CN"/>
              </w:rPr>
              <w:t>2.68</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r>
              <w:rPr>
                <w:rFonts w:hint="eastAsia" w:hAnsi="华文细黑" w:eastAsia="华文细黑"/>
                <w:kern w:val="0"/>
                <w:sz w:val="20"/>
                <w:lang w:val="en-US" w:eastAsia="zh-CN"/>
              </w:rPr>
              <w:t>2.68</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hAnsi="华文细黑" w:eastAsia="华文细黑"/>
                <w:kern w:val="0"/>
                <w:sz w:val="20"/>
                <w:lang w:val="en-US" w:eastAsia="zh-CN"/>
              </w:rPr>
            </w:pPr>
            <w:r>
              <w:rPr>
                <w:rFonts w:hint="eastAsia" w:hAnsi="华文细黑" w:eastAsia="华文细黑"/>
                <w:kern w:val="0"/>
                <w:sz w:val="20"/>
                <w:lang w:val="en-US" w:eastAsia="zh-CN"/>
              </w:rPr>
              <w:t>　电费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r>
              <w:rPr>
                <w:rFonts w:hint="eastAsia" w:hAnsi="华文细黑" w:eastAsia="华文细黑"/>
                <w:kern w:val="0"/>
                <w:sz w:val="20"/>
                <w:lang w:val="en-US" w:eastAsia="zh-CN"/>
              </w:rPr>
              <w:t>15.47</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r>
              <w:rPr>
                <w:rFonts w:hint="eastAsia" w:hAnsi="华文细黑" w:eastAsia="华文细黑"/>
                <w:kern w:val="0"/>
                <w:sz w:val="20"/>
                <w:lang w:val="en-US" w:eastAsia="zh-CN"/>
              </w:rPr>
              <w:t>15.47</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hAnsi="华文细黑" w:eastAsia="华文细黑"/>
                <w:kern w:val="0"/>
                <w:sz w:val="20"/>
                <w:lang w:val="en-US" w:eastAsia="zh-CN"/>
              </w:rPr>
            </w:pPr>
            <w:r>
              <w:rPr>
                <w:rFonts w:hint="eastAsia" w:hAnsi="华文细黑" w:eastAsia="华文细黑"/>
                <w:kern w:val="0"/>
                <w:sz w:val="20"/>
                <w:lang w:val="en-US" w:eastAsia="zh-CN"/>
              </w:rPr>
              <w:t>　邮电费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r>
              <w:rPr>
                <w:rFonts w:hint="eastAsia" w:hAnsi="华文细黑" w:eastAsia="华文细黑"/>
                <w:kern w:val="0"/>
                <w:sz w:val="20"/>
                <w:lang w:val="en-US" w:eastAsia="zh-CN"/>
              </w:rPr>
              <w:t>16.30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r>
              <w:rPr>
                <w:rFonts w:hint="eastAsia" w:hAnsi="华文细黑" w:eastAsia="华文细黑"/>
                <w:kern w:val="0"/>
                <w:sz w:val="20"/>
                <w:lang w:val="en-US" w:eastAsia="zh-CN"/>
              </w:rPr>
              <w:t>16.30</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hAnsi="华文细黑" w:eastAsia="华文细黑"/>
                <w:kern w:val="0"/>
                <w:sz w:val="20"/>
                <w:lang w:val="en-US" w:eastAsia="zh-CN"/>
              </w:rPr>
            </w:pPr>
            <w:r>
              <w:rPr>
                <w:rFonts w:hint="eastAsia" w:hAnsi="华文细黑" w:eastAsia="华文细黑"/>
                <w:kern w:val="0"/>
                <w:sz w:val="20"/>
                <w:lang w:val="en-US" w:eastAsia="zh-CN"/>
              </w:rPr>
              <w:t>　取暖费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r>
              <w:rPr>
                <w:rFonts w:hint="eastAsia" w:hAnsi="华文细黑" w:eastAsia="华文细黑"/>
                <w:kern w:val="0"/>
                <w:sz w:val="20"/>
                <w:lang w:val="en-US" w:eastAsia="zh-CN"/>
              </w:rPr>
              <w:t>7.74</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r>
              <w:rPr>
                <w:rFonts w:hint="eastAsia" w:hAnsi="华文细黑" w:eastAsia="华文细黑"/>
                <w:kern w:val="0"/>
                <w:sz w:val="20"/>
                <w:lang w:val="en-US" w:eastAsia="zh-CN"/>
              </w:rPr>
              <w:t>7.74</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hAnsi="华文细黑" w:eastAsia="华文细黑"/>
                <w:kern w:val="0"/>
                <w:sz w:val="20"/>
                <w:lang w:val="en-US" w:eastAsia="zh-CN"/>
              </w:rPr>
            </w:pPr>
            <w:r>
              <w:rPr>
                <w:rFonts w:hint="eastAsia" w:hAnsi="华文细黑" w:eastAsia="华文细黑"/>
                <w:kern w:val="0"/>
                <w:sz w:val="20"/>
                <w:lang w:val="en-US" w:eastAsia="zh-CN"/>
              </w:rPr>
              <w:t>　物业管理费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r>
              <w:rPr>
                <w:rFonts w:hint="eastAsia" w:hAnsi="华文细黑" w:eastAsia="华文细黑"/>
                <w:kern w:val="0"/>
                <w:sz w:val="20"/>
                <w:lang w:val="en-US" w:eastAsia="zh-CN"/>
              </w:rPr>
              <w:t>36.00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r>
              <w:rPr>
                <w:rFonts w:hint="eastAsia" w:hAnsi="华文细黑" w:eastAsia="华文细黑"/>
                <w:kern w:val="0"/>
                <w:sz w:val="20"/>
                <w:lang w:val="en-US" w:eastAsia="zh-CN"/>
              </w:rPr>
              <w:t>36.00</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hAnsi="华文细黑" w:eastAsia="华文细黑"/>
                <w:kern w:val="0"/>
                <w:sz w:val="20"/>
                <w:lang w:val="en-US" w:eastAsia="zh-CN"/>
              </w:rPr>
            </w:pPr>
            <w:r>
              <w:rPr>
                <w:rFonts w:hint="eastAsia" w:hAnsi="华文细黑" w:eastAsia="华文细黑"/>
                <w:kern w:val="0"/>
                <w:sz w:val="20"/>
                <w:lang w:val="en-US" w:eastAsia="zh-CN"/>
              </w:rPr>
              <w:t>　差旅费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r>
              <w:rPr>
                <w:rFonts w:hint="eastAsia" w:hAnsi="华文细黑" w:eastAsia="华文细黑"/>
                <w:kern w:val="0"/>
                <w:sz w:val="20"/>
                <w:lang w:val="en-US" w:eastAsia="zh-CN"/>
              </w:rPr>
              <w:t>15.00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r>
              <w:rPr>
                <w:rFonts w:hint="eastAsia" w:hAnsi="华文细黑" w:eastAsia="华文细黑"/>
                <w:kern w:val="0"/>
                <w:sz w:val="20"/>
                <w:lang w:val="en-US" w:eastAsia="zh-CN"/>
              </w:rPr>
              <w:t>15.00</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hAnsi="华文细黑" w:eastAsia="华文细黑"/>
                <w:kern w:val="0"/>
                <w:sz w:val="20"/>
                <w:lang w:val="en-US" w:eastAsia="zh-CN"/>
              </w:rPr>
            </w:pPr>
            <w:r>
              <w:rPr>
                <w:rFonts w:hint="eastAsia" w:hAnsi="华文细黑" w:eastAsia="华文细黑"/>
                <w:kern w:val="0"/>
                <w:sz w:val="20"/>
                <w:lang w:val="en-US" w:eastAsia="zh-CN"/>
              </w:rPr>
              <w:t>　维修（护）费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r>
              <w:rPr>
                <w:rFonts w:hint="eastAsia" w:hAnsi="华文细黑" w:eastAsia="华文细黑"/>
                <w:kern w:val="0"/>
                <w:sz w:val="20"/>
                <w:lang w:val="en-US" w:eastAsia="zh-CN"/>
              </w:rPr>
              <w:t>13.93</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r>
              <w:rPr>
                <w:rFonts w:hint="eastAsia" w:hAnsi="华文细黑" w:eastAsia="华文细黑"/>
                <w:kern w:val="0"/>
                <w:sz w:val="20"/>
                <w:lang w:val="en-US" w:eastAsia="zh-CN"/>
              </w:rPr>
              <w:t>13.93</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hAnsi="华文细黑" w:eastAsia="华文细黑"/>
                <w:kern w:val="0"/>
                <w:sz w:val="20"/>
                <w:lang w:val="en-US" w:eastAsia="zh-CN"/>
              </w:rPr>
            </w:pPr>
            <w:r>
              <w:rPr>
                <w:rFonts w:hint="eastAsia" w:hAnsi="华文细黑" w:eastAsia="华文细黑"/>
                <w:kern w:val="0"/>
                <w:sz w:val="20"/>
                <w:lang w:val="en-US" w:eastAsia="zh-CN"/>
              </w:rPr>
              <w:t>　会议费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r>
              <w:rPr>
                <w:rFonts w:hint="eastAsia" w:hAnsi="华文细黑" w:eastAsia="华文细黑"/>
                <w:kern w:val="0"/>
                <w:sz w:val="20"/>
                <w:lang w:val="en-US" w:eastAsia="zh-CN"/>
              </w:rPr>
              <w:t>15.53</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r>
              <w:rPr>
                <w:rFonts w:hint="eastAsia" w:hAnsi="华文细黑" w:eastAsia="华文细黑"/>
                <w:kern w:val="0"/>
                <w:sz w:val="20"/>
                <w:lang w:val="en-US" w:eastAsia="zh-CN"/>
              </w:rPr>
              <w:t>15.53</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hAnsi="华文细黑" w:eastAsia="华文细黑"/>
                <w:kern w:val="0"/>
                <w:sz w:val="20"/>
                <w:lang w:val="en-US" w:eastAsia="zh-CN"/>
              </w:rPr>
            </w:pPr>
            <w:r>
              <w:rPr>
                <w:rFonts w:hint="eastAsia" w:hAnsi="华文细黑" w:eastAsia="华文细黑"/>
                <w:kern w:val="0"/>
                <w:sz w:val="20"/>
                <w:lang w:val="en-US" w:eastAsia="zh-CN"/>
              </w:rPr>
              <w:t>　培训费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r>
              <w:rPr>
                <w:rFonts w:hint="eastAsia" w:hAnsi="华文细黑" w:eastAsia="华文细黑"/>
                <w:kern w:val="0"/>
                <w:sz w:val="20"/>
                <w:lang w:val="en-US" w:eastAsia="zh-CN"/>
              </w:rPr>
              <w:t>14.43</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r>
              <w:rPr>
                <w:rFonts w:hint="eastAsia" w:hAnsi="华文细黑" w:eastAsia="华文细黑"/>
                <w:kern w:val="0"/>
                <w:sz w:val="20"/>
                <w:lang w:val="en-US" w:eastAsia="zh-CN"/>
              </w:rPr>
              <w:t>14.43</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hAnsi="华文细黑" w:eastAsia="华文细黑"/>
                <w:kern w:val="0"/>
                <w:sz w:val="20"/>
                <w:lang w:val="en-US" w:eastAsia="zh-CN"/>
              </w:rPr>
            </w:pPr>
            <w:r>
              <w:rPr>
                <w:rFonts w:hint="eastAsia" w:hAnsi="华文细黑" w:eastAsia="华文细黑"/>
                <w:kern w:val="0"/>
                <w:sz w:val="20"/>
                <w:lang w:val="en-US" w:eastAsia="zh-CN"/>
              </w:rPr>
              <w:t>　公务接待费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r>
              <w:rPr>
                <w:rFonts w:hint="eastAsia" w:hAnsi="华文细黑" w:eastAsia="华文细黑"/>
                <w:kern w:val="0"/>
                <w:sz w:val="20"/>
                <w:lang w:val="en-US" w:eastAsia="zh-CN"/>
              </w:rPr>
              <w:t>2.72</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r>
              <w:rPr>
                <w:rFonts w:hint="eastAsia" w:hAnsi="华文细黑" w:eastAsia="华文细黑"/>
                <w:kern w:val="0"/>
                <w:sz w:val="20"/>
                <w:lang w:val="en-US" w:eastAsia="zh-CN"/>
              </w:rPr>
              <w:t>2.72</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hAnsi="华文细黑" w:eastAsia="华文细黑"/>
                <w:kern w:val="0"/>
                <w:sz w:val="20"/>
                <w:lang w:val="en-US" w:eastAsia="zh-CN"/>
              </w:rPr>
            </w:pPr>
            <w:r>
              <w:rPr>
                <w:rFonts w:hint="eastAsia" w:hAnsi="华文细黑" w:eastAsia="华文细黑"/>
                <w:kern w:val="0"/>
                <w:sz w:val="20"/>
                <w:lang w:val="en-US" w:eastAsia="zh-CN"/>
              </w:rPr>
              <w:t>　劳务费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r>
              <w:rPr>
                <w:rFonts w:hint="eastAsia" w:hAnsi="华文细黑" w:eastAsia="华文细黑"/>
                <w:kern w:val="0"/>
                <w:sz w:val="20"/>
                <w:lang w:val="en-US" w:eastAsia="zh-CN"/>
              </w:rPr>
              <w:t>3.00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r>
              <w:rPr>
                <w:rFonts w:hint="eastAsia" w:hAnsi="华文细黑" w:eastAsia="华文细黑"/>
                <w:kern w:val="0"/>
                <w:sz w:val="20"/>
                <w:lang w:val="en-US" w:eastAsia="zh-CN"/>
              </w:rPr>
              <w:t>3.00</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hAnsi="华文细黑" w:eastAsia="华文细黑"/>
                <w:kern w:val="0"/>
                <w:sz w:val="20"/>
                <w:lang w:val="en-US" w:eastAsia="zh-CN"/>
              </w:rPr>
            </w:pPr>
            <w:r>
              <w:rPr>
                <w:rFonts w:hint="eastAsia" w:hAnsi="华文细黑" w:eastAsia="华文细黑"/>
                <w:kern w:val="0"/>
                <w:sz w:val="20"/>
                <w:lang w:val="en-US" w:eastAsia="zh-CN"/>
              </w:rPr>
              <w:t>　工会经费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r>
              <w:rPr>
                <w:rFonts w:hint="eastAsia" w:hAnsi="华文细黑" w:eastAsia="华文细黑"/>
                <w:kern w:val="0"/>
                <w:sz w:val="20"/>
                <w:lang w:val="en-US" w:eastAsia="zh-CN"/>
              </w:rPr>
              <w:t>16.79</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r>
              <w:rPr>
                <w:rFonts w:hint="eastAsia" w:hAnsi="华文细黑" w:eastAsia="华文细黑"/>
                <w:kern w:val="0"/>
                <w:sz w:val="20"/>
                <w:lang w:val="en-US" w:eastAsia="zh-CN"/>
              </w:rPr>
              <w:t>16.79</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hAnsi="华文细黑" w:eastAsia="华文细黑"/>
                <w:kern w:val="0"/>
                <w:sz w:val="20"/>
                <w:lang w:val="en-US" w:eastAsia="zh-CN"/>
              </w:rPr>
            </w:pPr>
            <w:r>
              <w:rPr>
                <w:rFonts w:hint="eastAsia" w:hAnsi="华文细黑" w:eastAsia="华文细黑"/>
                <w:kern w:val="0"/>
                <w:sz w:val="20"/>
                <w:lang w:val="en-US" w:eastAsia="zh-CN"/>
              </w:rPr>
              <w:t>　福利费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r>
              <w:rPr>
                <w:rFonts w:hint="eastAsia" w:hAnsi="华文细黑" w:eastAsia="华文细黑"/>
                <w:kern w:val="0"/>
                <w:sz w:val="20"/>
                <w:lang w:val="en-US" w:eastAsia="zh-CN"/>
              </w:rPr>
              <w:t>59.99</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r>
              <w:rPr>
                <w:rFonts w:hint="eastAsia" w:hAnsi="华文细黑" w:eastAsia="华文细黑"/>
                <w:kern w:val="0"/>
                <w:sz w:val="20"/>
                <w:lang w:val="en-US" w:eastAsia="zh-CN"/>
              </w:rPr>
              <w:t>59.99</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hAnsi="华文细黑" w:eastAsia="华文细黑"/>
                <w:kern w:val="0"/>
                <w:sz w:val="20"/>
                <w:lang w:val="en-US" w:eastAsia="zh-CN"/>
              </w:rPr>
            </w:pPr>
            <w:r>
              <w:rPr>
                <w:rFonts w:hint="eastAsia" w:hAnsi="华文细黑" w:eastAsia="华文细黑"/>
                <w:kern w:val="0"/>
                <w:sz w:val="20"/>
                <w:lang w:val="en-US" w:eastAsia="zh-CN"/>
              </w:rPr>
              <w:t>　公务用车运行维护费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r>
              <w:rPr>
                <w:rFonts w:hint="eastAsia" w:hAnsi="华文细黑" w:eastAsia="华文细黑"/>
                <w:kern w:val="0"/>
                <w:sz w:val="20"/>
                <w:lang w:val="en-US" w:eastAsia="zh-CN"/>
              </w:rPr>
              <w:t>15.30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r>
              <w:rPr>
                <w:rFonts w:hint="eastAsia" w:hAnsi="华文细黑" w:eastAsia="华文细黑"/>
                <w:kern w:val="0"/>
                <w:sz w:val="20"/>
                <w:lang w:val="en-US" w:eastAsia="zh-CN"/>
              </w:rPr>
              <w:t>15.30</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hAnsi="华文细黑" w:eastAsia="华文细黑"/>
                <w:kern w:val="0"/>
                <w:sz w:val="20"/>
                <w:lang w:val="en-US" w:eastAsia="zh-CN"/>
              </w:rPr>
            </w:pPr>
            <w:r>
              <w:rPr>
                <w:rFonts w:hint="eastAsia" w:hAnsi="华文细黑" w:eastAsia="华文细黑"/>
                <w:kern w:val="0"/>
                <w:sz w:val="20"/>
                <w:lang w:val="en-US" w:eastAsia="zh-CN"/>
              </w:rPr>
              <w:t>　其他交通费用</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r>
              <w:rPr>
                <w:rFonts w:hint="eastAsia" w:hAnsi="华文细黑" w:eastAsia="华文细黑"/>
                <w:kern w:val="0"/>
                <w:sz w:val="20"/>
                <w:lang w:val="en-US" w:eastAsia="zh-CN"/>
              </w:rPr>
              <w:t>98.93</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r>
              <w:rPr>
                <w:rFonts w:hint="eastAsia" w:hAnsi="华文细黑" w:eastAsia="华文细黑"/>
                <w:kern w:val="0"/>
                <w:sz w:val="20"/>
                <w:lang w:val="en-US" w:eastAsia="zh-CN"/>
              </w:rPr>
              <w:t>98.93</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hAnsi="华文细黑" w:eastAsia="华文细黑"/>
                <w:kern w:val="0"/>
                <w:sz w:val="20"/>
                <w:lang w:val="en-US" w:eastAsia="zh-CN"/>
              </w:rPr>
            </w:pPr>
            <w:r>
              <w:rPr>
                <w:rFonts w:hint="eastAsia" w:hAnsi="华文细黑" w:eastAsia="华文细黑"/>
                <w:kern w:val="0"/>
                <w:sz w:val="20"/>
                <w:lang w:val="en-US" w:eastAsia="zh-CN"/>
              </w:rPr>
              <w:t>　其他商品和服务支出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r>
              <w:rPr>
                <w:rFonts w:hint="eastAsia" w:hAnsi="华文细黑" w:eastAsia="华文细黑"/>
                <w:kern w:val="0"/>
                <w:sz w:val="20"/>
                <w:lang w:val="en-US" w:eastAsia="zh-CN"/>
              </w:rPr>
              <w:t>47.80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r>
              <w:rPr>
                <w:rFonts w:hint="eastAsia" w:hAnsi="华文细黑" w:eastAsia="华文细黑"/>
                <w:kern w:val="0"/>
                <w:sz w:val="20"/>
                <w:lang w:val="en-US" w:eastAsia="zh-CN"/>
              </w:rPr>
              <w:t>47.80</w:t>
            </w:r>
          </w:p>
        </w:tc>
      </w:tr>
      <w:tr>
        <w:tblPrEx>
          <w:tblCellMar>
            <w:top w:w="0" w:type="dxa"/>
            <w:left w:w="108" w:type="dxa"/>
            <w:bottom w:w="0" w:type="dxa"/>
            <w:right w:w="108" w:type="dxa"/>
          </w:tblCellMar>
        </w:tblPrEx>
        <w:trPr>
          <w:trHeight w:val="549"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hAnsi="华文细黑" w:eastAsia="华文细黑"/>
                <w:kern w:val="0"/>
                <w:sz w:val="20"/>
                <w:lang w:val="en-US" w:eastAsia="zh-CN"/>
              </w:rPr>
            </w:pPr>
            <w:r>
              <w:rPr>
                <w:rFonts w:hint="eastAsia" w:hAnsi="华文细黑" w:eastAsia="华文细黑"/>
                <w:kern w:val="0"/>
                <w:sz w:val="20"/>
                <w:lang w:val="en-US" w:eastAsia="zh-CN"/>
              </w:rPr>
              <w:t>三、对个人和家庭的补助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r>
              <w:rPr>
                <w:rFonts w:hint="eastAsia" w:hAnsi="华文细黑" w:eastAsia="华文细黑"/>
                <w:kern w:val="0"/>
                <w:sz w:val="20"/>
                <w:lang w:val="en-US" w:eastAsia="zh-CN"/>
              </w:rPr>
              <w:t>280.81</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r>
              <w:rPr>
                <w:rFonts w:hint="eastAsia" w:hAnsi="华文细黑" w:eastAsia="华文细黑"/>
                <w:kern w:val="0"/>
                <w:sz w:val="20"/>
                <w:lang w:val="en-US" w:eastAsia="zh-CN"/>
              </w:rPr>
              <w:t>280.81</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hAnsi="华文细黑" w:eastAsia="华文细黑"/>
                <w:kern w:val="0"/>
                <w:sz w:val="20"/>
                <w:lang w:val="en-US" w:eastAsia="zh-CN"/>
              </w:rPr>
            </w:pPr>
            <w:r>
              <w:rPr>
                <w:rFonts w:hint="eastAsia" w:hAnsi="华文细黑" w:eastAsia="华文细黑"/>
                <w:kern w:val="0"/>
                <w:sz w:val="20"/>
                <w:lang w:val="en-US" w:eastAsia="zh-CN"/>
              </w:rPr>
              <w:t>　离休费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r>
              <w:rPr>
                <w:rFonts w:hint="eastAsia" w:hAnsi="华文细黑" w:eastAsia="华文细黑"/>
                <w:kern w:val="0"/>
                <w:sz w:val="20"/>
                <w:lang w:val="en-US" w:eastAsia="zh-CN"/>
              </w:rPr>
              <w:t>18.04</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r>
              <w:rPr>
                <w:rFonts w:hint="eastAsia" w:hAnsi="华文细黑" w:eastAsia="华文细黑"/>
                <w:kern w:val="0"/>
                <w:sz w:val="20"/>
                <w:lang w:val="en-US" w:eastAsia="zh-CN"/>
              </w:rPr>
              <w:t>18.04</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hAnsi="华文细黑" w:eastAsia="华文细黑"/>
                <w:kern w:val="0"/>
                <w:sz w:val="20"/>
                <w:lang w:val="en-US" w:eastAsia="zh-CN"/>
              </w:rPr>
            </w:pPr>
            <w:r>
              <w:rPr>
                <w:rFonts w:hint="eastAsia" w:hAnsi="华文细黑" w:eastAsia="华文细黑"/>
                <w:kern w:val="0"/>
                <w:sz w:val="20"/>
                <w:lang w:val="en-US" w:eastAsia="zh-CN"/>
              </w:rPr>
              <w:t>　退休费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r>
              <w:rPr>
                <w:rFonts w:hint="eastAsia" w:hAnsi="华文细黑" w:eastAsia="华文细黑"/>
                <w:kern w:val="0"/>
                <w:sz w:val="20"/>
                <w:lang w:val="en-US" w:eastAsia="zh-CN"/>
              </w:rPr>
              <w:t>256.17</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r>
              <w:rPr>
                <w:rFonts w:hint="eastAsia" w:hAnsi="华文细黑" w:eastAsia="华文细黑"/>
                <w:kern w:val="0"/>
                <w:sz w:val="20"/>
                <w:lang w:val="en-US" w:eastAsia="zh-CN"/>
              </w:rPr>
              <w:t>256.17</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hAnsi="华文细黑" w:eastAsia="华文细黑"/>
                <w:kern w:val="0"/>
                <w:sz w:val="20"/>
                <w:lang w:val="en-US" w:eastAsia="zh-CN"/>
              </w:rPr>
            </w:pPr>
            <w:r>
              <w:rPr>
                <w:rFonts w:hint="eastAsia" w:hAnsi="华文细黑" w:eastAsia="华文细黑"/>
                <w:kern w:val="0"/>
                <w:sz w:val="20"/>
                <w:lang w:val="en-US" w:eastAsia="zh-CN"/>
              </w:rPr>
              <w:t>　其他对个人和家庭的补助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r>
              <w:rPr>
                <w:rFonts w:hint="eastAsia" w:hAnsi="华文细黑" w:eastAsia="华文细黑"/>
                <w:kern w:val="0"/>
                <w:sz w:val="20"/>
                <w:lang w:val="en-US" w:eastAsia="zh-CN"/>
              </w:rPr>
              <w:t>6.60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r>
              <w:rPr>
                <w:rFonts w:hint="eastAsia" w:hAnsi="华文细黑" w:eastAsia="华文细黑"/>
                <w:kern w:val="0"/>
                <w:sz w:val="20"/>
                <w:lang w:val="en-US" w:eastAsia="zh-CN"/>
              </w:rPr>
              <w:t>6.60</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p>
        </w:tc>
      </w:tr>
      <w:tr>
        <w:tblPrEx>
          <w:tblCellMar>
            <w:top w:w="0" w:type="dxa"/>
            <w:left w:w="108" w:type="dxa"/>
            <w:bottom w:w="0" w:type="dxa"/>
            <w:right w:w="108" w:type="dxa"/>
          </w:tblCellMar>
        </w:tblPrEx>
        <w:trPr>
          <w:trHeight w:val="522"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hAnsi="华文细黑" w:eastAsia="华文细黑"/>
                <w:kern w:val="0"/>
                <w:sz w:val="20"/>
                <w:lang w:val="en-US" w:eastAsia="zh-CN"/>
              </w:rPr>
            </w:pPr>
            <w:r>
              <w:rPr>
                <w:rFonts w:hint="eastAsia" w:hAnsi="华文细黑" w:eastAsia="华文细黑"/>
                <w:kern w:val="0"/>
                <w:sz w:val="20"/>
                <w:lang w:val="en-US" w:eastAsia="zh-CN"/>
              </w:rPr>
              <w:t>四、资本性支出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r>
              <w:rPr>
                <w:rFonts w:hint="eastAsia" w:hAnsi="华文细黑" w:eastAsia="华文细黑"/>
                <w:kern w:val="0"/>
                <w:sz w:val="20"/>
                <w:lang w:val="en-US" w:eastAsia="zh-CN"/>
              </w:rPr>
              <w:t>4.08</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r>
              <w:rPr>
                <w:rFonts w:hint="eastAsia" w:hAnsi="华文细黑" w:eastAsia="华文细黑"/>
                <w:kern w:val="0"/>
                <w:sz w:val="20"/>
                <w:lang w:val="en-US" w:eastAsia="zh-CN"/>
              </w:rPr>
              <w:t>4.08</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hAnsi="华文细黑" w:eastAsia="华文细黑"/>
                <w:kern w:val="0"/>
                <w:sz w:val="20"/>
                <w:lang w:val="en-US" w:eastAsia="zh-CN"/>
              </w:rPr>
            </w:pPr>
            <w:r>
              <w:rPr>
                <w:rFonts w:hint="eastAsia" w:hAnsi="华文细黑" w:eastAsia="华文细黑"/>
                <w:kern w:val="0"/>
                <w:sz w:val="20"/>
                <w:lang w:val="en-US" w:eastAsia="zh-CN"/>
              </w:rPr>
              <w:t>　办公设备购置</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r>
              <w:rPr>
                <w:rFonts w:hint="eastAsia" w:hAnsi="华文细黑" w:eastAsia="华文细黑"/>
                <w:kern w:val="0"/>
                <w:sz w:val="20"/>
                <w:lang w:val="en-US" w:eastAsia="zh-CN"/>
              </w:rPr>
              <w:t>4.08</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r>
              <w:rPr>
                <w:rFonts w:hint="eastAsia" w:hAnsi="华文细黑" w:eastAsia="华文细黑"/>
                <w:kern w:val="0"/>
                <w:sz w:val="20"/>
                <w:lang w:val="en-US" w:eastAsia="zh-CN"/>
              </w:rPr>
              <w:t>4.08</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eastAsia="zh-CN"/>
              </w:rPr>
            </w:pPr>
            <w:r>
              <w:rPr>
                <w:rFonts w:hint="eastAsia" w:hAnsi="华文细黑" w:eastAsia="华文细黑"/>
                <w:kern w:val="0"/>
                <w:sz w:val="20"/>
                <w:lang w:eastAsia="zh-CN"/>
              </w:rPr>
              <w:t>合计</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华文细黑" w:eastAsia="华文细黑"/>
                <w:kern w:val="0"/>
                <w:sz w:val="20"/>
                <w:lang w:val="en-US" w:eastAsia="zh-CN"/>
              </w:rPr>
            </w:pPr>
            <w:r>
              <w:rPr>
                <w:rFonts w:hint="default" w:hAnsi="华文细黑" w:eastAsia="华文细黑"/>
                <w:kern w:val="0"/>
                <w:sz w:val="20"/>
                <w:lang w:val="en-US" w:eastAsia="zh-CN"/>
              </w:rPr>
              <w:t>2590.50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hAnsi="华文细黑" w:eastAsia="华文细黑"/>
                <w:kern w:val="0"/>
                <w:sz w:val="20"/>
                <w:lang w:val="en-US" w:eastAsia="zh-CN"/>
              </w:rPr>
            </w:pPr>
            <w:r>
              <w:rPr>
                <w:rFonts w:hint="default" w:hAnsi="华文细黑" w:eastAsia="华文细黑"/>
                <w:kern w:val="0"/>
                <w:sz w:val="20"/>
                <w:lang w:val="en-US" w:eastAsia="zh-CN"/>
              </w:rPr>
              <w:t>2180.29</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hAnsi="华文细黑" w:eastAsia="华文细黑"/>
                <w:kern w:val="0"/>
                <w:sz w:val="20"/>
                <w:lang w:val="en-US" w:eastAsia="zh-CN"/>
              </w:rPr>
            </w:pPr>
            <w:r>
              <w:rPr>
                <w:rFonts w:hint="default" w:hAnsi="华文细黑" w:eastAsia="华文细黑"/>
                <w:kern w:val="0"/>
                <w:sz w:val="20"/>
                <w:lang w:val="en-US" w:eastAsia="zh-CN"/>
              </w:rPr>
              <w:t>410.21</w:t>
            </w:r>
          </w:p>
        </w:tc>
      </w:tr>
    </w:tbl>
    <w:p>
      <w:pPr>
        <w:rPr>
          <w:sz w:val="16"/>
          <w:szCs w:val="16"/>
        </w:rPr>
      </w:pPr>
    </w:p>
    <w:tbl>
      <w:tblPr>
        <w:tblStyle w:val="9"/>
        <w:tblW w:w="0" w:type="auto"/>
        <w:jc w:val="center"/>
        <w:tblLayout w:type="fixed"/>
        <w:tblCellMar>
          <w:top w:w="0" w:type="dxa"/>
          <w:left w:w="108" w:type="dxa"/>
          <w:bottom w:w="0" w:type="dxa"/>
          <w:right w:w="108" w:type="dxa"/>
        </w:tblCellMar>
      </w:tblPr>
      <w:tblGrid>
        <w:gridCol w:w="5769"/>
        <w:gridCol w:w="3371"/>
      </w:tblGrid>
      <w:tr>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pPr>
              <w:widowControl/>
              <w:jc w:val="right"/>
              <w:rPr>
                <w:rFonts w:eastAsia="华文细黑"/>
                <w:color w:val="000000"/>
                <w:kern w:val="0"/>
                <w:sz w:val="20"/>
              </w:rPr>
            </w:pPr>
            <w:r>
              <w:rPr>
                <w:rFonts w:hAnsi="华文细黑" w:eastAsia="华文细黑"/>
                <w:color w:val="000000"/>
                <w:kern w:val="0"/>
                <w:sz w:val="20"/>
              </w:rPr>
              <w:t>单位：万元</w:t>
            </w:r>
          </w:p>
        </w:tc>
      </w:tr>
      <w:tr>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4</w:t>
            </w:r>
            <w:r>
              <w:rPr>
                <w:rFonts w:hAnsi="华文细黑" w:eastAsia="华文细黑"/>
                <w:color w:val="000000"/>
                <w:kern w:val="0"/>
                <w:sz w:val="20"/>
              </w:rPr>
              <w:t>年预算数</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r>
              <w:rPr>
                <w:rFonts w:hint="eastAsia" w:eastAsia="宋体"/>
                <w:color w:val="000000"/>
                <w:kern w:val="0"/>
                <w:sz w:val="20"/>
              </w:rPr>
              <w:t>18.02</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r>
              <w:rPr>
                <w:rFonts w:hint="eastAsia" w:eastAsia="宋体"/>
                <w:color w:val="000000"/>
                <w:kern w:val="0"/>
                <w:sz w:val="20"/>
              </w:rPr>
              <w:t>2.72</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r>
              <w:rPr>
                <w:rFonts w:hint="eastAsia" w:eastAsia="宋体"/>
                <w:color w:val="000000"/>
                <w:kern w:val="0"/>
                <w:sz w:val="20"/>
              </w:rPr>
              <w:t>15.3</w:t>
            </w:r>
            <w:r>
              <w:rPr>
                <w:rFonts w:hint="eastAsia" w:eastAsia="宋体"/>
                <w:color w:val="000000"/>
                <w:kern w:val="0"/>
                <w:sz w:val="20"/>
                <w:lang w:val="en-US" w:eastAsia="zh-CN"/>
              </w:rPr>
              <w:t>0</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pPr>
              <w:widowControl/>
              <w:jc w:val="center"/>
              <w:rPr>
                <w:rFonts w:hint="eastAsia" w:eastAsia="宋体"/>
                <w:color w:val="000000"/>
                <w:kern w:val="0"/>
                <w:sz w:val="20"/>
                <w:lang w:val="en-US" w:eastAsia="zh-CN"/>
              </w:rPr>
            </w:pPr>
            <w:r>
              <w:rPr>
                <w:rFonts w:hint="eastAsia" w:eastAsia="宋体"/>
                <w:color w:val="000000"/>
                <w:kern w:val="0"/>
                <w:sz w:val="20"/>
              </w:rPr>
              <w:t>15.3</w:t>
            </w:r>
            <w:r>
              <w:rPr>
                <w:rFonts w:hint="eastAsia" w:eastAsia="宋体"/>
                <w:color w:val="000000"/>
                <w:kern w:val="0"/>
                <w:sz w:val="20"/>
                <w:lang w:val="en-US" w:eastAsia="zh-CN"/>
              </w:rPr>
              <w:t>0</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pPr>
              <w:ind w:firstLine="280" w:firstLineChars="1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说明：</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 xml:space="preserve">       1、“</w:t>
            </w:r>
            <w:r>
              <w:rPr>
                <w:rFonts w:hint="eastAsia" w:ascii="仿宋" w:hAnsi="仿宋" w:eastAsia="仿宋" w:cs="仿宋"/>
                <w:color w:val="000000"/>
                <w:kern w:val="0"/>
                <w:sz w:val="28"/>
                <w:szCs w:val="28"/>
                <w:lang w:eastAsia="zh-CN"/>
              </w:rPr>
              <w:t>202</w:t>
            </w:r>
            <w:r>
              <w:rPr>
                <w:rFonts w:hint="eastAsia" w:ascii="仿宋" w:hAnsi="仿宋" w:eastAsia="仿宋" w:cs="仿宋"/>
                <w:color w:val="000000"/>
                <w:kern w:val="0"/>
                <w:sz w:val="28"/>
                <w:szCs w:val="28"/>
                <w:lang w:val="en-US" w:eastAsia="zh-CN"/>
              </w:rPr>
              <w:t>4</w:t>
            </w:r>
            <w:r>
              <w:rPr>
                <w:rFonts w:hint="eastAsia" w:ascii="仿宋" w:hAnsi="仿宋" w:eastAsia="仿宋" w:cs="仿宋"/>
                <w:color w:val="000000"/>
                <w:kern w:val="0"/>
                <w:sz w:val="28"/>
                <w:szCs w:val="28"/>
                <w:lang w:eastAsia="zh-CN"/>
              </w:rPr>
              <w:t>年</w:t>
            </w:r>
            <w:r>
              <w:rPr>
                <w:rFonts w:hint="eastAsia" w:ascii="仿宋" w:hAnsi="仿宋" w:eastAsia="仿宋" w:cs="仿宋"/>
                <w:color w:val="000000"/>
                <w:kern w:val="0"/>
                <w:sz w:val="28"/>
                <w:szCs w:val="28"/>
              </w:rPr>
              <w:t>预算数”的单位范围</w:t>
            </w:r>
            <w:r>
              <w:rPr>
                <w:rFonts w:hint="eastAsia" w:ascii="仿宋" w:hAnsi="仿宋" w:eastAsia="仿宋" w:cs="仿宋"/>
                <w:color w:val="000000"/>
                <w:kern w:val="0"/>
                <w:sz w:val="28"/>
                <w:szCs w:val="28"/>
                <w:lang w:eastAsia="zh-CN"/>
              </w:rPr>
              <w:t>仅</w:t>
            </w:r>
            <w:r>
              <w:rPr>
                <w:rFonts w:hint="eastAsia" w:ascii="仿宋" w:hAnsi="仿宋" w:eastAsia="仿宋" w:cs="仿宋"/>
                <w:color w:val="000000"/>
                <w:kern w:val="0"/>
                <w:sz w:val="28"/>
                <w:szCs w:val="28"/>
              </w:rPr>
              <w:t>包括部门本级</w:t>
            </w:r>
            <w:r>
              <w:rPr>
                <w:rFonts w:hint="eastAsia" w:ascii="仿宋" w:hAnsi="仿宋" w:eastAsia="仿宋" w:cs="仿宋"/>
                <w:color w:val="000000"/>
                <w:kern w:val="0"/>
                <w:sz w:val="28"/>
                <w:szCs w:val="28"/>
                <w:lang w:val="en-US" w:eastAsia="zh-CN"/>
              </w:rPr>
              <w:t>1</w:t>
            </w:r>
            <w:r>
              <w:rPr>
                <w:rFonts w:hint="eastAsia" w:ascii="仿宋" w:hAnsi="仿宋" w:eastAsia="仿宋" w:cs="仿宋"/>
                <w:color w:val="000000"/>
                <w:kern w:val="0"/>
                <w:sz w:val="28"/>
                <w:szCs w:val="28"/>
              </w:rPr>
              <w:t xml:space="preserve">个预算单位。   </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 xml:space="preserve">       2、“</w:t>
            </w:r>
            <w:r>
              <w:rPr>
                <w:rFonts w:hint="eastAsia" w:ascii="仿宋" w:hAnsi="仿宋" w:eastAsia="仿宋" w:cs="仿宋"/>
                <w:color w:val="000000"/>
                <w:kern w:val="0"/>
                <w:sz w:val="28"/>
                <w:szCs w:val="28"/>
                <w:lang w:eastAsia="zh-CN"/>
              </w:rPr>
              <w:t>202</w:t>
            </w:r>
            <w:r>
              <w:rPr>
                <w:rFonts w:hint="eastAsia" w:ascii="仿宋" w:hAnsi="仿宋" w:eastAsia="仿宋" w:cs="仿宋"/>
                <w:color w:val="000000"/>
                <w:kern w:val="0"/>
                <w:sz w:val="28"/>
                <w:szCs w:val="28"/>
                <w:lang w:val="en-US" w:eastAsia="zh-CN"/>
              </w:rPr>
              <w:t>4</w:t>
            </w:r>
            <w:r>
              <w:rPr>
                <w:rFonts w:hint="eastAsia" w:ascii="仿宋" w:hAnsi="仿宋" w:eastAsia="仿宋" w:cs="仿宋"/>
                <w:color w:val="000000"/>
                <w:kern w:val="0"/>
                <w:sz w:val="28"/>
                <w:szCs w:val="28"/>
                <w:lang w:eastAsia="zh-CN"/>
              </w:rPr>
              <w:t>年</w:t>
            </w:r>
            <w:r>
              <w:rPr>
                <w:rFonts w:hint="eastAsia" w:ascii="仿宋" w:hAnsi="仿宋" w:eastAsia="仿宋" w:cs="仿宋"/>
                <w:color w:val="000000"/>
                <w:kern w:val="0"/>
                <w:sz w:val="28"/>
                <w:szCs w:val="28"/>
              </w:rPr>
              <w:t>预算数”的实有人员</w:t>
            </w:r>
            <w:r>
              <w:rPr>
                <w:rFonts w:hint="eastAsia" w:ascii="仿宋" w:hAnsi="仿宋" w:eastAsia="仿宋" w:cs="仿宋"/>
                <w:color w:val="000000"/>
                <w:kern w:val="0"/>
                <w:sz w:val="28"/>
                <w:szCs w:val="28"/>
                <w:lang w:val="en-US" w:eastAsia="zh-CN"/>
              </w:rPr>
              <w:t>173</w:t>
            </w:r>
            <w:r>
              <w:rPr>
                <w:rFonts w:hint="eastAsia" w:ascii="仿宋" w:hAnsi="仿宋" w:eastAsia="仿宋" w:cs="仿宋"/>
                <w:color w:val="000000"/>
                <w:kern w:val="0"/>
                <w:sz w:val="28"/>
                <w:szCs w:val="28"/>
              </w:rPr>
              <w:t xml:space="preserve">人，其中：在职人员 </w:t>
            </w:r>
            <w:r>
              <w:rPr>
                <w:rFonts w:hint="eastAsia" w:ascii="仿宋" w:hAnsi="仿宋" w:eastAsia="仿宋" w:cs="仿宋"/>
                <w:color w:val="000000"/>
                <w:kern w:val="0"/>
                <w:sz w:val="28"/>
                <w:szCs w:val="28"/>
                <w:lang w:val="en-US" w:eastAsia="zh-CN"/>
              </w:rPr>
              <w:t>90</w:t>
            </w:r>
            <w:r>
              <w:rPr>
                <w:rFonts w:hint="eastAsia" w:ascii="仿宋" w:hAnsi="仿宋" w:eastAsia="仿宋" w:cs="仿宋"/>
                <w:color w:val="000000"/>
                <w:kern w:val="0"/>
                <w:sz w:val="28"/>
                <w:szCs w:val="28"/>
              </w:rPr>
              <w:t xml:space="preserve"> 人，离退休人员</w:t>
            </w:r>
            <w:r>
              <w:rPr>
                <w:rFonts w:hint="eastAsia" w:ascii="仿宋" w:hAnsi="仿宋" w:eastAsia="仿宋" w:cs="仿宋"/>
                <w:color w:val="000000"/>
                <w:kern w:val="0"/>
                <w:sz w:val="28"/>
                <w:szCs w:val="28"/>
                <w:lang w:val="en-US" w:eastAsia="zh-CN"/>
              </w:rPr>
              <w:t>83</w:t>
            </w:r>
            <w:r>
              <w:rPr>
                <w:rFonts w:hint="eastAsia" w:ascii="仿宋" w:hAnsi="仿宋" w:eastAsia="仿宋" w:cs="仿宋"/>
                <w:color w:val="000000"/>
                <w:kern w:val="0"/>
                <w:sz w:val="28"/>
                <w:szCs w:val="28"/>
              </w:rPr>
              <w:t>人。</w:t>
            </w:r>
            <w:bookmarkStart w:id="0" w:name="_GoBack"/>
            <w:bookmarkEnd w:id="0"/>
          </w:p>
          <w:p>
            <w:pPr>
              <w:widowControl/>
              <w:jc w:val="both"/>
              <w:rPr>
                <w:rFonts w:hint="eastAsia" w:eastAsia="仿宋_GB2312"/>
                <w:color w:val="000000"/>
                <w:kern w:val="0"/>
                <w:sz w:val="28"/>
                <w:szCs w:val="28"/>
                <w:lang w:val="en-US" w:eastAsia="zh-CN"/>
              </w:rPr>
            </w:pPr>
          </w:p>
        </w:tc>
      </w:tr>
    </w:tbl>
    <w:p>
      <w:pPr>
        <w:ind w:firstLine="640" w:firstLineChars="200"/>
        <w:rPr>
          <w:rFonts w:hAnsi="楷体" w:eastAsia="楷体"/>
        </w:rPr>
      </w:pPr>
    </w:p>
    <w:p>
      <w:pPr>
        <w:ind w:firstLine="640" w:firstLineChars="200"/>
        <w:rPr>
          <w:rFonts w:hAnsi="楷体" w:eastAsia="楷体"/>
        </w:rPr>
      </w:pPr>
    </w:p>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r>
        <w:rPr>
          <w:rFonts w:eastAsia="楷体"/>
          <w:kern w:val="0"/>
          <w:szCs w:val="32"/>
        </w:rPr>
        <w:t xml:space="preserve">    </w:t>
      </w: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spacing w:line="700" w:lineRule="exact"/>
        <w:rPr>
          <w:rFonts w:eastAsia="楷体_GB2312"/>
          <w:kern w:val="0"/>
          <w:szCs w:val="32"/>
        </w:rPr>
      </w:pPr>
      <w:r>
        <w:rPr>
          <w:rFonts w:eastAsia="楷体_GB2312"/>
          <w:kern w:val="0"/>
          <w:szCs w:val="32"/>
        </w:rPr>
        <w:t xml:space="preserve">    </w:t>
      </w: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bl>
    <w:p>
      <w:pPr>
        <w:spacing w:line="700" w:lineRule="exact"/>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p>
    <w:p>
      <w:pPr>
        <w:spacing w:line="700" w:lineRule="exact"/>
        <w:jc w:val="center"/>
        <w:rPr>
          <w:rFonts w:eastAsia="楷体"/>
          <w:kern w:val="0"/>
          <w:szCs w:val="32"/>
        </w:rPr>
      </w:pPr>
    </w:p>
    <w:p>
      <w:pPr>
        <w:spacing w:line="700" w:lineRule="exact"/>
        <w:jc w:val="center"/>
        <w:rPr>
          <w:rFonts w:eastAsia="楷体"/>
          <w:kern w:val="0"/>
          <w:szCs w:val="32"/>
        </w:rPr>
      </w:pPr>
    </w:p>
    <w:p>
      <w:pPr>
        <w:rPr>
          <w:rFonts w:eastAsia="楷体"/>
          <w:kern w:val="0"/>
          <w:szCs w:val="32"/>
        </w:rPr>
      </w:pPr>
    </w:p>
    <w:tbl>
      <w:tblPr>
        <w:tblStyle w:val="9"/>
        <w:tblW w:w="11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913"/>
        <w:gridCol w:w="1314"/>
        <w:gridCol w:w="240"/>
        <w:gridCol w:w="1351"/>
        <w:gridCol w:w="941"/>
        <w:gridCol w:w="886"/>
        <w:gridCol w:w="491"/>
        <w:gridCol w:w="491"/>
        <w:gridCol w:w="423"/>
        <w:gridCol w:w="436"/>
        <w:gridCol w:w="791"/>
        <w:gridCol w:w="464"/>
        <w:gridCol w:w="450"/>
        <w:gridCol w:w="518"/>
        <w:gridCol w:w="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1237" w:type="dxa"/>
            <w:gridSpan w:val="16"/>
            <w:tcBorders>
              <w:top w:val="nil"/>
              <w:left w:val="nil"/>
              <w:bottom w:val="nil"/>
              <w:right w:val="nil"/>
            </w:tcBorders>
            <w:noWrap w:val="0"/>
            <w:vAlign w:val="center"/>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pPr>
              <w:autoSpaceDN w:val="0"/>
              <w:jc w:val="center"/>
              <w:textAlignment w:val="center"/>
              <w:rPr>
                <w:rFonts w:hint="eastAsia"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89"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227" w:type="dxa"/>
            <w:gridSpan w:val="2"/>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40"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351"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941"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727" w:type="dxa"/>
            <w:gridSpan w:val="5"/>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762" w:type="dxa"/>
            <w:gridSpan w:val="5"/>
            <w:tcBorders>
              <w:top w:val="nil"/>
              <w:left w:val="nil"/>
              <w:right w:val="nil"/>
            </w:tcBorders>
            <w:noWrap w:val="0"/>
            <w:vAlign w:val="bottom"/>
          </w:tcPr>
          <w:p>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89"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类型</w:t>
            </w:r>
          </w:p>
        </w:tc>
        <w:tc>
          <w:tcPr>
            <w:tcW w:w="2467" w:type="dxa"/>
            <w:gridSpan w:val="3"/>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项目名称</w:t>
            </w:r>
          </w:p>
        </w:tc>
        <w:tc>
          <w:tcPr>
            <w:tcW w:w="1351" w:type="dxa"/>
            <w:vMerge w:val="restart"/>
            <w:noWrap w:val="0"/>
            <w:textDirection w:val="tbRl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部门（单位）名称</w:t>
            </w:r>
          </w:p>
        </w:tc>
        <w:tc>
          <w:tcPr>
            <w:tcW w:w="941"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2727" w:type="dxa"/>
            <w:gridSpan w:val="5"/>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lang w:eastAsia="zh-CN"/>
              </w:rPr>
              <w:t>本年预算</w:t>
            </w:r>
          </w:p>
        </w:tc>
        <w:tc>
          <w:tcPr>
            <w:tcW w:w="2762" w:type="dxa"/>
            <w:gridSpan w:val="5"/>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89" w:type="dxa"/>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913" w:type="dxa"/>
            <w:vMerge w:val="restart"/>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一级项目</w:t>
            </w:r>
          </w:p>
        </w:tc>
        <w:tc>
          <w:tcPr>
            <w:tcW w:w="1554" w:type="dxa"/>
            <w:gridSpan w:val="2"/>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二级</w:t>
            </w:r>
            <w:r>
              <w:rPr>
                <w:rFonts w:hint="eastAsia" w:ascii="Calibri" w:hAnsi="Calibri" w:eastAsia="华文细黑"/>
                <w:color w:val="000000"/>
                <w:sz w:val="20"/>
                <w:szCs w:val="22"/>
                <w:lang w:val="en-US" w:eastAsia="zh-CN"/>
              </w:rPr>
              <w:t xml:space="preserve">  </w:t>
            </w:r>
            <w:r>
              <w:rPr>
                <w:rFonts w:hint="eastAsia" w:ascii="Calibri" w:hAnsi="Calibri" w:eastAsia="华文细黑"/>
                <w:color w:val="000000"/>
                <w:sz w:val="20"/>
                <w:szCs w:val="22"/>
              </w:rPr>
              <w:t>项目</w:t>
            </w:r>
          </w:p>
        </w:tc>
        <w:tc>
          <w:tcPr>
            <w:tcW w:w="1351"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p>
        </w:tc>
        <w:tc>
          <w:tcPr>
            <w:tcW w:w="941" w:type="dxa"/>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1868" w:type="dxa"/>
            <w:gridSpan w:val="3"/>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财政拨款</w:t>
            </w:r>
          </w:p>
        </w:tc>
        <w:tc>
          <w:tcPr>
            <w:tcW w:w="423" w:type="dxa"/>
            <w:vMerge w:val="restart"/>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436" w:type="dxa"/>
            <w:vMerge w:val="restart"/>
            <w:noWrap w:val="0"/>
            <w:textDirection w:val="tbLrV"/>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lang w:eastAsia="zh-CN"/>
              </w:rPr>
              <w:t>单位资金</w:t>
            </w:r>
          </w:p>
        </w:tc>
        <w:tc>
          <w:tcPr>
            <w:tcW w:w="1705" w:type="dxa"/>
            <w:gridSpan w:val="3"/>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财政拨款结转</w:t>
            </w:r>
          </w:p>
        </w:tc>
        <w:tc>
          <w:tcPr>
            <w:tcW w:w="1057" w:type="dxa"/>
            <w:gridSpan w:val="2"/>
            <w:noWrap w:val="0"/>
            <w:vAlign w:val="center"/>
          </w:tcPr>
          <w:p>
            <w:pPr>
              <w:tabs>
                <w:tab w:val="left" w:pos="492"/>
              </w:tabs>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989" w:type="dxa"/>
            <w:vMerge w:val="continue"/>
            <w:noWrap w:val="0"/>
            <w:vAlign w:val="center"/>
          </w:tcPr>
          <w:p>
            <w:pPr>
              <w:autoSpaceDN w:val="0"/>
              <w:jc w:val="center"/>
              <w:textAlignment w:val="center"/>
              <w:rPr>
                <w:rFonts w:ascii="Calibri" w:hAnsi="Calibri" w:eastAsia="华文细黑"/>
                <w:color w:val="000000"/>
                <w:sz w:val="20"/>
                <w:szCs w:val="22"/>
              </w:rPr>
            </w:pPr>
          </w:p>
        </w:tc>
        <w:tc>
          <w:tcPr>
            <w:tcW w:w="913" w:type="dxa"/>
            <w:vMerge w:val="continue"/>
            <w:noWrap w:val="0"/>
            <w:vAlign w:val="center"/>
          </w:tcPr>
          <w:p>
            <w:pPr>
              <w:autoSpaceDN w:val="0"/>
              <w:jc w:val="center"/>
              <w:textAlignment w:val="center"/>
              <w:rPr>
                <w:rFonts w:ascii="Calibri" w:hAnsi="Calibri" w:eastAsia="华文细黑"/>
                <w:color w:val="000000"/>
                <w:sz w:val="20"/>
                <w:szCs w:val="22"/>
              </w:rPr>
            </w:pPr>
          </w:p>
        </w:tc>
        <w:tc>
          <w:tcPr>
            <w:tcW w:w="1554" w:type="dxa"/>
            <w:gridSpan w:val="2"/>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1351" w:type="dxa"/>
            <w:vMerge w:val="continue"/>
            <w:noWrap w:val="0"/>
            <w:vAlign w:val="center"/>
          </w:tcPr>
          <w:p>
            <w:pPr>
              <w:autoSpaceDN w:val="0"/>
              <w:jc w:val="center"/>
              <w:textAlignment w:val="center"/>
              <w:rPr>
                <w:rFonts w:ascii="Calibri" w:hAnsi="Calibri" w:eastAsia="华文细黑"/>
                <w:color w:val="000000"/>
                <w:sz w:val="20"/>
                <w:szCs w:val="22"/>
              </w:rPr>
            </w:pPr>
          </w:p>
        </w:tc>
        <w:tc>
          <w:tcPr>
            <w:tcW w:w="941" w:type="dxa"/>
            <w:vMerge w:val="continue"/>
            <w:noWrap w:val="0"/>
            <w:vAlign w:val="center"/>
          </w:tcPr>
          <w:p>
            <w:pPr>
              <w:autoSpaceDN w:val="0"/>
              <w:jc w:val="center"/>
              <w:textAlignment w:val="center"/>
              <w:rPr>
                <w:rFonts w:ascii="Calibri" w:hAnsi="Calibri" w:eastAsia="华文细黑"/>
                <w:color w:val="000000"/>
                <w:sz w:val="20"/>
                <w:szCs w:val="22"/>
              </w:rPr>
            </w:pPr>
          </w:p>
        </w:tc>
        <w:tc>
          <w:tcPr>
            <w:tcW w:w="886"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一般公共预算</w:t>
            </w:r>
          </w:p>
        </w:tc>
        <w:tc>
          <w:tcPr>
            <w:tcW w:w="491" w:type="dxa"/>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政府性</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基金</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预算</w:t>
            </w:r>
          </w:p>
        </w:tc>
        <w:tc>
          <w:tcPr>
            <w:tcW w:w="491"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国有资本经营预算</w:t>
            </w:r>
          </w:p>
        </w:tc>
        <w:tc>
          <w:tcPr>
            <w:tcW w:w="423"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p>
        </w:tc>
        <w:tc>
          <w:tcPr>
            <w:tcW w:w="436"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rPr>
            </w:pPr>
          </w:p>
        </w:tc>
        <w:tc>
          <w:tcPr>
            <w:tcW w:w="791"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公共</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464"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政府性</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基金</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450"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国有资本经营</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518" w:type="dxa"/>
            <w:noWrap w:val="0"/>
            <w:textDirection w:val="tbRl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539" w:type="dxa"/>
            <w:noWrap w:val="0"/>
            <w:textDirection w:val="tbRlV"/>
            <w:vAlign w:val="center"/>
          </w:tcPr>
          <w:p>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89" w:type="dxa"/>
            <w:noWrap w:val="0"/>
            <w:vAlign w:val="center"/>
          </w:tcPr>
          <w:p>
            <w:pPr>
              <w:keepNext w:val="0"/>
              <w:keepLines w:val="0"/>
              <w:widowControl/>
              <w:suppressLineNumbers w:val="0"/>
              <w:jc w:val="left"/>
              <w:textAlignment w:val="center"/>
              <w:rPr>
                <w:rFonts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专业信息系统运行维护</w:t>
            </w:r>
          </w:p>
        </w:tc>
        <w:tc>
          <w:tcPr>
            <w:tcW w:w="913" w:type="dxa"/>
            <w:noWrap w:val="0"/>
            <w:vAlign w:val="center"/>
          </w:tcPr>
          <w:p>
            <w:pPr>
              <w:jc w:val="left"/>
              <w:rPr>
                <w:rFonts w:hint="eastAsia" w:ascii="华文细黑" w:hAnsi="华文细黑" w:eastAsia="华文细黑" w:cs="华文细黑"/>
                <w:i w:val="0"/>
                <w:iCs w:val="0"/>
                <w:color w:val="000000"/>
                <w:kern w:val="2"/>
                <w:sz w:val="16"/>
                <w:szCs w:val="16"/>
                <w:u w:val="none"/>
                <w:lang w:val="en-US" w:eastAsia="zh-CN" w:bidi="ar-SA"/>
              </w:rPr>
            </w:pPr>
          </w:p>
        </w:tc>
        <w:tc>
          <w:tcPr>
            <w:tcW w:w="1554" w:type="dxa"/>
            <w:gridSpan w:val="2"/>
            <w:noWrap w:val="0"/>
            <w:vAlign w:val="center"/>
          </w:tcPr>
          <w:p>
            <w:pPr>
              <w:jc w:val="left"/>
              <w:rPr>
                <w:rFonts w:hint="eastAsia" w:ascii="华文细黑" w:hAnsi="华文细黑" w:eastAsia="华文细黑" w:cs="华文细黑"/>
                <w:i w:val="0"/>
                <w:iCs w:val="0"/>
                <w:color w:val="000000"/>
                <w:kern w:val="2"/>
                <w:sz w:val="16"/>
                <w:szCs w:val="16"/>
                <w:u w:val="none"/>
                <w:lang w:val="en-US" w:eastAsia="zh-CN" w:bidi="ar-SA"/>
              </w:rPr>
            </w:pPr>
          </w:p>
        </w:tc>
        <w:tc>
          <w:tcPr>
            <w:tcW w:w="1351" w:type="dxa"/>
            <w:noWrap w:val="0"/>
            <w:vAlign w:val="center"/>
          </w:tcPr>
          <w:p>
            <w:pPr>
              <w:spacing w:line="700" w:lineRule="exact"/>
              <w:jc w:val="center"/>
              <w:rPr>
                <w:rFonts w:ascii="Calibri" w:hAnsi="Calibri" w:eastAsia="楷体"/>
                <w:kern w:val="0"/>
                <w:szCs w:val="32"/>
              </w:rPr>
            </w:pPr>
          </w:p>
        </w:tc>
        <w:tc>
          <w:tcPr>
            <w:tcW w:w="941" w:type="dxa"/>
            <w:noWrap w:val="0"/>
            <w:vAlign w:val="center"/>
          </w:tcPr>
          <w:p>
            <w:pPr>
              <w:keepNext w:val="0"/>
              <w:keepLines w:val="0"/>
              <w:widowControl/>
              <w:suppressLineNumbers w:val="0"/>
              <w:jc w:val="right"/>
              <w:textAlignment w:val="center"/>
              <w:rPr>
                <w:rFonts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468.50</w:t>
            </w:r>
          </w:p>
        </w:tc>
        <w:tc>
          <w:tcPr>
            <w:tcW w:w="886" w:type="dxa"/>
            <w:noWrap w:val="0"/>
            <w:vAlign w:val="center"/>
          </w:tcPr>
          <w:p>
            <w:pPr>
              <w:keepNext w:val="0"/>
              <w:keepLines w:val="0"/>
              <w:widowControl/>
              <w:suppressLineNumbers w:val="0"/>
              <w:jc w:val="right"/>
              <w:textAlignment w:val="center"/>
              <w:rPr>
                <w:rFonts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463.00</w:t>
            </w:r>
          </w:p>
        </w:tc>
        <w:tc>
          <w:tcPr>
            <w:tcW w:w="491" w:type="dxa"/>
            <w:noWrap w:val="0"/>
            <w:vAlign w:val="center"/>
          </w:tcPr>
          <w:p>
            <w:pPr>
              <w:spacing w:line="700" w:lineRule="exact"/>
              <w:jc w:val="center"/>
              <w:rPr>
                <w:rFonts w:ascii="Calibri" w:hAnsi="Calibri" w:eastAsia="楷体"/>
                <w:kern w:val="0"/>
                <w:sz w:val="32"/>
                <w:szCs w:val="32"/>
              </w:rPr>
            </w:pPr>
          </w:p>
        </w:tc>
        <w:tc>
          <w:tcPr>
            <w:tcW w:w="491" w:type="dxa"/>
            <w:noWrap w:val="0"/>
            <w:vAlign w:val="center"/>
          </w:tcPr>
          <w:p>
            <w:pPr>
              <w:spacing w:line="700" w:lineRule="exact"/>
              <w:jc w:val="center"/>
              <w:rPr>
                <w:rFonts w:ascii="Calibri" w:hAnsi="Calibri" w:eastAsia="楷体"/>
                <w:kern w:val="0"/>
                <w:sz w:val="32"/>
                <w:szCs w:val="32"/>
              </w:rPr>
            </w:pPr>
          </w:p>
        </w:tc>
        <w:tc>
          <w:tcPr>
            <w:tcW w:w="423" w:type="dxa"/>
            <w:noWrap w:val="0"/>
            <w:vAlign w:val="center"/>
          </w:tcPr>
          <w:p>
            <w:pPr>
              <w:spacing w:line="700" w:lineRule="exact"/>
              <w:jc w:val="center"/>
              <w:rPr>
                <w:rFonts w:ascii="Calibri" w:hAnsi="Calibri" w:eastAsia="楷体"/>
                <w:kern w:val="0"/>
                <w:sz w:val="32"/>
                <w:szCs w:val="32"/>
              </w:rPr>
            </w:pPr>
          </w:p>
        </w:tc>
        <w:tc>
          <w:tcPr>
            <w:tcW w:w="436" w:type="dxa"/>
            <w:noWrap w:val="0"/>
            <w:vAlign w:val="center"/>
          </w:tcPr>
          <w:p>
            <w:pPr>
              <w:spacing w:line="700" w:lineRule="exact"/>
              <w:jc w:val="center"/>
              <w:rPr>
                <w:rFonts w:ascii="Calibri" w:hAnsi="Calibri" w:eastAsia="楷体"/>
                <w:kern w:val="0"/>
                <w:sz w:val="32"/>
                <w:szCs w:val="32"/>
              </w:rPr>
            </w:pPr>
          </w:p>
        </w:tc>
        <w:tc>
          <w:tcPr>
            <w:tcW w:w="791" w:type="dxa"/>
            <w:noWrap w:val="0"/>
            <w:vAlign w:val="center"/>
          </w:tcPr>
          <w:p>
            <w:pPr>
              <w:keepNext w:val="0"/>
              <w:keepLines w:val="0"/>
              <w:widowControl/>
              <w:suppressLineNumbers w:val="0"/>
              <w:jc w:val="right"/>
              <w:textAlignment w:val="center"/>
              <w:rPr>
                <w:rFonts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5.50</w:t>
            </w:r>
          </w:p>
        </w:tc>
        <w:tc>
          <w:tcPr>
            <w:tcW w:w="464" w:type="dxa"/>
            <w:noWrap w:val="0"/>
            <w:vAlign w:val="center"/>
          </w:tcPr>
          <w:p>
            <w:pPr>
              <w:spacing w:line="700" w:lineRule="exact"/>
              <w:jc w:val="center"/>
              <w:rPr>
                <w:rFonts w:ascii="Calibri" w:hAnsi="Calibri" w:eastAsia="楷体"/>
                <w:kern w:val="0"/>
                <w:szCs w:val="32"/>
              </w:rPr>
            </w:pPr>
          </w:p>
        </w:tc>
        <w:tc>
          <w:tcPr>
            <w:tcW w:w="450" w:type="dxa"/>
            <w:noWrap w:val="0"/>
            <w:vAlign w:val="center"/>
          </w:tcPr>
          <w:p>
            <w:pPr>
              <w:spacing w:line="700" w:lineRule="exact"/>
              <w:jc w:val="center"/>
              <w:rPr>
                <w:rFonts w:ascii="Calibri" w:hAnsi="Calibri" w:eastAsia="楷体"/>
                <w:kern w:val="0"/>
                <w:szCs w:val="32"/>
              </w:rPr>
            </w:pPr>
          </w:p>
        </w:tc>
        <w:tc>
          <w:tcPr>
            <w:tcW w:w="518" w:type="dxa"/>
            <w:noWrap w:val="0"/>
            <w:vAlign w:val="center"/>
          </w:tcPr>
          <w:p>
            <w:pPr>
              <w:spacing w:line="700" w:lineRule="exact"/>
              <w:jc w:val="center"/>
              <w:rPr>
                <w:rFonts w:ascii="Calibri" w:hAnsi="Calibri" w:eastAsia="楷体"/>
                <w:kern w:val="0"/>
                <w:szCs w:val="32"/>
              </w:rPr>
            </w:pPr>
          </w:p>
        </w:tc>
        <w:tc>
          <w:tcPr>
            <w:tcW w:w="539"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89" w:type="dxa"/>
            <w:noWrap w:val="0"/>
            <w:vAlign w:val="center"/>
          </w:tcPr>
          <w:p>
            <w:pPr>
              <w:jc w:val="left"/>
              <w:rPr>
                <w:rFonts w:hint="eastAsia" w:ascii="华文细黑" w:hAnsi="华文细黑" w:eastAsia="华文细黑" w:cs="华文细黑"/>
                <w:i w:val="0"/>
                <w:iCs w:val="0"/>
                <w:color w:val="000000"/>
                <w:kern w:val="2"/>
                <w:sz w:val="16"/>
                <w:szCs w:val="16"/>
                <w:u w:val="none"/>
                <w:lang w:val="en-US" w:eastAsia="zh-CN" w:bidi="ar-SA"/>
              </w:rPr>
            </w:pPr>
          </w:p>
        </w:tc>
        <w:tc>
          <w:tcPr>
            <w:tcW w:w="913"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统计综合业务管理</w:t>
            </w:r>
          </w:p>
        </w:tc>
        <w:tc>
          <w:tcPr>
            <w:tcW w:w="1554" w:type="dxa"/>
            <w:gridSpan w:val="2"/>
            <w:noWrap w:val="0"/>
            <w:vAlign w:val="center"/>
          </w:tcPr>
          <w:p>
            <w:pPr>
              <w:jc w:val="left"/>
              <w:rPr>
                <w:rFonts w:hint="eastAsia" w:ascii="华文细黑" w:hAnsi="华文细黑" w:eastAsia="华文细黑" w:cs="华文细黑"/>
                <w:i w:val="0"/>
                <w:iCs w:val="0"/>
                <w:color w:val="000000"/>
                <w:kern w:val="2"/>
                <w:sz w:val="16"/>
                <w:szCs w:val="16"/>
                <w:u w:val="none"/>
                <w:lang w:val="en-US" w:eastAsia="zh-CN" w:bidi="ar-SA"/>
              </w:rPr>
            </w:pPr>
          </w:p>
        </w:tc>
        <w:tc>
          <w:tcPr>
            <w:tcW w:w="1351" w:type="dxa"/>
            <w:noWrap w:val="0"/>
            <w:vAlign w:val="center"/>
          </w:tcPr>
          <w:p>
            <w:pPr>
              <w:spacing w:line="700" w:lineRule="exact"/>
              <w:jc w:val="center"/>
              <w:rPr>
                <w:rFonts w:ascii="Calibri" w:hAnsi="Calibri" w:eastAsia="楷体"/>
                <w:kern w:val="0"/>
                <w:szCs w:val="32"/>
              </w:rPr>
            </w:pPr>
          </w:p>
        </w:tc>
        <w:tc>
          <w:tcPr>
            <w:tcW w:w="941" w:type="dxa"/>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468.50</w:t>
            </w:r>
          </w:p>
        </w:tc>
        <w:tc>
          <w:tcPr>
            <w:tcW w:w="886" w:type="dxa"/>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463.00</w:t>
            </w:r>
          </w:p>
        </w:tc>
        <w:tc>
          <w:tcPr>
            <w:tcW w:w="491" w:type="dxa"/>
            <w:noWrap w:val="0"/>
            <w:vAlign w:val="center"/>
          </w:tcPr>
          <w:p>
            <w:pPr>
              <w:spacing w:line="700" w:lineRule="exact"/>
              <w:jc w:val="center"/>
              <w:rPr>
                <w:rFonts w:ascii="Calibri" w:hAnsi="Calibri" w:eastAsia="楷体"/>
                <w:kern w:val="0"/>
                <w:sz w:val="32"/>
                <w:szCs w:val="32"/>
              </w:rPr>
            </w:pPr>
          </w:p>
        </w:tc>
        <w:tc>
          <w:tcPr>
            <w:tcW w:w="491" w:type="dxa"/>
            <w:noWrap w:val="0"/>
            <w:vAlign w:val="center"/>
          </w:tcPr>
          <w:p>
            <w:pPr>
              <w:spacing w:line="700" w:lineRule="exact"/>
              <w:jc w:val="center"/>
              <w:rPr>
                <w:rFonts w:ascii="Calibri" w:hAnsi="Calibri" w:eastAsia="楷体"/>
                <w:kern w:val="0"/>
                <w:sz w:val="32"/>
                <w:szCs w:val="32"/>
              </w:rPr>
            </w:pPr>
          </w:p>
        </w:tc>
        <w:tc>
          <w:tcPr>
            <w:tcW w:w="423" w:type="dxa"/>
            <w:noWrap w:val="0"/>
            <w:vAlign w:val="center"/>
          </w:tcPr>
          <w:p>
            <w:pPr>
              <w:spacing w:line="700" w:lineRule="exact"/>
              <w:jc w:val="center"/>
              <w:rPr>
                <w:rFonts w:ascii="Calibri" w:hAnsi="Calibri" w:eastAsia="楷体"/>
                <w:kern w:val="0"/>
                <w:sz w:val="32"/>
                <w:szCs w:val="32"/>
              </w:rPr>
            </w:pPr>
          </w:p>
        </w:tc>
        <w:tc>
          <w:tcPr>
            <w:tcW w:w="436" w:type="dxa"/>
            <w:noWrap w:val="0"/>
            <w:vAlign w:val="center"/>
          </w:tcPr>
          <w:p>
            <w:pPr>
              <w:spacing w:line="700" w:lineRule="exact"/>
              <w:jc w:val="center"/>
              <w:rPr>
                <w:rFonts w:ascii="Calibri" w:hAnsi="Calibri" w:eastAsia="楷体"/>
                <w:kern w:val="0"/>
                <w:sz w:val="32"/>
                <w:szCs w:val="32"/>
              </w:rPr>
            </w:pPr>
          </w:p>
        </w:tc>
        <w:tc>
          <w:tcPr>
            <w:tcW w:w="791" w:type="dxa"/>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5.50</w:t>
            </w:r>
          </w:p>
        </w:tc>
        <w:tc>
          <w:tcPr>
            <w:tcW w:w="464" w:type="dxa"/>
            <w:noWrap w:val="0"/>
            <w:vAlign w:val="center"/>
          </w:tcPr>
          <w:p>
            <w:pPr>
              <w:spacing w:line="700" w:lineRule="exact"/>
              <w:jc w:val="center"/>
              <w:rPr>
                <w:rFonts w:ascii="Calibri" w:hAnsi="Calibri" w:eastAsia="楷体"/>
                <w:kern w:val="0"/>
                <w:szCs w:val="32"/>
              </w:rPr>
            </w:pPr>
          </w:p>
        </w:tc>
        <w:tc>
          <w:tcPr>
            <w:tcW w:w="450" w:type="dxa"/>
            <w:noWrap w:val="0"/>
            <w:vAlign w:val="center"/>
          </w:tcPr>
          <w:p>
            <w:pPr>
              <w:spacing w:line="700" w:lineRule="exact"/>
              <w:jc w:val="center"/>
              <w:rPr>
                <w:rFonts w:ascii="Calibri" w:hAnsi="Calibri" w:eastAsia="楷体"/>
                <w:kern w:val="0"/>
                <w:szCs w:val="32"/>
              </w:rPr>
            </w:pPr>
          </w:p>
        </w:tc>
        <w:tc>
          <w:tcPr>
            <w:tcW w:w="518" w:type="dxa"/>
            <w:noWrap w:val="0"/>
            <w:vAlign w:val="center"/>
          </w:tcPr>
          <w:p>
            <w:pPr>
              <w:spacing w:line="700" w:lineRule="exact"/>
              <w:jc w:val="center"/>
              <w:rPr>
                <w:rFonts w:ascii="Calibri" w:hAnsi="Calibri" w:eastAsia="楷体"/>
                <w:kern w:val="0"/>
                <w:szCs w:val="32"/>
              </w:rPr>
            </w:pPr>
          </w:p>
        </w:tc>
        <w:tc>
          <w:tcPr>
            <w:tcW w:w="539"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89" w:type="dxa"/>
            <w:noWrap w:val="0"/>
            <w:vAlign w:val="center"/>
          </w:tcPr>
          <w:p>
            <w:pPr>
              <w:jc w:val="left"/>
              <w:rPr>
                <w:rFonts w:hint="eastAsia" w:ascii="华文细黑" w:hAnsi="华文细黑" w:eastAsia="华文细黑" w:cs="华文细黑"/>
                <w:i w:val="0"/>
                <w:iCs w:val="0"/>
                <w:color w:val="000000"/>
                <w:kern w:val="2"/>
                <w:sz w:val="16"/>
                <w:szCs w:val="16"/>
                <w:u w:val="none"/>
                <w:lang w:val="en-US" w:eastAsia="zh-CN" w:bidi="ar-SA"/>
              </w:rPr>
            </w:pPr>
          </w:p>
        </w:tc>
        <w:tc>
          <w:tcPr>
            <w:tcW w:w="913" w:type="dxa"/>
            <w:noWrap w:val="0"/>
            <w:vAlign w:val="center"/>
          </w:tcPr>
          <w:p>
            <w:pPr>
              <w:jc w:val="left"/>
              <w:rPr>
                <w:rFonts w:hint="eastAsia" w:ascii="华文细黑" w:hAnsi="华文细黑" w:eastAsia="华文细黑" w:cs="华文细黑"/>
                <w:i w:val="0"/>
                <w:iCs w:val="0"/>
                <w:color w:val="000000"/>
                <w:kern w:val="2"/>
                <w:sz w:val="16"/>
                <w:szCs w:val="16"/>
                <w:u w:val="none"/>
                <w:lang w:val="en-US" w:eastAsia="zh-CN" w:bidi="ar-SA"/>
              </w:rPr>
            </w:pPr>
          </w:p>
        </w:tc>
        <w:tc>
          <w:tcPr>
            <w:tcW w:w="1554" w:type="dxa"/>
            <w:gridSpan w:val="2"/>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吉林省统计局中心机房设备托管经费</w:t>
            </w:r>
          </w:p>
        </w:tc>
        <w:tc>
          <w:tcPr>
            <w:tcW w:w="1351"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r>
              <w:rPr>
                <w:rFonts w:hint="eastAsia" w:ascii="华文细黑" w:hAnsi="华文细黑" w:eastAsia="华文细黑" w:cs="华文细黑"/>
                <w:i w:val="0"/>
                <w:iCs w:val="0"/>
                <w:color w:val="000000"/>
                <w:kern w:val="0"/>
                <w:sz w:val="16"/>
                <w:szCs w:val="16"/>
                <w:u w:val="none"/>
                <w:lang w:val="en-US" w:eastAsia="zh-CN" w:bidi="ar"/>
              </w:rPr>
              <w:t>吉林省统计局（本级）</w:t>
            </w:r>
          </w:p>
        </w:tc>
        <w:tc>
          <w:tcPr>
            <w:tcW w:w="941" w:type="dxa"/>
            <w:noWrap w:val="0"/>
            <w:vAlign w:val="center"/>
          </w:tcPr>
          <w:p>
            <w:pPr>
              <w:keepNext w:val="0"/>
              <w:keepLines w:val="0"/>
              <w:widowControl/>
              <w:suppressLineNumbers w:val="0"/>
              <w:jc w:val="right"/>
              <w:textAlignment w:val="center"/>
              <w:rPr>
                <w:rFonts w:hint="eastAsia"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183.00</w:t>
            </w:r>
          </w:p>
        </w:tc>
        <w:tc>
          <w:tcPr>
            <w:tcW w:w="886" w:type="dxa"/>
            <w:noWrap w:val="0"/>
            <w:vAlign w:val="center"/>
          </w:tcPr>
          <w:p>
            <w:pPr>
              <w:keepNext w:val="0"/>
              <w:keepLines w:val="0"/>
              <w:widowControl/>
              <w:suppressLineNumbers w:val="0"/>
              <w:jc w:val="right"/>
              <w:textAlignment w:val="center"/>
              <w:rPr>
                <w:rFonts w:hint="eastAsia"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180.00</w:t>
            </w:r>
          </w:p>
        </w:tc>
        <w:tc>
          <w:tcPr>
            <w:tcW w:w="491"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91"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23"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36"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791" w:type="dxa"/>
            <w:noWrap w:val="0"/>
            <w:vAlign w:val="center"/>
          </w:tcPr>
          <w:p>
            <w:pPr>
              <w:keepNext w:val="0"/>
              <w:keepLines w:val="0"/>
              <w:widowControl/>
              <w:suppressLineNumbers w:val="0"/>
              <w:jc w:val="right"/>
              <w:textAlignment w:val="center"/>
              <w:rPr>
                <w:rFonts w:hint="eastAsia"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3.00</w:t>
            </w:r>
          </w:p>
        </w:tc>
        <w:tc>
          <w:tcPr>
            <w:tcW w:w="464"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50"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518"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539"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89" w:type="dxa"/>
            <w:noWrap w:val="0"/>
            <w:vAlign w:val="center"/>
          </w:tcPr>
          <w:p>
            <w:pPr>
              <w:jc w:val="left"/>
              <w:rPr>
                <w:rFonts w:hint="eastAsia" w:ascii="华文细黑" w:hAnsi="华文细黑" w:eastAsia="华文细黑" w:cs="华文细黑"/>
                <w:i w:val="0"/>
                <w:iCs w:val="0"/>
                <w:color w:val="000000"/>
                <w:kern w:val="2"/>
                <w:sz w:val="16"/>
                <w:szCs w:val="16"/>
                <w:u w:val="none"/>
                <w:lang w:val="en-US" w:eastAsia="zh-CN" w:bidi="ar-SA"/>
              </w:rPr>
            </w:pPr>
          </w:p>
        </w:tc>
        <w:tc>
          <w:tcPr>
            <w:tcW w:w="913" w:type="dxa"/>
            <w:noWrap w:val="0"/>
            <w:vAlign w:val="center"/>
          </w:tcPr>
          <w:p>
            <w:pPr>
              <w:jc w:val="left"/>
              <w:rPr>
                <w:rFonts w:hint="eastAsia" w:ascii="华文细黑" w:hAnsi="华文细黑" w:eastAsia="华文细黑" w:cs="华文细黑"/>
                <w:i w:val="0"/>
                <w:iCs w:val="0"/>
                <w:color w:val="000000"/>
                <w:kern w:val="2"/>
                <w:sz w:val="16"/>
                <w:szCs w:val="16"/>
                <w:u w:val="none"/>
                <w:lang w:val="en-US" w:eastAsia="zh-CN" w:bidi="ar-SA"/>
              </w:rPr>
            </w:pPr>
          </w:p>
        </w:tc>
        <w:tc>
          <w:tcPr>
            <w:tcW w:w="1554" w:type="dxa"/>
            <w:gridSpan w:val="2"/>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吉林统计调查信息网络运行经费</w:t>
            </w:r>
          </w:p>
        </w:tc>
        <w:tc>
          <w:tcPr>
            <w:tcW w:w="1351"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r>
              <w:rPr>
                <w:rFonts w:hint="eastAsia" w:ascii="华文细黑" w:hAnsi="华文细黑" w:eastAsia="华文细黑" w:cs="华文细黑"/>
                <w:i w:val="0"/>
                <w:iCs w:val="0"/>
                <w:color w:val="000000"/>
                <w:kern w:val="0"/>
                <w:sz w:val="16"/>
                <w:szCs w:val="16"/>
                <w:u w:val="none"/>
                <w:lang w:val="en-US" w:eastAsia="zh-CN" w:bidi="ar"/>
              </w:rPr>
              <w:t>吉林省统计局（本级）</w:t>
            </w:r>
          </w:p>
        </w:tc>
        <w:tc>
          <w:tcPr>
            <w:tcW w:w="941" w:type="dxa"/>
            <w:noWrap w:val="0"/>
            <w:vAlign w:val="center"/>
          </w:tcPr>
          <w:p>
            <w:pPr>
              <w:keepNext w:val="0"/>
              <w:keepLines w:val="0"/>
              <w:widowControl/>
              <w:suppressLineNumbers w:val="0"/>
              <w:jc w:val="right"/>
              <w:textAlignment w:val="center"/>
              <w:rPr>
                <w:rFonts w:hint="eastAsia"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189.50</w:t>
            </w:r>
          </w:p>
        </w:tc>
        <w:tc>
          <w:tcPr>
            <w:tcW w:w="886" w:type="dxa"/>
            <w:noWrap w:val="0"/>
            <w:vAlign w:val="center"/>
          </w:tcPr>
          <w:p>
            <w:pPr>
              <w:keepNext w:val="0"/>
              <w:keepLines w:val="0"/>
              <w:widowControl/>
              <w:suppressLineNumbers w:val="0"/>
              <w:jc w:val="right"/>
              <w:textAlignment w:val="center"/>
              <w:rPr>
                <w:rFonts w:hint="eastAsia"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188.00</w:t>
            </w:r>
          </w:p>
        </w:tc>
        <w:tc>
          <w:tcPr>
            <w:tcW w:w="491"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91"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23"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36"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791" w:type="dxa"/>
            <w:noWrap w:val="0"/>
            <w:vAlign w:val="center"/>
          </w:tcPr>
          <w:p>
            <w:pPr>
              <w:keepNext w:val="0"/>
              <w:keepLines w:val="0"/>
              <w:widowControl/>
              <w:suppressLineNumbers w:val="0"/>
              <w:jc w:val="right"/>
              <w:textAlignment w:val="center"/>
              <w:rPr>
                <w:rFonts w:hint="eastAsia"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1.50</w:t>
            </w:r>
          </w:p>
        </w:tc>
        <w:tc>
          <w:tcPr>
            <w:tcW w:w="464"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50"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518"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539"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89" w:type="dxa"/>
            <w:noWrap w:val="0"/>
            <w:vAlign w:val="center"/>
          </w:tcPr>
          <w:p>
            <w:pPr>
              <w:jc w:val="left"/>
              <w:rPr>
                <w:rFonts w:hint="eastAsia" w:ascii="华文细黑" w:hAnsi="华文细黑" w:eastAsia="华文细黑" w:cs="华文细黑"/>
                <w:i w:val="0"/>
                <w:iCs w:val="0"/>
                <w:color w:val="000000"/>
                <w:kern w:val="2"/>
                <w:sz w:val="16"/>
                <w:szCs w:val="16"/>
                <w:u w:val="none"/>
                <w:lang w:val="en-US" w:eastAsia="zh-CN" w:bidi="ar-SA"/>
              </w:rPr>
            </w:pPr>
          </w:p>
        </w:tc>
        <w:tc>
          <w:tcPr>
            <w:tcW w:w="913" w:type="dxa"/>
            <w:noWrap w:val="0"/>
            <w:vAlign w:val="center"/>
          </w:tcPr>
          <w:p>
            <w:pPr>
              <w:jc w:val="left"/>
              <w:rPr>
                <w:rFonts w:hint="eastAsia" w:ascii="华文细黑" w:hAnsi="华文细黑" w:eastAsia="华文细黑" w:cs="华文细黑"/>
                <w:i w:val="0"/>
                <w:iCs w:val="0"/>
                <w:color w:val="000000"/>
                <w:kern w:val="2"/>
                <w:sz w:val="16"/>
                <w:szCs w:val="16"/>
                <w:u w:val="none"/>
                <w:lang w:val="en-US" w:eastAsia="zh-CN" w:bidi="ar-SA"/>
              </w:rPr>
            </w:pPr>
          </w:p>
        </w:tc>
        <w:tc>
          <w:tcPr>
            <w:tcW w:w="1554" w:type="dxa"/>
            <w:gridSpan w:val="2"/>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统计云平台运行维护经费</w:t>
            </w:r>
          </w:p>
        </w:tc>
        <w:tc>
          <w:tcPr>
            <w:tcW w:w="1351"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r>
              <w:rPr>
                <w:rFonts w:hint="eastAsia" w:ascii="华文细黑" w:hAnsi="华文细黑" w:eastAsia="华文细黑" w:cs="华文细黑"/>
                <w:i w:val="0"/>
                <w:iCs w:val="0"/>
                <w:color w:val="000000"/>
                <w:kern w:val="0"/>
                <w:sz w:val="16"/>
                <w:szCs w:val="16"/>
                <w:u w:val="none"/>
                <w:lang w:val="en-US" w:eastAsia="zh-CN" w:bidi="ar"/>
              </w:rPr>
              <w:t>吉林省统计局（本级）</w:t>
            </w:r>
          </w:p>
        </w:tc>
        <w:tc>
          <w:tcPr>
            <w:tcW w:w="941" w:type="dxa"/>
            <w:noWrap w:val="0"/>
            <w:vAlign w:val="center"/>
          </w:tcPr>
          <w:p>
            <w:pPr>
              <w:keepNext w:val="0"/>
              <w:keepLines w:val="0"/>
              <w:widowControl/>
              <w:suppressLineNumbers w:val="0"/>
              <w:jc w:val="right"/>
              <w:textAlignment w:val="center"/>
              <w:rPr>
                <w:rFonts w:hint="eastAsia"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96.00</w:t>
            </w:r>
          </w:p>
        </w:tc>
        <w:tc>
          <w:tcPr>
            <w:tcW w:w="886" w:type="dxa"/>
            <w:noWrap w:val="0"/>
            <w:vAlign w:val="center"/>
          </w:tcPr>
          <w:p>
            <w:pPr>
              <w:keepNext w:val="0"/>
              <w:keepLines w:val="0"/>
              <w:widowControl/>
              <w:suppressLineNumbers w:val="0"/>
              <w:jc w:val="right"/>
              <w:textAlignment w:val="center"/>
              <w:rPr>
                <w:rFonts w:hint="eastAsia"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95.00</w:t>
            </w:r>
          </w:p>
        </w:tc>
        <w:tc>
          <w:tcPr>
            <w:tcW w:w="491"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91"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23"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36"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791" w:type="dxa"/>
            <w:noWrap w:val="0"/>
            <w:vAlign w:val="center"/>
          </w:tcPr>
          <w:p>
            <w:pPr>
              <w:keepNext w:val="0"/>
              <w:keepLines w:val="0"/>
              <w:widowControl/>
              <w:suppressLineNumbers w:val="0"/>
              <w:jc w:val="right"/>
              <w:textAlignment w:val="center"/>
              <w:rPr>
                <w:rFonts w:hint="eastAsia"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1.00</w:t>
            </w:r>
          </w:p>
        </w:tc>
        <w:tc>
          <w:tcPr>
            <w:tcW w:w="464"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50"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518"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539"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89"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专项业务支出</w:t>
            </w:r>
          </w:p>
        </w:tc>
        <w:tc>
          <w:tcPr>
            <w:tcW w:w="913" w:type="dxa"/>
            <w:noWrap w:val="0"/>
            <w:vAlign w:val="center"/>
          </w:tcPr>
          <w:p>
            <w:pPr>
              <w:jc w:val="left"/>
              <w:rPr>
                <w:rFonts w:hint="eastAsia" w:ascii="华文细黑" w:hAnsi="华文细黑" w:eastAsia="华文细黑" w:cs="华文细黑"/>
                <w:i w:val="0"/>
                <w:iCs w:val="0"/>
                <w:color w:val="000000"/>
                <w:kern w:val="2"/>
                <w:sz w:val="16"/>
                <w:szCs w:val="16"/>
                <w:u w:val="none"/>
                <w:lang w:val="en-US" w:eastAsia="zh-CN" w:bidi="ar-SA"/>
              </w:rPr>
            </w:pPr>
          </w:p>
        </w:tc>
        <w:tc>
          <w:tcPr>
            <w:tcW w:w="1554" w:type="dxa"/>
            <w:gridSpan w:val="2"/>
            <w:noWrap w:val="0"/>
            <w:vAlign w:val="center"/>
          </w:tcPr>
          <w:p>
            <w:pPr>
              <w:jc w:val="left"/>
              <w:rPr>
                <w:rFonts w:hint="eastAsia" w:ascii="华文细黑" w:hAnsi="华文细黑" w:eastAsia="华文细黑" w:cs="华文细黑"/>
                <w:i w:val="0"/>
                <w:iCs w:val="0"/>
                <w:color w:val="000000"/>
                <w:kern w:val="2"/>
                <w:sz w:val="16"/>
                <w:szCs w:val="16"/>
                <w:u w:val="none"/>
                <w:lang w:val="en-US" w:eastAsia="zh-CN" w:bidi="ar-SA"/>
              </w:rPr>
            </w:pPr>
          </w:p>
        </w:tc>
        <w:tc>
          <w:tcPr>
            <w:tcW w:w="1351"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941" w:type="dxa"/>
            <w:noWrap w:val="0"/>
            <w:vAlign w:val="center"/>
          </w:tcPr>
          <w:p>
            <w:pPr>
              <w:keepNext w:val="0"/>
              <w:keepLines w:val="0"/>
              <w:widowControl/>
              <w:suppressLineNumbers w:val="0"/>
              <w:jc w:val="right"/>
              <w:textAlignment w:val="center"/>
              <w:rPr>
                <w:rFonts w:hint="eastAsia"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757.12</w:t>
            </w:r>
          </w:p>
        </w:tc>
        <w:tc>
          <w:tcPr>
            <w:tcW w:w="886" w:type="dxa"/>
            <w:noWrap w:val="0"/>
            <w:vAlign w:val="center"/>
          </w:tcPr>
          <w:p>
            <w:pPr>
              <w:keepNext w:val="0"/>
              <w:keepLines w:val="0"/>
              <w:widowControl/>
              <w:suppressLineNumbers w:val="0"/>
              <w:jc w:val="right"/>
              <w:textAlignment w:val="center"/>
              <w:rPr>
                <w:rFonts w:hint="eastAsia"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391.62</w:t>
            </w:r>
          </w:p>
        </w:tc>
        <w:tc>
          <w:tcPr>
            <w:tcW w:w="491"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91"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23"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36"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791" w:type="dxa"/>
            <w:noWrap w:val="0"/>
            <w:vAlign w:val="center"/>
          </w:tcPr>
          <w:p>
            <w:pPr>
              <w:keepNext w:val="0"/>
              <w:keepLines w:val="0"/>
              <w:widowControl/>
              <w:suppressLineNumbers w:val="0"/>
              <w:jc w:val="right"/>
              <w:textAlignment w:val="center"/>
              <w:rPr>
                <w:rFonts w:hint="eastAsia"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365.50</w:t>
            </w:r>
          </w:p>
        </w:tc>
        <w:tc>
          <w:tcPr>
            <w:tcW w:w="464"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50"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518"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539"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89" w:type="dxa"/>
            <w:noWrap w:val="0"/>
            <w:vAlign w:val="center"/>
          </w:tcPr>
          <w:p>
            <w:pPr>
              <w:jc w:val="left"/>
              <w:rPr>
                <w:rFonts w:hint="eastAsia" w:ascii="华文细黑" w:hAnsi="华文细黑" w:eastAsia="华文细黑" w:cs="华文细黑"/>
                <w:i w:val="0"/>
                <w:iCs w:val="0"/>
                <w:color w:val="000000"/>
                <w:kern w:val="2"/>
                <w:sz w:val="16"/>
                <w:szCs w:val="16"/>
                <w:u w:val="none"/>
                <w:lang w:val="en-US" w:eastAsia="zh-CN" w:bidi="ar-SA"/>
              </w:rPr>
            </w:pPr>
          </w:p>
        </w:tc>
        <w:tc>
          <w:tcPr>
            <w:tcW w:w="913"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专项普查活动</w:t>
            </w:r>
          </w:p>
        </w:tc>
        <w:tc>
          <w:tcPr>
            <w:tcW w:w="1554" w:type="dxa"/>
            <w:gridSpan w:val="2"/>
            <w:noWrap w:val="0"/>
            <w:vAlign w:val="center"/>
          </w:tcPr>
          <w:p>
            <w:pPr>
              <w:jc w:val="left"/>
              <w:rPr>
                <w:rFonts w:hint="eastAsia" w:ascii="华文细黑" w:hAnsi="华文细黑" w:eastAsia="华文细黑" w:cs="华文细黑"/>
                <w:i w:val="0"/>
                <w:iCs w:val="0"/>
                <w:color w:val="000000"/>
                <w:kern w:val="2"/>
                <w:sz w:val="16"/>
                <w:szCs w:val="16"/>
                <w:u w:val="none"/>
                <w:lang w:val="en-US" w:eastAsia="zh-CN" w:bidi="ar-SA"/>
              </w:rPr>
            </w:pPr>
          </w:p>
        </w:tc>
        <w:tc>
          <w:tcPr>
            <w:tcW w:w="1351"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941" w:type="dxa"/>
            <w:noWrap w:val="0"/>
            <w:vAlign w:val="center"/>
          </w:tcPr>
          <w:p>
            <w:pPr>
              <w:keepNext w:val="0"/>
              <w:keepLines w:val="0"/>
              <w:widowControl/>
              <w:suppressLineNumbers w:val="0"/>
              <w:jc w:val="right"/>
              <w:textAlignment w:val="center"/>
              <w:rPr>
                <w:rFonts w:hint="eastAsia"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84.27</w:t>
            </w:r>
          </w:p>
        </w:tc>
        <w:tc>
          <w:tcPr>
            <w:tcW w:w="886" w:type="dxa"/>
            <w:noWrap w:val="0"/>
            <w:vAlign w:val="center"/>
          </w:tcPr>
          <w:p>
            <w:pPr>
              <w:keepNext w:val="0"/>
              <w:keepLines w:val="0"/>
              <w:widowControl/>
              <w:suppressLineNumbers w:val="0"/>
              <w:jc w:val="right"/>
              <w:textAlignment w:val="center"/>
              <w:rPr>
                <w:rFonts w:hint="eastAsia"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57.31</w:t>
            </w:r>
          </w:p>
        </w:tc>
        <w:tc>
          <w:tcPr>
            <w:tcW w:w="491"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91"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23"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36"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791" w:type="dxa"/>
            <w:noWrap w:val="0"/>
            <w:vAlign w:val="center"/>
          </w:tcPr>
          <w:p>
            <w:pPr>
              <w:keepNext w:val="0"/>
              <w:keepLines w:val="0"/>
              <w:widowControl/>
              <w:suppressLineNumbers w:val="0"/>
              <w:jc w:val="right"/>
              <w:textAlignment w:val="center"/>
              <w:rPr>
                <w:rFonts w:hint="eastAsia"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26.96</w:t>
            </w:r>
          </w:p>
        </w:tc>
        <w:tc>
          <w:tcPr>
            <w:tcW w:w="464"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50"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518"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539"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89" w:type="dxa"/>
            <w:noWrap w:val="0"/>
            <w:vAlign w:val="center"/>
          </w:tcPr>
          <w:p>
            <w:pPr>
              <w:jc w:val="left"/>
              <w:rPr>
                <w:rFonts w:hint="eastAsia" w:ascii="华文细黑" w:hAnsi="华文细黑" w:eastAsia="华文细黑" w:cs="华文细黑"/>
                <w:i w:val="0"/>
                <w:iCs w:val="0"/>
                <w:color w:val="000000"/>
                <w:kern w:val="2"/>
                <w:sz w:val="16"/>
                <w:szCs w:val="16"/>
                <w:u w:val="none"/>
                <w:lang w:val="en-US" w:eastAsia="zh-CN" w:bidi="ar-SA"/>
              </w:rPr>
            </w:pPr>
          </w:p>
        </w:tc>
        <w:tc>
          <w:tcPr>
            <w:tcW w:w="913" w:type="dxa"/>
            <w:noWrap w:val="0"/>
            <w:vAlign w:val="center"/>
          </w:tcPr>
          <w:p>
            <w:pPr>
              <w:jc w:val="left"/>
              <w:rPr>
                <w:rFonts w:hint="eastAsia" w:ascii="华文细黑" w:hAnsi="华文细黑" w:eastAsia="华文细黑" w:cs="华文细黑"/>
                <w:i w:val="0"/>
                <w:iCs w:val="0"/>
                <w:color w:val="000000"/>
                <w:kern w:val="2"/>
                <w:sz w:val="16"/>
                <w:szCs w:val="16"/>
                <w:u w:val="none"/>
                <w:lang w:val="en-US" w:eastAsia="zh-CN" w:bidi="ar-SA"/>
              </w:rPr>
            </w:pPr>
          </w:p>
        </w:tc>
        <w:tc>
          <w:tcPr>
            <w:tcW w:w="1554" w:type="dxa"/>
            <w:gridSpan w:val="2"/>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第五次全国经济普查经费</w:t>
            </w:r>
          </w:p>
        </w:tc>
        <w:tc>
          <w:tcPr>
            <w:tcW w:w="1351"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r>
              <w:rPr>
                <w:rFonts w:hint="eastAsia" w:ascii="华文细黑" w:hAnsi="华文细黑" w:eastAsia="华文细黑" w:cs="华文细黑"/>
                <w:i w:val="0"/>
                <w:iCs w:val="0"/>
                <w:color w:val="000000"/>
                <w:kern w:val="0"/>
                <w:sz w:val="16"/>
                <w:szCs w:val="16"/>
                <w:u w:val="none"/>
                <w:lang w:val="en-US" w:eastAsia="zh-CN" w:bidi="ar"/>
              </w:rPr>
              <w:t>吉林省统计局（本级）</w:t>
            </w:r>
          </w:p>
        </w:tc>
        <w:tc>
          <w:tcPr>
            <w:tcW w:w="941" w:type="dxa"/>
            <w:noWrap w:val="0"/>
            <w:vAlign w:val="center"/>
          </w:tcPr>
          <w:p>
            <w:pPr>
              <w:keepNext w:val="0"/>
              <w:keepLines w:val="0"/>
              <w:widowControl/>
              <w:suppressLineNumbers w:val="0"/>
              <w:jc w:val="right"/>
              <w:textAlignment w:val="center"/>
              <w:rPr>
                <w:rFonts w:hint="eastAsia"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84.27</w:t>
            </w:r>
          </w:p>
        </w:tc>
        <w:tc>
          <w:tcPr>
            <w:tcW w:w="886" w:type="dxa"/>
            <w:noWrap w:val="0"/>
            <w:vAlign w:val="center"/>
          </w:tcPr>
          <w:p>
            <w:pPr>
              <w:keepNext w:val="0"/>
              <w:keepLines w:val="0"/>
              <w:widowControl/>
              <w:suppressLineNumbers w:val="0"/>
              <w:jc w:val="right"/>
              <w:textAlignment w:val="center"/>
              <w:rPr>
                <w:rFonts w:hint="eastAsia"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57.31</w:t>
            </w:r>
          </w:p>
        </w:tc>
        <w:tc>
          <w:tcPr>
            <w:tcW w:w="491"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91"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23"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36"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791" w:type="dxa"/>
            <w:noWrap w:val="0"/>
            <w:vAlign w:val="center"/>
          </w:tcPr>
          <w:p>
            <w:pPr>
              <w:keepNext w:val="0"/>
              <w:keepLines w:val="0"/>
              <w:widowControl/>
              <w:suppressLineNumbers w:val="0"/>
              <w:jc w:val="right"/>
              <w:textAlignment w:val="center"/>
              <w:rPr>
                <w:rFonts w:hint="eastAsia"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26.96</w:t>
            </w:r>
          </w:p>
        </w:tc>
        <w:tc>
          <w:tcPr>
            <w:tcW w:w="464"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50"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518"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539"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89" w:type="dxa"/>
            <w:noWrap w:val="0"/>
            <w:vAlign w:val="center"/>
          </w:tcPr>
          <w:p>
            <w:pPr>
              <w:jc w:val="left"/>
              <w:rPr>
                <w:rFonts w:hint="eastAsia" w:ascii="华文细黑" w:hAnsi="华文细黑" w:eastAsia="华文细黑" w:cs="华文细黑"/>
                <w:i w:val="0"/>
                <w:iCs w:val="0"/>
                <w:color w:val="000000"/>
                <w:kern w:val="2"/>
                <w:sz w:val="16"/>
                <w:szCs w:val="16"/>
                <w:u w:val="none"/>
                <w:lang w:val="en-US" w:eastAsia="zh-CN" w:bidi="ar-SA"/>
              </w:rPr>
            </w:pPr>
          </w:p>
        </w:tc>
        <w:tc>
          <w:tcPr>
            <w:tcW w:w="913"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专项统计业务</w:t>
            </w:r>
          </w:p>
        </w:tc>
        <w:tc>
          <w:tcPr>
            <w:tcW w:w="1554" w:type="dxa"/>
            <w:gridSpan w:val="2"/>
            <w:noWrap w:val="0"/>
            <w:vAlign w:val="center"/>
          </w:tcPr>
          <w:p>
            <w:pPr>
              <w:jc w:val="left"/>
              <w:rPr>
                <w:rFonts w:hint="eastAsia" w:ascii="华文细黑" w:hAnsi="华文细黑" w:eastAsia="华文细黑" w:cs="华文细黑"/>
                <w:i w:val="0"/>
                <w:iCs w:val="0"/>
                <w:color w:val="000000"/>
                <w:kern w:val="2"/>
                <w:sz w:val="16"/>
                <w:szCs w:val="16"/>
                <w:u w:val="none"/>
                <w:lang w:val="en-US" w:eastAsia="zh-CN" w:bidi="ar-SA"/>
              </w:rPr>
            </w:pPr>
          </w:p>
        </w:tc>
        <w:tc>
          <w:tcPr>
            <w:tcW w:w="1351"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941" w:type="dxa"/>
            <w:noWrap w:val="0"/>
            <w:vAlign w:val="center"/>
          </w:tcPr>
          <w:p>
            <w:pPr>
              <w:keepNext w:val="0"/>
              <w:keepLines w:val="0"/>
              <w:widowControl/>
              <w:suppressLineNumbers w:val="0"/>
              <w:jc w:val="right"/>
              <w:textAlignment w:val="center"/>
              <w:rPr>
                <w:rFonts w:hint="eastAsia"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166.42</w:t>
            </w:r>
          </w:p>
        </w:tc>
        <w:tc>
          <w:tcPr>
            <w:tcW w:w="886" w:type="dxa"/>
            <w:noWrap w:val="0"/>
            <w:vAlign w:val="center"/>
          </w:tcPr>
          <w:p>
            <w:pPr>
              <w:keepNext w:val="0"/>
              <w:keepLines w:val="0"/>
              <w:widowControl/>
              <w:suppressLineNumbers w:val="0"/>
              <w:jc w:val="right"/>
              <w:textAlignment w:val="center"/>
              <w:rPr>
                <w:rFonts w:hint="eastAsia"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128.50</w:t>
            </w:r>
          </w:p>
        </w:tc>
        <w:tc>
          <w:tcPr>
            <w:tcW w:w="491"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91"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23"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36"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791" w:type="dxa"/>
            <w:noWrap w:val="0"/>
            <w:vAlign w:val="center"/>
          </w:tcPr>
          <w:p>
            <w:pPr>
              <w:keepNext w:val="0"/>
              <w:keepLines w:val="0"/>
              <w:widowControl/>
              <w:suppressLineNumbers w:val="0"/>
              <w:jc w:val="right"/>
              <w:textAlignment w:val="center"/>
              <w:rPr>
                <w:rFonts w:hint="eastAsia"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37.92</w:t>
            </w:r>
          </w:p>
        </w:tc>
        <w:tc>
          <w:tcPr>
            <w:tcW w:w="464"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50"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518"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539"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89" w:type="dxa"/>
            <w:noWrap w:val="0"/>
            <w:vAlign w:val="center"/>
          </w:tcPr>
          <w:p>
            <w:pPr>
              <w:jc w:val="left"/>
              <w:rPr>
                <w:rFonts w:hint="eastAsia" w:ascii="华文细黑" w:hAnsi="华文细黑" w:eastAsia="华文细黑" w:cs="华文细黑"/>
                <w:i w:val="0"/>
                <w:iCs w:val="0"/>
                <w:color w:val="000000"/>
                <w:kern w:val="2"/>
                <w:sz w:val="16"/>
                <w:szCs w:val="16"/>
                <w:u w:val="none"/>
                <w:lang w:val="en-US" w:eastAsia="zh-CN" w:bidi="ar-SA"/>
              </w:rPr>
            </w:pPr>
          </w:p>
        </w:tc>
        <w:tc>
          <w:tcPr>
            <w:tcW w:w="913" w:type="dxa"/>
            <w:noWrap w:val="0"/>
            <w:vAlign w:val="center"/>
          </w:tcPr>
          <w:p>
            <w:pPr>
              <w:jc w:val="left"/>
              <w:rPr>
                <w:rFonts w:hint="eastAsia" w:ascii="华文细黑" w:hAnsi="华文细黑" w:eastAsia="华文细黑" w:cs="华文细黑"/>
                <w:i w:val="0"/>
                <w:iCs w:val="0"/>
                <w:color w:val="000000"/>
                <w:kern w:val="2"/>
                <w:sz w:val="16"/>
                <w:szCs w:val="16"/>
                <w:u w:val="none"/>
                <w:lang w:val="en-US" w:eastAsia="zh-CN" w:bidi="ar-SA"/>
              </w:rPr>
            </w:pPr>
          </w:p>
        </w:tc>
        <w:tc>
          <w:tcPr>
            <w:tcW w:w="1554" w:type="dxa"/>
            <w:gridSpan w:val="2"/>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《吉林统计年鉴》编辑工作经费</w:t>
            </w:r>
          </w:p>
        </w:tc>
        <w:tc>
          <w:tcPr>
            <w:tcW w:w="1351"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r>
              <w:rPr>
                <w:rFonts w:hint="eastAsia" w:ascii="华文细黑" w:hAnsi="华文细黑" w:eastAsia="华文细黑" w:cs="华文细黑"/>
                <w:i w:val="0"/>
                <w:iCs w:val="0"/>
                <w:color w:val="000000"/>
                <w:kern w:val="0"/>
                <w:sz w:val="16"/>
                <w:szCs w:val="16"/>
                <w:u w:val="none"/>
                <w:lang w:val="en-US" w:eastAsia="zh-CN" w:bidi="ar"/>
              </w:rPr>
              <w:t>吉林省统计局（本级）</w:t>
            </w:r>
          </w:p>
        </w:tc>
        <w:tc>
          <w:tcPr>
            <w:tcW w:w="941" w:type="dxa"/>
            <w:noWrap w:val="0"/>
            <w:vAlign w:val="center"/>
          </w:tcPr>
          <w:p>
            <w:pPr>
              <w:keepNext w:val="0"/>
              <w:keepLines w:val="0"/>
              <w:widowControl/>
              <w:suppressLineNumbers w:val="0"/>
              <w:jc w:val="right"/>
              <w:textAlignment w:val="center"/>
              <w:rPr>
                <w:rFonts w:hint="eastAsia"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1.25</w:t>
            </w:r>
          </w:p>
        </w:tc>
        <w:tc>
          <w:tcPr>
            <w:tcW w:w="886" w:type="dxa"/>
            <w:noWrap w:val="0"/>
            <w:vAlign w:val="center"/>
          </w:tcPr>
          <w:p>
            <w:pPr>
              <w:jc w:val="right"/>
              <w:rPr>
                <w:rFonts w:hint="eastAsia" w:ascii="Arial" w:hAnsi="Arial" w:eastAsia="仿宋_GB2312" w:cs="Arial"/>
                <w:i w:val="0"/>
                <w:iCs w:val="0"/>
                <w:color w:val="000000"/>
                <w:kern w:val="2"/>
                <w:sz w:val="16"/>
                <w:szCs w:val="16"/>
                <w:u w:val="none"/>
                <w:lang w:val="en-US" w:eastAsia="zh-CN" w:bidi="ar-SA"/>
              </w:rPr>
            </w:pPr>
          </w:p>
        </w:tc>
        <w:tc>
          <w:tcPr>
            <w:tcW w:w="491"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91"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23"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36"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791" w:type="dxa"/>
            <w:noWrap w:val="0"/>
            <w:vAlign w:val="center"/>
          </w:tcPr>
          <w:p>
            <w:pPr>
              <w:keepNext w:val="0"/>
              <w:keepLines w:val="0"/>
              <w:widowControl/>
              <w:suppressLineNumbers w:val="0"/>
              <w:jc w:val="right"/>
              <w:textAlignment w:val="center"/>
              <w:rPr>
                <w:rFonts w:hint="eastAsia"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1.25</w:t>
            </w:r>
          </w:p>
        </w:tc>
        <w:tc>
          <w:tcPr>
            <w:tcW w:w="464"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50"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518"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539"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89" w:type="dxa"/>
            <w:noWrap w:val="0"/>
            <w:vAlign w:val="center"/>
          </w:tcPr>
          <w:p>
            <w:pPr>
              <w:jc w:val="left"/>
              <w:rPr>
                <w:rFonts w:hint="eastAsia" w:ascii="华文细黑" w:hAnsi="华文细黑" w:eastAsia="华文细黑" w:cs="华文细黑"/>
                <w:i w:val="0"/>
                <w:iCs w:val="0"/>
                <w:color w:val="000000"/>
                <w:kern w:val="2"/>
                <w:sz w:val="16"/>
                <w:szCs w:val="16"/>
                <w:u w:val="none"/>
                <w:lang w:val="en-US" w:eastAsia="zh-CN" w:bidi="ar-SA"/>
              </w:rPr>
            </w:pPr>
          </w:p>
        </w:tc>
        <w:tc>
          <w:tcPr>
            <w:tcW w:w="913" w:type="dxa"/>
            <w:noWrap w:val="0"/>
            <w:vAlign w:val="center"/>
          </w:tcPr>
          <w:p>
            <w:pPr>
              <w:jc w:val="left"/>
              <w:rPr>
                <w:rFonts w:hint="eastAsia" w:ascii="华文细黑" w:hAnsi="华文细黑" w:eastAsia="华文细黑" w:cs="华文细黑"/>
                <w:i w:val="0"/>
                <w:iCs w:val="0"/>
                <w:color w:val="000000"/>
                <w:kern w:val="2"/>
                <w:sz w:val="16"/>
                <w:szCs w:val="16"/>
                <w:u w:val="none"/>
                <w:lang w:val="en-US" w:eastAsia="zh-CN" w:bidi="ar-SA"/>
              </w:rPr>
            </w:pPr>
          </w:p>
        </w:tc>
        <w:tc>
          <w:tcPr>
            <w:tcW w:w="1554" w:type="dxa"/>
            <w:gridSpan w:val="2"/>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吉林省地区生产总值统一核算经费</w:t>
            </w:r>
          </w:p>
        </w:tc>
        <w:tc>
          <w:tcPr>
            <w:tcW w:w="1351"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r>
              <w:rPr>
                <w:rFonts w:hint="eastAsia" w:ascii="华文细黑" w:hAnsi="华文细黑" w:eastAsia="华文细黑" w:cs="华文细黑"/>
                <w:i w:val="0"/>
                <w:iCs w:val="0"/>
                <w:color w:val="000000"/>
                <w:kern w:val="0"/>
                <w:sz w:val="16"/>
                <w:szCs w:val="16"/>
                <w:u w:val="none"/>
                <w:lang w:val="en-US" w:eastAsia="zh-CN" w:bidi="ar"/>
              </w:rPr>
              <w:t>吉林省统计局（本级）</w:t>
            </w:r>
          </w:p>
        </w:tc>
        <w:tc>
          <w:tcPr>
            <w:tcW w:w="941" w:type="dxa"/>
            <w:noWrap w:val="0"/>
            <w:vAlign w:val="center"/>
          </w:tcPr>
          <w:p>
            <w:pPr>
              <w:keepNext w:val="0"/>
              <w:keepLines w:val="0"/>
              <w:widowControl/>
              <w:suppressLineNumbers w:val="0"/>
              <w:jc w:val="right"/>
              <w:textAlignment w:val="center"/>
              <w:rPr>
                <w:rFonts w:hint="eastAsia"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13.61</w:t>
            </w:r>
          </w:p>
        </w:tc>
        <w:tc>
          <w:tcPr>
            <w:tcW w:w="886" w:type="dxa"/>
            <w:noWrap w:val="0"/>
            <w:vAlign w:val="center"/>
          </w:tcPr>
          <w:p>
            <w:pPr>
              <w:jc w:val="right"/>
              <w:rPr>
                <w:rFonts w:hint="eastAsia" w:ascii="Arial" w:hAnsi="Arial" w:eastAsia="仿宋_GB2312" w:cs="Arial"/>
                <w:i w:val="0"/>
                <w:iCs w:val="0"/>
                <w:color w:val="000000"/>
                <w:kern w:val="2"/>
                <w:sz w:val="16"/>
                <w:szCs w:val="16"/>
                <w:u w:val="none"/>
                <w:lang w:val="en-US" w:eastAsia="zh-CN" w:bidi="ar-SA"/>
              </w:rPr>
            </w:pPr>
          </w:p>
        </w:tc>
        <w:tc>
          <w:tcPr>
            <w:tcW w:w="491"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91"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23"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36"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791" w:type="dxa"/>
            <w:noWrap w:val="0"/>
            <w:vAlign w:val="center"/>
          </w:tcPr>
          <w:p>
            <w:pPr>
              <w:keepNext w:val="0"/>
              <w:keepLines w:val="0"/>
              <w:widowControl/>
              <w:suppressLineNumbers w:val="0"/>
              <w:jc w:val="right"/>
              <w:textAlignment w:val="center"/>
              <w:rPr>
                <w:rFonts w:hint="eastAsia"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13.61</w:t>
            </w:r>
          </w:p>
        </w:tc>
        <w:tc>
          <w:tcPr>
            <w:tcW w:w="464"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50"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518"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539"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89" w:type="dxa"/>
            <w:noWrap w:val="0"/>
            <w:vAlign w:val="center"/>
          </w:tcPr>
          <w:p>
            <w:pPr>
              <w:jc w:val="left"/>
              <w:rPr>
                <w:rFonts w:hint="eastAsia" w:ascii="华文细黑" w:hAnsi="华文细黑" w:eastAsia="华文细黑" w:cs="华文细黑"/>
                <w:i w:val="0"/>
                <w:iCs w:val="0"/>
                <w:color w:val="000000"/>
                <w:kern w:val="2"/>
                <w:sz w:val="16"/>
                <w:szCs w:val="16"/>
                <w:u w:val="none"/>
                <w:lang w:val="en-US" w:eastAsia="zh-CN" w:bidi="ar-SA"/>
              </w:rPr>
            </w:pPr>
          </w:p>
        </w:tc>
        <w:tc>
          <w:tcPr>
            <w:tcW w:w="913" w:type="dxa"/>
            <w:noWrap w:val="0"/>
            <w:vAlign w:val="center"/>
          </w:tcPr>
          <w:p>
            <w:pPr>
              <w:jc w:val="left"/>
              <w:rPr>
                <w:rFonts w:hint="eastAsia" w:ascii="华文细黑" w:hAnsi="华文细黑" w:eastAsia="华文细黑" w:cs="华文细黑"/>
                <w:i w:val="0"/>
                <w:iCs w:val="0"/>
                <w:color w:val="000000"/>
                <w:kern w:val="2"/>
                <w:sz w:val="16"/>
                <w:szCs w:val="16"/>
                <w:u w:val="none"/>
                <w:lang w:val="en-US" w:eastAsia="zh-CN" w:bidi="ar-SA"/>
              </w:rPr>
            </w:pPr>
          </w:p>
        </w:tc>
        <w:tc>
          <w:tcPr>
            <w:tcW w:w="1554" w:type="dxa"/>
            <w:gridSpan w:val="2"/>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吉林省自然资源资产负债表编制经费</w:t>
            </w:r>
          </w:p>
        </w:tc>
        <w:tc>
          <w:tcPr>
            <w:tcW w:w="1351"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r>
              <w:rPr>
                <w:rFonts w:hint="eastAsia" w:ascii="华文细黑" w:hAnsi="华文细黑" w:eastAsia="华文细黑" w:cs="华文细黑"/>
                <w:i w:val="0"/>
                <w:iCs w:val="0"/>
                <w:color w:val="000000"/>
                <w:kern w:val="0"/>
                <w:sz w:val="16"/>
                <w:szCs w:val="16"/>
                <w:u w:val="none"/>
                <w:lang w:val="en-US" w:eastAsia="zh-CN" w:bidi="ar"/>
              </w:rPr>
              <w:t>吉林省统计局（本级）</w:t>
            </w:r>
          </w:p>
        </w:tc>
        <w:tc>
          <w:tcPr>
            <w:tcW w:w="941" w:type="dxa"/>
            <w:noWrap w:val="0"/>
            <w:vAlign w:val="center"/>
          </w:tcPr>
          <w:p>
            <w:pPr>
              <w:keepNext w:val="0"/>
              <w:keepLines w:val="0"/>
              <w:widowControl/>
              <w:suppressLineNumbers w:val="0"/>
              <w:jc w:val="right"/>
              <w:textAlignment w:val="center"/>
              <w:rPr>
                <w:rFonts w:hint="eastAsia"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4.89</w:t>
            </w:r>
          </w:p>
        </w:tc>
        <w:tc>
          <w:tcPr>
            <w:tcW w:w="886" w:type="dxa"/>
            <w:noWrap w:val="0"/>
            <w:vAlign w:val="center"/>
          </w:tcPr>
          <w:p>
            <w:pPr>
              <w:jc w:val="right"/>
              <w:rPr>
                <w:rFonts w:hint="eastAsia" w:ascii="Arial" w:hAnsi="Arial" w:eastAsia="仿宋_GB2312" w:cs="Arial"/>
                <w:i w:val="0"/>
                <w:iCs w:val="0"/>
                <w:color w:val="000000"/>
                <w:kern w:val="2"/>
                <w:sz w:val="16"/>
                <w:szCs w:val="16"/>
                <w:u w:val="none"/>
                <w:lang w:val="en-US" w:eastAsia="zh-CN" w:bidi="ar-SA"/>
              </w:rPr>
            </w:pPr>
          </w:p>
        </w:tc>
        <w:tc>
          <w:tcPr>
            <w:tcW w:w="491"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91"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23"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36"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791" w:type="dxa"/>
            <w:noWrap w:val="0"/>
            <w:vAlign w:val="center"/>
          </w:tcPr>
          <w:p>
            <w:pPr>
              <w:keepNext w:val="0"/>
              <w:keepLines w:val="0"/>
              <w:widowControl/>
              <w:suppressLineNumbers w:val="0"/>
              <w:jc w:val="right"/>
              <w:textAlignment w:val="center"/>
              <w:rPr>
                <w:rFonts w:hint="eastAsia"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4.89</w:t>
            </w:r>
          </w:p>
        </w:tc>
        <w:tc>
          <w:tcPr>
            <w:tcW w:w="464"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50"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518"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539"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89" w:type="dxa"/>
            <w:noWrap w:val="0"/>
            <w:vAlign w:val="center"/>
          </w:tcPr>
          <w:p>
            <w:pPr>
              <w:jc w:val="left"/>
              <w:rPr>
                <w:rFonts w:hint="eastAsia" w:ascii="华文细黑" w:hAnsi="华文细黑" w:eastAsia="华文细黑" w:cs="华文细黑"/>
                <w:i w:val="0"/>
                <w:iCs w:val="0"/>
                <w:color w:val="000000"/>
                <w:kern w:val="2"/>
                <w:sz w:val="16"/>
                <w:szCs w:val="16"/>
                <w:u w:val="none"/>
                <w:lang w:val="en-US" w:eastAsia="zh-CN" w:bidi="ar-SA"/>
              </w:rPr>
            </w:pPr>
          </w:p>
        </w:tc>
        <w:tc>
          <w:tcPr>
            <w:tcW w:w="913" w:type="dxa"/>
            <w:noWrap w:val="0"/>
            <w:vAlign w:val="center"/>
          </w:tcPr>
          <w:p>
            <w:pPr>
              <w:jc w:val="left"/>
              <w:rPr>
                <w:rFonts w:hint="eastAsia" w:ascii="华文细黑" w:hAnsi="华文细黑" w:eastAsia="华文细黑" w:cs="华文细黑"/>
                <w:i w:val="0"/>
                <w:iCs w:val="0"/>
                <w:color w:val="000000"/>
                <w:kern w:val="2"/>
                <w:sz w:val="16"/>
                <w:szCs w:val="16"/>
                <w:u w:val="none"/>
                <w:lang w:val="en-US" w:eastAsia="zh-CN" w:bidi="ar-SA"/>
              </w:rPr>
            </w:pPr>
          </w:p>
        </w:tc>
        <w:tc>
          <w:tcPr>
            <w:tcW w:w="1554" w:type="dxa"/>
            <w:gridSpan w:val="2"/>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吉林省高质量发展综合绩效评价经费</w:t>
            </w:r>
          </w:p>
        </w:tc>
        <w:tc>
          <w:tcPr>
            <w:tcW w:w="1351"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r>
              <w:rPr>
                <w:rFonts w:hint="eastAsia" w:ascii="华文细黑" w:hAnsi="华文细黑" w:eastAsia="华文细黑" w:cs="华文细黑"/>
                <w:i w:val="0"/>
                <w:iCs w:val="0"/>
                <w:color w:val="000000"/>
                <w:kern w:val="0"/>
                <w:sz w:val="16"/>
                <w:szCs w:val="16"/>
                <w:u w:val="none"/>
                <w:lang w:val="en-US" w:eastAsia="zh-CN" w:bidi="ar"/>
              </w:rPr>
              <w:t>吉林省统计局（本级）</w:t>
            </w:r>
          </w:p>
        </w:tc>
        <w:tc>
          <w:tcPr>
            <w:tcW w:w="941" w:type="dxa"/>
            <w:noWrap w:val="0"/>
            <w:vAlign w:val="center"/>
          </w:tcPr>
          <w:p>
            <w:pPr>
              <w:keepNext w:val="0"/>
              <w:keepLines w:val="0"/>
              <w:widowControl/>
              <w:suppressLineNumbers w:val="0"/>
              <w:jc w:val="right"/>
              <w:textAlignment w:val="center"/>
              <w:rPr>
                <w:rFonts w:hint="eastAsia"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3.49</w:t>
            </w:r>
          </w:p>
        </w:tc>
        <w:tc>
          <w:tcPr>
            <w:tcW w:w="886" w:type="dxa"/>
            <w:noWrap w:val="0"/>
            <w:vAlign w:val="center"/>
          </w:tcPr>
          <w:p>
            <w:pPr>
              <w:jc w:val="right"/>
              <w:rPr>
                <w:rFonts w:hint="eastAsia" w:ascii="Arial" w:hAnsi="Arial" w:eastAsia="仿宋_GB2312" w:cs="Arial"/>
                <w:i w:val="0"/>
                <w:iCs w:val="0"/>
                <w:color w:val="000000"/>
                <w:kern w:val="2"/>
                <w:sz w:val="16"/>
                <w:szCs w:val="16"/>
                <w:u w:val="none"/>
                <w:lang w:val="en-US" w:eastAsia="zh-CN" w:bidi="ar-SA"/>
              </w:rPr>
            </w:pPr>
          </w:p>
        </w:tc>
        <w:tc>
          <w:tcPr>
            <w:tcW w:w="491"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91"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23"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36"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791" w:type="dxa"/>
            <w:noWrap w:val="0"/>
            <w:vAlign w:val="center"/>
          </w:tcPr>
          <w:p>
            <w:pPr>
              <w:keepNext w:val="0"/>
              <w:keepLines w:val="0"/>
              <w:widowControl/>
              <w:suppressLineNumbers w:val="0"/>
              <w:jc w:val="right"/>
              <w:textAlignment w:val="center"/>
              <w:rPr>
                <w:rFonts w:hint="eastAsia"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3.49</w:t>
            </w:r>
          </w:p>
        </w:tc>
        <w:tc>
          <w:tcPr>
            <w:tcW w:w="464"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50"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518"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539"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89" w:type="dxa"/>
            <w:noWrap w:val="0"/>
            <w:vAlign w:val="center"/>
          </w:tcPr>
          <w:p>
            <w:pPr>
              <w:jc w:val="left"/>
              <w:rPr>
                <w:rFonts w:hint="eastAsia" w:ascii="华文细黑" w:hAnsi="华文细黑" w:eastAsia="华文细黑" w:cs="华文细黑"/>
                <w:i w:val="0"/>
                <w:iCs w:val="0"/>
                <w:color w:val="000000"/>
                <w:kern w:val="2"/>
                <w:sz w:val="16"/>
                <w:szCs w:val="16"/>
                <w:u w:val="none"/>
                <w:lang w:val="en-US" w:eastAsia="zh-CN" w:bidi="ar-SA"/>
              </w:rPr>
            </w:pPr>
          </w:p>
        </w:tc>
        <w:tc>
          <w:tcPr>
            <w:tcW w:w="913" w:type="dxa"/>
            <w:noWrap w:val="0"/>
            <w:vAlign w:val="center"/>
          </w:tcPr>
          <w:p>
            <w:pPr>
              <w:jc w:val="left"/>
              <w:rPr>
                <w:rFonts w:hint="eastAsia" w:ascii="华文细黑" w:hAnsi="华文细黑" w:eastAsia="华文细黑" w:cs="华文细黑"/>
                <w:i w:val="0"/>
                <w:iCs w:val="0"/>
                <w:color w:val="000000"/>
                <w:kern w:val="2"/>
                <w:sz w:val="16"/>
                <w:szCs w:val="16"/>
                <w:u w:val="none"/>
                <w:lang w:val="en-US" w:eastAsia="zh-CN" w:bidi="ar-SA"/>
              </w:rPr>
            </w:pPr>
          </w:p>
        </w:tc>
        <w:tc>
          <w:tcPr>
            <w:tcW w:w="1554" w:type="dxa"/>
            <w:gridSpan w:val="2"/>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国民经济核算业务经费</w:t>
            </w:r>
          </w:p>
        </w:tc>
        <w:tc>
          <w:tcPr>
            <w:tcW w:w="1351"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r>
              <w:rPr>
                <w:rFonts w:hint="eastAsia" w:ascii="华文细黑" w:hAnsi="华文细黑" w:eastAsia="华文细黑" w:cs="华文细黑"/>
                <w:i w:val="0"/>
                <w:iCs w:val="0"/>
                <w:color w:val="000000"/>
                <w:kern w:val="0"/>
                <w:sz w:val="16"/>
                <w:szCs w:val="16"/>
                <w:u w:val="none"/>
                <w:lang w:val="en-US" w:eastAsia="zh-CN" w:bidi="ar"/>
              </w:rPr>
              <w:t>吉林省统计局（本级）</w:t>
            </w:r>
          </w:p>
        </w:tc>
        <w:tc>
          <w:tcPr>
            <w:tcW w:w="941" w:type="dxa"/>
            <w:noWrap w:val="0"/>
            <w:vAlign w:val="center"/>
          </w:tcPr>
          <w:p>
            <w:pPr>
              <w:keepNext w:val="0"/>
              <w:keepLines w:val="0"/>
              <w:widowControl/>
              <w:suppressLineNumbers w:val="0"/>
              <w:jc w:val="right"/>
              <w:textAlignment w:val="center"/>
              <w:rPr>
                <w:rFonts w:hint="eastAsia"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20.00</w:t>
            </w:r>
          </w:p>
        </w:tc>
        <w:tc>
          <w:tcPr>
            <w:tcW w:w="886" w:type="dxa"/>
            <w:noWrap w:val="0"/>
            <w:vAlign w:val="center"/>
          </w:tcPr>
          <w:p>
            <w:pPr>
              <w:keepNext w:val="0"/>
              <w:keepLines w:val="0"/>
              <w:widowControl/>
              <w:suppressLineNumbers w:val="0"/>
              <w:jc w:val="right"/>
              <w:textAlignment w:val="center"/>
              <w:rPr>
                <w:rFonts w:hint="eastAsia"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20.00</w:t>
            </w:r>
          </w:p>
        </w:tc>
        <w:tc>
          <w:tcPr>
            <w:tcW w:w="491"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91"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23"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36"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791" w:type="dxa"/>
            <w:noWrap w:val="0"/>
            <w:vAlign w:val="center"/>
          </w:tcPr>
          <w:p>
            <w:pPr>
              <w:jc w:val="right"/>
              <w:rPr>
                <w:rFonts w:hint="eastAsia" w:ascii="Arial" w:hAnsi="Arial" w:eastAsia="仿宋_GB2312" w:cs="Arial"/>
                <w:i w:val="0"/>
                <w:iCs w:val="0"/>
                <w:color w:val="000000"/>
                <w:kern w:val="2"/>
                <w:sz w:val="16"/>
                <w:szCs w:val="16"/>
                <w:u w:val="none"/>
                <w:lang w:val="en-US" w:eastAsia="zh-CN" w:bidi="ar-SA"/>
              </w:rPr>
            </w:pPr>
          </w:p>
        </w:tc>
        <w:tc>
          <w:tcPr>
            <w:tcW w:w="464"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50"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518"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539"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89" w:type="dxa"/>
            <w:noWrap w:val="0"/>
            <w:vAlign w:val="center"/>
          </w:tcPr>
          <w:p>
            <w:pPr>
              <w:jc w:val="left"/>
              <w:rPr>
                <w:rFonts w:hint="eastAsia" w:ascii="华文细黑" w:hAnsi="华文细黑" w:eastAsia="华文细黑" w:cs="华文细黑"/>
                <w:i w:val="0"/>
                <w:iCs w:val="0"/>
                <w:color w:val="000000"/>
                <w:kern w:val="2"/>
                <w:sz w:val="16"/>
                <w:szCs w:val="16"/>
                <w:u w:val="none"/>
                <w:lang w:val="en-US" w:eastAsia="zh-CN" w:bidi="ar-SA"/>
              </w:rPr>
            </w:pPr>
          </w:p>
        </w:tc>
        <w:tc>
          <w:tcPr>
            <w:tcW w:w="913" w:type="dxa"/>
            <w:noWrap w:val="0"/>
            <w:vAlign w:val="center"/>
          </w:tcPr>
          <w:p>
            <w:pPr>
              <w:jc w:val="left"/>
              <w:rPr>
                <w:rFonts w:hint="eastAsia" w:ascii="华文细黑" w:hAnsi="华文细黑" w:eastAsia="华文细黑" w:cs="华文细黑"/>
                <w:i w:val="0"/>
                <w:iCs w:val="0"/>
                <w:color w:val="000000"/>
                <w:kern w:val="2"/>
                <w:sz w:val="16"/>
                <w:szCs w:val="16"/>
                <w:u w:val="none"/>
                <w:lang w:val="en-US" w:eastAsia="zh-CN" w:bidi="ar-SA"/>
              </w:rPr>
            </w:pPr>
          </w:p>
        </w:tc>
        <w:tc>
          <w:tcPr>
            <w:tcW w:w="1554" w:type="dxa"/>
            <w:gridSpan w:val="2"/>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地方中心工作新增统计调查经费</w:t>
            </w:r>
          </w:p>
        </w:tc>
        <w:tc>
          <w:tcPr>
            <w:tcW w:w="1351"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r>
              <w:rPr>
                <w:rFonts w:hint="eastAsia" w:ascii="华文细黑" w:hAnsi="华文细黑" w:eastAsia="华文细黑" w:cs="华文细黑"/>
                <w:i w:val="0"/>
                <w:iCs w:val="0"/>
                <w:color w:val="000000"/>
                <w:kern w:val="0"/>
                <w:sz w:val="16"/>
                <w:szCs w:val="16"/>
                <w:u w:val="none"/>
                <w:lang w:val="en-US" w:eastAsia="zh-CN" w:bidi="ar"/>
              </w:rPr>
              <w:t>吉林省统计局（本级）</w:t>
            </w:r>
          </w:p>
        </w:tc>
        <w:tc>
          <w:tcPr>
            <w:tcW w:w="941" w:type="dxa"/>
            <w:noWrap w:val="0"/>
            <w:vAlign w:val="center"/>
          </w:tcPr>
          <w:p>
            <w:pPr>
              <w:keepNext w:val="0"/>
              <w:keepLines w:val="0"/>
              <w:widowControl/>
              <w:suppressLineNumbers w:val="0"/>
              <w:jc w:val="right"/>
              <w:textAlignment w:val="center"/>
              <w:rPr>
                <w:rFonts w:hint="eastAsia"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2.10</w:t>
            </w:r>
          </w:p>
        </w:tc>
        <w:tc>
          <w:tcPr>
            <w:tcW w:w="886" w:type="dxa"/>
            <w:noWrap w:val="0"/>
            <w:vAlign w:val="center"/>
          </w:tcPr>
          <w:p>
            <w:pPr>
              <w:jc w:val="right"/>
              <w:rPr>
                <w:rFonts w:hint="eastAsia" w:ascii="Arial" w:hAnsi="Arial" w:eastAsia="仿宋_GB2312" w:cs="Arial"/>
                <w:i w:val="0"/>
                <w:iCs w:val="0"/>
                <w:color w:val="000000"/>
                <w:kern w:val="2"/>
                <w:sz w:val="16"/>
                <w:szCs w:val="16"/>
                <w:u w:val="none"/>
                <w:lang w:val="en-US" w:eastAsia="zh-CN" w:bidi="ar-SA"/>
              </w:rPr>
            </w:pPr>
          </w:p>
        </w:tc>
        <w:tc>
          <w:tcPr>
            <w:tcW w:w="491"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91"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23"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36"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791" w:type="dxa"/>
            <w:noWrap w:val="0"/>
            <w:vAlign w:val="center"/>
          </w:tcPr>
          <w:p>
            <w:pPr>
              <w:keepNext w:val="0"/>
              <w:keepLines w:val="0"/>
              <w:widowControl/>
              <w:suppressLineNumbers w:val="0"/>
              <w:jc w:val="right"/>
              <w:textAlignment w:val="center"/>
              <w:rPr>
                <w:rFonts w:hint="eastAsia"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2.10</w:t>
            </w:r>
          </w:p>
        </w:tc>
        <w:tc>
          <w:tcPr>
            <w:tcW w:w="464"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50"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518"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539"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89" w:type="dxa"/>
            <w:noWrap w:val="0"/>
            <w:vAlign w:val="center"/>
          </w:tcPr>
          <w:p>
            <w:pPr>
              <w:jc w:val="left"/>
              <w:rPr>
                <w:rFonts w:hint="eastAsia" w:ascii="华文细黑" w:hAnsi="华文细黑" w:eastAsia="华文细黑" w:cs="华文细黑"/>
                <w:i w:val="0"/>
                <w:iCs w:val="0"/>
                <w:color w:val="000000"/>
                <w:kern w:val="2"/>
                <w:sz w:val="16"/>
                <w:szCs w:val="16"/>
                <w:u w:val="none"/>
                <w:lang w:val="en-US" w:eastAsia="zh-CN" w:bidi="ar-SA"/>
              </w:rPr>
            </w:pPr>
          </w:p>
        </w:tc>
        <w:tc>
          <w:tcPr>
            <w:tcW w:w="913" w:type="dxa"/>
            <w:noWrap w:val="0"/>
            <w:vAlign w:val="center"/>
          </w:tcPr>
          <w:p>
            <w:pPr>
              <w:jc w:val="left"/>
              <w:rPr>
                <w:rFonts w:hint="eastAsia" w:ascii="华文细黑" w:hAnsi="华文细黑" w:eastAsia="华文细黑" w:cs="华文细黑"/>
                <w:i w:val="0"/>
                <w:iCs w:val="0"/>
                <w:color w:val="000000"/>
                <w:kern w:val="2"/>
                <w:sz w:val="16"/>
                <w:szCs w:val="16"/>
                <w:u w:val="none"/>
                <w:lang w:val="en-US" w:eastAsia="zh-CN" w:bidi="ar-SA"/>
              </w:rPr>
            </w:pPr>
          </w:p>
        </w:tc>
        <w:tc>
          <w:tcPr>
            <w:tcW w:w="1554" w:type="dxa"/>
            <w:gridSpan w:val="2"/>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碳排放统计业务经费</w:t>
            </w:r>
          </w:p>
        </w:tc>
        <w:tc>
          <w:tcPr>
            <w:tcW w:w="1351"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r>
              <w:rPr>
                <w:rFonts w:hint="eastAsia" w:ascii="华文细黑" w:hAnsi="华文细黑" w:eastAsia="华文细黑" w:cs="华文细黑"/>
                <w:i w:val="0"/>
                <w:iCs w:val="0"/>
                <w:color w:val="000000"/>
                <w:kern w:val="0"/>
                <w:sz w:val="16"/>
                <w:szCs w:val="16"/>
                <w:u w:val="none"/>
                <w:lang w:val="en-US" w:eastAsia="zh-CN" w:bidi="ar"/>
              </w:rPr>
              <w:t>吉林省统计局（本级）</w:t>
            </w:r>
          </w:p>
        </w:tc>
        <w:tc>
          <w:tcPr>
            <w:tcW w:w="941" w:type="dxa"/>
            <w:noWrap w:val="0"/>
            <w:vAlign w:val="center"/>
          </w:tcPr>
          <w:p>
            <w:pPr>
              <w:keepNext w:val="0"/>
              <w:keepLines w:val="0"/>
              <w:widowControl/>
              <w:suppressLineNumbers w:val="0"/>
              <w:jc w:val="right"/>
              <w:textAlignment w:val="center"/>
              <w:rPr>
                <w:rFonts w:hint="eastAsia"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2.73</w:t>
            </w:r>
          </w:p>
        </w:tc>
        <w:tc>
          <w:tcPr>
            <w:tcW w:w="886" w:type="dxa"/>
            <w:noWrap w:val="0"/>
            <w:vAlign w:val="center"/>
          </w:tcPr>
          <w:p>
            <w:pPr>
              <w:jc w:val="right"/>
              <w:rPr>
                <w:rFonts w:hint="eastAsia" w:ascii="Arial" w:hAnsi="Arial" w:eastAsia="仿宋_GB2312" w:cs="Arial"/>
                <w:i w:val="0"/>
                <w:iCs w:val="0"/>
                <w:color w:val="000000"/>
                <w:kern w:val="2"/>
                <w:sz w:val="16"/>
                <w:szCs w:val="16"/>
                <w:u w:val="none"/>
                <w:lang w:val="en-US" w:eastAsia="zh-CN" w:bidi="ar-SA"/>
              </w:rPr>
            </w:pPr>
          </w:p>
        </w:tc>
        <w:tc>
          <w:tcPr>
            <w:tcW w:w="491"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91"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23"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36"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791" w:type="dxa"/>
            <w:noWrap w:val="0"/>
            <w:vAlign w:val="center"/>
          </w:tcPr>
          <w:p>
            <w:pPr>
              <w:keepNext w:val="0"/>
              <w:keepLines w:val="0"/>
              <w:widowControl/>
              <w:suppressLineNumbers w:val="0"/>
              <w:jc w:val="right"/>
              <w:textAlignment w:val="center"/>
              <w:rPr>
                <w:rFonts w:hint="eastAsia"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2.73</w:t>
            </w:r>
          </w:p>
        </w:tc>
        <w:tc>
          <w:tcPr>
            <w:tcW w:w="464"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50"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518"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539"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89" w:type="dxa"/>
            <w:noWrap w:val="0"/>
            <w:vAlign w:val="center"/>
          </w:tcPr>
          <w:p>
            <w:pPr>
              <w:jc w:val="left"/>
              <w:rPr>
                <w:rFonts w:hint="eastAsia" w:ascii="华文细黑" w:hAnsi="华文细黑" w:eastAsia="华文细黑" w:cs="华文细黑"/>
                <w:i w:val="0"/>
                <w:iCs w:val="0"/>
                <w:color w:val="000000"/>
                <w:kern w:val="2"/>
                <w:sz w:val="16"/>
                <w:szCs w:val="16"/>
                <w:u w:val="none"/>
                <w:lang w:val="en-US" w:eastAsia="zh-CN" w:bidi="ar-SA"/>
              </w:rPr>
            </w:pPr>
          </w:p>
        </w:tc>
        <w:tc>
          <w:tcPr>
            <w:tcW w:w="913" w:type="dxa"/>
            <w:noWrap w:val="0"/>
            <w:vAlign w:val="center"/>
          </w:tcPr>
          <w:p>
            <w:pPr>
              <w:jc w:val="left"/>
              <w:rPr>
                <w:rFonts w:hint="eastAsia" w:ascii="华文细黑" w:hAnsi="华文细黑" w:eastAsia="华文细黑" w:cs="华文细黑"/>
                <w:i w:val="0"/>
                <w:iCs w:val="0"/>
                <w:color w:val="000000"/>
                <w:kern w:val="2"/>
                <w:sz w:val="16"/>
                <w:szCs w:val="16"/>
                <w:u w:val="none"/>
                <w:lang w:val="en-US" w:eastAsia="zh-CN" w:bidi="ar-SA"/>
              </w:rPr>
            </w:pPr>
          </w:p>
        </w:tc>
        <w:tc>
          <w:tcPr>
            <w:tcW w:w="1554" w:type="dxa"/>
            <w:gridSpan w:val="2"/>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统计年鉴编辑和综合工作经费</w:t>
            </w:r>
          </w:p>
        </w:tc>
        <w:tc>
          <w:tcPr>
            <w:tcW w:w="1351"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r>
              <w:rPr>
                <w:rFonts w:hint="eastAsia" w:ascii="华文细黑" w:hAnsi="华文细黑" w:eastAsia="华文细黑" w:cs="华文细黑"/>
                <w:i w:val="0"/>
                <w:iCs w:val="0"/>
                <w:color w:val="000000"/>
                <w:kern w:val="0"/>
                <w:sz w:val="16"/>
                <w:szCs w:val="16"/>
                <w:u w:val="none"/>
                <w:lang w:val="en-US" w:eastAsia="zh-CN" w:bidi="ar"/>
              </w:rPr>
              <w:t>吉林省统计局（本级）</w:t>
            </w:r>
          </w:p>
        </w:tc>
        <w:tc>
          <w:tcPr>
            <w:tcW w:w="941" w:type="dxa"/>
            <w:noWrap w:val="0"/>
            <w:vAlign w:val="center"/>
          </w:tcPr>
          <w:p>
            <w:pPr>
              <w:keepNext w:val="0"/>
              <w:keepLines w:val="0"/>
              <w:widowControl/>
              <w:suppressLineNumbers w:val="0"/>
              <w:jc w:val="right"/>
              <w:textAlignment w:val="center"/>
              <w:rPr>
                <w:rFonts w:hint="eastAsia"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44.00</w:t>
            </w:r>
          </w:p>
        </w:tc>
        <w:tc>
          <w:tcPr>
            <w:tcW w:w="886" w:type="dxa"/>
            <w:noWrap w:val="0"/>
            <w:vAlign w:val="center"/>
          </w:tcPr>
          <w:p>
            <w:pPr>
              <w:keepNext w:val="0"/>
              <w:keepLines w:val="0"/>
              <w:widowControl/>
              <w:suppressLineNumbers w:val="0"/>
              <w:jc w:val="right"/>
              <w:textAlignment w:val="center"/>
              <w:rPr>
                <w:rFonts w:hint="eastAsia"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44.00</w:t>
            </w:r>
          </w:p>
        </w:tc>
        <w:tc>
          <w:tcPr>
            <w:tcW w:w="491"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91"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23"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36"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791" w:type="dxa"/>
            <w:noWrap w:val="0"/>
            <w:vAlign w:val="center"/>
          </w:tcPr>
          <w:p>
            <w:pPr>
              <w:jc w:val="right"/>
              <w:rPr>
                <w:rFonts w:hint="eastAsia" w:ascii="Arial" w:hAnsi="Arial" w:eastAsia="仿宋_GB2312" w:cs="Arial"/>
                <w:i w:val="0"/>
                <w:iCs w:val="0"/>
                <w:color w:val="000000"/>
                <w:kern w:val="2"/>
                <w:sz w:val="16"/>
                <w:szCs w:val="16"/>
                <w:u w:val="none"/>
                <w:lang w:val="en-US" w:eastAsia="zh-CN" w:bidi="ar-SA"/>
              </w:rPr>
            </w:pPr>
          </w:p>
        </w:tc>
        <w:tc>
          <w:tcPr>
            <w:tcW w:w="464"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50"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518"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539"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89" w:type="dxa"/>
            <w:noWrap w:val="0"/>
            <w:vAlign w:val="center"/>
          </w:tcPr>
          <w:p>
            <w:pPr>
              <w:jc w:val="left"/>
              <w:rPr>
                <w:rFonts w:hint="eastAsia" w:ascii="华文细黑" w:hAnsi="华文细黑" w:eastAsia="华文细黑" w:cs="华文细黑"/>
                <w:i w:val="0"/>
                <w:iCs w:val="0"/>
                <w:color w:val="000000"/>
                <w:kern w:val="2"/>
                <w:sz w:val="16"/>
                <w:szCs w:val="16"/>
                <w:u w:val="none"/>
                <w:lang w:val="en-US" w:eastAsia="zh-CN" w:bidi="ar-SA"/>
              </w:rPr>
            </w:pPr>
          </w:p>
        </w:tc>
        <w:tc>
          <w:tcPr>
            <w:tcW w:w="913" w:type="dxa"/>
            <w:noWrap w:val="0"/>
            <w:vAlign w:val="center"/>
          </w:tcPr>
          <w:p>
            <w:pPr>
              <w:jc w:val="left"/>
              <w:rPr>
                <w:rFonts w:hint="eastAsia" w:ascii="华文细黑" w:hAnsi="华文细黑" w:eastAsia="华文细黑" w:cs="华文细黑"/>
                <w:i w:val="0"/>
                <w:iCs w:val="0"/>
                <w:color w:val="000000"/>
                <w:kern w:val="2"/>
                <w:sz w:val="16"/>
                <w:szCs w:val="16"/>
                <w:u w:val="none"/>
                <w:lang w:val="en-US" w:eastAsia="zh-CN" w:bidi="ar-SA"/>
              </w:rPr>
            </w:pPr>
          </w:p>
        </w:tc>
        <w:tc>
          <w:tcPr>
            <w:tcW w:w="1554" w:type="dxa"/>
            <w:gridSpan w:val="2"/>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综合统计业务费</w:t>
            </w:r>
          </w:p>
        </w:tc>
        <w:tc>
          <w:tcPr>
            <w:tcW w:w="1351"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941" w:type="dxa"/>
            <w:noWrap w:val="0"/>
            <w:vAlign w:val="center"/>
          </w:tcPr>
          <w:p>
            <w:pPr>
              <w:keepNext w:val="0"/>
              <w:keepLines w:val="0"/>
              <w:widowControl/>
              <w:suppressLineNumbers w:val="0"/>
              <w:jc w:val="right"/>
              <w:textAlignment w:val="center"/>
              <w:rPr>
                <w:rFonts w:hint="eastAsia"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74.35</w:t>
            </w:r>
          </w:p>
        </w:tc>
        <w:tc>
          <w:tcPr>
            <w:tcW w:w="886" w:type="dxa"/>
            <w:noWrap w:val="0"/>
            <w:vAlign w:val="center"/>
          </w:tcPr>
          <w:p>
            <w:pPr>
              <w:keepNext w:val="0"/>
              <w:keepLines w:val="0"/>
              <w:widowControl/>
              <w:suppressLineNumbers w:val="0"/>
              <w:jc w:val="right"/>
              <w:textAlignment w:val="center"/>
              <w:rPr>
                <w:rFonts w:hint="eastAsia"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64.50</w:t>
            </w:r>
          </w:p>
        </w:tc>
        <w:tc>
          <w:tcPr>
            <w:tcW w:w="491"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91"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23"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36"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791" w:type="dxa"/>
            <w:noWrap w:val="0"/>
            <w:vAlign w:val="center"/>
          </w:tcPr>
          <w:p>
            <w:pPr>
              <w:keepNext w:val="0"/>
              <w:keepLines w:val="0"/>
              <w:widowControl/>
              <w:suppressLineNumbers w:val="0"/>
              <w:jc w:val="right"/>
              <w:textAlignment w:val="center"/>
              <w:rPr>
                <w:rFonts w:hint="eastAsia"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9.85</w:t>
            </w:r>
          </w:p>
        </w:tc>
        <w:tc>
          <w:tcPr>
            <w:tcW w:w="464"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50"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518"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539"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89" w:type="dxa"/>
            <w:noWrap w:val="0"/>
            <w:vAlign w:val="center"/>
          </w:tcPr>
          <w:p>
            <w:pPr>
              <w:jc w:val="left"/>
              <w:rPr>
                <w:rFonts w:hint="eastAsia" w:ascii="华文细黑" w:hAnsi="华文细黑" w:eastAsia="华文细黑" w:cs="华文细黑"/>
                <w:i w:val="0"/>
                <w:iCs w:val="0"/>
                <w:color w:val="000000"/>
                <w:kern w:val="2"/>
                <w:sz w:val="16"/>
                <w:szCs w:val="16"/>
                <w:u w:val="none"/>
                <w:lang w:val="en-US" w:eastAsia="zh-CN" w:bidi="ar-SA"/>
              </w:rPr>
            </w:pPr>
          </w:p>
        </w:tc>
        <w:tc>
          <w:tcPr>
            <w:tcW w:w="913"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省预算内基本建设资金</w:t>
            </w:r>
          </w:p>
        </w:tc>
        <w:tc>
          <w:tcPr>
            <w:tcW w:w="1554" w:type="dxa"/>
            <w:gridSpan w:val="2"/>
            <w:noWrap w:val="0"/>
            <w:vAlign w:val="center"/>
          </w:tcPr>
          <w:p>
            <w:pPr>
              <w:jc w:val="left"/>
              <w:rPr>
                <w:rFonts w:hint="eastAsia" w:ascii="华文细黑" w:hAnsi="华文细黑" w:eastAsia="华文细黑" w:cs="华文细黑"/>
                <w:i w:val="0"/>
                <w:iCs w:val="0"/>
                <w:color w:val="000000"/>
                <w:kern w:val="2"/>
                <w:sz w:val="16"/>
                <w:szCs w:val="16"/>
                <w:u w:val="none"/>
                <w:lang w:val="en-US" w:eastAsia="zh-CN" w:bidi="ar-SA"/>
              </w:rPr>
            </w:pPr>
          </w:p>
        </w:tc>
        <w:tc>
          <w:tcPr>
            <w:tcW w:w="1351"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941" w:type="dxa"/>
            <w:noWrap w:val="0"/>
            <w:vAlign w:val="center"/>
          </w:tcPr>
          <w:p>
            <w:pPr>
              <w:keepNext w:val="0"/>
              <w:keepLines w:val="0"/>
              <w:widowControl/>
              <w:suppressLineNumbers w:val="0"/>
              <w:jc w:val="right"/>
              <w:textAlignment w:val="center"/>
              <w:rPr>
                <w:rFonts w:hint="eastAsia"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270.00</w:t>
            </w:r>
          </w:p>
        </w:tc>
        <w:tc>
          <w:tcPr>
            <w:tcW w:w="886" w:type="dxa"/>
            <w:noWrap w:val="0"/>
            <w:vAlign w:val="center"/>
          </w:tcPr>
          <w:p>
            <w:pPr>
              <w:jc w:val="right"/>
              <w:rPr>
                <w:rFonts w:hint="eastAsia" w:ascii="Arial" w:hAnsi="Arial" w:eastAsia="仿宋_GB2312" w:cs="Arial"/>
                <w:i w:val="0"/>
                <w:iCs w:val="0"/>
                <w:color w:val="000000"/>
                <w:kern w:val="2"/>
                <w:sz w:val="16"/>
                <w:szCs w:val="16"/>
                <w:u w:val="none"/>
                <w:lang w:val="en-US" w:eastAsia="zh-CN" w:bidi="ar-SA"/>
              </w:rPr>
            </w:pPr>
          </w:p>
        </w:tc>
        <w:tc>
          <w:tcPr>
            <w:tcW w:w="491"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91"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23"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36"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791" w:type="dxa"/>
            <w:noWrap w:val="0"/>
            <w:vAlign w:val="center"/>
          </w:tcPr>
          <w:p>
            <w:pPr>
              <w:keepNext w:val="0"/>
              <w:keepLines w:val="0"/>
              <w:widowControl/>
              <w:suppressLineNumbers w:val="0"/>
              <w:jc w:val="right"/>
              <w:textAlignment w:val="center"/>
              <w:rPr>
                <w:rFonts w:hint="eastAsia"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270.00</w:t>
            </w:r>
          </w:p>
        </w:tc>
        <w:tc>
          <w:tcPr>
            <w:tcW w:w="464"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50"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518"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539"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89" w:type="dxa"/>
            <w:noWrap w:val="0"/>
            <w:vAlign w:val="center"/>
          </w:tcPr>
          <w:p>
            <w:pPr>
              <w:jc w:val="left"/>
              <w:rPr>
                <w:rFonts w:hint="eastAsia" w:ascii="华文细黑" w:hAnsi="华文细黑" w:eastAsia="华文细黑" w:cs="华文细黑"/>
                <w:i w:val="0"/>
                <w:iCs w:val="0"/>
                <w:color w:val="000000"/>
                <w:kern w:val="2"/>
                <w:sz w:val="16"/>
                <w:szCs w:val="16"/>
                <w:u w:val="none"/>
                <w:lang w:val="en-US" w:eastAsia="zh-CN" w:bidi="ar-SA"/>
              </w:rPr>
            </w:pPr>
          </w:p>
        </w:tc>
        <w:tc>
          <w:tcPr>
            <w:tcW w:w="913" w:type="dxa"/>
            <w:noWrap w:val="0"/>
            <w:vAlign w:val="center"/>
          </w:tcPr>
          <w:p>
            <w:pPr>
              <w:jc w:val="left"/>
              <w:rPr>
                <w:rFonts w:hint="eastAsia" w:ascii="华文细黑" w:hAnsi="华文细黑" w:eastAsia="华文细黑" w:cs="华文细黑"/>
                <w:i w:val="0"/>
                <w:iCs w:val="0"/>
                <w:color w:val="000000"/>
                <w:kern w:val="2"/>
                <w:sz w:val="16"/>
                <w:szCs w:val="16"/>
                <w:u w:val="none"/>
                <w:lang w:val="en-US" w:eastAsia="zh-CN" w:bidi="ar-SA"/>
              </w:rPr>
            </w:pPr>
          </w:p>
        </w:tc>
        <w:tc>
          <w:tcPr>
            <w:tcW w:w="1554" w:type="dxa"/>
            <w:gridSpan w:val="2"/>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2023年第三批省预算内基本建设资金（重大项目前期工作经费）省统计局</w:t>
            </w:r>
          </w:p>
        </w:tc>
        <w:tc>
          <w:tcPr>
            <w:tcW w:w="1351"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r>
              <w:rPr>
                <w:rFonts w:hint="eastAsia" w:ascii="华文细黑" w:hAnsi="华文细黑" w:eastAsia="华文细黑" w:cs="华文细黑"/>
                <w:i w:val="0"/>
                <w:iCs w:val="0"/>
                <w:color w:val="000000"/>
                <w:kern w:val="0"/>
                <w:sz w:val="16"/>
                <w:szCs w:val="16"/>
                <w:u w:val="none"/>
                <w:lang w:val="en-US" w:eastAsia="zh-CN" w:bidi="ar"/>
              </w:rPr>
              <w:t>吉林省统计局（本级）</w:t>
            </w:r>
          </w:p>
        </w:tc>
        <w:tc>
          <w:tcPr>
            <w:tcW w:w="941" w:type="dxa"/>
            <w:noWrap w:val="0"/>
            <w:vAlign w:val="center"/>
          </w:tcPr>
          <w:p>
            <w:pPr>
              <w:keepNext w:val="0"/>
              <w:keepLines w:val="0"/>
              <w:widowControl/>
              <w:suppressLineNumbers w:val="0"/>
              <w:jc w:val="right"/>
              <w:textAlignment w:val="center"/>
              <w:rPr>
                <w:rFonts w:hint="eastAsia"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270.00</w:t>
            </w:r>
          </w:p>
        </w:tc>
        <w:tc>
          <w:tcPr>
            <w:tcW w:w="886" w:type="dxa"/>
            <w:noWrap w:val="0"/>
            <w:vAlign w:val="center"/>
          </w:tcPr>
          <w:p>
            <w:pPr>
              <w:jc w:val="right"/>
              <w:rPr>
                <w:rFonts w:hint="eastAsia" w:ascii="Arial" w:hAnsi="Arial" w:eastAsia="仿宋_GB2312" w:cs="Arial"/>
                <w:i w:val="0"/>
                <w:iCs w:val="0"/>
                <w:color w:val="000000"/>
                <w:kern w:val="2"/>
                <w:sz w:val="16"/>
                <w:szCs w:val="16"/>
                <w:u w:val="none"/>
                <w:lang w:val="en-US" w:eastAsia="zh-CN" w:bidi="ar-SA"/>
              </w:rPr>
            </w:pPr>
          </w:p>
        </w:tc>
        <w:tc>
          <w:tcPr>
            <w:tcW w:w="491"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91"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23"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36"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791" w:type="dxa"/>
            <w:noWrap w:val="0"/>
            <w:vAlign w:val="center"/>
          </w:tcPr>
          <w:p>
            <w:pPr>
              <w:keepNext w:val="0"/>
              <w:keepLines w:val="0"/>
              <w:widowControl/>
              <w:suppressLineNumbers w:val="0"/>
              <w:jc w:val="right"/>
              <w:textAlignment w:val="center"/>
              <w:rPr>
                <w:rFonts w:hint="eastAsia"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270.00</w:t>
            </w:r>
          </w:p>
        </w:tc>
        <w:tc>
          <w:tcPr>
            <w:tcW w:w="464"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50"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518"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539"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89" w:type="dxa"/>
            <w:noWrap w:val="0"/>
            <w:vAlign w:val="center"/>
          </w:tcPr>
          <w:p>
            <w:pPr>
              <w:jc w:val="left"/>
              <w:rPr>
                <w:rFonts w:hint="eastAsia" w:ascii="华文细黑" w:hAnsi="华文细黑" w:eastAsia="华文细黑" w:cs="华文细黑"/>
                <w:i w:val="0"/>
                <w:iCs w:val="0"/>
                <w:color w:val="000000"/>
                <w:kern w:val="2"/>
                <w:sz w:val="16"/>
                <w:szCs w:val="16"/>
                <w:u w:val="none"/>
                <w:lang w:val="en-US" w:eastAsia="zh-CN" w:bidi="ar-SA"/>
              </w:rPr>
            </w:pPr>
          </w:p>
        </w:tc>
        <w:tc>
          <w:tcPr>
            <w:tcW w:w="913"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统计综合业务管理</w:t>
            </w:r>
          </w:p>
        </w:tc>
        <w:tc>
          <w:tcPr>
            <w:tcW w:w="1554" w:type="dxa"/>
            <w:gridSpan w:val="2"/>
            <w:noWrap w:val="0"/>
            <w:vAlign w:val="center"/>
          </w:tcPr>
          <w:p>
            <w:pPr>
              <w:jc w:val="left"/>
              <w:rPr>
                <w:rFonts w:hint="eastAsia" w:ascii="华文细黑" w:hAnsi="华文细黑" w:eastAsia="华文细黑" w:cs="华文细黑"/>
                <w:i w:val="0"/>
                <w:iCs w:val="0"/>
                <w:color w:val="000000"/>
                <w:kern w:val="2"/>
                <w:sz w:val="16"/>
                <w:szCs w:val="16"/>
                <w:u w:val="none"/>
                <w:lang w:val="en-US" w:eastAsia="zh-CN" w:bidi="ar-SA"/>
              </w:rPr>
            </w:pPr>
          </w:p>
        </w:tc>
        <w:tc>
          <w:tcPr>
            <w:tcW w:w="1351"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941" w:type="dxa"/>
            <w:noWrap w:val="0"/>
            <w:vAlign w:val="center"/>
          </w:tcPr>
          <w:p>
            <w:pPr>
              <w:keepNext w:val="0"/>
              <w:keepLines w:val="0"/>
              <w:widowControl/>
              <w:suppressLineNumbers w:val="0"/>
              <w:jc w:val="right"/>
              <w:textAlignment w:val="center"/>
              <w:rPr>
                <w:rFonts w:hint="eastAsia"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236.43</w:t>
            </w:r>
          </w:p>
        </w:tc>
        <w:tc>
          <w:tcPr>
            <w:tcW w:w="886" w:type="dxa"/>
            <w:noWrap w:val="0"/>
            <w:vAlign w:val="center"/>
          </w:tcPr>
          <w:p>
            <w:pPr>
              <w:keepNext w:val="0"/>
              <w:keepLines w:val="0"/>
              <w:widowControl/>
              <w:suppressLineNumbers w:val="0"/>
              <w:jc w:val="right"/>
              <w:textAlignment w:val="center"/>
              <w:rPr>
                <w:rFonts w:hint="eastAsia"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205.81</w:t>
            </w:r>
          </w:p>
        </w:tc>
        <w:tc>
          <w:tcPr>
            <w:tcW w:w="491"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91"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23"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36"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791" w:type="dxa"/>
            <w:noWrap w:val="0"/>
            <w:vAlign w:val="center"/>
          </w:tcPr>
          <w:p>
            <w:pPr>
              <w:keepNext w:val="0"/>
              <w:keepLines w:val="0"/>
              <w:widowControl/>
              <w:suppressLineNumbers w:val="0"/>
              <w:jc w:val="right"/>
              <w:textAlignment w:val="center"/>
              <w:rPr>
                <w:rFonts w:hint="eastAsia"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30.62</w:t>
            </w:r>
          </w:p>
        </w:tc>
        <w:tc>
          <w:tcPr>
            <w:tcW w:w="464"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50"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518"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539"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89" w:type="dxa"/>
            <w:noWrap w:val="0"/>
            <w:vAlign w:val="center"/>
          </w:tcPr>
          <w:p>
            <w:pPr>
              <w:jc w:val="left"/>
              <w:rPr>
                <w:rFonts w:hint="eastAsia" w:ascii="华文细黑" w:hAnsi="华文细黑" w:eastAsia="华文细黑" w:cs="华文细黑"/>
                <w:i w:val="0"/>
                <w:iCs w:val="0"/>
                <w:color w:val="000000"/>
                <w:kern w:val="2"/>
                <w:sz w:val="16"/>
                <w:szCs w:val="16"/>
                <w:u w:val="none"/>
                <w:lang w:val="en-US" w:eastAsia="zh-CN" w:bidi="ar-SA"/>
              </w:rPr>
            </w:pPr>
          </w:p>
        </w:tc>
        <w:tc>
          <w:tcPr>
            <w:tcW w:w="913" w:type="dxa"/>
            <w:noWrap w:val="0"/>
            <w:vAlign w:val="center"/>
          </w:tcPr>
          <w:p>
            <w:pPr>
              <w:jc w:val="left"/>
              <w:rPr>
                <w:rFonts w:hint="eastAsia" w:ascii="华文细黑" w:hAnsi="华文细黑" w:eastAsia="华文细黑" w:cs="华文细黑"/>
                <w:i w:val="0"/>
                <w:iCs w:val="0"/>
                <w:color w:val="000000"/>
                <w:kern w:val="2"/>
                <w:sz w:val="16"/>
                <w:szCs w:val="16"/>
                <w:u w:val="none"/>
                <w:lang w:val="en-US" w:eastAsia="zh-CN" w:bidi="ar-SA"/>
              </w:rPr>
            </w:pPr>
          </w:p>
        </w:tc>
        <w:tc>
          <w:tcPr>
            <w:tcW w:w="1554" w:type="dxa"/>
            <w:gridSpan w:val="2"/>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全省统计系统垂直管理经费</w:t>
            </w:r>
          </w:p>
        </w:tc>
        <w:tc>
          <w:tcPr>
            <w:tcW w:w="1351"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r>
              <w:rPr>
                <w:rFonts w:hint="eastAsia" w:ascii="华文细黑" w:hAnsi="华文细黑" w:eastAsia="华文细黑" w:cs="华文细黑"/>
                <w:i w:val="0"/>
                <w:iCs w:val="0"/>
                <w:color w:val="000000"/>
                <w:kern w:val="0"/>
                <w:sz w:val="16"/>
                <w:szCs w:val="16"/>
                <w:u w:val="none"/>
                <w:lang w:val="en-US" w:eastAsia="zh-CN" w:bidi="ar"/>
              </w:rPr>
              <w:t>吉林省统计局（本级）</w:t>
            </w:r>
          </w:p>
        </w:tc>
        <w:tc>
          <w:tcPr>
            <w:tcW w:w="941" w:type="dxa"/>
            <w:noWrap w:val="0"/>
            <w:vAlign w:val="center"/>
          </w:tcPr>
          <w:p>
            <w:pPr>
              <w:keepNext w:val="0"/>
              <w:keepLines w:val="0"/>
              <w:widowControl/>
              <w:suppressLineNumbers w:val="0"/>
              <w:jc w:val="right"/>
              <w:textAlignment w:val="center"/>
              <w:rPr>
                <w:rFonts w:hint="eastAsia"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86.74</w:t>
            </w:r>
          </w:p>
        </w:tc>
        <w:tc>
          <w:tcPr>
            <w:tcW w:w="886" w:type="dxa"/>
            <w:noWrap w:val="0"/>
            <w:vAlign w:val="center"/>
          </w:tcPr>
          <w:p>
            <w:pPr>
              <w:keepNext w:val="0"/>
              <w:keepLines w:val="0"/>
              <w:widowControl/>
              <w:suppressLineNumbers w:val="0"/>
              <w:jc w:val="right"/>
              <w:textAlignment w:val="center"/>
              <w:rPr>
                <w:rFonts w:hint="eastAsia"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75.81</w:t>
            </w:r>
          </w:p>
        </w:tc>
        <w:tc>
          <w:tcPr>
            <w:tcW w:w="491"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91"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23"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36"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791" w:type="dxa"/>
            <w:noWrap w:val="0"/>
            <w:vAlign w:val="center"/>
          </w:tcPr>
          <w:p>
            <w:pPr>
              <w:keepNext w:val="0"/>
              <w:keepLines w:val="0"/>
              <w:widowControl/>
              <w:suppressLineNumbers w:val="0"/>
              <w:jc w:val="right"/>
              <w:textAlignment w:val="center"/>
              <w:rPr>
                <w:rFonts w:hint="eastAsia"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10.93</w:t>
            </w:r>
          </w:p>
        </w:tc>
        <w:tc>
          <w:tcPr>
            <w:tcW w:w="464"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50"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518"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539"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89" w:type="dxa"/>
            <w:noWrap w:val="0"/>
            <w:vAlign w:val="center"/>
          </w:tcPr>
          <w:p>
            <w:pPr>
              <w:jc w:val="left"/>
              <w:rPr>
                <w:rFonts w:hint="eastAsia" w:ascii="华文细黑" w:hAnsi="华文细黑" w:eastAsia="华文细黑" w:cs="华文细黑"/>
                <w:i w:val="0"/>
                <w:iCs w:val="0"/>
                <w:color w:val="000000"/>
                <w:kern w:val="2"/>
                <w:sz w:val="16"/>
                <w:szCs w:val="16"/>
                <w:u w:val="none"/>
                <w:lang w:val="en-US" w:eastAsia="zh-CN" w:bidi="ar-SA"/>
              </w:rPr>
            </w:pPr>
          </w:p>
        </w:tc>
        <w:tc>
          <w:tcPr>
            <w:tcW w:w="913" w:type="dxa"/>
            <w:noWrap w:val="0"/>
            <w:vAlign w:val="center"/>
          </w:tcPr>
          <w:p>
            <w:pPr>
              <w:jc w:val="left"/>
              <w:rPr>
                <w:rFonts w:hint="eastAsia" w:ascii="华文细黑" w:hAnsi="华文细黑" w:eastAsia="华文细黑" w:cs="华文细黑"/>
                <w:i w:val="0"/>
                <w:iCs w:val="0"/>
                <w:color w:val="000000"/>
                <w:kern w:val="2"/>
                <w:sz w:val="16"/>
                <w:szCs w:val="16"/>
                <w:u w:val="none"/>
                <w:lang w:val="en-US" w:eastAsia="zh-CN" w:bidi="ar-SA"/>
              </w:rPr>
            </w:pPr>
          </w:p>
        </w:tc>
        <w:tc>
          <w:tcPr>
            <w:tcW w:w="1554" w:type="dxa"/>
            <w:gridSpan w:val="2"/>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吉林省统计数据共享平台增值服务经费</w:t>
            </w:r>
          </w:p>
        </w:tc>
        <w:tc>
          <w:tcPr>
            <w:tcW w:w="1351"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r>
              <w:rPr>
                <w:rFonts w:hint="eastAsia" w:ascii="华文细黑" w:hAnsi="华文细黑" w:eastAsia="华文细黑" w:cs="华文细黑"/>
                <w:i w:val="0"/>
                <w:iCs w:val="0"/>
                <w:color w:val="000000"/>
                <w:kern w:val="0"/>
                <w:sz w:val="16"/>
                <w:szCs w:val="16"/>
                <w:u w:val="none"/>
                <w:lang w:val="en-US" w:eastAsia="zh-CN" w:bidi="ar"/>
              </w:rPr>
              <w:t>吉林省统计局（本级）</w:t>
            </w:r>
          </w:p>
        </w:tc>
        <w:tc>
          <w:tcPr>
            <w:tcW w:w="941" w:type="dxa"/>
            <w:noWrap w:val="0"/>
            <w:vAlign w:val="center"/>
          </w:tcPr>
          <w:p>
            <w:pPr>
              <w:keepNext w:val="0"/>
              <w:keepLines w:val="0"/>
              <w:widowControl/>
              <w:suppressLineNumbers w:val="0"/>
              <w:jc w:val="right"/>
              <w:textAlignment w:val="center"/>
              <w:rPr>
                <w:rFonts w:hint="eastAsia"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53.00</w:t>
            </w:r>
          </w:p>
        </w:tc>
        <w:tc>
          <w:tcPr>
            <w:tcW w:w="886" w:type="dxa"/>
            <w:noWrap w:val="0"/>
            <w:vAlign w:val="center"/>
          </w:tcPr>
          <w:p>
            <w:pPr>
              <w:keepNext w:val="0"/>
              <w:keepLines w:val="0"/>
              <w:widowControl/>
              <w:suppressLineNumbers w:val="0"/>
              <w:jc w:val="right"/>
              <w:textAlignment w:val="center"/>
              <w:rPr>
                <w:rFonts w:hint="eastAsia"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53.00</w:t>
            </w:r>
          </w:p>
        </w:tc>
        <w:tc>
          <w:tcPr>
            <w:tcW w:w="491"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91"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23"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36"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791" w:type="dxa"/>
            <w:noWrap w:val="0"/>
            <w:vAlign w:val="center"/>
          </w:tcPr>
          <w:p>
            <w:pPr>
              <w:jc w:val="right"/>
              <w:rPr>
                <w:rFonts w:hint="eastAsia" w:ascii="Arial" w:hAnsi="Arial" w:eastAsia="仿宋_GB2312" w:cs="Arial"/>
                <w:i w:val="0"/>
                <w:iCs w:val="0"/>
                <w:color w:val="000000"/>
                <w:kern w:val="2"/>
                <w:sz w:val="16"/>
                <w:szCs w:val="16"/>
                <w:u w:val="none"/>
                <w:lang w:val="en-US" w:eastAsia="zh-CN" w:bidi="ar-SA"/>
              </w:rPr>
            </w:pPr>
          </w:p>
        </w:tc>
        <w:tc>
          <w:tcPr>
            <w:tcW w:w="464"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50"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518"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539"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89" w:type="dxa"/>
            <w:noWrap w:val="0"/>
            <w:vAlign w:val="center"/>
          </w:tcPr>
          <w:p>
            <w:pPr>
              <w:jc w:val="left"/>
              <w:rPr>
                <w:rFonts w:hint="eastAsia" w:ascii="华文细黑" w:hAnsi="华文细黑" w:eastAsia="华文细黑" w:cs="华文细黑"/>
                <w:i w:val="0"/>
                <w:iCs w:val="0"/>
                <w:color w:val="000000"/>
                <w:kern w:val="2"/>
                <w:sz w:val="16"/>
                <w:szCs w:val="16"/>
                <w:u w:val="none"/>
                <w:lang w:val="en-US" w:eastAsia="zh-CN" w:bidi="ar-SA"/>
              </w:rPr>
            </w:pPr>
          </w:p>
        </w:tc>
        <w:tc>
          <w:tcPr>
            <w:tcW w:w="913" w:type="dxa"/>
            <w:noWrap w:val="0"/>
            <w:vAlign w:val="center"/>
          </w:tcPr>
          <w:p>
            <w:pPr>
              <w:jc w:val="left"/>
              <w:rPr>
                <w:rFonts w:hint="eastAsia" w:ascii="华文细黑" w:hAnsi="华文细黑" w:eastAsia="华文细黑" w:cs="华文细黑"/>
                <w:i w:val="0"/>
                <w:iCs w:val="0"/>
                <w:color w:val="000000"/>
                <w:kern w:val="2"/>
                <w:sz w:val="16"/>
                <w:szCs w:val="16"/>
                <w:u w:val="none"/>
                <w:lang w:val="en-US" w:eastAsia="zh-CN" w:bidi="ar-SA"/>
              </w:rPr>
            </w:pPr>
          </w:p>
        </w:tc>
        <w:tc>
          <w:tcPr>
            <w:tcW w:w="1554" w:type="dxa"/>
            <w:gridSpan w:val="2"/>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吉林省统计系统干部队伍管理教育培训经费</w:t>
            </w:r>
          </w:p>
        </w:tc>
        <w:tc>
          <w:tcPr>
            <w:tcW w:w="1351"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r>
              <w:rPr>
                <w:rFonts w:hint="eastAsia" w:ascii="华文细黑" w:hAnsi="华文细黑" w:eastAsia="华文细黑" w:cs="华文细黑"/>
                <w:i w:val="0"/>
                <w:iCs w:val="0"/>
                <w:color w:val="000000"/>
                <w:kern w:val="0"/>
                <w:sz w:val="16"/>
                <w:szCs w:val="16"/>
                <w:u w:val="none"/>
                <w:lang w:val="en-US" w:eastAsia="zh-CN" w:bidi="ar"/>
              </w:rPr>
              <w:t>吉林省统计局（本级）</w:t>
            </w:r>
          </w:p>
        </w:tc>
        <w:tc>
          <w:tcPr>
            <w:tcW w:w="941" w:type="dxa"/>
            <w:noWrap w:val="0"/>
            <w:vAlign w:val="center"/>
          </w:tcPr>
          <w:p>
            <w:pPr>
              <w:keepNext w:val="0"/>
              <w:keepLines w:val="0"/>
              <w:widowControl/>
              <w:suppressLineNumbers w:val="0"/>
              <w:jc w:val="right"/>
              <w:textAlignment w:val="center"/>
              <w:rPr>
                <w:rFonts w:hint="eastAsia"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25.80</w:t>
            </w:r>
          </w:p>
        </w:tc>
        <w:tc>
          <w:tcPr>
            <w:tcW w:w="886" w:type="dxa"/>
            <w:noWrap w:val="0"/>
            <w:vAlign w:val="center"/>
          </w:tcPr>
          <w:p>
            <w:pPr>
              <w:keepNext w:val="0"/>
              <w:keepLines w:val="0"/>
              <w:widowControl/>
              <w:suppressLineNumbers w:val="0"/>
              <w:jc w:val="right"/>
              <w:textAlignment w:val="center"/>
              <w:rPr>
                <w:rFonts w:hint="eastAsia"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22.00</w:t>
            </w:r>
          </w:p>
        </w:tc>
        <w:tc>
          <w:tcPr>
            <w:tcW w:w="491"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91"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23"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36"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791" w:type="dxa"/>
            <w:noWrap w:val="0"/>
            <w:vAlign w:val="center"/>
          </w:tcPr>
          <w:p>
            <w:pPr>
              <w:keepNext w:val="0"/>
              <w:keepLines w:val="0"/>
              <w:widowControl/>
              <w:suppressLineNumbers w:val="0"/>
              <w:jc w:val="right"/>
              <w:textAlignment w:val="center"/>
              <w:rPr>
                <w:rFonts w:hint="eastAsia"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3.80</w:t>
            </w:r>
          </w:p>
        </w:tc>
        <w:tc>
          <w:tcPr>
            <w:tcW w:w="464"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50"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518"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539"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89" w:type="dxa"/>
            <w:noWrap w:val="0"/>
            <w:vAlign w:val="center"/>
          </w:tcPr>
          <w:p>
            <w:pPr>
              <w:jc w:val="left"/>
              <w:rPr>
                <w:rFonts w:hint="eastAsia" w:ascii="华文细黑" w:hAnsi="华文细黑" w:eastAsia="华文细黑" w:cs="华文细黑"/>
                <w:i w:val="0"/>
                <w:iCs w:val="0"/>
                <w:color w:val="000000"/>
                <w:kern w:val="2"/>
                <w:sz w:val="16"/>
                <w:szCs w:val="16"/>
                <w:u w:val="none"/>
                <w:lang w:val="en-US" w:eastAsia="zh-CN" w:bidi="ar-SA"/>
              </w:rPr>
            </w:pPr>
          </w:p>
        </w:tc>
        <w:tc>
          <w:tcPr>
            <w:tcW w:w="913" w:type="dxa"/>
            <w:noWrap w:val="0"/>
            <w:vAlign w:val="center"/>
          </w:tcPr>
          <w:p>
            <w:pPr>
              <w:jc w:val="left"/>
              <w:rPr>
                <w:rFonts w:hint="eastAsia" w:ascii="华文细黑" w:hAnsi="华文细黑" w:eastAsia="华文细黑" w:cs="华文细黑"/>
                <w:i w:val="0"/>
                <w:iCs w:val="0"/>
                <w:color w:val="000000"/>
                <w:kern w:val="2"/>
                <w:sz w:val="16"/>
                <w:szCs w:val="16"/>
                <w:u w:val="none"/>
                <w:lang w:val="en-US" w:eastAsia="zh-CN" w:bidi="ar-SA"/>
              </w:rPr>
            </w:pPr>
          </w:p>
        </w:tc>
        <w:tc>
          <w:tcPr>
            <w:tcW w:w="1554" w:type="dxa"/>
            <w:gridSpan w:val="2"/>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统计法治建设和执法检查经费</w:t>
            </w:r>
          </w:p>
        </w:tc>
        <w:tc>
          <w:tcPr>
            <w:tcW w:w="1351"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r>
              <w:rPr>
                <w:rFonts w:hint="eastAsia" w:ascii="华文细黑" w:hAnsi="华文细黑" w:eastAsia="华文细黑" w:cs="华文细黑"/>
                <w:i w:val="0"/>
                <w:iCs w:val="0"/>
                <w:color w:val="000000"/>
                <w:kern w:val="0"/>
                <w:sz w:val="16"/>
                <w:szCs w:val="16"/>
                <w:u w:val="none"/>
                <w:lang w:val="en-US" w:eastAsia="zh-CN" w:bidi="ar"/>
              </w:rPr>
              <w:t>吉林省统计局（本级）</w:t>
            </w:r>
          </w:p>
        </w:tc>
        <w:tc>
          <w:tcPr>
            <w:tcW w:w="941" w:type="dxa"/>
            <w:noWrap w:val="0"/>
            <w:vAlign w:val="center"/>
          </w:tcPr>
          <w:p>
            <w:pPr>
              <w:keepNext w:val="0"/>
              <w:keepLines w:val="0"/>
              <w:widowControl/>
              <w:suppressLineNumbers w:val="0"/>
              <w:jc w:val="right"/>
              <w:textAlignment w:val="center"/>
              <w:rPr>
                <w:rFonts w:hint="eastAsia"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59.98</w:t>
            </w:r>
          </w:p>
        </w:tc>
        <w:tc>
          <w:tcPr>
            <w:tcW w:w="886" w:type="dxa"/>
            <w:noWrap w:val="0"/>
            <w:vAlign w:val="center"/>
          </w:tcPr>
          <w:p>
            <w:pPr>
              <w:keepNext w:val="0"/>
              <w:keepLines w:val="0"/>
              <w:widowControl/>
              <w:suppressLineNumbers w:val="0"/>
              <w:jc w:val="right"/>
              <w:textAlignment w:val="center"/>
              <w:rPr>
                <w:rFonts w:hint="eastAsia"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55.00</w:t>
            </w:r>
          </w:p>
        </w:tc>
        <w:tc>
          <w:tcPr>
            <w:tcW w:w="491"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91"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23"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36"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791" w:type="dxa"/>
            <w:noWrap w:val="0"/>
            <w:vAlign w:val="center"/>
          </w:tcPr>
          <w:p>
            <w:pPr>
              <w:keepNext w:val="0"/>
              <w:keepLines w:val="0"/>
              <w:widowControl/>
              <w:suppressLineNumbers w:val="0"/>
              <w:jc w:val="right"/>
              <w:textAlignment w:val="center"/>
              <w:rPr>
                <w:rFonts w:hint="eastAsia"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4.98</w:t>
            </w:r>
          </w:p>
        </w:tc>
        <w:tc>
          <w:tcPr>
            <w:tcW w:w="464"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50"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518"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539"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89" w:type="dxa"/>
            <w:noWrap w:val="0"/>
            <w:vAlign w:val="center"/>
          </w:tcPr>
          <w:p>
            <w:pPr>
              <w:jc w:val="left"/>
              <w:rPr>
                <w:rFonts w:hint="eastAsia" w:ascii="华文细黑" w:hAnsi="华文细黑" w:eastAsia="华文细黑" w:cs="华文细黑"/>
                <w:i w:val="0"/>
                <w:iCs w:val="0"/>
                <w:color w:val="000000"/>
                <w:kern w:val="2"/>
                <w:sz w:val="16"/>
                <w:szCs w:val="16"/>
                <w:u w:val="none"/>
                <w:lang w:val="en-US" w:eastAsia="zh-CN" w:bidi="ar-SA"/>
              </w:rPr>
            </w:pPr>
          </w:p>
        </w:tc>
        <w:tc>
          <w:tcPr>
            <w:tcW w:w="913" w:type="dxa"/>
            <w:noWrap w:val="0"/>
            <w:vAlign w:val="center"/>
          </w:tcPr>
          <w:p>
            <w:pPr>
              <w:jc w:val="left"/>
              <w:rPr>
                <w:rFonts w:hint="eastAsia" w:ascii="华文细黑" w:hAnsi="华文细黑" w:eastAsia="华文细黑" w:cs="华文细黑"/>
                <w:i w:val="0"/>
                <w:iCs w:val="0"/>
                <w:color w:val="000000"/>
                <w:kern w:val="2"/>
                <w:sz w:val="16"/>
                <w:szCs w:val="16"/>
                <w:u w:val="none"/>
                <w:lang w:val="en-US" w:eastAsia="zh-CN" w:bidi="ar-SA"/>
              </w:rPr>
            </w:pPr>
          </w:p>
        </w:tc>
        <w:tc>
          <w:tcPr>
            <w:tcW w:w="1554" w:type="dxa"/>
            <w:gridSpan w:val="2"/>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设施配套经费</w:t>
            </w:r>
          </w:p>
        </w:tc>
        <w:tc>
          <w:tcPr>
            <w:tcW w:w="1351"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r>
              <w:rPr>
                <w:rFonts w:hint="eastAsia" w:ascii="华文细黑" w:hAnsi="华文细黑" w:eastAsia="华文细黑" w:cs="华文细黑"/>
                <w:i w:val="0"/>
                <w:iCs w:val="0"/>
                <w:color w:val="000000"/>
                <w:kern w:val="0"/>
                <w:sz w:val="16"/>
                <w:szCs w:val="16"/>
                <w:u w:val="none"/>
                <w:lang w:val="en-US" w:eastAsia="zh-CN" w:bidi="ar"/>
              </w:rPr>
              <w:t>吉林省统计局（本级）</w:t>
            </w:r>
          </w:p>
        </w:tc>
        <w:tc>
          <w:tcPr>
            <w:tcW w:w="941" w:type="dxa"/>
            <w:noWrap w:val="0"/>
            <w:vAlign w:val="center"/>
          </w:tcPr>
          <w:p>
            <w:pPr>
              <w:keepNext w:val="0"/>
              <w:keepLines w:val="0"/>
              <w:widowControl/>
              <w:suppressLineNumbers w:val="0"/>
              <w:jc w:val="right"/>
              <w:textAlignment w:val="center"/>
              <w:rPr>
                <w:rFonts w:hint="eastAsia"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10.91</w:t>
            </w:r>
          </w:p>
        </w:tc>
        <w:tc>
          <w:tcPr>
            <w:tcW w:w="886" w:type="dxa"/>
            <w:noWrap w:val="0"/>
            <w:vAlign w:val="center"/>
          </w:tcPr>
          <w:p>
            <w:pPr>
              <w:jc w:val="right"/>
              <w:rPr>
                <w:rFonts w:hint="eastAsia" w:ascii="Arial" w:hAnsi="Arial" w:eastAsia="仿宋_GB2312" w:cs="Arial"/>
                <w:i w:val="0"/>
                <w:iCs w:val="0"/>
                <w:color w:val="000000"/>
                <w:kern w:val="2"/>
                <w:sz w:val="16"/>
                <w:szCs w:val="16"/>
                <w:u w:val="none"/>
                <w:lang w:val="en-US" w:eastAsia="zh-CN" w:bidi="ar-SA"/>
              </w:rPr>
            </w:pPr>
          </w:p>
        </w:tc>
        <w:tc>
          <w:tcPr>
            <w:tcW w:w="491"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91"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23"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36"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791" w:type="dxa"/>
            <w:noWrap w:val="0"/>
            <w:vAlign w:val="center"/>
          </w:tcPr>
          <w:p>
            <w:pPr>
              <w:keepNext w:val="0"/>
              <w:keepLines w:val="0"/>
              <w:widowControl/>
              <w:suppressLineNumbers w:val="0"/>
              <w:jc w:val="right"/>
              <w:textAlignment w:val="center"/>
              <w:rPr>
                <w:rFonts w:hint="eastAsia"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10.91</w:t>
            </w:r>
          </w:p>
        </w:tc>
        <w:tc>
          <w:tcPr>
            <w:tcW w:w="464"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50"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518"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539"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89"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合计</w:t>
            </w:r>
          </w:p>
        </w:tc>
        <w:tc>
          <w:tcPr>
            <w:tcW w:w="913" w:type="dxa"/>
            <w:noWrap w:val="0"/>
            <w:vAlign w:val="center"/>
          </w:tcPr>
          <w:p>
            <w:pPr>
              <w:autoSpaceDN w:val="0"/>
              <w:jc w:val="center"/>
              <w:textAlignment w:val="center"/>
              <w:rPr>
                <w:rFonts w:ascii="Calibri" w:hAnsi="Calibri" w:eastAsia="华文细黑"/>
                <w:color w:val="000000"/>
                <w:sz w:val="20"/>
                <w:szCs w:val="22"/>
              </w:rPr>
            </w:pPr>
          </w:p>
        </w:tc>
        <w:tc>
          <w:tcPr>
            <w:tcW w:w="1554" w:type="dxa"/>
            <w:gridSpan w:val="2"/>
            <w:noWrap w:val="0"/>
            <w:vAlign w:val="center"/>
          </w:tcPr>
          <w:p>
            <w:pPr>
              <w:spacing w:line="700" w:lineRule="exact"/>
              <w:jc w:val="center"/>
              <w:rPr>
                <w:rFonts w:ascii="Calibri" w:hAnsi="Calibri" w:eastAsia="楷体"/>
                <w:kern w:val="0"/>
                <w:szCs w:val="32"/>
              </w:rPr>
            </w:pPr>
          </w:p>
        </w:tc>
        <w:tc>
          <w:tcPr>
            <w:tcW w:w="1351"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941"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r>
              <w:rPr>
                <w:rFonts w:hint="eastAsia" w:ascii="华文细黑" w:hAnsi="华文细黑" w:eastAsia="华文细黑" w:cs="华文细黑"/>
                <w:i w:val="0"/>
                <w:iCs w:val="0"/>
                <w:color w:val="000000"/>
                <w:kern w:val="0"/>
                <w:sz w:val="16"/>
                <w:szCs w:val="16"/>
                <w:u w:val="none"/>
                <w:lang w:val="en-US" w:eastAsia="zh-CN" w:bidi="ar"/>
              </w:rPr>
              <w:t>1225.62</w:t>
            </w:r>
          </w:p>
        </w:tc>
        <w:tc>
          <w:tcPr>
            <w:tcW w:w="886"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r>
              <w:rPr>
                <w:rFonts w:hint="eastAsia" w:ascii="华文细黑" w:hAnsi="华文细黑" w:eastAsia="华文细黑" w:cs="华文细黑"/>
                <w:i w:val="0"/>
                <w:iCs w:val="0"/>
                <w:color w:val="000000"/>
                <w:kern w:val="0"/>
                <w:sz w:val="16"/>
                <w:szCs w:val="16"/>
                <w:u w:val="none"/>
                <w:lang w:val="en-US" w:eastAsia="zh-CN" w:bidi="ar"/>
              </w:rPr>
              <w:t>854.62</w:t>
            </w:r>
          </w:p>
        </w:tc>
        <w:tc>
          <w:tcPr>
            <w:tcW w:w="491"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91"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23"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36"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791" w:type="dxa"/>
            <w:noWrap w:val="0"/>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kern w:val="0"/>
                <w:sz w:val="16"/>
                <w:szCs w:val="16"/>
                <w:u w:val="none"/>
                <w:lang w:val="en-US" w:eastAsia="zh-CN" w:bidi="ar"/>
              </w:rPr>
            </w:pPr>
            <w:r>
              <w:rPr>
                <w:rFonts w:hint="eastAsia" w:ascii="华文细黑" w:hAnsi="华文细黑" w:eastAsia="华文细黑" w:cs="华文细黑"/>
                <w:i w:val="0"/>
                <w:iCs w:val="0"/>
                <w:color w:val="000000"/>
                <w:kern w:val="0"/>
                <w:sz w:val="16"/>
                <w:szCs w:val="16"/>
                <w:u w:val="none"/>
                <w:lang w:val="en-US" w:eastAsia="zh-CN" w:bidi="ar"/>
              </w:rPr>
              <w:t>371.00</w:t>
            </w:r>
          </w:p>
        </w:tc>
        <w:tc>
          <w:tcPr>
            <w:tcW w:w="464"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450"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518"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c>
          <w:tcPr>
            <w:tcW w:w="539"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16"/>
                <w:szCs w:val="16"/>
                <w:u w:val="none"/>
                <w:lang w:val="en-US" w:eastAsia="zh-CN" w:bidi="ar"/>
              </w:rPr>
            </w:pPr>
          </w:p>
        </w:tc>
      </w:tr>
    </w:tbl>
    <w:tbl>
      <w:tblPr>
        <w:tblStyle w:val="10"/>
        <w:tblpPr w:leftFromText="180" w:rightFromText="180" w:vertAnchor="text" w:tblpX="-251" w:tblpY="337"/>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1525"/>
        <w:gridCol w:w="777"/>
        <w:gridCol w:w="737"/>
        <w:gridCol w:w="722"/>
        <w:gridCol w:w="668"/>
        <w:gridCol w:w="1037"/>
        <w:gridCol w:w="1023"/>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9464" w:type="dxa"/>
            <w:gridSpan w:val="9"/>
            <w:tcBorders>
              <w:top w:val="nil"/>
              <w:left w:val="nil"/>
              <w:bottom w:val="nil"/>
              <w:right w:val="nil"/>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9464" w:type="dxa"/>
            <w:gridSpan w:val="9"/>
            <w:tcBorders>
              <w:top w:val="nil"/>
              <w:left w:val="nil"/>
              <w:bottom w:val="single" w:color="auto" w:sz="4" w:space="0"/>
              <w:right w:val="nil"/>
            </w:tcBorders>
            <w:noWrap w:val="0"/>
            <w:vAlign w:val="bottom"/>
          </w:tcPr>
          <w:p>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2157"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525"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904" w:type="dxa"/>
            <w:gridSpan w:val="4"/>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37"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2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18"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2157"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525"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73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22"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668"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37"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02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818"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157"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吉林省统计局（本级）</w:t>
            </w:r>
          </w:p>
        </w:tc>
        <w:tc>
          <w:tcPr>
            <w:tcW w:w="1525"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7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14.00 </w:t>
            </w:r>
          </w:p>
        </w:tc>
        <w:tc>
          <w:tcPr>
            <w:tcW w:w="73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14.00 </w:t>
            </w:r>
          </w:p>
        </w:tc>
        <w:tc>
          <w:tcPr>
            <w:tcW w:w="722"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0.00 </w:t>
            </w:r>
          </w:p>
        </w:tc>
        <w:tc>
          <w:tcPr>
            <w:tcW w:w="668"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0.00 </w:t>
            </w:r>
          </w:p>
        </w:tc>
        <w:tc>
          <w:tcPr>
            <w:tcW w:w="103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2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1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6" w:hRule="atLeast"/>
        </w:trPr>
        <w:tc>
          <w:tcPr>
            <w:tcW w:w="2157"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全省统计系统垂直管理经费</w:t>
            </w:r>
          </w:p>
        </w:tc>
        <w:tc>
          <w:tcPr>
            <w:tcW w:w="1525" w:type="dxa"/>
            <w:noWrap w:val="0"/>
            <w:vAlign w:val="center"/>
          </w:tcPr>
          <w:p>
            <w:pPr>
              <w:spacing w:line="240" w:lineRule="auto"/>
              <w:jc w:val="both"/>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为审计业务开展需要委托第三方机构实施。由于统计部门实行省以下垂直管理，共有预算单位109个，需要以三年为周期，实现对基层单位审计全覆盖。省统计局财务处人员有限，需委托会计师事务所开展。</w:t>
            </w:r>
          </w:p>
        </w:tc>
        <w:tc>
          <w:tcPr>
            <w:tcW w:w="77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14.00 </w:t>
            </w:r>
          </w:p>
        </w:tc>
        <w:tc>
          <w:tcPr>
            <w:tcW w:w="73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14.00 </w:t>
            </w:r>
          </w:p>
        </w:tc>
        <w:tc>
          <w:tcPr>
            <w:tcW w:w="722" w:type="dxa"/>
            <w:noWrap w:val="0"/>
            <w:vAlign w:val="center"/>
          </w:tcPr>
          <w:p>
            <w:pPr>
              <w:rPr>
                <w:rFonts w:hint="eastAsia" w:ascii="宋体" w:hAnsi="宋体" w:eastAsia="宋体" w:cs="宋体"/>
                <w:i w:val="0"/>
                <w:iCs w:val="0"/>
                <w:color w:val="000000"/>
                <w:kern w:val="2"/>
                <w:sz w:val="20"/>
                <w:szCs w:val="20"/>
                <w:u w:val="none"/>
                <w:lang w:val="en-US" w:eastAsia="zh-CN" w:bidi="ar-SA"/>
              </w:rPr>
            </w:pPr>
          </w:p>
        </w:tc>
        <w:tc>
          <w:tcPr>
            <w:tcW w:w="668" w:type="dxa"/>
            <w:noWrap w:val="0"/>
            <w:vAlign w:val="center"/>
          </w:tcPr>
          <w:p>
            <w:pPr>
              <w:rPr>
                <w:rFonts w:hint="eastAsia" w:ascii="宋体" w:hAnsi="宋体" w:eastAsia="宋体" w:cs="宋体"/>
                <w:i w:val="0"/>
                <w:iCs w:val="0"/>
                <w:color w:val="000000"/>
                <w:kern w:val="2"/>
                <w:sz w:val="20"/>
                <w:szCs w:val="20"/>
                <w:u w:val="none"/>
                <w:lang w:val="en-US" w:eastAsia="zh-CN" w:bidi="ar-SA"/>
              </w:rPr>
            </w:pPr>
          </w:p>
        </w:tc>
        <w:tc>
          <w:tcPr>
            <w:tcW w:w="103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否</w:t>
            </w:r>
          </w:p>
        </w:tc>
        <w:tc>
          <w:tcPr>
            <w:tcW w:w="10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否</w:t>
            </w:r>
          </w:p>
        </w:tc>
        <w:tc>
          <w:tcPr>
            <w:tcW w:w="81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bl>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p>
    <w:p>
      <w:pPr>
        <w:rPr>
          <w:rFonts w:hAnsi="楷体" w:eastAsia="楷体"/>
        </w:rPr>
      </w:pPr>
    </w:p>
    <w:tbl>
      <w:tblPr>
        <w:tblStyle w:val="10"/>
        <w:tblW w:w="11413" w:type="dxa"/>
        <w:tblInd w:w="-12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1090"/>
        <w:gridCol w:w="927"/>
        <w:gridCol w:w="2468"/>
        <w:gridCol w:w="710"/>
        <w:gridCol w:w="722"/>
        <w:gridCol w:w="1337"/>
        <w:gridCol w:w="1254"/>
        <w:gridCol w:w="1214"/>
        <w:gridCol w:w="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1413" w:type="dxa"/>
            <w:gridSpan w:val="10"/>
            <w:tcBorders>
              <w:top w:val="nil"/>
              <w:left w:val="nil"/>
              <w:bottom w:val="single" w:color="000000" w:sz="4" w:space="0"/>
              <w:right w:val="nil"/>
            </w:tcBorders>
            <w:noWrap w:val="0"/>
            <w:vAlign w:val="top"/>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246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132"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143001-吉林省统计局（本级）</w:t>
            </w:r>
          </w:p>
          <w:p>
            <w:pPr>
              <w:spacing w:line="240" w:lineRule="auto"/>
              <w:jc w:val="center"/>
              <w:rPr>
                <w:rFonts w:hint="eastAsia" w:ascii="华文细黑" w:hAnsi="华文细黑" w:eastAsia="华文细黑" w:cs="华文细黑"/>
                <w:kern w:val="0"/>
                <w:sz w:val="20"/>
                <w:szCs w:val="20"/>
                <w:vertAlign w:val="baseline"/>
              </w:rPr>
            </w:pPr>
          </w:p>
        </w:tc>
        <w:tc>
          <w:tcPr>
            <w:tcW w:w="1090"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统计法治建设和执法检查经费</w:t>
            </w:r>
          </w:p>
          <w:p>
            <w:pPr>
              <w:spacing w:line="240" w:lineRule="auto"/>
              <w:jc w:val="center"/>
              <w:rPr>
                <w:rFonts w:hint="eastAsia" w:ascii="华文细黑" w:hAnsi="华文细黑" w:eastAsia="华文细黑" w:cs="华文细黑"/>
                <w:kern w:val="0"/>
                <w:sz w:val="20"/>
                <w:szCs w:val="20"/>
                <w:vertAlign w:val="baseline"/>
              </w:rPr>
            </w:pPr>
          </w:p>
        </w:tc>
        <w:tc>
          <w:tcPr>
            <w:tcW w:w="927"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55.00</w:t>
            </w:r>
          </w:p>
          <w:p>
            <w:pPr>
              <w:spacing w:line="240" w:lineRule="auto"/>
              <w:jc w:val="center"/>
              <w:rPr>
                <w:rFonts w:hint="eastAsia" w:ascii="华文细黑" w:hAnsi="华文细黑" w:eastAsia="华文细黑" w:cs="华文细黑"/>
                <w:kern w:val="0"/>
                <w:sz w:val="20"/>
                <w:szCs w:val="20"/>
                <w:vertAlign w:val="baseline"/>
              </w:rPr>
            </w:pPr>
          </w:p>
        </w:tc>
        <w:tc>
          <w:tcPr>
            <w:tcW w:w="2468"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积极开展统计普法宣传教育工作，印发年度普法宣传教育计划，谋划全省统计普法工作；组织开展集中宣传活动，提高统计法公众知晓度，营造依法统计氛围；开展法治业务培训，加强统计法治工作人员队伍建设，提高法治工作人员业务能力，推进依法统计、依法治统进程。加强统计执法队伍建设，提升统计执法人员的执法能力水平，每年对统计执法人员进行业务培训;严肃查处统计违纪违法问题，对检查中发现的统计违法企业进行立案处理，对发现的统计违纪违法责任人提出处分处理建议移送纪检监察机关处理。</w:t>
            </w:r>
          </w:p>
          <w:p>
            <w:pPr>
              <w:spacing w:line="240" w:lineRule="auto"/>
              <w:jc w:val="center"/>
              <w:rPr>
                <w:rFonts w:hint="eastAsia" w:ascii="华文细黑" w:hAnsi="华文细黑" w:eastAsia="华文细黑" w:cs="华文细黑"/>
                <w:kern w:val="0"/>
                <w:sz w:val="20"/>
                <w:szCs w:val="20"/>
                <w:vertAlign w:val="baseline"/>
              </w:rPr>
            </w:pPr>
          </w:p>
        </w:tc>
        <w:tc>
          <w:tcPr>
            <w:tcW w:w="710"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成本指标</w:t>
            </w:r>
          </w:p>
        </w:tc>
        <w:tc>
          <w:tcPr>
            <w:tcW w:w="722"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经济成本指标</w:t>
            </w:r>
          </w:p>
        </w:tc>
        <w:tc>
          <w:tcPr>
            <w:tcW w:w="1337"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培训人均成本</w:t>
            </w:r>
          </w:p>
        </w:tc>
        <w:tc>
          <w:tcPr>
            <w:tcW w:w="125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培训成本</w:t>
            </w:r>
          </w:p>
        </w:tc>
        <w:tc>
          <w:tcPr>
            <w:tcW w:w="121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≤400元/人/天</w:t>
            </w:r>
          </w:p>
        </w:tc>
        <w:tc>
          <w:tcPr>
            <w:tcW w:w="559"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13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9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2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246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10" w:type="dxa"/>
            <w:vMerge w:val="restart"/>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产出指标</w:t>
            </w:r>
          </w:p>
        </w:tc>
        <w:tc>
          <w:tcPr>
            <w:tcW w:w="722" w:type="dxa"/>
            <w:vMerge w:val="restart"/>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数量指标</w:t>
            </w:r>
          </w:p>
        </w:tc>
        <w:tc>
          <w:tcPr>
            <w:tcW w:w="1337"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培训人数</w:t>
            </w:r>
          </w:p>
        </w:tc>
        <w:tc>
          <w:tcPr>
            <w:tcW w:w="125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培训人数</w:t>
            </w:r>
          </w:p>
        </w:tc>
        <w:tc>
          <w:tcPr>
            <w:tcW w:w="121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≥100人</w:t>
            </w:r>
          </w:p>
        </w:tc>
        <w:tc>
          <w:tcPr>
            <w:tcW w:w="559"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13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9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2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246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10"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722"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337"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印发统计普法宣传品数</w:t>
            </w:r>
          </w:p>
        </w:tc>
        <w:tc>
          <w:tcPr>
            <w:tcW w:w="125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印发统计普法宣品</w:t>
            </w:r>
          </w:p>
        </w:tc>
        <w:tc>
          <w:tcPr>
            <w:tcW w:w="121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≥3000份</w:t>
            </w:r>
          </w:p>
        </w:tc>
        <w:tc>
          <w:tcPr>
            <w:tcW w:w="559"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13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9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2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246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10"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722"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337"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双随机执法检查企业数</w:t>
            </w:r>
          </w:p>
        </w:tc>
        <w:tc>
          <w:tcPr>
            <w:tcW w:w="125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检查企业数量</w:t>
            </w:r>
          </w:p>
        </w:tc>
        <w:tc>
          <w:tcPr>
            <w:tcW w:w="121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≥400户</w:t>
            </w:r>
          </w:p>
        </w:tc>
        <w:tc>
          <w:tcPr>
            <w:tcW w:w="559"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13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9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2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246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10"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722"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时效指标</w:t>
            </w:r>
          </w:p>
        </w:tc>
        <w:tc>
          <w:tcPr>
            <w:tcW w:w="1337"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完成“双随机”统计执法检查时间</w:t>
            </w:r>
          </w:p>
        </w:tc>
        <w:tc>
          <w:tcPr>
            <w:tcW w:w="125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完成“双随机”统计执法检查时间</w:t>
            </w:r>
          </w:p>
        </w:tc>
        <w:tc>
          <w:tcPr>
            <w:tcW w:w="121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12月10日前</w:t>
            </w:r>
          </w:p>
        </w:tc>
        <w:tc>
          <w:tcPr>
            <w:tcW w:w="559"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13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9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2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246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10"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效益指标</w:t>
            </w:r>
          </w:p>
        </w:tc>
        <w:tc>
          <w:tcPr>
            <w:tcW w:w="722"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社会效益指标</w:t>
            </w:r>
          </w:p>
        </w:tc>
        <w:tc>
          <w:tcPr>
            <w:tcW w:w="1337"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提升统计法公众知晓度</w:t>
            </w:r>
          </w:p>
        </w:tc>
        <w:tc>
          <w:tcPr>
            <w:tcW w:w="125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开展普法宣传，提升统计法公众知晓度</w:t>
            </w:r>
          </w:p>
        </w:tc>
        <w:tc>
          <w:tcPr>
            <w:tcW w:w="121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开展集中普法宣传</w:t>
            </w:r>
          </w:p>
        </w:tc>
        <w:tc>
          <w:tcPr>
            <w:tcW w:w="559"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13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9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2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246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10"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满意度指标</w:t>
            </w:r>
          </w:p>
        </w:tc>
        <w:tc>
          <w:tcPr>
            <w:tcW w:w="722"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服务对象满意度指标</w:t>
            </w:r>
          </w:p>
        </w:tc>
        <w:tc>
          <w:tcPr>
            <w:tcW w:w="1337"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培训人员满意度</w:t>
            </w:r>
          </w:p>
        </w:tc>
        <w:tc>
          <w:tcPr>
            <w:tcW w:w="125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培训对象满意度</w:t>
            </w:r>
          </w:p>
        </w:tc>
        <w:tc>
          <w:tcPr>
            <w:tcW w:w="121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≥90%</w:t>
            </w:r>
          </w:p>
        </w:tc>
        <w:tc>
          <w:tcPr>
            <w:tcW w:w="559"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132"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143001-吉林省统计局（本级）</w:t>
            </w:r>
          </w:p>
          <w:p>
            <w:pPr>
              <w:spacing w:line="240" w:lineRule="auto"/>
              <w:jc w:val="center"/>
              <w:rPr>
                <w:rFonts w:hint="eastAsia" w:ascii="华文细黑" w:hAnsi="华文细黑" w:eastAsia="华文细黑" w:cs="华文细黑"/>
                <w:kern w:val="0"/>
                <w:sz w:val="20"/>
                <w:szCs w:val="20"/>
                <w:vertAlign w:val="baseline"/>
              </w:rPr>
            </w:pPr>
          </w:p>
        </w:tc>
        <w:tc>
          <w:tcPr>
            <w:tcW w:w="1090"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全省统计系统垂直管理经费</w:t>
            </w:r>
          </w:p>
          <w:p>
            <w:pPr>
              <w:spacing w:line="240" w:lineRule="auto"/>
              <w:jc w:val="center"/>
              <w:rPr>
                <w:rFonts w:hint="eastAsia" w:ascii="华文细黑" w:hAnsi="华文细黑" w:eastAsia="华文细黑" w:cs="华文细黑"/>
                <w:kern w:val="0"/>
                <w:sz w:val="20"/>
                <w:szCs w:val="20"/>
                <w:vertAlign w:val="baseline"/>
              </w:rPr>
            </w:pPr>
          </w:p>
        </w:tc>
        <w:tc>
          <w:tcPr>
            <w:tcW w:w="927"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75.81</w:t>
            </w:r>
          </w:p>
          <w:p>
            <w:pPr>
              <w:spacing w:line="240" w:lineRule="auto"/>
              <w:jc w:val="center"/>
              <w:rPr>
                <w:rFonts w:hint="eastAsia" w:ascii="华文细黑" w:hAnsi="华文细黑" w:eastAsia="华文细黑" w:cs="华文细黑"/>
                <w:kern w:val="0"/>
                <w:sz w:val="20"/>
                <w:szCs w:val="20"/>
                <w:vertAlign w:val="baseline"/>
              </w:rPr>
            </w:pPr>
          </w:p>
        </w:tc>
        <w:tc>
          <w:tcPr>
            <w:tcW w:w="2468"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对各市州及县区的公务员进行管理、考察、督导，加强干部队伍建设，加强市州领导班子考核，提升领导班子素质能力；省统计局巡察办公室的日常办公、专项巡察工作支出；省统计局机关党委对全省统计系统支部书记的培训支出；通过对所属预算单位的预算执行及财务收支审计等，规范基层单位经费支出，防范财务风险。</w:t>
            </w:r>
          </w:p>
          <w:p>
            <w:pPr>
              <w:spacing w:line="240" w:lineRule="auto"/>
              <w:jc w:val="center"/>
              <w:rPr>
                <w:rFonts w:hint="eastAsia" w:ascii="华文细黑" w:hAnsi="华文细黑" w:eastAsia="华文细黑" w:cs="华文细黑"/>
                <w:kern w:val="0"/>
                <w:sz w:val="20"/>
                <w:szCs w:val="20"/>
                <w:vertAlign w:val="baseline"/>
              </w:rPr>
            </w:pPr>
          </w:p>
        </w:tc>
        <w:tc>
          <w:tcPr>
            <w:tcW w:w="710"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成本指标</w:t>
            </w:r>
          </w:p>
        </w:tc>
        <w:tc>
          <w:tcPr>
            <w:tcW w:w="722"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经济成本指标</w:t>
            </w:r>
          </w:p>
        </w:tc>
        <w:tc>
          <w:tcPr>
            <w:tcW w:w="1337"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培训人均成本</w:t>
            </w:r>
          </w:p>
        </w:tc>
        <w:tc>
          <w:tcPr>
            <w:tcW w:w="125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反映培训成本控制情况</w:t>
            </w:r>
          </w:p>
        </w:tc>
        <w:tc>
          <w:tcPr>
            <w:tcW w:w="121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≤400元/人/天</w:t>
            </w:r>
          </w:p>
        </w:tc>
        <w:tc>
          <w:tcPr>
            <w:tcW w:w="559"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13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9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2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246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10" w:type="dxa"/>
            <w:vMerge w:val="restart"/>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产出指标</w:t>
            </w:r>
          </w:p>
        </w:tc>
        <w:tc>
          <w:tcPr>
            <w:tcW w:w="722" w:type="dxa"/>
            <w:vMerge w:val="restart"/>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数量指标</w:t>
            </w:r>
          </w:p>
        </w:tc>
        <w:tc>
          <w:tcPr>
            <w:tcW w:w="1337"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培训人次</w:t>
            </w:r>
          </w:p>
        </w:tc>
        <w:tc>
          <w:tcPr>
            <w:tcW w:w="125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反映参加培训人员的数量情况。</w:t>
            </w:r>
          </w:p>
        </w:tc>
        <w:tc>
          <w:tcPr>
            <w:tcW w:w="121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≥90人次</w:t>
            </w:r>
          </w:p>
        </w:tc>
        <w:tc>
          <w:tcPr>
            <w:tcW w:w="559"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13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9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2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246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10"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722"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337"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审计基层单位数量</w:t>
            </w:r>
          </w:p>
        </w:tc>
        <w:tc>
          <w:tcPr>
            <w:tcW w:w="125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针对基层单位开展财务审计工作</w:t>
            </w:r>
          </w:p>
        </w:tc>
        <w:tc>
          <w:tcPr>
            <w:tcW w:w="121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≥24个</w:t>
            </w:r>
          </w:p>
        </w:tc>
        <w:tc>
          <w:tcPr>
            <w:tcW w:w="559"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13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9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2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246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10"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722"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质量指标</w:t>
            </w:r>
          </w:p>
        </w:tc>
        <w:tc>
          <w:tcPr>
            <w:tcW w:w="1337"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提升市州局班子队伍能力</w:t>
            </w:r>
          </w:p>
        </w:tc>
        <w:tc>
          <w:tcPr>
            <w:tcW w:w="125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提升市州局班子队伍能力</w:t>
            </w:r>
          </w:p>
        </w:tc>
        <w:tc>
          <w:tcPr>
            <w:tcW w:w="121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针对考核问题，提出反馈意见</w:t>
            </w:r>
          </w:p>
        </w:tc>
        <w:tc>
          <w:tcPr>
            <w:tcW w:w="559"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13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9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2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246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10"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722" w:type="dxa"/>
            <w:vMerge w:val="restart"/>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时效指标</w:t>
            </w:r>
          </w:p>
        </w:tc>
        <w:tc>
          <w:tcPr>
            <w:tcW w:w="1337"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完成党建工作计划时间</w:t>
            </w:r>
          </w:p>
        </w:tc>
        <w:tc>
          <w:tcPr>
            <w:tcW w:w="125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按照年初党建工作计划时间完成任务</w:t>
            </w:r>
          </w:p>
        </w:tc>
        <w:tc>
          <w:tcPr>
            <w:tcW w:w="121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10月底前完成</w:t>
            </w:r>
          </w:p>
        </w:tc>
        <w:tc>
          <w:tcPr>
            <w:tcW w:w="559"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13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9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2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246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10"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722"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337"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对市州局开展班子考核</w:t>
            </w:r>
          </w:p>
        </w:tc>
        <w:tc>
          <w:tcPr>
            <w:tcW w:w="125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对吉林省统计系统各市州局开展班子考核</w:t>
            </w:r>
          </w:p>
        </w:tc>
        <w:tc>
          <w:tcPr>
            <w:tcW w:w="121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7月底前完成</w:t>
            </w:r>
          </w:p>
        </w:tc>
        <w:tc>
          <w:tcPr>
            <w:tcW w:w="559"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13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9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2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246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10" w:type="dxa"/>
            <w:vMerge w:val="restart"/>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效益指标</w:t>
            </w:r>
          </w:p>
        </w:tc>
        <w:tc>
          <w:tcPr>
            <w:tcW w:w="722" w:type="dxa"/>
            <w:vMerge w:val="restart"/>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社会效益指标</w:t>
            </w:r>
          </w:p>
        </w:tc>
        <w:tc>
          <w:tcPr>
            <w:tcW w:w="1337"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提升党务工作人员履职能力和干部素质</w:t>
            </w:r>
          </w:p>
        </w:tc>
        <w:tc>
          <w:tcPr>
            <w:tcW w:w="125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提升党务工作人员履职能力和干部素质</w:t>
            </w:r>
          </w:p>
        </w:tc>
        <w:tc>
          <w:tcPr>
            <w:tcW w:w="121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完成年度党建工作要点中的重点培训内容</w:t>
            </w:r>
          </w:p>
        </w:tc>
        <w:tc>
          <w:tcPr>
            <w:tcW w:w="559"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13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9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2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246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10"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722"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337"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做好全系统干部队伍管理工作，完善市州局班子建设</w:t>
            </w:r>
          </w:p>
        </w:tc>
        <w:tc>
          <w:tcPr>
            <w:tcW w:w="125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做好全系统干部队伍管理工作，完善市州局班子建设</w:t>
            </w:r>
          </w:p>
        </w:tc>
        <w:tc>
          <w:tcPr>
            <w:tcW w:w="121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市州针对考核结果形成整改报告</w:t>
            </w:r>
          </w:p>
        </w:tc>
        <w:tc>
          <w:tcPr>
            <w:tcW w:w="559"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13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9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2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246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10"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满意度指标</w:t>
            </w:r>
          </w:p>
        </w:tc>
        <w:tc>
          <w:tcPr>
            <w:tcW w:w="722"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服务对象满意度指标</w:t>
            </w:r>
          </w:p>
        </w:tc>
        <w:tc>
          <w:tcPr>
            <w:tcW w:w="1337"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培训人员满意度</w:t>
            </w:r>
          </w:p>
        </w:tc>
        <w:tc>
          <w:tcPr>
            <w:tcW w:w="125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反映参加培训人员的满意度情况。</w:t>
            </w:r>
          </w:p>
        </w:tc>
        <w:tc>
          <w:tcPr>
            <w:tcW w:w="121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≥90%</w:t>
            </w:r>
          </w:p>
        </w:tc>
        <w:tc>
          <w:tcPr>
            <w:tcW w:w="559"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132"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143001-吉林省统计局（本级）</w:t>
            </w:r>
          </w:p>
          <w:p>
            <w:pPr>
              <w:spacing w:line="240" w:lineRule="auto"/>
              <w:jc w:val="center"/>
              <w:rPr>
                <w:rFonts w:hint="eastAsia" w:ascii="华文细黑" w:hAnsi="华文细黑" w:eastAsia="华文细黑" w:cs="华文细黑"/>
                <w:kern w:val="0"/>
                <w:sz w:val="20"/>
                <w:szCs w:val="20"/>
                <w:vertAlign w:val="baseline"/>
              </w:rPr>
            </w:pPr>
          </w:p>
        </w:tc>
        <w:tc>
          <w:tcPr>
            <w:tcW w:w="1090"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统计年鉴编辑和综合工作经费</w:t>
            </w:r>
          </w:p>
          <w:p>
            <w:pPr>
              <w:spacing w:line="240" w:lineRule="auto"/>
              <w:jc w:val="center"/>
              <w:rPr>
                <w:rFonts w:hint="eastAsia" w:ascii="华文细黑" w:hAnsi="华文细黑" w:eastAsia="华文细黑" w:cs="华文细黑"/>
                <w:kern w:val="0"/>
                <w:sz w:val="20"/>
                <w:szCs w:val="20"/>
                <w:vertAlign w:val="baseline"/>
              </w:rPr>
            </w:pPr>
          </w:p>
        </w:tc>
        <w:tc>
          <w:tcPr>
            <w:tcW w:w="927"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44.00</w:t>
            </w:r>
          </w:p>
          <w:p>
            <w:pPr>
              <w:spacing w:line="240" w:lineRule="auto"/>
              <w:jc w:val="center"/>
              <w:rPr>
                <w:rFonts w:hint="eastAsia" w:ascii="华文细黑" w:hAnsi="华文细黑" w:eastAsia="华文细黑" w:cs="华文细黑"/>
                <w:kern w:val="0"/>
                <w:sz w:val="20"/>
                <w:szCs w:val="20"/>
                <w:vertAlign w:val="baseline"/>
              </w:rPr>
            </w:pPr>
          </w:p>
        </w:tc>
        <w:tc>
          <w:tcPr>
            <w:tcW w:w="2468"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编辑出版《吉林统计年鉴》（1本）。及时向省委省政府及省直相关单位提供统计数据汇编（10本以上）和统计分析资料（40份以上），发挥统计在了解国情国力、服务经济社会发展中的重要作用。</w:t>
            </w:r>
          </w:p>
          <w:p>
            <w:pPr>
              <w:spacing w:line="240" w:lineRule="auto"/>
              <w:jc w:val="center"/>
              <w:rPr>
                <w:rFonts w:hint="eastAsia" w:ascii="华文细黑" w:hAnsi="华文细黑" w:eastAsia="华文细黑" w:cs="华文细黑"/>
                <w:kern w:val="0"/>
                <w:sz w:val="20"/>
                <w:szCs w:val="20"/>
                <w:vertAlign w:val="baseline"/>
              </w:rPr>
            </w:pPr>
          </w:p>
        </w:tc>
        <w:tc>
          <w:tcPr>
            <w:tcW w:w="710"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成本指标</w:t>
            </w:r>
          </w:p>
        </w:tc>
        <w:tc>
          <w:tcPr>
            <w:tcW w:w="722"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经济成本指标</w:t>
            </w:r>
          </w:p>
        </w:tc>
        <w:tc>
          <w:tcPr>
            <w:tcW w:w="1337"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单册印刷成本</w:t>
            </w:r>
          </w:p>
        </w:tc>
        <w:tc>
          <w:tcPr>
            <w:tcW w:w="125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《统计年鉴》印刷成本</w:t>
            </w:r>
          </w:p>
        </w:tc>
        <w:tc>
          <w:tcPr>
            <w:tcW w:w="121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≤190元/册</w:t>
            </w:r>
          </w:p>
        </w:tc>
        <w:tc>
          <w:tcPr>
            <w:tcW w:w="559"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13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9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2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246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10" w:type="dxa"/>
            <w:vMerge w:val="restart"/>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产出指标</w:t>
            </w:r>
          </w:p>
        </w:tc>
        <w:tc>
          <w:tcPr>
            <w:tcW w:w="722" w:type="dxa"/>
            <w:vMerge w:val="restart"/>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数量指标</w:t>
            </w:r>
          </w:p>
        </w:tc>
        <w:tc>
          <w:tcPr>
            <w:tcW w:w="1337"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形成《月报》数量</w:t>
            </w:r>
          </w:p>
        </w:tc>
        <w:tc>
          <w:tcPr>
            <w:tcW w:w="125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《统计月报》出版册数</w:t>
            </w:r>
          </w:p>
        </w:tc>
        <w:tc>
          <w:tcPr>
            <w:tcW w:w="121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≥10册</w:t>
            </w:r>
          </w:p>
        </w:tc>
        <w:tc>
          <w:tcPr>
            <w:tcW w:w="559"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13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9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2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246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10"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722"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337"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年鉴出版印刷数量</w:t>
            </w:r>
          </w:p>
        </w:tc>
        <w:tc>
          <w:tcPr>
            <w:tcW w:w="125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《统计年鉴》出版册数</w:t>
            </w:r>
          </w:p>
        </w:tc>
        <w:tc>
          <w:tcPr>
            <w:tcW w:w="121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=800本</w:t>
            </w:r>
          </w:p>
        </w:tc>
        <w:tc>
          <w:tcPr>
            <w:tcW w:w="559"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13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9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2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246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10"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722"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时效指标</w:t>
            </w:r>
          </w:p>
        </w:tc>
        <w:tc>
          <w:tcPr>
            <w:tcW w:w="1337"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年鉴出版时间</w:t>
            </w:r>
          </w:p>
        </w:tc>
        <w:tc>
          <w:tcPr>
            <w:tcW w:w="125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统计年鉴出版时间</w:t>
            </w:r>
          </w:p>
        </w:tc>
        <w:tc>
          <w:tcPr>
            <w:tcW w:w="121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12月31日前</w:t>
            </w:r>
          </w:p>
        </w:tc>
        <w:tc>
          <w:tcPr>
            <w:tcW w:w="559"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13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9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2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246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10"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效益指标</w:t>
            </w:r>
          </w:p>
        </w:tc>
        <w:tc>
          <w:tcPr>
            <w:tcW w:w="722"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社会效益指标</w:t>
            </w:r>
          </w:p>
        </w:tc>
        <w:tc>
          <w:tcPr>
            <w:tcW w:w="1337"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向社会公众提供数据服务</w:t>
            </w:r>
          </w:p>
        </w:tc>
        <w:tc>
          <w:tcPr>
            <w:tcW w:w="125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向社会公众提供数据服务</w:t>
            </w:r>
          </w:p>
        </w:tc>
        <w:tc>
          <w:tcPr>
            <w:tcW w:w="121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≥60次</w:t>
            </w:r>
          </w:p>
        </w:tc>
        <w:tc>
          <w:tcPr>
            <w:tcW w:w="559"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13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9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2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246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10"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满意度指标</w:t>
            </w:r>
          </w:p>
        </w:tc>
        <w:tc>
          <w:tcPr>
            <w:tcW w:w="722"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服务对象满意度指标</w:t>
            </w:r>
          </w:p>
        </w:tc>
        <w:tc>
          <w:tcPr>
            <w:tcW w:w="1337"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服务对象满意度</w:t>
            </w:r>
          </w:p>
        </w:tc>
        <w:tc>
          <w:tcPr>
            <w:tcW w:w="125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服务对象满意度</w:t>
            </w:r>
          </w:p>
        </w:tc>
        <w:tc>
          <w:tcPr>
            <w:tcW w:w="121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≥95%</w:t>
            </w:r>
          </w:p>
        </w:tc>
        <w:tc>
          <w:tcPr>
            <w:tcW w:w="559"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132"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143001-吉林省统计局（本级）</w:t>
            </w:r>
          </w:p>
        </w:tc>
        <w:tc>
          <w:tcPr>
            <w:tcW w:w="1090"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吉林省统计系统干部队伍管理教育培训经费</w:t>
            </w:r>
          </w:p>
        </w:tc>
        <w:tc>
          <w:tcPr>
            <w:tcW w:w="927"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22.00</w:t>
            </w:r>
          </w:p>
        </w:tc>
        <w:tc>
          <w:tcPr>
            <w:tcW w:w="2468"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做好统计系统干部队伍管理与培训的工作。</w:t>
            </w:r>
          </w:p>
        </w:tc>
        <w:tc>
          <w:tcPr>
            <w:tcW w:w="710"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成本指标</w:t>
            </w:r>
          </w:p>
        </w:tc>
        <w:tc>
          <w:tcPr>
            <w:tcW w:w="722"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经济成本指标</w:t>
            </w:r>
          </w:p>
        </w:tc>
        <w:tc>
          <w:tcPr>
            <w:tcW w:w="1337"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培训人均成本</w:t>
            </w:r>
          </w:p>
        </w:tc>
        <w:tc>
          <w:tcPr>
            <w:tcW w:w="125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人均培训费用</w:t>
            </w:r>
          </w:p>
        </w:tc>
        <w:tc>
          <w:tcPr>
            <w:tcW w:w="121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≤550元/人/天</w:t>
            </w:r>
          </w:p>
        </w:tc>
        <w:tc>
          <w:tcPr>
            <w:tcW w:w="559"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13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9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2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246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10"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产出指标</w:t>
            </w:r>
          </w:p>
        </w:tc>
        <w:tc>
          <w:tcPr>
            <w:tcW w:w="722"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数量指标</w:t>
            </w:r>
          </w:p>
        </w:tc>
        <w:tc>
          <w:tcPr>
            <w:tcW w:w="1337"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培训人次</w:t>
            </w:r>
          </w:p>
        </w:tc>
        <w:tc>
          <w:tcPr>
            <w:tcW w:w="125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展开统计专业培训</w:t>
            </w:r>
          </w:p>
        </w:tc>
        <w:tc>
          <w:tcPr>
            <w:tcW w:w="121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≥45人</w:t>
            </w:r>
          </w:p>
        </w:tc>
        <w:tc>
          <w:tcPr>
            <w:tcW w:w="559"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13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9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2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246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10"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效益指标</w:t>
            </w:r>
          </w:p>
        </w:tc>
        <w:tc>
          <w:tcPr>
            <w:tcW w:w="722"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社会效益指标</w:t>
            </w:r>
          </w:p>
        </w:tc>
        <w:tc>
          <w:tcPr>
            <w:tcW w:w="1337"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提升统计系统干部能力水平</w:t>
            </w:r>
          </w:p>
        </w:tc>
        <w:tc>
          <w:tcPr>
            <w:tcW w:w="125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通过培训学习提升统计系统干部能力水平</w:t>
            </w:r>
          </w:p>
        </w:tc>
        <w:tc>
          <w:tcPr>
            <w:tcW w:w="121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受训干部通过培训能力素养进一步提升</w:t>
            </w:r>
          </w:p>
        </w:tc>
        <w:tc>
          <w:tcPr>
            <w:tcW w:w="559"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13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9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2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246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10"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满意度指标</w:t>
            </w:r>
          </w:p>
        </w:tc>
        <w:tc>
          <w:tcPr>
            <w:tcW w:w="722"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服务对象满意度指标</w:t>
            </w:r>
          </w:p>
        </w:tc>
        <w:tc>
          <w:tcPr>
            <w:tcW w:w="1337"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服务对象满意度</w:t>
            </w:r>
          </w:p>
        </w:tc>
        <w:tc>
          <w:tcPr>
            <w:tcW w:w="125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参训人员满意度</w:t>
            </w:r>
          </w:p>
        </w:tc>
        <w:tc>
          <w:tcPr>
            <w:tcW w:w="121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≥95%</w:t>
            </w:r>
          </w:p>
        </w:tc>
        <w:tc>
          <w:tcPr>
            <w:tcW w:w="559"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132"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143001-吉林省统计局（本级）</w:t>
            </w:r>
          </w:p>
          <w:p>
            <w:pPr>
              <w:spacing w:line="240" w:lineRule="auto"/>
              <w:jc w:val="center"/>
              <w:rPr>
                <w:rFonts w:hint="eastAsia" w:ascii="华文细黑" w:hAnsi="华文细黑" w:eastAsia="华文细黑" w:cs="华文细黑"/>
                <w:kern w:val="0"/>
                <w:sz w:val="20"/>
                <w:szCs w:val="20"/>
                <w:vertAlign w:val="baseline"/>
              </w:rPr>
            </w:pPr>
          </w:p>
        </w:tc>
        <w:tc>
          <w:tcPr>
            <w:tcW w:w="1090"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吉林省统计局中心机房设备托管经费</w:t>
            </w:r>
          </w:p>
          <w:p>
            <w:pPr>
              <w:spacing w:line="240" w:lineRule="auto"/>
              <w:jc w:val="center"/>
              <w:rPr>
                <w:rFonts w:hint="eastAsia" w:ascii="华文细黑" w:hAnsi="华文细黑" w:eastAsia="华文细黑" w:cs="华文细黑"/>
                <w:kern w:val="0"/>
                <w:sz w:val="20"/>
                <w:szCs w:val="20"/>
                <w:vertAlign w:val="baseline"/>
              </w:rPr>
            </w:pPr>
          </w:p>
        </w:tc>
        <w:tc>
          <w:tcPr>
            <w:tcW w:w="927"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180.00</w:t>
            </w:r>
          </w:p>
          <w:p>
            <w:pPr>
              <w:spacing w:line="240" w:lineRule="auto"/>
              <w:jc w:val="center"/>
              <w:rPr>
                <w:rFonts w:hint="eastAsia" w:ascii="华文细黑" w:hAnsi="华文细黑" w:eastAsia="华文细黑" w:cs="华文细黑"/>
                <w:kern w:val="0"/>
                <w:sz w:val="20"/>
                <w:szCs w:val="20"/>
                <w:vertAlign w:val="baseline"/>
              </w:rPr>
            </w:pPr>
          </w:p>
        </w:tc>
        <w:tc>
          <w:tcPr>
            <w:tcW w:w="2468"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通过租用运营商机柜等IDC资源，保证省局中心机房相关服务器及网络、安全设备及吉林省局各个信息系统安全、稳定、高效的运转，为全省统计工作正常开展提供信息化支撑和保障。</w:t>
            </w:r>
          </w:p>
          <w:p>
            <w:pPr>
              <w:spacing w:line="240" w:lineRule="auto"/>
              <w:jc w:val="center"/>
              <w:rPr>
                <w:rFonts w:hint="eastAsia" w:ascii="华文细黑" w:hAnsi="华文细黑" w:eastAsia="华文细黑" w:cs="华文细黑"/>
                <w:kern w:val="0"/>
                <w:sz w:val="20"/>
                <w:szCs w:val="20"/>
                <w:vertAlign w:val="baseline"/>
              </w:rPr>
            </w:pPr>
          </w:p>
        </w:tc>
        <w:tc>
          <w:tcPr>
            <w:tcW w:w="710"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成本指标</w:t>
            </w:r>
          </w:p>
        </w:tc>
        <w:tc>
          <w:tcPr>
            <w:tcW w:w="722"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经济成本指标</w:t>
            </w:r>
          </w:p>
        </w:tc>
        <w:tc>
          <w:tcPr>
            <w:tcW w:w="1337"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机柜租赁成本</w:t>
            </w:r>
          </w:p>
        </w:tc>
        <w:tc>
          <w:tcPr>
            <w:tcW w:w="125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机柜租赁成本</w:t>
            </w:r>
          </w:p>
        </w:tc>
        <w:tc>
          <w:tcPr>
            <w:tcW w:w="121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≤4.3万元/个</w:t>
            </w:r>
          </w:p>
        </w:tc>
        <w:tc>
          <w:tcPr>
            <w:tcW w:w="559"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13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9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2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246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10" w:type="dxa"/>
            <w:vMerge w:val="restart"/>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产出指标</w:t>
            </w:r>
          </w:p>
        </w:tc>
        <w:tc>
          <w:tcPr>
            <w:tcW w:w="722"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数量指标</w:t>
            </w:r>
          </w:p>
        </w:tc>
        <w:tc>
          <w:tcPr>
            <w:tcW w:w="1337"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租赁机柜数量</w:t>
            </w:r>
          </w:p>
        </w:tc>
        <w:tc>
          <w:tcPr>
            <w:tcW w:w="125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租赁机柜数量</w:t>
            </w:r>
          </w:p>
        </w:tc>
        <w:tc>
          <w:tcPr>
            <w:tcW w:w="121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≥34个</w:t>
            </w:r>
          </w:p>
        </w:tc>
        <w:tc>
          <w:tcPr>
            <w:tcW w:w="559"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13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9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2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246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10"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722"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质量指标</w:t>
            </w:r>
          </w:p>
        </w:tc>
        <w:tc>
          <w:tcPr>
            <w:tcW w:w="1337"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机房设备验收合格率</w:t>
            </w:r>
          </w:p>
        </w:tc>
        <w:tc>
          <w:tcPr>
            <w:tcW w:w="125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反映机房验收合格率情况</w:t>
            </w:r>
          </w:p>
        </w:tc>
        <w:tc>
          <w:tcPr>
            <w:tcW w:w="121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≤100%</w:t>
            </w:r>
          </w:p>
        </w:tc>
        <w:tc>
          <w:tcPr>
            <w:tcW w:w="559"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13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9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2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246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10"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效益指标</w:t>
            </w:r>
          </w:p>
        </w:tc>
        <w:tc>
          <w:tcPr>
            <w:tcW w:w="722"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社会效益指标</w:t>
            </w:r>
          </w:p>
        </w:tc>
        <w:tc>
          <w:tcPr>
            <w:tcW w:w="1337"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为五经普提供数据处理系统，保障五经普工作顺利展开</w:t>
            </w:r>
          </w:p>
        </w:tc>
        <w:tc>
          <w:tcPr>
            <w:tcW w:w="125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为吉林省第五次经济普查数据处理提供数据处理环境支撑</w:t>
            </w:r>
          </w:p>
        </w:tc>
        <w:tc>
          <w:tcPr>
            <w:tcW w:w="121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提供1套五经普数据处理系统</w:t>
            </w:r>
          </w:p>
        </w:tc>
        <w:tc>
          <w:tcPr>
            <w:tcW w:w="559"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13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9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2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246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10"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满意度指标</w:t>
            </w:r>
          </w:p>
        </w:tc>
        <w:tc>
          <w:tcPr>
            <w:tcW w:w="722"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服务对象满意度指标</w:t>
            </w:r>
          </w:p>
        </w:tc>
        <w:tc>
          <w:tcPr>
            <w:tcW w:w="1337"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服务对象满意度</w:t>
            </w:r>
          </w:p>
        </w:tc>
        <w:tc>
          <w:tcPr>
            <w:tcW w:w="125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服务对象满意度</w:t>
            </w:r>
          </w:p>
        </w:tc>
        <w:tc>
          <w:tcPr>
            <w:tcW w:w="121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≥90%</w:t>
            </w:r>
          </w:p>
        </w:tc>
        <w:tc>
          <w:tcPr>
            <w:tcW w:w="559"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132"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143001-吉林省统计局（本级）</w:t>
            </w:r>
          </w:p>
          <w:p>
            <w:pPr>
              <w:spacing w:line="240" w:lineRule="auto"/>
              <w:jc w:val="center"/>
              <w:rPr>
                <w:rFonts w:hint="eastAsia" w:ascii="华文细黑" w:hAnsi="华文细黑" w:eastAsia="华文细黑" w:cs="华文细黑"/>
                <w:kern w:val="0"/>
                <w:sz w:val="20"/>
                <w:szCs w:val="20"/>
                <w:vertAlign w:val="baseline"/>
              </w:rPr>
            </w:pPr>
          </w:p>
        </w:tc>
        <w:tc>
          <w:tcPr>
            <w:tcW w:w="1090"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统计云平台运行维护经费</w:t>
            </w:r>
          </w:p>
          <w:p>
            <w:pPr>
              <w:spacing w:line="240" w:lineRule="auto"/>
              <w:jc w:val="center"/>
              <w:rPr>
                <w:rFonts w:hint="eastAsia" w:ascii="华文细黑" w:hAnsi="华文细黑" w:eastAsia="华文细黑" w:cs="华文细黑"/>
                <w:kern w:val="0"/>
                <w:sz w:val="20"/>
                <w:szCs w:val="20"/>
                <w:vertAlign w:val="baseline"/>
              </w:rPr>
            </w:pPr>
          </w:p>
        </w:tc>
        <w:tc>
          <w:tcPr>
            <w:tcW w:w="927"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95.00</w:t>
            </w:r>
          </w:p>
          <w:p>
            <w:pPr>
              <w:spacing w:line="240" w:lineRule="auto"/>
              <w:jc w:val="center"/>
              <w:rPr>
                <w:rFonts w:hint="eastAsia" w:ascii="华文细黑" w:hAnsi="华文细黑" w:eastAsia="华文细黑" w:cs="华文细黑"/>
                <w:kern w:val="0"/>
                <w:sz w:val="20"/>
                <w:szCs w:val="20"/>
                <w:vertAlign w:val="baseline"/>
              </w:rPr>
            </w:pPr>
          </w:p>
        </w:tc>
        <w:tc>
          <w:tcPr>
            <w:tcW w:w="2468"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通过购买运维服务和等保测评等服务，保证省局核心网络中的统计云平台及在云平台上运行的各个信息系统都安全、稳定、高效的运转。</w:t>
            </w:r>
          </w:p>
          <w:p>
            <w:pPr>
              <w:spacing w:line="240" w:lineRule="auto"/>
              <w:jc w:val="center"/>
              <w:rPr>
                <w:rFonts w:hint="eastAsia" w:ascii="华文细黑" w:hAnsi="华文细黑" w:eastAsia="华文细黑" w:cs="华文细黑"/>
                <w:kern w:val="0"/>
                <w:sz w:val="20"/>
                <w:szCs w:val="20"/>
                <w:vertAlign w:val="baseline"/>
              </w:rPr>
            </w:pPr>
          </w:p>
        </w:tc>
        <w:tc>
          <w:tcPr>
            <w:tcW w:w="710"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成本指标</w:t>
            </w:r>
          </w:p>
        </w:tc>
        <w:tc>
          <w:tcPr>
            <w:tcW w:w="722"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经济成本指标</w:t>
            </w:r>
          </w:p>
        </w:tc>
        <w:tc>
          <w:tcPr>
            <w:tcW w:w="1337"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单个信息系统等保测评成本</w:t>
            </w:r>
          </w:p>
        </w:tc>
        <w:tc>
          <w:tcPr>
            <w:tcW w:w="125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统计云平台单个信息系统等保测评成本</w:t>
            </w:r>
          </w:p>
        </w:tc>
        <w:tc>
          <w:tcPr>
            <w:tcW w:w="121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≤10万元</w:t>
            </w:r>
          </w:p>
        </w:tc>
        <w:tc>
          <w:tcPr>
            <w:tcW w:w="559"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13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9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2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246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10"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产出指标</w:t>
            </w:r>
          </w:p>
        </w:tc>
        <w:tc>
          <w:tcPr>
            <w:tcW w:w="722"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数量指标</w:t>
            </w:r>
          </w:p>
        </w:tc>
        <w:tc>
          <w:tcPr>
            <w:tcW w:w="1337"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维护视频会议系统节点数</w:t>
            </w:r>
          </w:p>
        </w:tc>
        <w:tc>
          <w:tcPr>
            <w:tcW w:w="125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维护视频会议系统节点数</w:t>
            </w:r>
          </w:p>
        </w:tc>
        <w:tc>
          <w:tcPr>
            <w:tcW w:w="121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=52个</w:t>
            </w:r>
          </w:p>
        </w:tc>
        <w:tc>
          <w:tcPr>
            <w:tcW w:w="559"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13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9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2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246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10"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效益指标</w:t>
            </w:r>
          </w:p>
        </w:tc>
        <w:tc>
          <w:tcPr>
            <w:tcW w:w="722"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社会效益指标</w:t>
            </w:r>
          </w:p>
        </w:tc>
        <w:tc>
          <w:tcPr>
            <w:tcW w:w="1337"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保障网络运行通畅率，为全省统计系统工作提供信息化支撑</w:t>
            </w:r>
          </w:p>
        </w:tc>
        <w:tc>
          <w:tcPr>
            <w:tcW w:w="125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保障网络运行通畅率，保障省局核心网络高效运转，为全省统计系统工作提供信息化支撑</w:t>
            </w:r>
          </w:p>
        </w:tc>
        <w:tc>
          <w:tcPr>
            <w:tcW w:w="121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内网网站、电子邮件等应用系统稳定运行</w:t>
            </w:r>
          </w:p>
        </w:tc>
        <w:tc>
          <w:tcPr>
            <w:tcW w:w="559"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13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9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2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246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10"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满意度指标</w:t>
            </w:r>
          </w:p>
        </w:tc>
        <w:tc>
          <w:tcPr>
            <w:tcW w:w="722"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服务对象满意度指标</w:t>
            </w:r>
          </w:p>
        </w:tc>
        <w:tc>
          <w:tcPr>
            <w:tcW w:w="1337"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服务对象满意度</w:t>
            </w:r>
          </w:p>
        </w:tc>
        <w:tc>
          <w:tcPr>
            <w:tcW w:w="125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服务对象满意度</w:t>
            </w:r>
          </w:p>
        </w:tc>
        <w:tc>
          <w:tcPr>
            <w:tcW w:w="121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≥90%</w:t>
            </w:r>
          </w:p>
        </w:tc>
        <w:tc>
          <w:tcPr>
            <w:tcW w:w="559"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132"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143001-吉林省统计局（本级）</w:t>
            </w:r>
          </w:p>
          <w:p>
            <w:pPr>
              <w:spacing w:line="240" w:lineRule="auto"/>
              <w:jc w:val="center"/>
              <w:rPr>
                <w:rFonts w:hint="eastAsia" w:ascii="华文细黑" w:hAnsi="华文细黑" w:eastAsia="华文细黑" w:cs="华文细黑"/>
                <w:kern w:val="0"/>
                <w:sz w:val="20"/>
                <w:szCs w:val="20"/>
                <w:vertAlign w:val="baseline"/>
              </w:rPr>
            </w:pPr>
          </w:p>
        </w:tc>
        <w:tc>
          <w:tcPr>
            <w:tcW w:w="1090"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吉林统计调查信息网络运行经费</w:t>
            </w:r>
          </w:p>
          <w:p>
            <w:pPr>
              <w:spacing w:line="240" w:lineRule="auto"/>
              <w:jc w:val="center"/>
              <w:rPr>
                <w:rFonts w:hint="eastAsia" w:ascii="华文细黑" w:hAnsi="华文细黑" w:eastAsia="华文细黑" w:cs="华文细黑"/>
                <w:kern w:val="0"/>
                <w:sz w:val="20"/>
                <w:szCs w:val="20"/>
                <w:vertAlign w:val="baseline"/>
              </w:rPr>
            </w:pPr>
          </w:p>
        </w:tc>
        <w:tc>
          <w:tcPr>
            <w:tcW w:w="927"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188.00</w:t>
            </w:r>
          </w:p>
          <w:p>
            <w:pPr>
              <w:spacing w:line="240" w:lineRule="auto"/>
              <w:jc w:val="center"/>
              <w:rPr>
                <w:rFonts w:hint="eastAsia" w:ascii="华文细黑" w:hAnsi="华文细黑" w:eastAsia="华文细黑" w:cs="华文细黑"/>
                <w:kern w:val="0"/>
                <w:sz w:val="20"/>
                <w:szCs w:val="20"/>
                <w:vertAlign w:val="baseline"/>
              </w:rPr>
            </w:pPr>
          </w:p>
        </w:tc>
        <w:tc>
          <w:tcPr>
            <w:tcW w:w="2468"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通过租用全省统计系统内网专线和互联网专线，保证全省统计系统各个应用系统正常运行，为全省统计系统工作提供保证。</w:t>
            </w:r>
          </w:p>
          <w:p>
            <w:pPr>
              <w:spacing w:line="240" w:lineRule="auto"/>
              <w:jc w:val="center"/>
              <w:rPr>
                <w:rFonts w:hint="eastAsia" w:ascii="华文细黑" w:hAnsi="华文细黑" w:eastAsia="华文细黑" w:cs="华文细黑"/>
                <w:kern w:val="0"/>
                <w:sz w:val="20"/>
                <w:szCs w:val="20"/>
                <w:vertAlign w:val="baseline"/>
              </w:rPr>
            </w:pPr>
          </w:p>
        </w:tc>
        <w:tc>
          <w:tcPr>
            <w:tcW w:w="710"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成本指标</w:t>
            </w:r>
          </w:p>
        </w:tc>
        <w:tc>
          <w:tcPr>
            <w:tcW w:w="722"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经济成本指标</w:t>
            </w:r>
          </w:p>
        </w:tc>
        <w:tc>
          <w:tcPr>
            <w:tcW w:w="1337"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全省统计系统内网专线租赁成本</w:t>
            </w:r>
          </w:p>
        </w:tc>
        <w:tc>
          <w:tcPr>
            <w:tcW w:w="125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全省统计系统内网专线租赁成本</w:t>
            </w:r>
          </w:p>
        </w:tc>
        <w:tc>
          <w:tcPr>
            <w:tcW w:w="121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≤0.62万元</w:t>
            </w:r>
          </w:p>
        </w:tc>
        <w:tc>
          <w:tcPr>
            <w:tcW w:w="559"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13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9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2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246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10"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产出指标</w:t>
            </w:r>
          </w:p>
        </w:tc>
        <w:tc>
          <w:tcPr>
            <w:tcW w:w="722"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数量指标</w:t>
            </w:r>
          </w:p>
        </w:tc>
        <w:tc>
          <w:tcPr>
            <w:tcW w:w="1337"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租赁互联网线路条数</w:t>
            </w:r>
          </w:p>
        </w:tc>
        <w:tc>
          <w:tcPr>
            <w:tcW w:w="125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租赁互联网线路条数</w:t>
            </w:r>
          </w:p>
        </w:tc>
        <w:tc>
          <w:tcPr>
            <w:tcW w:w="121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≥3条</w:t>
            </w:r>
          </w:p>
        </w:tc>
        <w:tc>
          <w:tcPr>
            <w:tcW w:w="559"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113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9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2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246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10"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效益指标</w:t>
            </w:r>
          </w:p>
        </w:tc>
        <w:tc>
          <w:tcPr>
            <w:tcW w:w="722"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社会效益指标</w:t>
            </w:r>
          </w:p>
        </w:tc>
        <w:tc>
          <w:tcPr>
            <w:tcW w:w="1337"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为全省统计系统提供内外网办公环境支撑，提升全省系统规范化水平</w:t>
            </w:r>
          </w:p>
        </w:tc>
        <w:tc>
          <w:tcPr>
            <w:tcW w:w="125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为全省统计系统提供内外网办公环境支撑，提升全省系统规范化水平</w:t>
            </w:r>
          </w:p>
        </w:tc>
        <w:tc>
          <w:tcPr>
            <w:tcW w:w="121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为全省统计系统提供内外网办公环境支撑，供全省统计干部使用</w:t>
            </w:r>
          </w:p>
        </w:tc>
        <w:tc>
          <w:tcPr>
            <w:tcW w:w="559"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13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9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2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246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10"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满意度指标</w:t>
            </w:r>
          </w:p>
        </w:tc>
        <w:tc>
          <w:tcPr>
            <w:tcW w:w="722"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服务对象满意度指标</w:t>
            </w:r>
          </w:p>
        </w:tc>
        <w:tc>
          <w:tcPr>
            <w:tcW w:w="1337"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服务对象满意度</w:t>
            </w:r>
          </w:p>
        </w:tc>
        <w:tc>
          <w:tcPr>
            <w:tcW w:w="125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服务对象满意度</w:t>
            </w:r>
          </w:p>
        </w:tc>
        <w:tc>
          <w:tcPr>
            <w:tcW w:w="121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≥90%</w:t>
            </w:r>
          </w:p>
        </w:tc>
        <w:tc>
          <w:tcPr>
            <w:tcW w:w="559"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132"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143001-吉林省统计局（本级）</w:t>
            </w:r>
          </w:p>
        </w:tc>
        <w:tc>
          <w:tcPr>
            <w:tcW w:w="1090"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国民经济核算业务经费</w:t>
            </w:r>
          </w:p>
        </w:tc>
        <w:tc>
          <w:tcPr>
            <w:tcW w:w="927"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20.00</w:t>
            </w:r>
          </w:p>
        </w:tc>
        <w:tc>
          <w:tcPr>
            <w:tcW w:w="2468"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通过培训提高核算人员的业务素质，掌握新的季度和年度统一核算方法等业务内容；完成省级及各市（州）地区生产总值核算报表及审核；研究全省经济运行情况，为省委省政府及相关部门提供必要的核算资料及经济分析报告。</w:t>
            </w:r>
          </w:p>
        </w:tc>
        <w:tc>
          <w:tcPr>
            <w:tcW w:w="710"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成本指标</w:t>
            </w:r>
          </w:p>
        </w:tc>
        <w:tc>
          <w:tcPr>
            <w:tcW w:w="722"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经济成本指标</w:t>
            </w:r>
          </w:p>
        </w:tc>
        <w:tc>
          <w:tcPr>
            <w:tcW w:w="1337"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培训人均成本</w:t>
            </w:r>
          </w:p>
        </w:tc>
        <w:tc>
          <w:tcPr>
            <w:tcW w:w="125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培训费用标准</w:t>
            </w:r>
          </w:p>
        </w:tc>
        <w:tc>
          <w:tcPr>
            <w:tcW w:w="121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≤400元/人/天</w:t>
            </w:r>
          </w:p>
        </w:tc>
        <w:tc>
          <w:tcPr>
            <w:tcW w:w="559"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13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9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2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246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10" w:type="dxa"/>
            <w:vMerge w:val="restart"/>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产出指标</w:t>
            </w:r>
          </w:p>
        </w:tc>
        <w:tc>
          <w:tcPr>
            <w:tcW w:w="722" w:type="dxa"/>
            <w:vMerge w:val="restart"/>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数量指标</w:t>
            </w:r>
          </w:p>
        </w:tc>
        <w:tc>
          <w:tcPr>
            <w:tcW w:w="1337"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培训学员的人次</w:t>
            </w:r>
          </w:p>
        </w:tc>
        <w:tc>
          <w:tcPr>
            <w:tcW w:w="125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培训学员的人次</w:t>
            </w:r>
          </w:p>
        </w:tc>
        <w:tc>
          <w:tcPr>
            <w:tcW w:w="121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≥75人次</w:t>
            </w:r>
          </w:p>
        </w:tc>
        <w:tc>
          <w:tcPr>
            <w:tcW w:w="559"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13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9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2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246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10"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722"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337"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完成报表数量</w:t>
            </w:r>
          </w:p>
        </w:tc>
        <w:tc>
          <w:tcPr>
            <w:tcW w:w="125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完成报表数量</w:t>
            </w:r>
          </w:p>
        </w:tc>
        <w:tc>
          <w:tcPr>
            <w:tcW w:w="121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≥48张</w:t>
            </w:r>
          </w:p>
        </w:tc>
        <w:tc>
          <w:tcPr>
            <w:tcW w:w="559"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13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9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2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246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10"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722"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337"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培训次数</w:t>
            </w:r>
          </w:p>
        </w:tc>
        <w:tc>
          <w:tcPr>
            <w:tcW w:w="125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举办培训的班次</w:t>
            </w:r>
          </w:p>
        </w:tc>
        <w:tc>
          <w:tcPr>
            <w:tcW w:w="121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≥3次</w:t>
            </w:r>
          </w:p>
        </w:tc>
        <w:tc>
          <w:tcPr>
            <w:tcW w:w="559"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13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9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2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246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10"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效益指标</w:t>
            </w:r>
          </w:p>
        </w:tc>
        <w:tc>
          <w:tcPr>
            <w:tcW w:w="722"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社会效益指标</w:t>
            </w:r>
          </w:p>
        </w:tc>
        <w:tc>
          <w:tcPr>
            <w:tcW w:w="1337"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为省委省政府提供经济运行分析</w:t>
            </w:r>
          </w:p>
        </w:tc>
        <w:tc>
          <w:tcPr>
            <w:tcW w:w="125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为省委省政府提供经济运行分析</w:t>
            </w:r>
          </w:p>
        </w:tc>
        <w:tc>
          <w:tcPr>
            <w:tcW w:w="121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≥2篇</w:t>
            </w:r>
          </w:p>
        </w:tc>
        <w:tc>
          <w:tcPr>
            <w:tcW w:w="559"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132"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143001-吉林省统计局（本级）</w:t>
            </w:r>
          </w:p>
        </w:tc>
        <w:tc>
          <w:tcPr>
            <w:tcW w:w="1090"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第五次全国经济普查经费</w:t>
            </w:r>
          </w:p>
        </w:tc>
        <w:tc>
          <w:tcPr>
            <w:tcW w:w="927"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57.31</w:t>
            </w:r>
          </w:p>
        </w:tc>
        <w:tc>
          <w:tcPr>
            <w:tcW w:w="2468"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 xml:space="preserve"> 目标1：通过动员宣传让调查单位进一步了解投入产出调查的重要意义，增强配合意识；</w:t>
            </w:r>
            <w:r>
              <w:rPr>
                <w:rFonts w:hint="eastAsia" w:ascii="华文细黑" w:hAnsi="华文细黑" w:eastAsia="华文细黑" w:cs="华文细黑"/>
                <w:i w:val="0"/>
                <w:iCs w:val="0"/>
                <w:color w:val="000000"/>
                <w:kern w:val="0"/>
                <w:sz w:val="16"/>
                <w:szCs w:val="16"/>
                <w:u w:val="none"/>
                <w:lang w:val="en-US" w:eastAsia="zh-CN" w:bidi="ar"/>
              </w:rPr>
              <w:br w:type="textWrapping"/>
            </w:r>
            <w:r>
              <w:rPr>
                <w:rFonts w:hint="eastAsia" w:ascii="华文细黑" w:hAnsi="华文细黑" w:eastAsia="华文细黑" w:cs="华文细黑"/>
                <w:i w:val="0"/>
                <w:iCs w:val="0"/>
                <w:color w:val="000000"/>
                <w:kern w:val="0"/>
                <w:sz w:val="16"/>
                <w:szCs w:val="16"/>
                <w:u w:val="none"/>
                <w:lang w:val="en-US" w:eastAsia="zh-CN" w:bidi="ar"/>
              </w:rPr>
              <w:t xml:space="preserve"> 目标2：通过培训提高指导员和调查员业务素质，掌握业务内容；</w:t>
            </w:r>
            <w:r>
              <w:rPr>
                <w:rFonts w:hint="eastAsia" w:ascii="华文细黑" w:hAnsi="华文细黑" w:eastAsia="华文细黑" w:cs="华文细黑"/>
                <w:i w:val="0"/>
                <w:iCs w:val="0"/>
                <w:color w:val="000000"/>
                <w:kern w:val="0"/>
                <w:sz w:val="16"/>
                <w:szCs w:val="16"/>
                <w:u w:val="none"/>
                <w:lang w:val="en-US" w:eastAsia="zh-CN" w:bidi="ar"/>
              </w:rPr>
              <w:br w:type="textWrapping"/>
            </w:r>
            <w:r>
              <w:rPr>
                <w:rFonts w:hint="eastAsia" w:ascii="华文细黑" w:hAnsi="华文细黑" w:eastAsia="华文细黑" w:cs="华文细黑"/>
                <w:i w:val="0"/>
                <w:iCs w:val="0"/>
                <w:color w:val="000000"/>
                <w:kern w:val="0"/>
                <w:sz w:val="16"/>
                <w:szCs w:val="16"/>
                <w:u w:val="none"/>
                <w:lang w:val="en-US" w:eastAsia="zh-CN" w:bidi="ar"/>
              </w:rPr>
              <w:t xml:space="preserve"> 目标3：指导企业完成调查数据录入；</w:t>
            </w:r>
            <w:r>
              <w:rPr>
                <w:rFonts w:hint="eastAsia" w:ascii="华文细黑" w:hAnsi="华文细黑" w:eastAsia="华文细黑" w:cs="华文细黑"/>
                <w:i w:val="0"/>
                <w:iCs w:val="0"/>
                <w:color w:val="000000"/>
                <w:kern w:val="0"/>
                <w:sz w:val="16"/>
                <w:szCs w:val="16"/>
                <w:u w:val="none"/>
                <w:lang w:val="en-US" w:eastAsia="zh-CN" w:bidi="ar"/>
              </w:rPr>
              <w:br w:type="textWrapping"/>
            </w:r>
            <w:r>
              <w:rPr>
                <w:rFonts w:hint="eastAsia" w:ascii="华文细黑" w:hAnsi="华文细黑" w:eastAsia="华文细黑" w:cs="华文细黑"/>
                <w:i w:val="0"/>
                <w:iCs w:val="0"/>
                <w:color w:val="000000"/>
                <w:kern w:val="0"/>
                <w:sz w:val="16"/>
                <w:szCs w:val="16"/>
                <w:u w:val="none"/>
                <w:lang w:val="en-US" w:eastAsia="zh-CN" w:bidi="ar"/>
              </w:rPr>
              <w:t xml:space="preserve"> 目标4：完成调查数据的上报、审核和汇总。</w:t>
            </w:r>
          </w:p>
        </w:tc>
        <w:tc>
          <w:tcPr>
            <w:tcW w:w="710"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成本指标</w:t>
            </w:r>
          </w:p>
        </w:tc>
        <w:tc>
          <w:tcPr>
            <w:tcW w:w="722"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经济成本指标</w:t>
            </w:r>
          </w:p>
        </w:tc>
        <w:tc>
          <w:tcPr>
            <w:tcW w:w="1337"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培训人均成本</w:t>
            </w:r>
          </w:p>
        </w:tc>
        <w:tc>
          <w:tcPr>
            <w:tcW w:w="125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培训费用标准</w:t>
            </w:r>
          </w:p>
        </w:tc>
        <w:tc>
          <w:tcPr>
            <w:tcW w:w="121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≤400元/人/天</w:t>
            </w:r>
          </w:p>
        </w:tc>
        <w:tc>
          <w:tcPr>
            <w:tcW w:w="559"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13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9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2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246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10" w:type="dxa"/>
            <w:vMerge w:val="restart"/>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产出指标</w:t>
            </w:r>
          </w:p>
        </w:tc>
        <w:tc>
          <w:tcPr>
            <w:tcW w:w="722" w:type="dxa"/>
            <w:vMerge w:val="restart"/>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数量指标</w:t>
            </w:r>
          </w:p>
        </w:tc>
        <w:tc>
          <w:tcPr>
            <w:tcW w:w="1337"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培训人数</w:t>
            </w:r>
          </w:p>
        </w:tc>
        <w:tc>
          <w:tcPr>
            <w:tcW w:w="125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培训学员的人次</w:t>
            </w:r>
          </w:p>
        </w:tc>
        <w:tc>
          <w:tcPr>
            <w:tcW w:w="121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≥130人次</w:t>
            </w:r>
          </w:p>
        </w:tc>
        <w:tc>
          <w:tcPr>
            <w:tcW w:w="559"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13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9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2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246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10"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722"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337"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培训次数</w:t>
            </w:r>
          </w:p>
        </w:tc>
        <w:tc>
          <w:tcPr>
            <w:tcW w:w="125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举办培训班次</w:t>
            </w:r>
          </w:p>
        </w:tc>
        <w:tc>
          <w:tcPr>
            <w:tcW w:w="121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≥2人/次</w:t>
            </w:r>
          </w:p>
        </w:tc>
        <w:tc>
          <w:tcPr>
            <w:tcW w:w="559"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13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9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2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246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10"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效益指标</w:t>
            </w:r>
          </w:p>
        </w:tc>
        <w:tc>
          <w:tcPr>
            <w:tcW w:w="722"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社会效益指标</w:t>
            </w:r>
          </w:p>
        </w:tc>
        <w:tc>
          <w:tcPr>
            <w:tcW w:w="1337"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提供投入产出基础数据</w:t>
            </w:r>
          </w:p>
        </w:tc>
        <w:tc>
          <w:tcPr>
            <w:tcW w:w="125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提供投入产出基础数据</w:t>
            </w:r>
          </w:p>
        </w:tc>
        <w:tc>
          <w:tcPr>
            <w:tcW w:w="121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提供基础数据数量1500份左右</w:t>
            </w:r>
          </w:p>
        </w:tc>
        <w:tc>
          <w:tcPr>
            <w:tcW w:w="559"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132"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143001-吉林省统计局（本级）</w:t>
            </w:r>
          </w:p>
        </w:tc>
        <w:tc>
          <w:tcPr>
            <w:tcW w:w="1090"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吉林省统计数据共享平台增值服务经费</w:t>
            </w:r>
          </w:p>
        </w:tc>
        <w:tc>
          <w:tcPr>
            <w:tcW w:w="927"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53.00</w:t>
            </w:r>
          </w:p>
        </w:tc>
        <w:tc>
          <w:tcPr>
            <w:tcW w:w="2468"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通过1.完成吉林省统计局各项专项调查的数据收集整理；2.实时实现国家统计联网直报平台吉林省数据回流，实现吉林省统计数据共享平台系统平稳运行，为全省统计工作提供保障。</w:t>
            </w:r>
          </w:p>
        </w:tc>
        <w:tc>
          <w:tcPr>
            <w:tcW w:w="710"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产出指标</w:t>
            </w:r>
          </w:p>
        </w:tc>
        <w:tc>
          <w:tcPr>
            <w:tcW w:w="722"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数量指标</w:t>
            </w:r>
          </w:p>
        </w:tc>
        <w:tc>
          <w:tcPr>
            <w:tcW w:w="1337"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形成《月报》数量</w:t>
            </w:r>
          </w:p>
        </w:tc>
        <w:tc>
          <w:tcPr>
            <w:tcW w:w="125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产生统计月报数，按月形成</w:t>
            </w:r>
          </w:p>
        </w:tc>
        <w:tc>
          <w:tcPr>
            <w:tcW w:w="121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=12次/月</w:t>
            </w:r>
          </w:p>
        </w:tc>
        <w:tc>
          <w:tcPr>
            <w:tcW w:w="559"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trPr>
        <w:tc>
          <w:tcPr>
            <w:tcW w:w="113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9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2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246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10"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效果指标</w:t>
            </w:r>
          </w:p>
        </w:tc>
        <w:tc>
          <w:tcPr>
            <w:tcW w:w="722"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社会效益指标</w:t>
            </w:r>
          </w:p>
        </w:tc>
        <w:tc>
          <w:tcPr>
            <w:tcW w:w="1337"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加强基层基础规范化建设，保障源头数据质量</w:t>
            </w:r>
          </w:p>
        </w:tc>
        <w:tc>
          <w:tcPr>
            <w:tcW w:w="125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全面掌握年度全省统计基层基础建设现状，加强基层基础规范化建设，保障源头数据质量</w:t>
            </w:r>
          </w:p>
        </w:tc>
        <w:tc>
          <w:tcPr>
            <w:tcW w:w="121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通过吉林省统计数据共享平台收集各部门150张左右数据报表，实现数据共享</w:t>
            </w:r>
          </w:p>
        </w:tc>
        <w:tc>
          <w:tcPr>
            <w:tcW w:w="559"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132"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143001-吉林省统计局（本级）</w:t>
            </w:r>
          </w:p>
          <w:p>
            <w:pPr>
              <w:spacing w:line="240" w:lineRule="auto"/>
              <w:jc w:val="center"/>
              <w:rPr>
                <w:rFonts w:hint="eastAsia" w:ascii="华文细黑" w:hAnsi="华文细黑" w:eastAsia="华文细黑" w:cs="华文细黑"/>
                <w:kern w:val="0"/>
                <w:sz w:val="20"/>
                <w:szCs w:val="20"/>
                <w:vertAlign w:val="baseline"/>
              </w:rPr>
            </w:pPr>
          </w:p>
        </w:tc>
        <w:tc>
          <w:tcPr>
            <w:tcW w:w="1090"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综合统计业务费</w:t>
            </w:r>
          </w:p>
          <w:p>
            <w:pPr>
              <w:spacing w:line="240" w:lineRule="auto"/>
              <w:jc w:val="center"/>
              <w:rPr>
                <w:rFonts w:hint="eastAsia" w:ascii="华文细黑" w:hAnsi="华文细黑" w:eastAsia="华文细黑" w:cs="华文细黑"/>
                <w:kern w:val="0"/>
                <w:sz w:val="20"/>
                <w:szCs w:val="20"/>
                <w:vertAlign w:val="baseline"/>
              </w:rPr>
            </w:pPr>
          </w:p>
        </w:tc>
        <w:tc>
          <w:tcPr>
            <w:tcW w:w="927"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64.50</w:t>
            </w:r>
          </w:p>
          <w:p>
            <w:pPr>
              <w:spacing w:line="240" w:lineRule="auto"/>
              <w:jc w:val="center"/>
              <w:rPr>
                <w:rFonts w:hint="eastAsia" w:ascii="华文细黑" w:hAnsi="华文细黑" w:eastAsia="华文细黑" w:cs="华文细黑"/>
                <w:kern w:val="0"/>
                <w:sz w:val="20"/>
                <w:szCs w:val="20"/>
                <w:vertAlign w:val="baseline"/>
              </w:rPr>
            </w:pPr>
          </w:p>
        </w:tc>
        <w:tc>
          <w:tcPr>
            <w:tcW w:w="2468"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1.开展阶段性人员业务能力培训，提升业务能力水平，做好上一年度统计数据的发布和整理工作。</w:t>
            </w:r>
            <w:r>
              <w:rPr>
                <w:rFonts w:hint="eastAsia" w:ascii="华文细黑" w:hAnsi="华文细黑" w:eastAsia="华文细黑" w:cs="华文细黑"/>
                <w:i w:val="0"/>
                <w:iCs w:val="0"/>
                <w:color w:val="000000"/>
                <w:kern w:val="0"/>
                <w:sz w:val="16"/>
                <w:szCs w:val="16"/>
                <w:u w:val="none"/>
                <w:lang w:val="en-US" w:eastAsia="zh-CN" w:bidi="ar"/>
              </w:rPr>
              <w:br w:type="textWrapping"/>
            </w:r>
            <w:r>
              <w:rPr>
                <w:rFonts w:hint="eastAsia" w:ascii="华文细黑" w:hAnsi="华文细黑" w:eastAsia="华文细黑" w:cs="华文细黑"/>
                <w:i w:val="0"/>
                <w:iCs w:val="0"/>
                <w:color w:val="000000"/>
                <w:kern w:val="0"/>
                <w:sz w:val="16"/>
                <w:szCs w:val="16"/>
                <w:u w:val="none"/>
                <w:lang w:val="en-US" w:eastAsia="zh-CN" w:bidi="ar"/>
              </w:rPr>
              <w:t xml:space="preserve">2.准确反映服务业分行业的基本总量和发展速度，为国民经济核算提供基础数据；及时、准确反映服务业的发展规模、结构、效益及地区分布等情况；撰写统计分析为省委、省政府决策提供参考。 </w:t>
            </w:r>
            <w:r>
              <w:rPr>
                <w:rFonts w:hint="eastAsia" w:ascii="华文细黑" w:hAnsi="华文细黑" w:eastAsia="华文细黑" w:cs="华文细黑"/>
                <w:i w:val="0"/>
                <w:iCs w:val="0"/>
                <w:color w:val="000000"/>
                <w:kern w:val="0"/>
                <w:sz w:val="16"/>
                <w:szCs w:val="16"/>
                <w:u w:val="none"/>
                <w:lang w:val="en-US" w:eastAsia="zh-CN" w:bidi="ar"/>
              </w:rPr>
              <w:br w:type="textWrapping"/>
            </w:r>
            <w:r>
              <w:rPr>
                <w:rFonts w:hint="eastAsia" w:ascii="华文细黑" w:hAnsi="华文细黑" w:eastAsia="华文细黑" w:cs="华文细黑"/>
                <w:i w:val="0"/>
                <w:iCs w:val="0"/>
                <w:color w:val="000000"/>
                <w:kern w:val="0"/>
                <w:sz w:val="16"/>
                <w:szCs w:val="16"/>
                <w:u w:val="none"/>
                <w:lang w:val="en-US" w:eastAsia="zh-CN" w:bidi="ar"/>
              </w:rPr>
              <w:t>3.根据制度要求对前7个月生态环境统计数据进行收集、审核；按时收集完成数据；为统计年鉴和公报提供有关数据；至少撰写5篇统计分析。</w:t>
            </w:r>
            <w:r>
              <w:rPr>
                <w:rFonts w:hint="eastAsia" w:ascii="华文细黑" w:hAnsi="华文细黑" w:eastAsia="华文细黑" w:cs="华文细黑"/>
                <w:i w:val="0"/>
                <w:iCs w:val="0"/>
                <w:color w:val="000000"/>
                <w:kern w:val="0"/>
                <w:sz w:val="16"/>
                <w:szCs w:val="16"/>
                <w:u w:val="none"/>
                <w:lang w:val="en-US" w:eastAsia="zh-CN" w:bidi="ar"/>
              </w:rPr>
              <w:br w:type="textWrapping"/>
            </w:r>
            <w:r>
              <w:rPr>
                <w:rFonts w:hint="eastAsia" w:ascii="华文细黑" w:hAnsi="华文细黑" w:eastAsia="华文细黑" w:cs="华文细黑"/>
                <w:i w:val="0"/>
                <w:iCs w:val="0"/>
                <w:color w:val="000000"/>
                <w:kern w:val="0"/>
                <w:sz w:val="16"/>
                <w:szCs w:val="16"/>
                <w:u w:val="none"/>
                <w:lang w:val="en-US" w:eastAsia="zh-CN" w:bidi="ar"/>
              </w:rPr>
              <w:t>4.开展妇女儿童统计业务培训，布置相关工作；印刷部分资料；按时收集数据，撰写统计分析；及时为省政府和省直相关部门提供数据，加强统计服务工作。</w:t>
            </w:r>
            <w:r>
              <w:rPr>
                <w:rFonts w:hint="eastAsia" w:ascii="华文细黑" w:hAnsi="华文细黑" w:eastAsia="华文细黑" w:cs="华文细黑"/>
                <w:i w:val="0"/>
                <w:iCs w:val="0"/>
                <w:color w:val="000000"/>
                <w:kern w:val="0"/>
                <w:sz w:val="16"/>
                <w:szCs w:val="16"/>
                <w:u w:val="none"/>
                <w:lang w:val="en-US" w:eastAsia="zh-CN" w:bidi="ar"/>
              </w:rPr>
              <w:br w:type="textWrapping"/>
            </w:r>
            <w:r>
              <w:rPr>
                <w:rFonts w:hint="eastAsia" w:ascii="华文细黑" w:hAnsi="华文细黑" w:eastAsia="华文细黑" w:cs="华文细黑"/>
                <w:i w:val="0"/>
                <w:iCs w:val="0"/>
                <w:color w:val="000000"/>
                <w:kern w:val="0"/>
                <w:sz w:val="16"/>
                <w:szCs w:val="16"/>
                <w:u w:val="none"/>
                <w:lang w:val="en-US" w:eastAsia="zh-CN" w:bidi="ar"/>
              </w:rPr>
              <w:t>5.按时、保质，完成工业企业数据报送工作。为各级党政领导及社会各界，及时监测吉林省工业企业生产经营状况，撰写4篇统计分析资料。</w:t>
            </w:r>
            <w:r>
              <w:rPr>
                <w:rFonts w:hint="eastAsia" w:ascii="华文细黑" w:hAnsi="华文细黑" w:eastAsia="华文细黑" w:cs="华文细黑"/>
                <w:i w:val="0"/>
                <w:iCs w:val="0"/>
                <w:color w:val="000000"/>
                <w:kern w:val="0"/>
                <w:sz w:val="16"/>
                <w:szCs w:val="16"/>
                <w:u w:val="none"/>
                <w:lang w:val="en-US" w:eastAsia="zh-CN" w:bidi="ar"/>
              </w:rPr>
              <w:br w:type="textWrapping"/>
            </w:r>
            <w:r>
              <w:rPr>
                <w:rFonts w:hint="eastAsia" w:ascii="华文细黑" w:hAnsi="华文细黑" w:eastAsia="华文细黑" w:cs="华文细黑"/>
                <w:i w:val="0"/>
                <w:iCs w:val="0"/>
                <w:color w:val="000000"/>
                <w:kern w:val="0"/>
                <w:sz w:val="16"/>
                <w:szCs w:val="16"/>
                <w:u w:val="none"/>
                <w:lang w:val="en-US" w:eastAsia="zh-CN" w:bidi="ar"/>
              </w:rPr>
              <w:t>6.开展规模以下工业调查业务培训工作，对新入库的企业统计员、调查员，各级统计工作人员和辅助调查员开进行业务培训。开展非目录核查，通过电话核查和现场核查等手段对各市（州）以及县区统计机构的核查结果进行复核，确保新增企业、个体工业及时入库。</w:t>
            </w:r>
          </w:p>
          <w:p>
            <w:pPr>
              <w:spacing w:line="240" w:lineRule="auto"/>
              <w:jc w:val="center"/>
              <w:rPr>
                <w:rFonts w:hint="eastAsia" w:ascii="华文细黑" w:hAnsi="华文细黑" w:eastAsia="华文细黑" w:cs="华文细黑"/>
                <w:kern w:val="0"/>
                <w:sz w:val="20"/>
                <w:szCs w:val="20"/>
                <w:vertAlign w:val="baseline"/>
              </w:rPr>
            </w:pPr>
          </w:p>
        </w:tc>
        <w:tc>
          <w:tcPr>
            <w:tcW w:w="710"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成本指标</w:t>
            </w:r>
          </w:p>
        </w:tc>
        <w:tc>
          <w:tcPr>
            <w:tcW w:w="722"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经济成本指标</w:t>
            </w:r>
          </w:p>
        </w:tc>
        <w:tc>
          <w:tcPr>
            <w:tcW w:w="1337"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人均培训成本</w:t>
            </w:r>
          </w:p>
        </w:tc>
        <w:tc>
          <w:tcPr>
            <w:tcW w:w="125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人均培训成本</w:t>
            </w:r>
          </w:p>
        </w:tc>
        <w:tc>
          <w:tcPr>
            <w:tcW w:w="121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≤400元/人/天</w:t>
            </w:r>
          </w:p>
        </w:tc>
        <w:tc>
          <w:tcPr>
            <w:tcW w:w="559"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13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9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2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246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10" w:type="dxa"/>
            <w:vMerge w:val="restart"/>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产出指标</w:t>
            </w:r>
          </w:p>
        </w:tc>
        <w:tc>
          <w:tcPr>
            <w:tcW w:w="722" w:type="dxa"/>
            <w:vMerge w:val="restart"/>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数量指标</w:t>
            </w:r>
          </w:p>
        </w:tc>
        <w:tc>
          <w:tcPr>
            <w:tcW w:w="1337"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调查非目录企业数</w:t>
            </w:r>
          </w:p>
        </w:tc>
        <w:tc>
          <w:tcPr>
            <w:tcW w:w="125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核查非目录企业数</w:t>
            </w:r>
          </w:p>
        </w:tc>
        <w:tc>
          <w:tcPr>
            <w:tcW w:w="121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≥4次</w:t>
            </w:r>
          </w:p>
        </w:tc>
        <w:tc>
          <w:tcPr>
            <w:tcW w:w="559"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13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9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2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246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10"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722"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337"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培训人数</w:t>
            </w:r>
          </w:p>
        </w:tc>
        <w:tc>
          <w:tcPr>
            <w:tcW w:w="125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培训人数</w:t>
            </w:r>
          </w:p>
        </w:tc>
        <w:tc>
          <w:tcPr>
            <w:tcW w:w="121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≥90人</w:t>
            </w:r>
          </w:p>
        </w:tc>
        <w:tc>
          <w:tcPr>
            <w:tcW w:w="559"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13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9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2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246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10"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722"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337"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印发能源资源及生态环境类统计报表制度</w:t>
            </w:r>
          </w:p>
        </w:tc>
        <w:tc>
          <w:tcPr>
            <w:tcW w:w="125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印发能源资源及生态环境类统计报表制度</w:t>
            </w:r>
          </w:p>
        </w:tc>
        <w:tc>
          <w:tcPr>
            <w:tcW w:w="121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≥200本</w:t>
            </w:r>
          </w:p>
        </w:tc>
        <w:tc>
          <w:tcPr>
            <w:tcW w:w="559"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13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9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2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246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10"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722"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337"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撰写生态环境及碳排放类统计分析</w:t>
            </w:r>
          </w:p>
        </w:tc>
        <w:tc>
          <w:tcPr>
            <w:tcW w:w="125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撰写生态环境及碳排放类统计分析</w:t>
            </w:r>
          </w:p>
        </w:tc>
        <w:tc>
          <w:tcPr>
            <w:tcW w:w="121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≥6篇</w:t>
            </w:r>
          </w:p>
        </w:tc>
        <w:tc>
          <w:tcPr>
            <w:tcW w:w="559"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13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9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2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246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10"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722"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337"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培训次数</w:t>
            </w:r>
          </w:p>
        </w:tc>
        <w:tc>
          <w:tcPr>
            <w:tcW w:w="125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举办培训班</w:t>
            </w:r>
          </w:p>
        </w:tc>
        <w:tc>
          <w:tcPr>
            <w:tcW w:w="121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≥3班次</w:t>
            </w:r>
          </w:p>
        </w:tc>
        <w:tc>
          <w:tcPr>
            <w:tcW w:w="559"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13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9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2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246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10"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722" w:type="dxa"/>
            <w:vMerge w:val="restart"/>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时效指标</w:t>
            </w:r>
          </w:p>
        </w:tc>
        <w:tc>
          <w:tcPr>
            <w:tcW w:w="1337"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数据报送时效</w:t>
            </w:r>
          </w:p>
        </w:tc>
        <w:tc>
          <w:tcPr>
            <w:tcW w:w="125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提供数据资料</w:t>
            </w:r>
          </w:p>
        </w:tc>
        <w:tc>
          <w:tcPr>
            <w:tcW w:w="121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为相关部门在12月底前提供数据资料11期</w:t>
            </w:r>
          </w:p>
        </w:tc>
        <w:tc>
          <w:tcPr>
            <w:tcW w:w="559"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13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9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2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246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10"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722"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337"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为全省经济社会发展统计公报提供生态环境数据的时间</w:t>
            </w:r>
          </w:p>
        </w:tc>
        <w:tc>
          <w:tcPr>
            <w:tcW w:w="125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为全省经济社会发展统计公报提供生态环境数据的时间</w:t>
            </w:r>
          </w:p>
        </w:tc>
        <w:tc>
          <w:tcPr>
            <w:tcW w:w="121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2月底前</w:t>
            </w:r>
          </w:p>
        </w:tc>
        <w:tc>
          <w:tcPr>
            <w:tcW w:w="559"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13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9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2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246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10" w:type="dxa"/>
            <w:vMerge w:val="restart"/>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效果指标</w:t>
            </w:r>
          </w:p>
        </w:tc>
        <w:tc>
          <w:tcPr>
            <w:tcW w:w="722" w:type="dxa"/>
            <w:vMerge w:val="restart"/>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社会效益指标</w:t>
            </w:r>
          </w:p>
        </w:tc>
        <w:tc>
          <w:tcPr>
            <w:tcW w:w="1337"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撰写社会科技类统计分析报告为省委省政府、国家统计局等提供数据</w:t>
            </w:r>
          </w:p>
        </w:tc>
        <w:tc>
          <w:tcPr>
            <w:tcW w:w="125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撰写社会、科技类统计分析或调研报告为省委省政府、国家统计局等相关部门提供数据支撑</w:t>
            </w:r>
          </w:p>
        </w:tc>
        <w:tc>
          <w:tcPr>
            <w:tcW w:w="121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为省领导、相关部门制定出台政策提供参考</w:t>
            </w:r>
          </w:p>
        </w:tc>
        <w:tc>
          <w:tcPr>
            <w:tcW w:w="559"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13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9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2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246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10"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722"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337"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监测服务业发展情况</w:t>
            </w:r>
          </w:p>
        </w:tc>
        <w:tc>
          <w:tcPr>
            <w:tcW w:w="125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监测服务业发展情况</w:t>
            </w:r>
          </w:p>
        </w:tc>
        <w:tc>
          <w:tcPr>
            <w:tcW w:w="121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反映服务业分行业、分市州发展情况，为国民经济核算提供数据支撑</w:t>
            </w:r>
          </w:p>
        </w:tc>
        <w:tc>
          <w:tcPr>
            <w:tcW w:w="559"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13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9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2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246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10"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满意度指标</w:t>
            </w:r>
          </w:p>
        </w:tc>
        <w:tc>
          <w:tcPr>
            <w:tcW w:w="722"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满意度指标</w:t>
            </w:r>
          </w:p>
        </w:tc>
        <w:tc>
          <w:tcPr>
            <w:tcW w:w="1337"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培训人员满意度</w:t>
            </w:r>
          </w:p>
        </w:tc>
        <w:tc>
          <w:tcPr>
            <w:tcW w:w="125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反映参加培训人员的满意度情况。</w:t>
            </w:r>
          </w:p>
        </w:tc>
        <w:tc>
          <w:tcPr>
            <w:tcW w:w="1214"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≥90%</w:t>
            </w:r>
          </w:p>
        </w:tc>
        <w:tc>
          <w:tcPr>
            <w:tcW w:w="559"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10</w:t>
            </w:r>
          </w:p>
        </w:tc>
      </w:tr>
    </w:tbl>
    <w:p>
      <w:pPr>
        <w:spacing w:line="700" w:lineRule="exact"/>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rPr>
          <w:rFonts w:eastAsia="楷体"/>
          <w:kern w:val="0"/>
          <w:szCs w:val="32"/>
        </w:rPr>
      </w:pPr>
    </w:p>
    <w:p>
      <w:pPr>
        <w:jc w:val="center"/>
        <w:rPr>
          <w:rFonts w:eastAsia="黑体"/>
        </w:rPr>
      </w:pPr>
      <w:r>
        <w:rPr>
          <w:rFonts w:eastAsia="黑体"/>
        </w:rPr>
        <w:t>第三部分 情况说明</w:t>
      </w:r>
    </w:p>
    <w:p>
      <w:pPr>
        <w:rPr>
          <w:rFonts w:eastAsia="仿宋"/>
          <w:szCs w:val="32"/>
        </w:rPr>
      </w:pPr>
    </w:p>
    <w:p>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4</w:t>
      </w:r>
      <w:r>
        <w:rPr>
          <w:rFonts w:eastAsia="黑体"/>
          <w:szCs w:val="32"/>
        </w:rPr>
        <w:t>年收支预算总体情况</w:t>
      </w:r>
    </w:p>
    <w:p>
      <w:pPr>
        <w:ind w:firstLine="640" w:firstLineChars="200"/>
        <w:rPr>
          <w:szCs w:val="32"/>
        </w:rPr>
      </w:pPr>
      <w:r>
        <w:rPr>
          <w:szCs w:val="32"/>
        </w:rPr>
        <w:t>按照综合预算的原则，所有收入和支出全部纳入</w:t>
      </w:r>
      <w:r>
        <w:rPr>
          <w:rFonts w:hint="eastAsia"/>
          <w:szCs w:val="32"/>
          <w:lang w:eastAsia="zh-CN"/>
        </w:rPr>
        <w:t>单位</w:t>
      </w:r>
      <w:r>
        <w:rPr>
          <w:szCs w:val="32"/>
        </w:rPr>
        <w:t>预算管理。收入包括：一般公共预算拨款收入、上年结转</w:t>
      </w:r>
      <w:r>
        <w:rPr>
          <w:rFonts w:hint="eastAsia"/>
          <w:szCs w:val="32"/>
        </w:rPr>
        <w:t>结余</w:t>
      </w:r>
      <w:r>
        <w:rPr>
          <w:szCs w:val="32"/>
        </w:rPr>
        <w:t>；支出包括：一般公共服务支出、</w:t>
      </w:r>
      <w:r>
        <w:rPr>
          <w:rFonts w:hint="eastAsia"/>
          <w:szCs w:val="32"/>
        </w:rPr>
        <w:t>社会保障和就业支出</w:t>
      </w:r>
      <w:r>
        <w:rPr>
          <w:szCs w:val="32"/>
        </w:rPr>
        <w:t>、</w:t>
      </w:r>
      <w:r>
        <w:rPr>
          <w:rFonts w:hint="eastAsia"/>
          <w:szCs w:val="32"/>
        </w:rPr>
        <w:t>卫生健康支出</w:t>
      </w:r>
      <w:r>
        <w:rPr>
          <w:szCs w:val="32"/>
        </w:rPr>
        <w:t>、</w:t>
      </w:r>
      <w:r>
        <w:rPr>
          <w:rFonts w:hint="eastAsia"/>
          <w:szCs w:val="32"/>
        </w:rPr>
        <w:t>商业服务业等支出</w:t>
      </w:r>
      <w:r>
        <w:rPr>
          <w:szCs w:val="32"/>
        </w:rPr>
        <w:t>、</w:t>
      </w:r>
      <w:r>
        <w:rPr>
          <w:rFonts w:hint="eastAsia"/>
          <w:szCs w:val="32"/>
        </w:rPr>
        <w:t>住房保障支出</w:t>
      </w:r>
      <w:r>
        <w:rPr>
          <w:szCs w:val="32"/>
        </w:rPr>
        <w:t>。20</w:t>
      </w:r>
      <w:r>
        <w:rPr>
          <w:rFonts w:hint="eastAsia"/>
          <w:szCs w:val="32"/>
        </w:rPr>
        <w:t>2</w:t>
      </w:r>
      <w:r>
        <w:rPr>
          <w:rFonts w:hint="eastAsia"/>
          <w:szCs w:val="32"/>
          <w:lang w:val="en-US" w:eastAsia="zh-CN"/>
        </w:rPr>
        <w:t>4</w:t>
      </w:r>
      <w:r>
        <w:rPr>
          <w:szCs w:val="32"/>
        </w:rPr>
        <w:t>年收支总预算</w:t>
      </w:r>
      <w:r>
        <w:rPr>
          <w:rFonts w:hint="eastAsia"/>
          <w:szCs w:val="32"/>
        </w:rPr>
        <w:t>3816.12</w:t>
      </w:r>
      <w:r>
        <w:rPr>
          <w:szCs w:val="32"/>
        </w:rPr>
        <w:t>万元</w:t>
      </w:r>
      <w:r>
        <w:rPr>
          <w:rFonts w:hint="eastAsia"/>
          <w:szCs w:val="32"/>
          <w:lang w:eastAsia="zh-CN"/>
        </w:rPr>
        <w:t>，其中：本年预算</w:t>
      </w:r>
      <w:r>
        <w:rPr>
          <w:rFonts w:hint="eastAsia"/>
          <w:szCs w:val="32"/>
        </w:rPr>
        <w:t>3260.47</w:t>
      </w:r>
      <w:r>
        <w:rPr>
          <w:rFonts w:hint="eastAsia"/>
          <w:szCs w:val="32"/>
          <w:lang w:eastAsia="zh-CN"/>
        </w:rPr>
        <w:t>万元；上年结转</w:t>
      </w:r>
      <w:r>
        <w:rPr>
          <w:rFonts w:hint="eastAsia"/>
          <w:szCs w:val="32"/>
        </w:rPr>
        <w:t>555.65</w:t>
      </w:r>
      <w:r>
        <w:rPr>
          <w:rFonts w:hint="eastAsia"/>
          <w:szCs w:val="32"/>
          <w:lang w:eastAsia="zh-CN"/>
        </w:rPr>
        <w:t>万元。</w:t>
      </w:r>
      <w:r>
        <w:rPr>
          <w:rFonts w:hint="eastAsia"/>
          <w:szCs w:val="32"/>
          <w:lang w:val="en-US" w:eastAsia="zh-CN"/>
        </w:rPr>
        <w:t>2024年本年预算</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预算减少</w:t>
      </w:r>
      <w:r>
        <w:rPr>
          <w:rFonts w:hint="eastAsia"/>
          <w:szCs w:val="32"/>
          <w:lang w:val="en-US" w:eastAsia="zh-CN"/>
        </w:rPr>
        <w:t>100.13</w:t>
      </w:r>
      <w:r>
        <w:rPr>
          <w:szCs w:val="32"/>
        </w:rPr>
        <w:t>万元，主要原因是</w:t>
      </w:r>
      <w:r>
        <w:rPr>
          <w:rFonts w:hint="eastAsia"/>
          <w:szCs w:val="32"/>
          <w:lang w:eastAsia="zh-CN"/>
        </w:rPr>
        <w:t>按照省财政厅要求压减预算</w:t>
      </w:r>
      <w:r>
        <w:rPr>
          <w:szCs w:val="32"/>
        </w:rPr>
        <w:t>。</w:t>
      </w:r>
    </w:p>
    <w:p>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4</w:t>
      </w:r>
      <w:r>
        <w:rPr>
          <w:rFonts w:eastAsia="黑体"/>
          <w:szCs w:val="32"/>
        </w:rPr>
        <w:t>年收入预算情况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年收入预算</w:t>
      </w:r>
      <w:r>
        <w:rPr>
          <w:rFonts w:hint="eastAsia"/>
          <w:szCs w:val="32"/>
        </w:rPr>
        <w:t>3816.12</w:t>
      </w:r>
      <w:r>
        <w:rPr>
          <w:szCs w:val="32"/>
        </w:rPr>
        <w:t>万元，其中：本年收入</w:t>
      </w:r>
      <w:r>
        <w:rPr>
          <w:rFonts w:hint="eastAsia"/>
          <w:szCs w:val="32"/>
        </w:rPr>
        <w:t>3260.47</w:t>
      </w:r>
      <w:r>
        <w:rPr>
          <w:szCs w:val="32"/>
        </w:rPr>
        <w:t>万元，占</w:t>
      </w:r>
      <w:r>
        <w:rPr>
          <w:rFonts w:hint="eastAsia"/>
          <w:szCs w:val="32"/>
          <w:lang w:val="en-US" w:eastAsia="zh-CN"/>
        </w:rPr>
        <w:t>85.44</w:t>
      </w:r>
      <w:r>
        <w:rPr>
          <w:szCs w:val="32"/>
        </w:rPr>
        <w:t>%；上年结转</w:t>
      </w:r>
      <w:r>
        <w:rPr>
          <w:rFonts w:hint="eastAsia"/>
          <w:szCs w:val="32"/>
          <w:lang w:eastAsia="zh-CN"/>
        </w:rPr>
        <w:t>结余</w:t>
      </w:r>
      <w:r>
        <w:rPr>
          <w:rFonts w:hint="eastAsia"/>
          <w:szCs w:val="32"/>
        </w:rPr>
        <w:t>555.65</w:t>
      </w:r>
      <w:r>
        <w:rPr>
          <w:szCs w:val="32"/>
        </w:rPr>
        <w:t>万元，占</w:t>
      </w:r>
      <w:r>
        <w:rPr>
          <w:rFonts w:hint="eastAsia"/>
          <w:szCs w:val="32"/>
          <w:lang w:val="en-US" w:eastAsia="zh-CN"/>
        </w:rPr>
        <w:t>14.56</w:t>
      </w:r>
      <w:r>
        <w:rPr>
          <w:szCs w:val="32"/>
        </w:rPr>
        <w:t>%。本年收入中，一般公共预算拨款收入</w:t>
      </w:r>
      <w:r>
        <w:rPr>
          <w:rFonts w:hint="eastAsia"/>
          <w:szCs w:val="32"/>
        </w:rPr>
        <w:t>3260.47</w:t>
      </w:r>
      <w:r>
        <w:rPr>
          <w:szCs w:val="32"/>
        </w:rPr>
        <w:t>万元，占</w:t>
      </w:r>
      <w:r>
        <w:rPr>
          <w:rFonts w:hint="eastAsia"/>
          <w:szCs w:val="32"/>
          <w:lang w:val="en-US" w:eastAsia="zh-CN"/>
        </w:rPr>
        <w:t>100</w:t>
      </w:r>
      <w:r>
        <w:rPr>
          <w:szCs w:val="32"/>
        </w:rPr>
        <w:t>%</w:t>
      </w:r>
      <w:r>
        <w:rPr>
          <w:rFonts w:hint="eastAsia"/>
          <w:szCs w:val="32"/>
        </w:rPr>
        <w:t>。</w:t>
      </w:r>
      <w:r>
        <w:rPr>
          <w:szCs w:val="32"/>
        </w:rPr>
        <w:t>上年结转</w:t>
      </w:r>
      <w:r>
        <w:rPr>
          <w:rFonts w:hint="eastAsia"/>
          <w:szCs w:val="32"/>
        </w:rPr>
        <w:t>中，一般公共预算拨款结转555.65</w:t>
      </w:r>
      <w:r>
        <w:rPr>
          <w:szCs w:val="32"/>
        </w:rPr>
        <w:t>万元，占</w:t>
      </w:r>
      <w:r>
        <w:rPr>
          <w:rFonts w:hint="eastAsia"/>
          <w:szCs w:val="32"/>
          <w:lang w:val="en-US" w:eastAsia="zh-CN"/>
        </w:rPr>
        <w:t>100</w:t>
      </w:r>
      <w:r>
        <w:rPr>
          <w:szCs w:val="32"/>
        </w:rPr>
        <w:t>%</w:t>
      </w:r>
      <w:r>
        <w:rPr>
          <w:rFonts w:hint="eastAsia"/>
          <w:szCs w:val="32"/>
        </w:rPr>
        <w:t>。</w:t>
      </w:r>
    </w:p>
    <w:p>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4</w:t>
      </w:r>
      <w:r>
        <w:rPr>
          <w:rFonts w:eastAsia="黑体"/>
          <w:szCs w:val="32"/>
        </w:rPr>
        <w:t>年支出预算情况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年支出预算</w:t>
      </w:r>
      <w:r>
        <w:rPr>
          <w:rFonts w:hint="eastAsia"/>
          <w:szCs w:val="32"/>
        </w:rPr>
        <w:t>3816.12</w:t>
      </w:r>
      <w:r>
        <w:rPr>
          <w:szCs w:val="32"/>
        </w:rPr>
        <w:t>万元，其中：基本支出</w:t>
      </w:r>
      <w:r>
        <w:rPr>
          <w:rFonts w:hint="eastAsia"/>
          <w:szCs w:val="32"/>
        </w:rPr>
        <w:t>2590.49</w:t>
      </w:r>
      <w:r>
        <w:rPr>
          <w:szCs w:val="32"/>
        </w:rPr>
        <w:t>万元，占</w:t>
      </w:r>
      <w:r>
        <w:rPr>
          <w:rFonts w:hint="eastAsia"/>
          <w:szCs w:val="32"/>
          <w:lang w:val="en-US" w:eastAsia="zh-CN"/>
        </w:rPr>
        <w:t>67.88</w:t>
      </w:r>
      <w:r>
        <w:rPr>
          <w:szCs w:val="32"/>
        </w:rPr>
        <w:t>%；项目支出</w:t>
      </w:r>
      <w:r>
        <w:rPr>
          <w:rFonts w:hint="eastAsia"/>
          <w:szCs w:val="32"/>
        </w:rPr>
        <w:t>1225.63</w:t>
      </w:r>
      <w:r>
        <w:rPr>
          <w:szCs w:val="32"/>
        </w:rPr>
        <w:t>万元，占</w:t>
      </w:r>
      <w:r>
        <w:rPr>
          <w:rFonts w:hint="eastAsia"/>
          <w:szCs w:val="32"/>
          <w:lang w:val="en-US" w:eastAsia="zh-CN"/>
        </w:rPr>
        <w:t>32.12</w:t>
      </w:r>
      <w:r>
        <w:rPr>
          <w:szCs w:val="32"/>
        </w:rPr>
        <w:t>%。</w:t>
      </w:r>
    </w:p>
    <w:p>
      <w:pPr>
        <w:ind w:firstLine="600"/>
        <w:rPr>
          <w:rFonts w:eastAsia="黑体"/>
          <w:szCs w:val="32"/>
        </w:rPr>
      </w:pPr>
      <w:r>
        <w:rPr>
          <w:rFonts w:eastAsia="黑体"/>
          <w:szCs w:val="32"/>
        </w:rPr>
        <w:t>四、20</w:t>
      </w:r>
      <w:r>
        <w:rPr>
          <w:rFonts w:hint="eastAsia" w:eastAsia="黑体"/>
          <w:szCs w:val="32"/>
        </w:rPr>
        <w:t>2</w:t>
      </w:r>
      <w:r>
        <w:rPr>
          <w:rFonts w:hint="eastAsia"/>
          <w:szCs w:val="32"/>
          <w:lang w:val="en-US" w:eastAsia="zh-CN"/>
        </w:rPr>
        <w:t>4</w:t>
      </w:r>
      <w:r>
        <w:rPr>
          <w:rFonts w:eastAsia="黑体"/>
          <w:szCs w:val="32"/>
        </w:rPr>
        <w:t>年财政拨款收支预算情况</w:t>
      </w:r>
    </w:p>
    <w:p>
      <w:pPr>
        <w:ind w:firstLine="600"/>
        <w:rPr>
          <w:szCs w:val="32"/>
        </w:rPr>
      </w:pPr>
      <w:r>
        <w:rPr>
          <w:szCs w:val="32"/>
        </w:rPr>
        <w:t>20</w:t>
      </w:r>
      <w:r>
        <w:rPr>
          <w:rFonts w:hint="eastAsia"/>
          <w:szCs w:val="32"/>
        </w:rPr>
        <w:t>2</w:t>
      </w:r>
      <w:r>
        <w:rPr>
          <w:rFonts w:hint="eastAsia"/>
          <w:szCs w:val="32"/>
          <w:lang w:val="en-US" w:eastAsia="zh-CN"/>
        </w:rPr>
        <w:t>4</w:t>
      </w:r>
      <w:r>
        <w:rPr>
          <w:szCs w:val="32"/>
        </w:rPr>
        <w:t>年财政拨款收支总预算</w:t>
      </w:r>
      <w:r>
        <w:rPr>
          <w:rFonts w:hint="eastAsia"/>
          <w:szCs w:val="32"/>
        </w:rPr>
        <w:t>3816.12</w:t>
      </w:r>
      <w:r>
        <w:rPr>
          <w:szCs w:val="32"/>
        </w:rPr>
        <w:t>万元，其中：</w:t>
      </w:r>
      <w:r>
        <w:rPr>
          <w:rFonts w:hint="eastAsia"/>
          <w:szCs w:val="32"/>
        </w:rPr>
        <w:t>本年</w:t>
      </w:r>
      <w:r>
        <w:rPr>
          <w:rFonts w:hint="eastAsia"/>
          <w:szCs w:val="32"/>
          <w:lang w:eastAsia="zh-CN"/>
        </w:rPr>
        <w:t>预算</w:t>
      </w:r>
      <w:r>
        <w:rPr>
          <w:rFonts w:hint="eastAsia"/>
          <w:szCs w:val="32"/>
        </w:rPr>
        <w:t>3260.47</w:t>
      </w:r>
      <w:r>
        <w:rPr>
          <w:szCs w:val="32"/>
        </w:rPr>
        <w:t>万元</w:t>
      </w:r>
      <w:r>
        <w:rPr>
          <w:rFonts w:hint="eastAsia"/>
          <w:szCs w:val="32"/>
        </w:rPr>
        <w:t>，上年结转555.65</w:t>
      </w:r>
      <w:r>
        <w:rPr>
          <w:szCs w:val="32"/>
        </w:rPr>
        <w:t>万元</w:t>
      </w:r>
      <w:r>
        <w:rPr>
          <w:rFonts w:hint="eastAsia"/>
          <w:szCs w:val="32"/>
        </w:rPr>
        <w:t>。</w:t>
      </w:r>
      <w:r>
        <w:rPr>
          <w:szCs w:val="32"/>
        </w:rPr>
        <w:t>支出包括：</w:t>
      </w:r>
      <w:r>
        <w:rPr>
          <w:kern w:val="0"/>
          <w:szCs w:val="32"/>
        </w:rPr>
        <w:t>一般公共服务支出</w:t>
      </w:r>
      <w:r>
        <w:rPr>
          <w:rFonts w:hint="eastAsia"/>
          <w:szCs w:val="32"/>
        </w:rPr>
        <w:t>2705.41</w:t>
      </w:r>
      <w:r>
        <w:rPr>
          <w:szCs w:val="32"/>
        </w:rPr>
        <w:t>万元，</w:t>
      </w:r>
      <w:r>
        <w:rPr>
          <w:kern w:val="0"/>
          <w:szCs w:val="32"/>
        </w:rPr>
        <w:t>社会保障和就业支出</w:t>
      </w:r>
      <w:r>
        <w:rPr>
          <w:rFonts w:hint="eastAsia"/>
          <w:szCs w:val="32"/>
        </w:rPr>
        <w:t>504.05</w:t>
      </w:r>
      <w:r>
        <w:rPr>
          <w:szCs w:val="32"/>
        </w:rPr>
        <w:t>万元，</w:t>
      </w:r>
      <w:r>
        <w:rPr>
          <w:kern w:val="0"/>
          <w:szCs w:val="32"/>
        </w:rPr>
        <w:t>卫生</w:t>
      </w:r>
      <w:r>
        <w:rPr>
          <w:rFonts w:hint="eastAsia"/>
          <w:kern w:val="0"/>
          <w:szCs w:val="32"/>
        </w:rPr>
        <w:t>健康</w:t>
      </w:r>
      <w:r>
        <w:rPr>
          <w:kern w:val="0"/>
          <w:szCs w:val="32"/>
        </w:rPr>
        <w:t>支出</w:t>
      </w:r>
      <w:r>
        <w:rPr>
          <w:rFonts w:hint="eastAsia"/>
          <w:szCs w:val="32"/>
        </w:rPr>
        <w:t>157.11</w:t>
      </w:r>
      <w:r>
        <w:rPr>
          <w:szCs w:val="32"/>
        </w:rPr>
        <w:t>万元，</w:t>
      </w:r>
      <w:r>
        <w:rPr>
          <w:kern w:val="0"/>
          <w:szCs w:val="32"/>
        </w:rPr>
        <w:t>商业服务业等支出</w:t>
      </w:r>
      <w:r>
        <w:rPr>
          <w:rFonts w:hint="eastAsia"/>
          <w:szCs w:val="32"/>
        </w:rPr>
        <w:t>270</w:t>
      </w:r>
      <w:r>
        <w:rPr>
          <w:rFonts w:hint="eastAsia"/>
          <w:szCs w:val="32"/>
          <w:lang w:val="en-US" w:eastAsia="zh-CN"/>
        </w:rPr>
        <w:t>.00</w:t>
      </w:r>
      <w:r>
        <w:rPr>
          <w:szCs w:val="32"/>
        </w:rPr>
        <w:t>万元，</w:t>
      </w:r>
      <w:r>
        <w:rPr>
          <w:kern w:val="0"/>
          <w:szCs w:val="32"/>
        </w:rPr>
        <w:t>住房保障支出</w:t>
      </w:r>
      <w:r>
        <w:rPr>
          <w:rFonts w:hint="eastAsia"/>
          <w:szCs w:val="32"/>
        </w:rPr>
        <w:t>179.55</w:t>
      </w:r>
      <w:r>
        <w:rPr>
          <w:szCs w:val="32"/>
        </w:rPr>
        <w:t>万元，</w:t>
      </w:r>
      <w:r>
        <w:rPr>
          <w:kern w:val="0"/>
          <w:szCs w:val="32"/>
        </w:rPr>
        <w:t>结转下年支出</w:t>
      </w:r>
      <w:r>
        <w:rPr>
          <w:rFonts w:hint="eastAsia"/>
          <w:szCs w:val="32"/>
          <w:lang w:val="en-US" w:eastAsia="zh-CN"/>
        </w:rPr>
        <w:t>0.00</w:t>
      </w:r>
      <w:r>
        <w:rPr>
          <w:szCs w:val="32"/>
        </w:rPr>
        <w:t>万元。</w:t>
      </w:r>
    </w:p>
    <w:p>
      <w:pPr>
        <w:ind w:firstLine="600"/>
        <w:rPr>
          <w:rFonts w:eastAsia="黑体"/>
          <w:szCs w:val="30"/>
        </w:rPr>
      </w:pPr>
      <w:r>
        <w:rPr>
          <w:rFonts w:eastAsia="黑体"/>
          <w:szCs w:val="30"/>
        </w:rPr>
        <w:t>五、20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支出</w:t>
      </w:r>
      <w:r>
        <w:rPr>
          <w:rFonts w:eastAsia="黑体"/>
          <w:szCs w:val="30"/>
        </w:rPr>
        <w:t>情况</w:t>
      </w:r>
    </w:p>
    <w:p>
      <w:pPr>
        <w:spacing w:line="52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年一般公共预算拨款</w:t>
      </w:r>
      <w:r>
        <w:rPr>
          <w:rFonts w:hint="eastAsia"/>
          <w:szCs w:val="32"/>
        </w:rPr>
        <w:t>3816.12</w:t>
      </w:r>
      <w:r>
        <w:rPr>
          <w:szCs w:val="32"/>
        </w:rPr>
        <w:t>万元，其中：基本支出</w:t>
      </w:r>
      <w:r>
        <w:rPr>
          <w:rFonts w:hint="eastAsia"/>
          <w:szCs w:val="32"/>
        </w:rPr>
        <w:t>2590.49</w:t>
      </w:r>
      <w:r>
        <w:rPr>
          <w:szCs w:val="32"/>
        </w:rPr>
        <w:t>万元，占</w:t>
      </w:r>
      <w:r>
        <w:rPr>
          <w:rFonts w:hint="eastAsia"/>
          <w:szCs w:val="32"/>
          <w:lang w:val="en-US" w:eastAsia="zh-CN"/>
        </w:rPr>
        <w:t>67.88</w:t>
      </w:r>
      <w:r>
        <w:rPr>
          <w:szCs w:val="32"/>
        </w:rPr>
        <w:t>%；项目支出</w:t>
      </w:r>
      <w:r>
        <w:rPr>
          <w:rFonts w:hint="eastAsia"/>
          <w:szCs w:val="32"/>
        </w:rPr>
        <w:t>1225.63</w:t>
      </w:r>
      <w:r>
        <w:rPr>
          <w:szCs w:val="32"/>
        </w:rPr>
        <w:t>万元，占</w:t>
      </w:r>
      <w:r>
        <w:rPr>
          <w:rFonts w:hint="eastAsia"/>
          <w:szCs w:val="32"/>
          <w:lang w:val="en-US" w:eastAsia="zh-CN"/>
        </w:rPr>
        <w:t>32.12</w:t>
      </w:r>
      <w:r>
        <w:rPr>
          <w:szCs w:val="32"/>
        </w:rPr>
        <w:t>%。基本支出中，人员经费</w:t>
      </w:r>
      <w:r>
        <w:rPr>
          <w:rFonts w:hint="eastAsia"/>
          <w:szCs w:val="32"/>
        </w:rPr>
        <w:t>2180.29</w:t>
      </w:r>
      <w:r>
        <w:rPr>
          <w:szCs w:val="32"/>
        </w:rPr>
        <w:t>万元，占</w:t>
      </w:r>
      <w:r>
        <w:rPr>
          <w:rFonts w:hint="eastAsia"/>
          <w:szCs w:val="32"/>
          <w:lang w:val="en-US" w:eastAsia="zh-CN"/>
        </w:rPr>
        <w:t>84.17</w:t>
      </w:r>
      <w:r>
        <w:rPr>
          <w:szCs w:val="32"/>
        </w:rPr>
        <w:t>%；公用经费</w:t>
      </w:r>
      <w:r>
        <w:rPr>
          <w:rFonts w:hint="eastAsia"/>
          <w:szCs w:val="32"/>
        </w:rPr>
        <w:t>410.2</w:t>
      </w:r>
      <w:r>
        <w:rPr>
          <w:rFonts w:hint="eastAsia"/>
          <w:szCs w:val="32"/>
          <w:lang w:val="en-US" w:eastAsia="zh-CN"/>
        </w:rPr>
        <w:t>0</w:t>
      </w:r>
      <w:r>
        <w:rPr>
          <w:szCs w:val="32"/>
        </w:rPr>
        <w:t>万元，占</w:t>
      </w:r>
      <w:r>
        <w:rPr>
          <w:rFonts w:hint="eastAsia"/>
          <w:szCs w:val="32"/>
          <w:lang w:val="en-US" w:eastAsia="zh-CN"/>
        </w:rPr>
        <w:t>15.83</w:t>
      </w:r>
      <w:r>
        <w:rPr>
          <w:szCs w:val="32"/>
        </w:rPr>
        <w:t>%。</w:t>
      </w:r>
    </w:p>
    <w:p>
      <w:pPr>
        <w:spacing w:line="520" w:lineRule="exact"/>
        <w:ind w:firstLine="518" w:firstLineChars="162"/>
        <w:rPr>
          <w:szCs w:val="32"/>
        </w:rPr>
      </w:pPr>
      <w:r>
        <w:rPr>
          <w:szCs w:val="32"/>
        </w:rPr>
        <w:t>一般公共服务（类）支出</w:t>
      </w:r>
      <w:r>
        <w:rPr>
          <w:rFonts w:hint="eastAsia"/>
          <w:szCs w:val="32"/>
        </w:rPr>
        <w:t>2705.41</w:t>
      </w:r>
      <w:r>
        <w:rPr>
          <w:szCs w:val="32"/>
        </w:rPr>
        <w:t>万元，占</w:t>
      </w:r>
      <w:r>
        <w:rPr>
          <w:rFonts w:hint="eastAsia"/>
          <w:szCs w:val="32"/>
          <w:lang w:val="en-US" w:eastAsia="zh-CN"/>
        </w:rPr>
        <w:t>70.89</w:t>
      </w:r>
      <w:r>
        <w:rPr>
          <w:szCs w:val="32"/>
        </w:rPr>
        <w:t>%，主要用于</w:t>
      </w:r>
      <w:r>
        <w:rPr>
          <w:rFonts w:hint="eastAsia"/>
          <w:szCs w:val="32"/>
          <w:lang w:eastAsia="zh-CN"/>
        </w:rPr>
        <w:t>保障职工工资，维持机关正常运转，完成年度统计工作任务</w:t>
      </w:r>
      <w:r>
        <w:rPr>
          <w:szCs w:val="32"/>
        </w:rPr>
        <w:t>。</w:t>
      </w:r>
    </w:p>
    <w:p>
      <w:pPr>
        <w:spacing w:line="520" w:lineRule="exact"/>
        <w:ind w:firstLine="518" w:firstLineChars="162"/>
        <w:rPr>
          <w:szCs w:val="32"/>
        </w:rPr>
      </w:pPr>
      <w:r>
        <w:rPr>
          <w:szCs w:val="32"/>
        </w:rPr>
        <w:t>社会保障和就业（类）支出</w:t>
      </w:r>
      <w:r>
        <w:rPr>
          <w:rFonts w:hint="eastAsia"/>
          <w:szCs w:val="32"/>
        </w:rPr>
        <w:t>504.05</w:t>
      </w:r>
      <w:r>
        <w:rPr>
          <w:szCs w:val="32"/>
        </w:rPr>
        <w:t>万元，占</w:t>
      </w:r>
      <w:r>
        <w:rPr>
          <w:rFonts w:hint="eastAsia"/>
          <w:szCs w:val="32"/>
          <w:lang w:val="en-US" w:eastAsia="zh-CN"/>
        </w:rPr>
        <w:t>13.21</w:t>
      </w:r>
      <w:r>
        <w:rPr>
          <w:szCs w:val="32"/>
        </w:rPr>
        <w:t>%，主要用于</w:t>
      </w:r>
      <w:r>
        <w:rPr>
          <w:rFonts w:hint="eastAsia"/>
          <w:szCs w:val="32"/>
          <w:lang w:eastAsia="zh-CN"/>
        </w:rPr>
        <w:t>保障离退休职工工资及机关事业单位基本养老保险缴费支出</w:t>
      </w:r>
      <w:r>
        <w:rPr>
          <w:szCs w:val="32"/>
        </w:rPr>
        <w:t>。</w:t>
      </w:r>
    </w:p>
    <w:p>
      <w:pPr>
        <w:spacing w:line="520" w:lineRule="exact"/>
        <w:ind w:firstLine="518" w:firstLineChars="162"/>
        <w:rPr>
          <w:szCs w:val="32"/>
        </w:rPr>
      </w:pPr>
      <w:r>
        <w:rPr>
          <w:rFonts w:hint="eastAsia"/>
          <w:szCs w:val="32"/>
          <w:lang w:eastAsia="zh-CN"/>
        </w:rPr>
        <w:t>卫生健康</w:t>
      </w:r>
      <w:r>
        <w:rPr>
          <w:szCs w:val="32"/>
        </w:rPr>
        <w:t>（类）支出</w:t>
      </w:r>
      <w:r>
        <w:rPr>
          <w:rFonts w:hint="eastAsia"/>
          <w:szCs w:val="32"/>
        </w:rPr>
        <w:t>157.11</w:t>
      </w:r>
      <w:r>
        <w:rPr>
          <w:szCs w:val="32"/>
        </w:rPr>
        <w:t>万元，占</w:t>
      </w:r>
      <w:r>
        <w:rPr>
          <w:rFonts w:hint="eastAsia"/>
          <w:szCs w:val="32"/>
          <w:lang w:val="en-US" w:eastAsia="zh-CN"/>
        </w:rPr>
        <w:t>4.12</w:t>
      </w:r>
      <w:r>
        <w:rPr>
          <w:szCs w:val="32"/>
        </w:rPr>
        <w:t>%，主要用于</w:t>
      </w:r>
      <w:r>
        <w:rPr>
          <w:rFonts w:hint="eastAsia"/>
          <w:szCs w:val="32"/>
          <w:lang w:eastAsia="zh-CN"/>
        </w:rPr>
        <w:t>缴纳职工医疗保险</w:t>
      </w:r>
      <w:r>
        <w:rPr>
          <w:szCs w:val="32"/>
        </w:rPr>
        <w:t>。</w:t>
      </w:r>
    </w:p>
    <w:p>
      <w:pPr>
        <w:spacing w:line="520" w:lineRule="exact"/>
        <w:ind w:firstLine="518" w:firstLineChars="162"/>
        <w:rPr>
          <w:rFonts w:hint="default" w:eastAsia="仿宋_GB2312"/>
          <w:szCs w:val="32"/>
          <w:lang w:val="en-US" w:eastAsia="zh-CN"/>
        </w:rPr>
      </w:pPr>
      <w:r>
        <w:rPr>
          <w:rFonts w:hint="eastAsia"/>
          <w:szCs w:val="32"/>
        </w:rPr>
        <w:t>商业服务业等</w:t>
      </w:r>
      <w:r>
        <w:rPr>
          <w:szCs w:val="32"/>
        </w:rPr>
        <w:t>（类）</w:t>
      </w:r>
      <w:r>
        <w:rPr>
          <w:rFonts w:hint="eastAsia"/>
          <w:szCs w:val="32"/>
        </w:rPr>
        <w:t>支出270</w:t>
      </w:r>
      <w:r>
        <w:rPr>
          <w:rFonts w:hint="eastAsia"/>
          <w:szCs w:val="32"/>
          <w:lang w:val="en-US" w:eastAsia="zh-CN"/>
        </w:rPr>
        <w:t>.00</w:t>
      </w:r>
      <w:r>
        <w:rPr>
          <w:szCs w:val="32"/>
        </w:rPr>
        <w:t>万元，占</w:t>
      </w:r>
      <w:r>
        <w:rPr>
          <w:rFonts w:hint="eastAsia"/>
          <w:szCs w:val="32"/>
          <w:lang w:val="en-US" w:eastAsia="zh-CN"/>
        </w:rPr>
        <w:t>7.08</w:t>
      </w:r>
      <w:r>
        <w:rPr>
          <w:szCs w:val="32"/>
        </w:rPr>
        <w:t>%，主要用于</w:t>
      </w:r>
      <w:r>
        <w:rPr>
          <w:rFonts w:hint="eastAsia"/>
          <w:szCs w:val="32"/>
          <w:lang w:eastAsia="zh-CN"/>
        </w:rPr>
        <w:t>全省重大项目前期工作经费</w:t>
      </w:r>
      <w:r>
        <w:rPr>
          <w:szCs w:val="32"/>
        </w:rPr>
        <w:t>。</w:t>
      </w:r>
    </w:p>
    <w:p>
      <w:pPr>
        <w:spacing w:line="520" w:lineRule="exact"/>
        <w:ind w:firstLine="518" w:firstLineChars="162"/>
        <w:rPr>
          <w:szCs w:val="32"/>
        </w:rPr>
      </w:pPr>
      <w:r>
        <w:rPr>
          <w:szCs w:val="32"/>
        </w:rPr>
        <w:t>住房保障（类）支出</w:t>
      </w:r>
      <w:r>
        <w:rPr>
          <w:rFonts w:hint="eastAsia"/>
          <w:szCs w:val="32"/>
        </w:rPr>
        <w:t>179.55</w:t>
      </w:r>
      <w:r>
        <w:rPr>
          <w:szCs w:val="32"/>
        </w:rPr>
        <w:t>万元，占</w:t>
      </w:r>
      <w:r>
        <w:rPr>
          <w:rFonts w:hint="eastAsia"/>
          <w:szCs w:val="32"/>
          <w:lang w:val="en-US" w:eastAsia="zh-CN"/>
        </w:rPr>
        <w:t>4.7</w:t>
      </w:r>
      <w:r>
        <w:rPr>
          <w:szCs w:val="32"/>
        </w:rPr>
        <w:t>%，主要用于</w:t>
      </w:r>
      <w:r>
        <w:rPr>
          <w:rFonts w:hint="eastAsia"/>
          <w:szCs w:val="32"/>
          <w:lang w:eastAsia="zh-CN"/>
        </w:rPr>
        <w:t>缴纳职工住房公积金</w:t>
      </w:r>
      <w:r>
        <w:rPr>
          <w:szCs w:val="32"/>
        </w:rPr>
        <w:t>。</w:t>
      </w:r>
    </w:p>
    <w:p>
      <w:pPr>
        <w:spacing w:line="520" w:lineRule="exact"/>
        <w:ind w:firstLine="518" w:firstLineChars="162"/>
        <w:rPr>
          <w:rFonts w:eastAsia="黑体"/>
          <w:szCs w:val="32"/>
        </w:rPr>
      </w:pPr>
      <w:r>
        <w:rPr>
          <w:rFonts w:eastAsia="黑体"/>
          <w:szCs w:val="32"/>
        </w:rPr>
        <w:t>六、20</w:t>
      </w:r>
      <w:r>
        <w:rPr>
          <w:rFonts w:hint="eastAsia" w:eastAsia="黑体"/>
          <w:szCs w:val="32"/>
        </w:rPr>
        <w:t>2</w:t>
      </w:r>
      <w:r>
        <w:rPr>
          <w:rFonts w:hint="eastAsia"/>
          <w:szCs w:val="32"/>
          <w:lang w:val="en-US" w:eastAsia="zh-CN"/>
        </w:rPr>
        <w:t>4</w:t>
      </w:r>
      <w:r>
        <w:rPr>
          <w:rFonts w:eastAsia="黑体"/>
          <w:szCs w:val="32"/>
        </w:rPr>
        <w:t>年一般公共预算基本支出情况</w:t>
      </w:r>
    </w:p>
    <w:p>
      <w:pPr>
        <w:ind w:firstLine="640"/>
        <w:rPr>
          <w:szCs w:val="32"/>
        </w:rPr>
      </w:pPr>
      <w:r>
        <w:rPr>
          <w:szCs w:val="32"/>
        </w:rPr>
        <w:t>20</w:t>
      </w:r>
      <w:r>
        <w:rPr>
          <w:rFonts w:hint="eastAsia"/>
          <w:szCs w:val="32"/>
        </w:rPr>
        <w:t>2</w:t>
      </w:r>
      <w:r>
        <w:rPr>
          <w:rFonts w:hint="eastAsia"/>
          <w:szCs w:val="32"/>
          <w:lang w:val="en-US" w:eastAsia="zh-CN"/>
        </w:rPr>
        <w:t>4</w:t>
      </w:r>
      <w:r>
        <w:rPr>
          <w:szCs w:val="32"/>
        </w:rPr>
        <w:t>年一般公共预算基本支出</w:t>
      </w:r>
      <w:r>
        <w:rPr>
          <w:rFonts w:hint="eastAsia"/>
          <w:szCs w:val="32"/>
        </w:rPr>
        <w:t>2590.5</w:t>
      </w:r>
      <w:r>
        <w:rPr>
          <w:rFonts w:hint="eastAsia"/>
          <w:szCs w:val="32"/>
          <w:lang w:val="en-US" w:eastAsia="zh-CN"/>
        </w:rPr>
        <w:t>0</w:t>
      </w:r>
      <w:r>
        <w:rPr>
          <w:szCs w:val="32"/>
        </w:rPr>
        <w:t>万元，其中：</w:t>
      </w:r>
    </w:p>
    <w:p>
      <w:pPr>
        <w:ind w:firstLine="640" w:firstLineChars="200"/>
        <w:rPr>
          <w:kern w:val="0"/>
          <w:szCs w:val="32"/>
        </w:rPr>
      </w:pPr>
      <w:r>
        <w:rPr>
          <w:szCs w:val="32"/>
        </w:rPr>
        <w:t>人员经费</w:t>
      </w:r>
      <w:r>
        <w:rPr>
          <w:rFonts w:hint="eastAsia"/>
          <w:szCs w:val="32"/>
        </w:rPr>
        <w:t>2180.29</w:t>
      </w:r>
      <w:r>
        <w:rPr>
          <w:szCs w:val="32"/>
        </w:rPr>
        <w:t>万元，主要包括：</w:t>
      </w:r>
      <w:r>
        <w:rPr>
          <w:kern w:val="0"/>
          <w:szCs w:val="32"/>
        </w:rPr>
        <w:t>基本工资、津贴补贴</w:t>
      </w:r>
      <w:r>
        <w:rPr>
          <w:szCs w:val="32"/>
        </w:rPr>
        <w:t>、</w:t>
      </w:r>
      <w:r>
        <w:rPr>
          <w:kern w:val="0"/>
          <w:szCs w:val="32"/>
        </w:rPr>
        <w:t>奖金</w:t>
      </w:r>
      <w:r>
        <w:rPr>
          <w:szCs w:val="32"/>
        </w:rPr>
        <w:t>、</w:t>
      </w:r>
      <w:r>
        <w:rPr>
          <w:kern w:val="0"/>
          <w:szCs w:val="32"/>
        </w:rPr>
        <w:t>社会保障缴费</w:t>
      </w:r>
      <w:r>
        <w:rPr>
          <w:szCs w:val="32"/>
        </w:rPr>
        <w:t>、</w:t>
      </w:r>
      <w:r>
        <w:rPr>
          <w:kern w:val="0"/>
          <w:szCs w:val="32"/>
        </w:rPr>
        <w:t>其他工资福利支出</w:t>
      </w:r>
      <w:r>
        <w:rPr>
          <w:szCs w:val="32"/>
        </w:rPr>
        <w:t>、</w:t>
      </w:r>
      <w:r>
        <w:rPr>
          <w:kern w:val="0"/>
          <w:szCs w:val="32"/>
        </w:rPr>
        <w:t>离休费</w:t>
      </w:r>
      <w:r>
        <w:rPr>
          <w:szCs w:val="32"/>
        </w:rPr>
        <w:t>、</w:t>
      </w:r>
      <w:r>
        <w:rPr>
          <w:kern w:val="0"/>
          <w:szCs w:val="32"/>
        </w:rPr>
        <w:t>退休费</w:t>
      </w:r>
      <w:r>
        <w:rPr>
          <w:szCs w:val="32"/>
        </w:rPr>
        <w:t>、</w:t>
      </w:r>
      <w:r>
        <w:rPr>
          <w:kern w:val="0"/>
          <w:szCs w:val="32"/>
        </w:rPr>
        <w:t>抚恤金</w:t>
      </w:r>
      <w:r>
        <w:rPr>
          <w:szCs w:val="32"/>
        </w:rPr>
        <w:t>、</w:t>
      </w:r>
      <w:r>
        <w:rPr>
          <w:kern w:val="0"/>
          <w:szCs w:val="32"/>
        </w:rPr>
        <w:t>生活补助</w:t>
      </w:r>
      <w:r>
        <w:rPr>
          <w:szCs w:val="32"/>
        </w:rPr>
        <w:t>、</w:t>
      </w:r>
      <w:r>
        <w:rPr>
          <w:kern w:val="0"/>
          <w:szCs w:val="32"/>
        </w:rPr>
        <w:t>助学金</w:t>
      </w:r>
      <w:r>
        <w:rPr>
          <w:szCs w:val="32"/>
        </w:rPr>
        <w:t>、</w:t>
      </w:r>
      <w:r>
        <w:rPr>
          <w:kern w:val="0"/>
          <w:szCs w:val="32"/>
        </w:rPr>
        <w:t>住房公积金</w:t>
      </w:r>
      <w:r>
        <w:rPr>
          <w:szCs w:val="32"/>
        </w:rPr>
        <w:t>、</w:t>
      </w:r>
      <w:r>
        <w:rPr>
          <w:kern w:val="0"/>
          <w:szCs w:val="32"/>
        </w:rPr>
        <w:t>采暖补贴</w:t>
      </w:r>
      <w:r>
        <w:rPr>
          <w:szCs w:val="32"/>
        </w:rPr>
        <w:t>、</w:t>
      </w:r>
      <w:r>
        <w:rPr>
          <w:kern w:val="0"/>
          <w:szCs w:val="32"/>
        </w:rPr>
        <w:t>其他对个人和家庭的补助支出。</w:t>
      </w:r>
    </w:p>
    <w:p>
      <w:pPr>
        <w:ind w:firstLine="640" w:firstLineChars="200"/>
        <w:rPr>
          <w:szCs w:val="32"/>
        </w:rPr>
      </w:pPr>
      <w:r>
        <w:rPr>
          <w:kern w:val="0"/>
          <w:szCs w:val="32"/>
        </w:rPr>
        <w:t>公用经费</w:t>
      </w:r>
      <w:r>
        <w:rPr>
          <w:rFonts w:hint="eastAsia"/>
          <w:szCs w:val="32"/>
        </w:rPr>
        <w:t>410.21</w:t>
      </w:r>
      <w:r>
        <w:rPr>
          <w:szCs w:val="32"/>
        </w:rPr>
        <w:t>万元，主要包括：</w:t>
      </w:r>
      <w:r>
        <w:rPr>
          <w:kern w:val="0"/>
          <w:szCs w:val="32"/>
        </w:rPr>
        <w:t>办公费</w:t>
      </w:r>
      <w:r>
        <w:rPr>
          <w:szCs w:val="32"/>
        </w:rPr>
        <w:t>、</w:t>
      </w:r>
      <w:r>
        <w:rPr>
          <w:kern w:val="0"/>
          <w:szCs w:val="32"/>
        </w:rPr>
        <w:t>印刷费</w:t>
      </w:r>
      <w:r>
        <w:rPr>
          <w:szCs w:val="32"/>
        </w:rPr>
        <w:t>、</w:t>
      </w:r>
      <w:r>
        <w:rPr>
          <w:kern w:val="0"/>
          <w:szCs w:val="32"/>
        </w:rPr>
        <w:t>水费</w:t>
      </w:r>
      <w:r>
        <w:rPr>
          <w:szCs w:val="32"/>
        </w:rPr>
        <w:t>、</w:t>
      </w:r>
      <w:r>
        <w:rPr>
          <w:kern w:val="0"/>
          <w:szCs w:val="32"/>
        </w:rPr>
        <w:t>电费</w:t>
      </w:r>
      <w:r>
        <w:rPr>
          <w:szCs w:val="32"/>
        </w:rPr>
        <w:t>、</w:t>
      </w:r>
      <w:r>
        <w:rPr>
          <w:kern w:val="0"/>
          <w:szCs w:val="32"/>
        </w:rPr>
        <w:t>邮电费</w:t>
      </w:r>
      <w:r>
        <w:rPr>
          <w:szCs w:val="32"/>
        </w:rPr>
        <w:t>、</w:t>
      </w:r>
      <w:r>
        <w:rPr>
          <w:kern w:val="0"/>
          <w:szCs w:val="32"/>
        </w:rPr>
        <w:t>取暖费</w:t>
      </w:r>
      <w:r>
        <w:rPr>
          <w:szCs w:val="32"/>
        </w:rPr>
        <w:t>、</w:t>
      </w:r>
      <w:r>
        <w:rPr>
          <w:kern w:val="0"/>
          <w:szCs w:val="32"/>
        </w:rPr>
        <w:t>物业管理费</w:t>
      </w:r>
      <w:r>
        <w:rPr>
          <w:szCs w:val="32"/>
        </w:rPr>
        <w:t>、</w:t>
      </w:r>
      <w:r>
        <w:rPr>
          <w:kern w:val="0"/>
          <w:szCs w:val="32"/>
        </w:rPr>
        <w:t>差旅费</w:t>
      </w:r>
      <w:r>
        <w:rPr>
          <w:szCs w:val="32"/>
        </w:rPr>
        <w:t>、</w:t>
      </w:r>
      <w:r>
        <w:rPr>
          <w:kern w:val="0"/>
          <w:szCs w:val="32"/>
        </w:rPr>
        <w:t>维修（护）费</w:t>
      </w:r>
      <w:r>
        <w:rPr>
          <w:szCs w:val="32"/>
        </w:rPr>
        <w:t>、</w:t>
      </w:r>
      <w:r>
        <w:rPr>
          <w:kern w:val="0"/>
          <w:szCs w:val="32"/>
        </w:rPr>
        <w:t>会议费</w:t>
      </w:r>
      <w:r>
        <w:rPr>
          <w:szCs w:val="32"/>
        </w:rPr>
        <w:t>、</w:t>
      </w:r>
      <w:r>
        <w:rPr>
          <w:kern w:val="0"/>
          <w:szCs w:val="32"/>
        </w:rPr>
        <w:t>培训费</w:t>
      </w:r>
      <w:r>
        <w:rPr>
          <w:szCs w:val="32"/>
        </w:rPr>
        <w:t>、</w:t>
      </w:r>
      <w:r>
        <w:rPr>
          <w:kern w:val="0"/>
          <w:szCs w:val="32"/>
        </w:rPr>
        <w:t>公务接待费</w:t>
      </w:r>
      <w:r>
        <w:rPr>
          <w:szCs w:val="32"/>
        </w:rPr>
        <w:t>、</w:t>
      </w:r>
      <w:r>
        <w:rPr>
          <w:kern w:val="0"/>
          <w:szCs w:val="32"/>
        </w:rPr>
        <w:t>工会经费、福利费</w:t>
      </w:r>
      <w:r>
        <w:rPr>
          <w:szCs w:val="32"/>
        </w:rPr>
        <w:t>、公</w:t>
      </w:r>
      <w:r>
        <w:rPr>
          <w:kern w:val="0"/>
          <w:szCs w:val="32"/>
        </w:rPr>
        <w:t>务用车运行维护费</w:t>
      </w:r>
      <w:r>
        <w:rPr>
          <w:szCs w:val="32"/>
        </w:rPr>
        <w:t>、</w:t>
      </w:r>
      <w:r>
        <w:rPr>
          <w:kern w:val="0"/>
          <w:szCs w:val="32"/>
        </w:rPr>
        <w:t>其他交通补助</w:t>
      </w:r>
      <w:r>
        <w:rPr>
          <w:szCs w:val="32"/>
        </w:rPr>
        <w:t>、</w:t>
      </w:r>
      <w:r>
        <w:rPr>
          <w:kern w:val="0"/>
          <w:szCs w:val="32"/>
        </w:rPr>
        <w:t>其他商品和服务支出</w:t>
      </w:r>
      <w:r>
        <w:rPr>
          <w:rFonts w:hint="eastAsia"/>
          <w:kern w:val="0"/>
          <w:szCs w:val="32"/>
          <w:lang w:eastAsia="zh-CN"/>
        </w:rPr>
        <w:t>、办公设备购置</w:t>
      </w:r>
      <w:r>
        <w:rPr>
          <w:kern w:val="0"/>
          <w:szCs w:val="32"/>
        </w:rPr>
        <w:t>。</w:t>
      </w:r>
    </w:p>
    <w:p>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财政拨款</w:t>
      </w:r>
      <w:r>
        <w:rPr>
          <w:rFonts w:eastAsia="黑体"/>
          <w:szCs w:val="30"/>
        </w:rPr>
        <w:t>“三公”经费情况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年“三公”经费预算数为</w:t>
      </w:r>
      <w:r>
        <w:rPr>
          <w:rFonts w:hint="eastAsia"/>
          <w:szCs w:val="32"/>
        </w:rPr>
        <w:t>18.02</w:t>
      </w:r>
      <w:r>
        <w:rPr>
          <w:szCs w:val="32"/>
        </w:rPr>
        <w:t>万元</w:t>
      </w:r>
      <w:r>
        <w:rPr>
          <w:rFonts w:hint="eastAsia"/>
          <w:szCs w:val="32"/>
          <w:lang w:eastAsia="zh-CN"/>
        </w:rPr>
        <w:t>。</w:t>
      </w:r>
      <w:r>
        <w:rPr>
          <w:rFonts w:hint="eastAsia"/>
          <w:szCs w:val="32"/>
          <w:lang w:val="en-US" w:eastAsia="zh-CN"/>
        </w:rPr>
        <w:t>2024年本年预算数</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预算数减</w:t>
      </w:r>
      <w:r>
        <w:rPr>
          <w:rFonts w:hint="eastAsia"/>
          <w:szCs w:val="32"/>
          <w:lang w:eastAsia="zh-CN"/>
        </w:rPr>
        <w:t>少</w:t>
      </w:r>
      <w:r>
        <w:rPr>
          <w:rFonts w:hint="eastAsia"/>
          <w:szCs w:val="32"/>
          <w:lang w:val="en-US" w:eastAsia="zh-CN"/>
        </w:rPr>
        <w:t>0.21</w:t>
      </w:r>
      <w:r>
        <w:rPr>
          <w:szCs w:val="32"/>
        </w:rPr>
        <w:t>万元。其中：</w:t>
      </w:r>
    </w:p>
    <w:p>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w:t>
      </w:r>
      <w:r>
        <w:rPr>
          <w:rFonts w:hint="eastAsia"/>
          <w:szCs w:val="32"/>
          <w:lang w:eastAsia="zh-CN"/>
        </w:rPr>
        <w:t>与</w:t>
      </w:r>
      <w:r>
        <w:rPr>
          <w:rFonts w:hint="eastAsia"/>
          <w:szCs w:val="32"/>
          <w:lang w:val="en-US" w:eastAsia="zh-CN"/>
        </w:rPr>
        <w:t>2023年当年预算数持平</w:t>
      </w:r>
      <w:r>
        <w:rPr>
          <w:rFonts w:hint="eastAsia"/>
          <w:szCs w:val="32"/>
          <w:lang w:eastAsia="zh-CN"/>
        </w:rPr>
        <w:t>。</w:t>
      </w:r>
    </w:p>
    <w:p>
      <w:pPr>
        <w:ind w:firstLine="640" w:firstLineChars="200"/>
        <w:rPr>
          <w:rFonts w:hint="eastAsia" w:eastAsia="仿宋_GB2312"/>
          <w:color w:val="auto"/>
          <w:szCs w:val="32"/>
          <w:lang w:eastAsia="zh-CN"/>
        </w:rPr>
      </w:pPr>
      <w:r>
        <w:rPr>
          <w:szCs w:val="32"/>
        </w:rPr>
        <w:t>2.公务接待费</w:t>
      </w:r>
      <w:r>
        <w:rPr>
          <w:rFonts w:hint="eastAsia"/>
          <w:szCs w:val="32"/>
        </w:rPr>
        <w:t>2.72</w:t>
      </w:r>
      <w:r>
        <w:rPr>
          <w:szCs w:val="32"/>
        </w:rPr>
        <w:t>万元</w:t>
      </w:r>
      <w:r>
        <w:rPr>
          <w:rFonts w:hint="eastAsia"/>
          <w:szCs w:val="32"/>
          <w:lang w:eastAsia="zh-CN"/>
        </w:rPr>
        <w:t>，</w:t>
      </w:r>
      <w:r>
        <w:rPr>
          <w:rFonts w:hint="eastAsia"/>
          <w:szCs w:val="32"/>
          <w:lang w:val="en-US" w:eastAsia="zh-CN"/>
        </w:rPr>
        <w:t>2024年本年预算数</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预算数增减少</w:t>
      </w:r>
      <w:r>
        <w:rPr>
          <w:rFonts w:hint="eastAsia"/>
          <w:szCs w:val="32"/>
          <w:lang w:val="en-US" w:eastAsia="zh-CN"/>
        </w:rPr>
        <w:t>0.21</w:t>
      </w:r>
      <w:r>
        <w:rPr>
          <w:szCs w:val="32"/>
        </w:rPr>
        <w:t>万元，主要原因是</w:t>
      </w:r>
      <w:r>
        <w:rPr>
          <w:rFonts w:hint="eastAsia"/>
          <w:color w:val="auto"/>
          <w:szCs w:val="32"/>
          <w:lang w:eastAsia="zh-CN"/>
        </w:rPr>
        <w:t>在职人员数比上年减少</w:t>
      </w:r>
      <w:r>
        <w:rPr>
          <w:rFonts w:hint="eastAsia"/>
          <w:color w:val="auto"/>
          <w:szCs w:val="32"/>
          <w:lang w:val="en-US" w:eastAsia="zh-CN"/>
        </w:rPr>
        <w:t>7人</w:t>
      </w:r>
      <w:r>
        <w:rPr>
          <w:rFonts w:hint="eastAsia"/>
          <w:color w:val="auto"/>
          <w:szCs w:val="32"/>
          <w:lang w:eastAsia="zh-CN"/>
        </w:rPr>
        <w:t>。</w:t>
      </w:r>
    </w:p>
    <w:p>
      <w:pPr>
        <w:ind w:firstLine="640" w:firstLineChars="200"/>
        <w:jc w:val="both"/>
        <w:rPr>
          <w:rFonts w:eastAsia="楷体"/>
          <w:szCs w:val="32"/>
        </w:rPr>
      </w:pPr>
      <w:r>
        <w:rPr>
          <w:szCs w:val="32"/>
        </w:rPr>
        <w:t>3.公务用车购置及运行费</w:t>
      </w:r>
      <w:r>
        <w:rPr>
          <w:rFonts w:hint="eastAsia"/>
          <w:szCs w:val="32"/>
        </w:rPr>
        <w:t>15.3</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w:t>
      </w:r>
      <w:r>
        <w:rPr>
          <w:rFonts w:hint="eastAsia"/>
          <w:szCs w:val="32"/>
          <w:lang w:eastAsia="zh-CN"/>
        </w:rPr>
        <w:t>与</w:t>
      </w:r>
      <w:r>
        <w:rPr>
          <w:rFonts w:hint="eastAsia"/>
          <w:szCs w:val="32"/>
          <w:lang w:val="en-US" w:eastAsia="zh-CN"/>
        </w:rPr>
        <w:t>2023年当年预算数持平</w:t>
      </w:r>
      <w:r>
        <w:rPr>
          <w:szCs w:val="32"/>
        </w:rPr>
        <w:t>。公务用车运行维护费</w:t>
      </w:r>
      <w:r>
        <w:rPr>
          <w:rFonts w:hint="eastAsia"/>
          <w:szCs w:val="32"/>
        </w:rPr>
        <w:t>15.3</w:t>
      </w:r>
      <w:r>
        <w:rPr>
          <w:rFonts w:hint="eastAsia"/>
          <w:szCs w:val="32"/>
          <w:lang w:val="en-US" w:eastAsia="zh-CN"/>
        </w:rPr>
        <w:t>0</w:t>
      </w:r>
      <w:r>
        <w:rPr>
          <w:szCs w:val="32"/>
        </w:rPr>
        <w:t>万元</w:t>
      </w:r>
      <w:r>
        <w:rPr>
          <w:rFonts w:hint="eastAsia"/>
          <w:szCs w:val="32"/>
          <w:lang w:val="en-US" w:eastAsia="zh-CN"/>
        </w:rPr>
        <w:t>，2024年本年预算数</w:t>
      </w:r>
      <w:r>
        <w:rPr>
          <w:rFonts w:hint="eastAsia"/>
          <w:szCs w:val="32"/>
          <w:lang w:eastAsia="zh-CN"/>
        </w:rPr>
        <w:t>与</w:t>
      </w:r>
      <w:r>
        <w:rPr>
          <w:rFonts w:hint="eastAsia"/>
          <w:szCs w:val="32"/>
          <w:lang w:val="en-US" w:eastAsia="zh-CN"/>
        </w:rPr>
        <w:t>2023年当年预算数持平</w:t>
      </w:r>
      <w:r>
        <w:rPr>
          <w:szCs w:val="32"/>
        </w:rPr>
        <w:t>；公务用车购置费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w:t>
      </w:r>
      <w:r>
        <w:rPr>
          <w:rFonts w:hint="eastAsia"/>
          <w:szCs w:val="32"/>
          <w:lang w:eastAsia="zh-CN"/>
        </w:rPr>
        <w:t>与</w:t>
      </w:r>
      <w:r>
        <w:rPr>
          <w:rFonts w:hint="eastAsia"/>
          <w:szCs w:val="32"/>
          <w:lang w:val="en-US" w:eastAsia="zh-CN"/>
        </w:rPr>
        <w:t>2023年当年预算数持平</w:t>
      </w:r>
      <w:r>
        <w:rPr>
          <w:szCs w:val="32"/>
        </w:rPr>
        <w:t>。</w:t>
      </w:r>
      <w:r>
        <w:rPr>
          <w:rFonts w:hint="eastAsia"/>
          <w:szCs w:val="32"/>
          <w:lang w:val="en-US" w:eastAsia="zh-CN"/>
        </w:rPr>
        <w:t xml:space="preserve">         </w:t>
      </w:r>
    </w:p>
    <w:p>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4</w:t>
      </w:r>
      <w:r>
        <w:rPr>
          <w:rFonts w:eastAsia="黑体"/>
          <w:szCs w:val="32"/>
        </w:rPr>
        <w:t>年政府性基金预算支出情况</w:t>
      </w:r>
    </w:p>
    <w:p>
      <w:pPr>
        <w:ind w:firstLine="640" w:firstLineChars="200"/>
        <w:jc w:val="both"/>
        <w:rPr>
          <w:rFonts w:hint="eastAsia"/>
          <w:szCs w:val="32"/>
          <w:lang w:val="en-US" w:eastAsia="zh-CN"/>
        </w:rPr>
      </w:pPr>
      <w:r>
        <w:rPr>
          <w:rFonts w:hint="eastAsia"/>
          <w:szCs w:val="32"/>
          <w:lang w:val="en-US" w:eastAsia="zh-CN"/>
        </w:rPr>
        <w:t>本单位无政府性基金预算拨款。</w:t>
      </w:r>
    </w:p>
    <w:p>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4</w:t>
      </w:r>
      <w:r>
        <w:rPr>
          <w:rFonts w:eastAsia="黑体"/>
          <w:szCs w:val="32"/>
        </w:rPr>
        <w:t>年</w:t>
      </w:r>
      <w:r>
        <w:rPr>
          <w:rFonts w:hint="eastAsia" w:eastAsia="黑体"/>
          <w:szCs w:val="32"/>
        </w:rPr>
        <w:t>国有资本经营</w:t>
      </w:r>
      <w:r>
        <w:rPr>
          <w:rFonts w:eastAsia="黑体"/>
          <w:szCs w:val="32"/>
        </w:rPr>
        <w:t>预算支出情况</w:t>
      </w:r>
    </w:p>
    <w:p>
      <w:pPr>
        <w:ind w:firstLine="640" w:firstLineChars="200"/>
        <w:jc w:val="both"/>
        <w:rPr>
          <w:rFonts w:hint="eastAsia"/>
          <w:szCs w:val="32"/>
          <w:lang w:val="en-US" w:eastAsia="zh-CN"/>
        </w:rPr>
      </w:pPr>
      <w:r>
        <w:rPr>
          <w:rFonts w:hint="eastAsia"/>
          <w:szCs w:val="32"/>
          <w:lang w:val="en-US" w:eastAsia="zh-CN"/>
        </w:rPr>
        <w:t>本单位无国有资本经营预算拨款。</w:t>
      </w:r>
    </w:p>
    <w:p>
      <w:pPr>
        <w:ind w:firstLine="640"/>
        <w:rPr>
          <w:rFonts w:eastAsia="黑体"/>
          <w:szCs w:val="32"/>
        </w:rPr>
      </w:pPr>
      <w:r>
        <w:rPr>
          <w:rFonts w:hint="eastAsia" w:eastAsia="黑体"/>
          <w:szCs w:val="32"/>
        </w:rPr>
        <w:t>十</w:t>
      </w:r>
      <w:r>
        <w:rPr>
          <w:rFonts w:eastAsia="黑体"/>
          <w:szCs w:val="32"/>
        </w:rPr>
        <w:t>、其他重要事项的说明情况</w:t>
      </w:r>
    </w:p>
    <w:p>
      <w:pPr>
        <w:spacing w:line="540" w:lineRule="exact"/>
        <w:ind w:firstLine="640" w:firstLineChars="200"/>
        <w:rPr>
          <w:rFonts w:eastAsia="楷体"/>
          <w:szCs w:val="32"/>
        </w:rPr>
      </w:pPr>
      <w:r>
        <w:rPr>
          <w:rFonts w:eastAsia="楷体"/>
          <w:szCs w:val="32"/>
        </w:rPr>
        <w:t>（一）机关运行经费</w:t>
      </w:r>
    </w:p>
    <w:p>
      <w:pPr>
        <w:spacing w:line="54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w:t>
      </w:r>
      <w:r>
        <w:rPr>
          <w:rFonts w:hint="eastAsia"/>
          <w:szCs w:val="32"/>
          <w:lang w:eastAsia="zh-CN"/>
        </w:rPr>
        <w:t>本</w:t>
      </w:r>
      <w:r>
        <w:rPr>
          <w:szCs w:val="32"/>
        </w:rPr>
        <w:t>单位机关运行经费财政拨款预算</w:t>
      </w:r>
      <w:r>
        <w:rPr>
          <w:rFonts w:hint="eastAsia"/>
          <w:szCs w:val="32"/>
        </w:rPr>
        <w:t>410.2</w:t>
      </w:r>
      <w:r>
        <w:rPr>
          <w:rFonts w:hint="eastAsia"/>
          <w:szCs w:val="32"/>
          <w:lang w:val="en-US" w:eastAsia="zh-CN"/>
        </w:rPr>
        <w:t>0</w:t>
      </w:r>
      <w:r>
        <w:rPr>
          <w:szCs w:val="32"/>
        </w:rPr>
        <w:t>万元，比20</w:t>
      </w:r>
      <w:r>
        <w:rPr>
          <w:rFonts w:hint="eastAsia"/>
          <w:szCs w:val="32"/>
        </w:rPr>
        <w:t>2</w:t>
      </w:r>
      <w:r>
        <w:rPr>
          <w:rFonts w:hint="eastAsia"/>
          <w:szCs w:val="32"/>
          <w:lang w:val="en-US" w:eastAsia="zh-CN"/>
        </w:rPr>
        <w:t>3</w:t>
      </w:r>
      <w:r>
        <w:rPr>
          <w:szCs w:val="32"/>
        </w:rPr>
        <w:t>年预算减少</w:t>
      </w:r>
      <w:r>
        <w:rPr>
          <w:rFonts w:hint="eastAsia"/>
          <w:szCs w:val="32"/>
          <w:lang w:val="en-US" w:eastAsia="zh-CN"/>
        </w:rPr>
        <w:t>65.11</w:t>
      </w:r>
      <w:r>
        <w:rPr>
          <w:szCs w:val="32"/>
        </w:rPr>
        <w:t>万元，下降</w:t>
      </w:r>
      <w:r>
        <w:rPr>
          <w:rFonts w:hint="eastAsia"/>
          <w:szCs w:val="32"/>
          <w:lang w:val="en-US" w:eastAsia="zh-CN"/>
        </w:rPr>
        <w:t>13.7</w:t>
      </w:r>
      <w:r>
        <w:rPr>
          <w:szCs w:val="32"/>
        </w:rPr>
        <w:t>%</w:t>
      </w:r>
      <w:r>
        <w:rPr>
          <w:rFonts w:hint="eastAsia"/>
          <w:szCs w:val="32"/>
        </w:rPr>
        <w:t>，主要原因</w:t>
      </w:r>
      <w:r>
        <w:rPr>
          <w:rFonts w:hint="eastAsia"/>
          <w:szCs w:val="32"/>
          <w:lang w:eastAsia="zh-CN"/>
        </w:rPr>
        <w:t>一</w:t>
      </w:r>
      <w:r>
        <w:rPr>
          <w:rFonts w:hint="eastAsia"/>
          <w:szCs w:val="32"/>
        </w:rPr>
        <w:t>是</w:t>
      </w:r>
      <w:r>
        <w:rPr>
          <w:rFonts w:hint="eastAsia"/>
          <w:szCs w:val="32"/>
          <w:lang w:eastAsia="zh-CN"/>
        </w:rPr>
        <w:t>压减了当年机关运行经费预算；二是</w:t>
      </w:r>
      <w:r>
        <w:rPr>
          <w:rFonts w:hint="eastAsia"/>
          <w:color w:val="auto"/>
          <w:szCs w:val="32"/>
          <w:lang w:eastAsia="zh-CN"/>
        </w:rPr>
        <w:t>在职人员数比上年减少</w:t>
      </w:r>
      <w:r>
        <w:rPr>
          <w:rFonts w:hint="eastAsia"/>
          <w:color w:val="auto"/>
          <w:szCs w:val="32"/>
          <w:lang w:val="en-US" w:eastAsia="zh-CN"/>
        </w:rPr>
        <w:t>7人</w:t>
      </w:r>
      <w:r>
        <w:rPr>
          <w:szCs w:val="32"/>
        </w:rPr>
        <w:t>。</w:t>
      </w:r>
    </w:p>
    <w:p>
      <w:pPr>
        <w:spacing w:line="540" w:lineRule="exact"/>
        <w:ind w:firstLine="640" w:firstLineChars="200"/>
        <w:rPr>
          <w:rFonts w:eastAsia="楷体"/>
          <w:szCs w:val="32"/>
        </w:rPr>
      </w:pPr>
      <w:r>
        <w:rPr>
          <w:rFonts w:eastAsia="楷体"/>
          <w:szCs w:val="32"/>
        </w:rPr>
        <w:t>（二）政府采购情况</w:t>
      </w:r>
    </w:p>
    <w:p>
      <w:pPr>
        <w:spacing w:line="54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年政府采购预算总额</w:t>
      </w:r>
      <w:r>
        <w:rPr>
          <w:rFonts w:hint="eastAsia"/>
          <w:szCs w:val="32"/>
        </w:rPr>
        <w:t>522.17</w:t>
      </w:r>
      <w:r>
        <w:rPr>
          <w:szCs w:val="32"/>
        </w:rPr>
        <w:t>万元，其中：政府采购货物预算</w:t>
      </w:r>
      <w:r>
        <w:rPr>
          <w:rFonts w:hint="eastAsia"/>
          <w:szCs w:val="32"/>
          <w:lang w:val="en-US" w:eastAsia="zh-CN"/>
        </w:rPr>
        <w:t>0.67</w:t>
      </w:r>
      <w:r>
        <w:rPr>
          <w:szCs w:val="32"/>
        </w:rPr>
        <w:t>万元、</w:t>
      </w:r>
      <w:r>
        <w:rPr>
          <w:rFonts w:hint="eastAsia"/>
          <w:szCs w:val="32"/>
          <w:lang w:eastAsia="zh-CN"/>
        </w:rPr>
        <w:t>政府采购工程预算</w:t>
      </w:r>
      <w:r>
        <w:rPr>
          <w:rFonts w:hint="eastAsia"/>
          <w:szCs w:val="32"/>
          <w:lang w:val="en-US" w:eastAsia="zh-CN"/>
        </w:rPr>
        <w:t>0.00万元、</w:t>
      </w:r>
      <w:r>
        <w:rPr>
          <w:szCs w:val="32"/>
        </w:rPr>
        <w:t>政府采购服务预算</w:t>
      </w:r>
      <w:r>
        <w:rPr>
          <w:rFonts w:hint="eastAsia"/>
          <w:szCs w:val="32"/>
          <w:lang w:val="en-US" w:eastAsia="zh-CN"/>
        </w:rPr>
        <w:t>521.50</w:t>
      </w:r>
      <w:r>
        <w:rPr>
          <w:szCs w:val="32"/>
        </w:rPr>
        <w:t>万元。</w:t>
      </w:r>
    </w:p>
    <w:p>
      <w:pPr>
        <w:spacing w:line="540" w:lineRule="exact"/>
        <w:ind w:firstLine="640" w:firstLineChars="200"/>
        <w:rPr>
          <w:rFonts w:eastAsia="楷体"/>
          <w:szCs w:val="32"/>
        </w:rPr>
      </w:pPr>
      <w:r>
        <w:rPr>
          <w:rFonts w:eastAsia="楷体"/>
          <w:szCs w:val="32"/>
        </w:rPr>
        <w:t>（三）国有资产占有使用情况</w:t>
      </w:r>
    </w:p>
    <w:p>
      <w:pPr>
        <w:spacing w:line="540" w:lineRule="exact"/>
        <w:ind w:firstLine="640" w:firstLineChars="200"/>
        <w:rPr>
          <w:rFonts w:hint="eastAsia"/>
          <w:szCs w:val="32"/>
        </w:rPr>
      </w:pPr>
      <w:r>
        <w:rPr>
          <w:rFonts w:hint="eastAsia"/>
          <w:szCs w:val="32"/>
        </w:rPr>
        <w:t>截至202</w:t>
      </w:r>
      <w:r>
        <w:rPr>
          <w:rFonts w:hint="eastAsia"/>
          <w:szCs w:val="32"/>
          <w:lang w:val="en-US" w:eastAsia="zh-CN"/>
        </w:rPr>
        <w:t>3</w:t>
      </w:r>
      <w:r>
        <w:rPr>
          <w:rFonts w:hint="eastAsia"/>
          <w:szCs w:val="32"/>
        </w:rPr>
        <w:t>年8月底，</w:t>
      </w:r>
      <w:r>
        <w:rPr>
          <w:rFonts w:hint="eastAsia"/>
          <w:szCs w:val="32"/>
          <w:lang w:eastAsia="zh-CN"/>
        </w:rPr>
        <w:t>本</w:t>
      </w:r>
      <w:r>
        <w:rPr>
          <w:rFonts w:hint="eastAsia"/>
          <w:szCs w:val="32"/>
        </w:rPr>
        <w:t>单位共有车辆</w:t>
      </w:r>
      <w:r>
        <w:rPr>
          <w:rFonts w:hint="eastAsia"/>
          <w:szCs w:val="32"/>
          <w:lang w:val="en-US" w:eastAsia="zh-CN"/>
        </w:rPr>
        <w:t>6</w:t>
      </w:r>
      <w:r>
        <w:rPr>
          <w:rFonts w:hint="eastAsia"/>
          <w:szCs w:val="32"/>
        </w:rPr>
        <w:t>辆，土地</w:t>
      </w:r>
      <w:r>
        <w:rPr>
          <w:rFonts w:hint="eastAsia"/>
          <w:szCs w:val="32"/>
          <w:lang w:val="en-US" w:eastAsia="zh-CN"/>
        </w:rPr>
        <w:t>0</w:t>
      </w:r>
      <w:r>
        <w:rPr>
          <w:rFonts w:hint="eastAsia"/>
          <w:szCs w:val="32"/>
        </w:rPr>
        <w:t>平方米，房屋</w:t>
      </w:r>
      <w:r>
        <w:rPr>
          <w:rFonts w:hint="eastAsia"/>
          <w:szCs w:val="32"/>
          <w:lang w:val="en-US" w:eastAsia="zh-CN"/>
        </w:rPr>
        <w:t>12927</w:t>
      </w:r>
      <w:r>
        <w:rPr>
          <w:rFonts w:hint="eastAsia"/>
          <w:szCs w:val="32"/>
        </w:rPr>
        <w:t>平方米，单价50万元以上设备</w:t>
      </w:r>
      <w:r>
        <w:rPr>
          <w:rFonts w:hint="eastAsia"/>
          <w:szCs w:val="32"/>
          <w:lang w:val="en-US" w:eastAsia="zh-CN"/>
        </w:rPr>
        <w:t>0</w:t>
      </w:r>
      <w:r>
        <w:rPr>
          <w:rFonts w:hint="eastAsia"/>
          <w:szCs w:val="32"/>
        </w:rPr>
        <w:t>台/套。</w:t>
      </w:r>
    </w:p>
    <w:p>
      <w:pPr>
        <w:spacing w:line="540" w:lineRule="exact"/>
        <w:ind w:firstLine="640" w:firstLineChars="200"/>
        <w:rPr>
          <w:szCs w:val="32"/>
        </w:rPr>
      </w:pPr>
      <w:r>
        <w:rPr>
          <w:rFonts w:hint="eastAsia"/>
          <w:szCs w:val="32"/>
        </w:rPr>
        <w:t>202</w:t>
      </w:r>
      <w:r>
        <w:rPr>
          <w:rFonts w:hint="eastAsia"/>
          <w:szCs w:val="32"/>
          <w:lang w:val="en-US" w:eastAsia="zh-CN"/>
        </w:rPr>
        <w:t>4</w:t>
      </w:r>
      <w:r>
        <w:rPr>
          <w:rFonts w:hint="eastAsia"/>
          <w:szCs w:val="32"/>
        </w:rPr>
        <w:t>年</w:t>
      </w:r>
      <w:r>
        <w:rPr>
          <w:rFonts w:hint="eastAsia"/>
          <w:szCs w:val="32"/>
          <w:lang w:eastAsia="zh-CN"/>
        </w:rPr>
        <w:t>单位</w:t>
      </w:r>
      <w:r>
        <w:rPr>
          <w:rFonts w:hint="eastAsia"/>
          <w:szCs w:val="32"/>
        </w:rPr>
        <w:t>预算安排购置车辆</w:t>
      </w:r>
      <w:r>
        <w:rPr>
          <w:rFonts w:hint="eastAsia"/>
          <w:szCs w:val="32"/>
          <w:lang w:val="en-US" w:eastAsia="zh-CN"/>
        </w:rPr>
        <w:t>0</w:t>
      </w:r>
      <w:r>
        <w:rPr>
          <w:rFonts w:hint="eastAsia"/>
          <w:szCs w:val="32"/>
        </w:rPr>
        <w:t>辆，安排购置土地</w:t>
      </w:r>
      <w:r>
        <w:rPr>
          <w:rFonts w:hint="eastAsia"/>
          <w:szCs w:val="32"/>
          <w:lang w:val="en-US" w:eastAsia="zh-CN"/>
        </w:rPr>
        <w:t>0</w:t>
      </w:r>
      <w:r>
        <w:rPr>
          <w:rFonts w:hint="eastAsia"/>
          <w:szCs w:val="32"/>
        </w:rPr>
        <w:t>平方米，安排购置房屋</w:t>
      </w:r>
      <w:r>
        <w:rPr>
          <w:rFonts w:hint="eastAsia"/>
          <w:szCs w:val="32"/>
          <w:lang w:val="en-US" w:eastAsia="zh-CN"/>
        </w:rPr>
        <w:t>0</w:t>
      </w:r>
      <w:r>
        <w:rPr>
          <w:rFonts w:hint="eastAsia"/>
          <w:szCs w:val="32"/>
        </w:rPr>
        <w:t>平方米，计划新增单价50万元以上设备</w:t>
      </w:r>
      <w:r>
        <w:rPr>
          <w:rFonts w:hint="eastAsia"/>
          <w:szCs w:val="32"/>
          <w:lang w:val="en-US" w:eastAsia="zh-CN"/>
        </w:rPr>
        <w:t>0</w:t>
      </w:r>
      <w:r>
        <w:rPr>
          <w:rFonts w:hint="eastAsia"/>
          <w:szCs w:val="32"/>
        </w:rPr>
        <w:t>台/套。</w:t>
      </w:r>
    </w:p>
    <w:p>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pPr>
        <w:spacing w:line="540" w:lineRule="exact"/>
        <w:ind w:firstLine="640" w:firstLineChars="200"/>
      </w:pPr>
      <w:r>
        <w:t>202</w:t>
      </w:r>
      <w:r>
        <w:rPr>
          <w:rFonts w:hint="eastAsia"/>
          <w:lang w:val="en-US" w:eastAsia="zh-CN"/>
        </w:rPr>
        <w:t>4</w:t>
      </w:r>
      <w:r>
        <w:t>年</w:t>
      </w:r>
      <w:r>
        <w:rPr>
          <w:rFonts w:hint="eastAsia"/>
          <w:lang w:eastAsia="zh-CN"/>
        </w:rPr>
        <w:t>单位</w:t>
      </w:r>
      <w:r>
        <w:t>项目支出</w:t>
      </w:r>
      <w:r>
        <w:rPr>
          <w:rFonts w:hint="eastAsia"/>
          <w:szCs w:val="32"/>
        </w:rPr>
        <w:t>1225.62</w:t>
      </w:r>
      <w:r>
        <w:rPr>
          <w:szCs w:val="32"/>
        </w:rPr>
        <w:t>万元，其中：一级项目</w:t>
      </w:r>
      <w:r>
        <w:rPr>
          <w:rFonts w:hint="eastAsia"/>
          <w:szCs w:val="32"/>
          <w:lang w:val="en-US" w:eastAsia="zh-CN"/>
        </w:rPr>
        <w:t>5</w:t>
      </w:r>
      <w:r>
        <w:rPr>
          <w:szCs w:val="32"/>
        </w:rPr>
        <w:t>个，二级项目</w:t>
      </w:r>
      <w:r>
        <w:rPr>
          <w:rFonts w:hint="eastAsia"/>
          <w:szCs w:val="32"/>
          <w:lang w:val="en-US" w:eastAsia="zh-CN"/>
        </w:rPr>
        <w:t>19</w:t>
      </w:r>
      <w:r>
        <w:rPr>
          <w:szCs w:val="32"/>
        </w:rPr>
        <w:t>个；使用</w:t>
      </w:r>
      <w:r>
        <w:rPr>
          <w:rFonts w:hint="eastAsia"/>
          <w:szCs w:val="32"/>
        </w:rPr>
        <w:t>本年拨款854.62</w:t>
      </w:r>
      <w:r>
        <w:rPr>
          <w:szCs w:val="32"/>
        </w:rPr>
        <w:t>万元，</w:t>
      </w:r>
      <w:r>
        <w:rPr>
          <w:rFonts w:hint="eastAsia"/>
          <w:szCs w:val="32"/>
        </w:rPr>
        <w:t>财政拨款结转371</w:t>
      </w:r>
      <w:r>
        <w:rPr>
          <w:rFonts w:hint="eastAsia"/>
          <w:szCs w:val="32"/>
          <w:lang w:val="en-US" w:eastAsia="zh-CN"/>
        </w:rPr>
        <w:t>.00</w:t>
      </w:r>
      <w:r>
        <w:rPr>
          <w:szCs w:val="32"/>
        </w:rPr>
        <w:t>万元。</w:t>
      </w:r>
    </w:p>
    <w:p>
      <w:pPr>
        <w:spacing w:line="540" w:lineRule="exact"/>
        <w:ind w:firstLine="640" w:firstLineChars="200"/>
        <w:rPr>
          <w:rFonts w:eastAsia="楷体"/>
          <w:szCs w:val="32"/>
        </w:rPr>
      </w:pPr>
      <w:r>
        <w:rPr>
          <w:rFonts w:hint="eastAsia" w:eastAsia="楷体"/>
          <w:szCs w:val="32"/>
        </w:rPr>
        <w:t>（五）项目支出绩效目标情况说明</w:t>
      </w:r>
    </w:p>
    <w:p>
      <w:pPr>
        <w:ind w:firstLine="645"/>
        <w:rPr>
          <w:rFonts w:hint="eastAsia" w:ascii="宋体" w:hAnsi="宋体"/>
        </w:rPr>
      </w:pPr>
      <w:r>
        <w:rPr>
          <w:rFonts w:hint="eastAsia" w:ascii="宋体" w:hAnsi="宋体"/>
        </w:rPr>
        <w:t>按照全面实施预算绩效管理的要求，结合本</w:t>
      </w:r>
      <w:r>
        <w:rPr>
          <w:rFonts w:hint="eastAsia" w:ascii="宋体" w:hAnsi="宋体"/>
          <w:lang w:eastAsia="zh-CN"/>
        </w:rPr>
        <w:t>单位</w:t>
      </w:r>
      <w:r>
        <w:rPr>
          <w:rFonts w:hint="eastAsia" w:ascii="宋体" w:hAnsi="宋体"/>
        </w:rPr>
        <w:t>职能和重点工作，202</w:t>
      </w:r>
      <w:r>
        <w:rPr>
          <w:rFonts w:hint="eastAsia" w:ascii="宋体" w:hAnsi="宋体"/>
          <w:lang w:val="en-US" w:eastAsia="zh-CN"/>
        </w:rPr>
        <w:t>4</w:t>
      </w:r>
      <w:r>
        <w:rPr>
          <w:rFonts w:hint="eastAsia" w:ascii="宋体" w:hAnsi="宋体"/>
        </w:rPr>
        <w:t>年</w:t>
      </w:r>
      <w:r>
        <w:rPr>
          <w:rFonts w:hint="eastAsia" w:ascii="宋体" w:hAnsi="宋体"/>
          <w:lang w:eastAsia="zh-CN"/>
        </w:rPr>
        <w:t>将</w:t>
      </w:r>
      <w:r>
        <w:rPr>
          <w:rFonts w:hint="eastAsia"/>
          <w:szCs w:val="32"/>
          <w:lang w:val="en-US" w:eastAsia="zh-CN"/>
        </w:rPr>
        <w:t>11</w:t>
      </w:r>
      <w:r>
        <w:rPr>
          <w:rFonts w:hint="eastAsia" w:ascii="宋体" w:hAnsi="宋体"/>
        </w:rPr>
        <w:t>个项目支出的绩效目标和指标向社会公开，涉及金额</w:t>
      </w:r>
      <w:r>
        <w:rPr>
          <w:rFonts w:hint="eastAsia"/>
          <w:szCs w:val="32"/>
          <w:lang w:val="en-US" w:eastAsia="zh-CN"/>
        </w:rPr>
        <w:t>854.62</w:t>
      </w:r>
      <w:r>
        <w:rPr>
          <w:rFonts w:hint="eastAsia" w:ascii="宋体" w:hAnsi="宋体"/>
        </w:rPr>
        <w:t>万元。</w:t>
      </w:r>
    </w:p>
    <w:p>
      <w:pPr>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szCs w:val="32"/>
        </w:rPr>
      </w:pPr>
      <w:r>
        <w:rPr>
          <w:rFonts w:eastAsia="楷体"/>
          <w:szCs w:val="32"/>
        </w:rPr>
        <w:t>（一）一般公共预算拨款收入：</w:t>
      </w:r>
      <w:r>
        <w:rPr>
          <w:szCs w:val="32"/>
        </w:rPr>
        <w:t>指省级财政通过当年一般公共预算拨付的资金。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pPr>
        <w:ind w:firstLine="640"/>
        <w:rPr>
          <w:szCs w:val="32"/>
        </w:rPr>
      </w:pPr>
      <w:r>
        <w:rPr>
          <w:rFonts w:hint="eastAsia" w:eastAsia="楷体"/>
          <w:szCs w:val="32"/>
        </w:rPr>
        <w:t>（五）</w:t>
      </w:r>
      <w:r>
        <w:rPr>
          <w:rFonts w:eastAsia="楷体"/>
          <w:szCs w:val="32"/>
        </w:rPr>
        <w:t>事业收入：</w:t>
      </w:r>
      <w:r>
        <w:rPr>
          <w:szCs w:val="32"/>
        </w:rPr>
        <w:t>指事业单位开展专业业务活动及辅助活动所取得的收入。</w:t>
      </w:r>
    </w:p>
    <w:p>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pPr>
        <w:ind w:firstLine="640"/>
        <w:rPr>
          <w:rFonts w:hint="eastAsia"/>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szCs w:val="32"/>
        </w:rPr>
        <w:t>指本单位所属下级单位（包含独立核算和非独立核算的，相关支出纳入和未纳入部门预算的下级单位）上缴给本单位的全部收入（包括下级事业单位上缴的事业收入、其他收入和下级企业单位上缴的利润等）。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指为保障机构正常运转、完成日常工作任务而发生的人员支出和公用支出。</w:t>
      </w:r>
    </w:p>
    <w:p>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footerReference r:id="rId10" w:type="first"/>
      <w:footerReference r:id="rId9" w:type="default"/>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C44267"/>
    <w:rsid w:val="02DA0F54"/>
    <w:rsid w:val="031D7D4B"/>
    <w:rsid w:val="031F2964"/>
    <w:rsid w:val="037F2004"/>
    <w:rsid w:val="0486486A"/>
    <w:rsid w:val="04954460"/>
    <w:rsid w:val="04B818D1"/>
    <w:rsid w:val="050D06DA"/>
    <w:rsid w:val="05310B72"/>
    <w:rsid w:val="05513E94"/>
    <w:rsid w:val="056F5A6D"/>
    <w:rsid w:val="059B3770"/>
    <w:rsid w:val="063949A0"/>
    <w:rsid w:val="06BD5BC7"/>
    <w:rsid w:val="06F008FF"/>
    <w:rsid w:val="07800C0D"/>
    <w:rsid w:val="079E5032"/>
    <w:rsid w:val="09015F14"/>
    <w:rsid w:val="091C5C63"/>
    <w:rsid w:val="09421190"/>
    <w:rsid w:val="09A0082A"/>
    <w:rsid w:val="09CC0A36"/>
    <w:rsid w:val="0A00435B"/>
    <w:rsid w:val="0AAA1697"/>
    <w:rsid w:val="0ABA06FE"/>
    <w:rsid w:val="0B403695"/>
    <w:rsid w:val="0B49202F"/>
    <w:rsid w:val="0B5F5ADA"/>
    <w:rsid w:val="0BCC39DB"/>
    <w:rsid w:val="0C2A5C84"/>
    <w:rsid w:val="0C4F64D9"/>
    <w:rsid w:val="0C583939"/>
    <w:rsid w:val="0C6D1BAE"/>
    <w:rsid w:val="0D2352A2"/>
    <w:rsid w:val="0D2A2435"/>
    <w:rsid w:val="0DA001B0"/>
    <w:rsid w:val="0DEB170B"/>
    <w:rsid w:val="0DF50B9B"/>
    <w:rsid w:val="0E4C7841"/>
    <w:rsid w:val="0E97506F"/>
    <w:rsid w:val="0EAA2C7B"/>
    <w:rsid w:val="0ECE4A84"/>
    <w:rsid w:val="0F3E0406"/>
    <w:rsid w:val="0F980230"/>
    <w:rsid w:val="0FD62F63"/>
    <w:rsid w:val="0FD90181"/>
    <w:rsid w:val="0FDE2A27"/>
    <w:rsid w:val="10AE7F82"/>
    <w:rsid w:val="10C93B35"/>
    <w:rsid w:val="10F2277E"/>
    <w:rsid w:val="11177619"/>
    <w:rsid w:val="112605C8"/>
    <w:rsid w:val="114327F7"/>
    <w:rsid w:val="11A6707B"/>
    <w:rsid w:val="11B35B2F"/>
    <w:rsid w:val="12574C05"/>
    <w:rsid w:val="12A30E83"/>
    <w:rsid w:val="12E711B7"/>
    <w:rsid w:val="136D62BD"/>
    <w:rsid w:val="136E4388"/>
    <w:rsid w:val="13F21722"/>
    <w:rsid w:val="1441443C"/>
    <w:rsid w:val="149E3A2C"/>
    <w:rsid w:val="14C12787"/>
    <w:rsid w:val="15593E10"/>
    <w:rsid w:val="159F7E25"/>
    <w:rsid w:val="15F848D0"/>
    <w:rsid w:val="160E1FA5"/>
    <w:rsid w:val="160F2600"/>
    <w:rsid w:val="16C829AB"/>
    <w:rsid w:val="16DD34F5"/>
    <w:rsid w:val="17282678"/>
    <w:rsid w:val="17765BCA"/>
    <w:rsid w:val="17A027D8"/>
    <w:rsid w:val="17CC2625"/>
    <w:rsid w:val="183268DC"/>
    <w:rsid w:val="19132BE0"/>
    <w:rsid w:val="191F4716"/>
    <w:rsid w:val="1954649C"/>
    <w:rsid w:val="1A817DF8"/>
    <w:rsid w:val="1A8A6135"/>
    <w:rsid w:val="1ADC594E"/>
    <w:rsid w:val="1AEB5252"/>
    <w:rsid w:val="1B8A03E4"/>
    <w:rsid w:val="1B9C1459"/>
    <w:rsid w:val="1C852172"/>
    <w:rsid w:val="1CA40C0C"/>
    <w:rsid w:val="1CFF4A32"/>
    <w:rsid w:val="1D833200"/>
    <w:rsid w:val="1E3A3FD0"/>
    <w:rsid w:val="1EB55C07"/>
    <w:rsid w:val="1F351A10"/>
    <w:rsid w:val="1F857EA5"/>
    <w:rsid w:val="1FED47E9"/>
    <w:rsid w:val="20344434"/>
    <w:rsid w:val="206816AC"/>
    <w:rsid w:val="20F91620"/>
    <w:rsid w:val="21134335"/>
    <w:rsid w:val="21F01B04"/>
    <w:rsid w:val="226E581D"/>
    <w:rsid w:val="22A4003E"/>
    <w:rsid w:val="23135C25"/>
    <w:rsid w:val="23EC61F6"/>
    <w:rsid w:val="244C543C"/>
    <w:rsid w:val="245E525B"/>
    <w:rsid w:val="24624768"/>
    <w:rsid w:val="259B5BC5"/>
    <w:rsid w:val="25F62C4E"/>
    <w:rsid w:val="26643D6C"/>
    <w:rsid w:val="26FE109D"/>
    <w:rsid w:val="27073E1E"/>
    <w:rsid w:val="2793085E"/>
    <w:rsid w:val="27B04AB3"/>
    <w:rsid w:val="282C3BA1"/>
    <w:rsid w:val="287833E0"/>
    <w:rsid w:val="28A63332"/>
    <w:rsid w:val="28C96E8E"/>
    <w:rsid w:val="29C45F24"/>
    <w:rsid w:val="2ADA2DFC"/>
    <w:rsid w:val="2CEC5F40"/>
    <w:rsid w:val="2D9038E4"/>
    <w:rsid w:val="2DF8796C"/>
    <w:rsid w:val="2EAB10AF"/>
    <w:rsid w:val="2EB22F18"/>
    <w:rsid w:val="2EE12108"/>
    <w:rsid w:val="2EED35E3"/>
    <w:rsid w:val="2F0B5068"/>
    <w:rsid w:val="2F250383"/>
    <w:rsid w:val="2F63610B"/>
    <w:rsid w:val="2FBC646B"/>
    <w:rsid w:val="300965A3"/>
    <w:rsid w:val="30730D6E"/>
    <w:rsid w:val="308B20C9"/>
    <w:rsid w:val="30B91A70"/>
    <w:rsid w:val="30F84C22"/>
    <w:rsid w:val="310C6AA2"/>
    <w:rsid w:val="312D6DE6"/>
    <w:rsid w:val="31793674"/>
    <w:rsid w:val="31894469"/>
    <w:rsid w:val="32332703"/>
    <w:rsid w:val="32CF2C5D"/>
    <w:rsid w:val="32EE2C61"/>
    <w:rsid w:val="335402B5"/>
    <w:rsid w:val="339466B2"/>
    <w:rsid w:val="34472677"/>
    <w:rsid w:val="34555AF5"/>
    <w:rsid w:val="34FF687B"/>
    <w:rsid w:val="35453709"/>
    <w:rsid w:val="354C4987"/>
    <w:rsid w:val="35616772"/>
    <w:rsid w:val="35EA1663"/>
    <w:rsid w:val="360A1AE7"/>
    <w:rsid w:val="364C598E"/>
    <w:rsid w:val="36501B5A"/>
    <w:rsid w:val="368A3622"/>
    <w:rsid w:val="36B543E5"/>
    <w:rsid w:val="36CC2B0F"/>
    <w:rsid w:val="36FC762F"/>
    <w:rsid w:val="3838492F"/>
    <w:rsid w:val="383A009B"/>
    <w:rsid w:val="3887374F"/>
    <w:rsid w:val="38CB0ABC"/>
    <w:rsid w:val="39041A07"/>
    <w:rsid w:val="39043B77"/>
    <w:rsid w:val="39670895"/>
    <w:rsid w:val="397B4EE2"/>
    <w:rsid w:val="3A1B5469"/>
    <w:rsid w:val="3A387943"/>
    <w:rsid w:val="3A657F9A"/>
    <w:rsid w:val="3A9113D4"/>
    <w:rsid w:val="3AC54F32"/>
    <w:rsid w:val="3B144A0A"/>
    <w:rsid w:val="3B254018"/>
    <w:rsid w:val="3B5257F8"/>
    <w:rsid w:val="3BC92948"/>
    <w:rsid w:val="3BE370D4"/>
    <w:rsid w:val="3C1A026D"/>
    <w:rsid w:val="3C29381E"/>
    <w:rsid w:val="3C711E1D"/>
    <w:rsid w:val="3C7F463D"/>
    <w:rsid w:val="3CAE3960"/>
    <w:rsid w:val="3CEF6494"/>
    <w:rsid w:val="3D1538E8"/>
    <w:rsid w:val="3D365BF6"/>
    <w:rsid w:val="3D7F7007"/>
    <w:rsid w:val="3DB008AA"/>
    <w:rsid w:val="3DF23324"/>
    <w:rsid w:val="3EA14040"/>
    <w:rsid w:val="3EE8108D"/>
    <w:rsid w:val="3F8201A3"/>
    <w:rsid w:val="402675EA"/>
    <w:rsid w:val="40B80EFF"/>
    <w:rsid w:val="41A35364"/>
    <w:rsid w:val="41C31686"/>
    <w:rsid w:val="41C837BC"/>
    <w:rsid w:val="421643AC"/>
    <w:rsid w:val="42982B4E"/>
    <w:rsid w:val="429F5D0C"/>
    <w:rsid w:val="42CC538E"/>
    <w:rsid w:val="42D83665"/>
    <w:rsid w:val="434A6B47"/>
    <w:rsid w:val="436B1E42"/>
    <w:rsid w:val="456D114B"/>
    <w:rsid w:val="45955D10"/>
    <w:rsid w:val="45EB670F"/>
    <w:rsid w:val="46AB7C0D"/>
    <w:rsid w:val="46D44808"/>
    <w:rsid w:val="46ED776B"/>
    <w:rsid w:val="479D2523"/>
    <w:rsid w:val="47CF49E6"/>
    <w:rsid w:val="48674ED2"/>
    <w:rsid w:val="487708E6"/>
    <w:rsid w:val="48B540F2"/>
    <w:rsid w:val="493F6F72"/>
    <w:rsid w:val="49645F71"/>
    <w:rsid w:val="49842F89"/>
    <w:rsid w:val="499F5C68"/>
    <w:rsid w:val="49CD3C3B"/>
    <w:rsid w:val="4A52465C"/>
    <w:rsid w:val="4A5C4AC6"/>
    <w:rsid w:val="4A662FBF"/>
    <w:rsid w:val="4AF16062"/>
    <w:rsid w:val="4B0A57E5"/>
    <w:rsid w:val="4B646DDD"/>
    <w:rsid w:val="4B7F44F8"/>
    <w:rsid w:val="4BAC24C5"/>
    <w:rsid w:val="4BF25297"/>
    <w:rsid w:val="4BFA0656"/>
    <w:rsid w:val="4D3439E8"/>
    <w:rsid w:val="4D432443"/>
    <w:rsid w:val="4D4E2809"/>
    <w:rsid w:val="4D730507"/>
    <w:rsid w:val="4D741DD3"/>
    <w:rsid w:val="4DC93207"/>
    <w:rsid w:val="4E010C4C"/>
    <w:rsid w:val="4E214B2B"/>
    <w:rsid w:val="4E8D5761"/>
    <w:rsid w:val="4EF54A85"/>
    <w:rsid w:val="4EF972C6"/>
    <w:rsid w:val="501B3C66"/>
    <w:rsid w:val="504B40C5"/>
    <w:rsid w:val="50987DC2"/>
    <w:rsid w:val="50A37046"/>
    <w:rsid w:val="50A4703E"/>
    <w:rsid w:val="51282B99"/>
    <w:rsid w:val="5136104F"/>
    <w:rsid w:val="51465EDE"/>
    <w:rsid w:val="51CD72A1"/>
    <w:rsid w:val="52071113"/>
    <w:rsid w:val="52085509"/>
    <w:rsid w:val="522774C4"/>
    <w:rsid w:val="522A7431"/>
    <w:rsid w:val="525A440D"/>
    <w:rsid w:val="52626449"/>
    <w:rsid w:val="544E511A"/>
    <w:rsid w:val="54741940"/>
    <w:rsid w:val="54810E66"/>
    <w:rsid w:val="54830394"/>
    <w:rsid w:val="54C063E4"/>
    <w:rsid w:val="54C2556E"/>
    <w:rsid w:val="55480EEF"/>
    <w:rsid w:val="569B7F91"/>
    <w:rsid w:val="56D21BED"/>
    <w:rsid w:val="572651B2"/>
    <w:rsid w:val="57AE5C26"/>
    <w:rsid w:val="57DD75A9"/>
    <w:rsid w:val="5801059F"/>
    <w:rsid w:val="58256ABD"/>
    <w:rsid w:val="58C27FDB"/>
    <w:rsid w:val="59472AC7"/>
    <w:rsid w:val="59B34BF0"/>
    <w:rsid w:val="59D514A6"/>
    <w:rsid w:val="59EC6E09"/>
    <w:rsid w:val="5A952E11"/>
    <w:rsid w:val="5AB343F7"/>
    <w:rsid w:val="5ABF50F2"/>
    <w:rsid w:val="5AF25D13"/>
    <w:rsid w:val="5AF76904"/>
    <w:rsid w:val="5B052E7A"/>
    <w:rsid w:val="5B3D7F7E"/>
    <w:rsid w:val="5B7C7777"/>
    <w:rsid w:val="5BEC6771"/>
    <w:rsid w:val="5C075D06"/>
    <w:rsid w:val="5C415F57"/>
    <w:rsid w:val="5CA506B9"/>
    <w:rsid w:val="5CD91C52"/>
    <w:rsid w:val="5CF74CE4"/>
    <w:rsid w:val="5D5A7C63"/>
    <w:rsid w:val="5E256F6F"/>
    <w:rsid w:val="5F6235A9"/>
    <w:rsid w:val="5F8D37A7"/>
    <w:rsid w:val="5F942846"/>
    <w:rsid w:val="60DC439E"/>
    <w:rsid w:val="614125C2"/>
    <w:rsid w:val="61AA1D1F"/>
    <w:rsid w:val="624C5C52"/>
    <w:rsid w:val="63DF08E4"/>
    <w:rsid w:val="64C04AFD"/>
    <w:rsid w:val="655B219F"/>
    <w:rsid w:val="661A7B69"/>
    <w:rsid w:val="66455323"/>
    <w:rsid w:val="664909C1"/>
    <w:rsid w:val="66635AE4"/>
    <w:rsid w:val="66C63EB5"/>
    <w:rsid w:val="67592674"/>
    <w:rsid w:val="679461D3"/>
    <w:rsid w:val="6858287E"/>
    <w:rsid w:val="68593A1E"/>
    <w:rsid w:val="68C04D52"/>
    <w:rsid w:val="68D33DE9"/>
    <w:rsid w:val="69157114"/>
    <w:rsid w:val="691A443E"/>
    <w:rsid w:val="69E203A0"/>
    <w:rsid w:val="6A5B6D7D"/>
    <w:rsid w:val="6A765FBC"/>
    <w:rsid w:val="6A80735F"/>
    <w:rsid w:val="6AC17181"/>
    <w:rsid w:val="6ACC5E47"/>
    <w:rsid w:val="6AD43ED1"/>
    <w:rsid w:val="6B11024D"/>
    <w:rsid w:val="6B7D5B36"/>
    <w:rsid w:val="6C834DAA"/>
    <w:rsid w:val="6C993CCE"/>
    <w:rsid w:val="6CF120A8"/>
    <w:rsid w:val="6D72413D"/>
    <w:rsid w:val="6FF50B81"/>
    <w:rsid w:val="70330B9C"/>
    <w:rsid w:val="711E6D93"/>
    <w:rsid w:val="714213DD"/>
    <w:rsid w:val="717F272E"/>
    <w:rsid w:val="71C54720"/>
    <w:rsid w:val="72783A23"/>
    <w:rsid w:val="728027C6"/>
    <w:rsid w:val="73D62FA6"/>
    <w:rsid w:val="73FE7ACC"/>
    <w:rsid w:val="74362F34"/>
    <w:rsid w:val="74556746"/>
    <w:rsid w:val="74743258"/>
    <w:rsid w:val="761B13C4"/>
    <w:rsid w:val="764B6A8A"/>
    <w:rsid w:val="76A4489E"/>
    <w:rsid w:val="76C17E06"/>
    <w:rsid w:val="76CA67BD"/>
    <w:rsid w:val="76D20DD3"/>
    <w:rsid w:val="774E6400"/>
    <w:rsid w:val="775B0046"/>
    <w:rsid w:val="79700BEF"/>
    <w:rsid w:val="798D552B"/>
    <w:rsid w:val="7A090695"/>
    <w:rsid w:val="7A1D5951"/>
    <w:rsid w:val="7AE175F4"/>
    <w:rsid w:val="7AE84B8A"/>
    <w:rsid w:val="7B417685"/>
    <w:rsid w:val="7B5220F0"/>
    <w:rsid w:val="7B8F09E3"/>
    <w:rsid w:val="7BA169C0"/>
    <w:rsid w:val="7BC55243"/>
    <w:rsid w:val="7C2F4A9A"/>
    <w:rsid w:val="7CAD595B"/>
    <w:rsid w:val="7CF65D07"/>
    <w:rsid w:val="7D2975D1"/>
    <w:rsid w:val="7D2F3083"/>
    <w:rsid w:val="7D906046"/>
    <w:rsid w:val="7DCC0C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customStyle="1" w:styleId="13">
    <w:name w:val="font61"/>
    <w:qFormat/>
    <w:uiPriority w:val="0"/>
    <w:rPr>
      <w:rFonts w:hint="eastAsia" w:ascii="宋体" w:hAnsi="宋体" w:eastAsia="宋体" w:cs="宋体"/>
      <w:color w:val="000000"/>
      <w:sz w:val="24"/>
      <w:szCs w:val="24"/>
      <w:u w:val="none"/>
    </w:rPr>
  </w:style>
  <w:style w:type="character" w:customStyle="1" w:styleId="14">
    <w:name w:val="font41"/>
    <w:qFormat/>
    <w:uiPriority w:val="0"/>
    <w:rPr>
      <w:rFonts w:hint="default" w:ascii="华文细黑" w:hAnsi="华文细黑" w:eastAsia="华文细黑" w:cs="华文细黑"/>
      <w:color w:val="000000"/>
      <w:sz w:val="20"/>
      <w:szCs w:val="20"/>
      <w:u w:val="none"/>
    </w:rPr>
  </w:style>
  <w:style w:type="character" w:customStyle="1" w:styleId="15">
    <w:name w:val="font11"/>
    <w:qFormat/>
    <w:uiPriority w:val="0"/>
    <w:rPr>
      <w:rFonts w:hint="default" w:ascii="Arial" w:hAnsi="Arial" w:cs="Arial"/>
      <w:color w:val="000000"/>
      <w:sz w:val="24"/>
      <w:szCs w:val="24"/>
      <w:u w:val="none"/>
    </w:rPr>
  </w:style>
  <w:style w:type="character" w:customStyle="1" w:styleId="16">
    <w:name w:val="页脚 字符"/>
    <w:link w:val="6"/>
    <w:qFormat/>
    <w:uiPriority w:val="0"/>
    <w:rPr>
      <w:rFonts w:eastAsia="仿宋_GB2312"/>
      <w:kern w:val="2"/>
      <w:sz w:val="18"/>
    </w:rPr>
  </w:style>
  <w:style w:type="character" w:customStyle="1" w:styleId="17">
    <w:name w:val="批注框文本 字符"/>
    <w:link w:val="5"/>
    <w:qFormat/>
    <w:uiPriority w:val="0"/>
    <w:rPr>
      <w:rFonts w:eastAsia="仿宋_GB2312"/>
      <w:kern w:val="2"/>
      <w:sz w:val="18"/>
      <w:szCs w:val="18"/>
    </w:rPr>
  </w:style>
  <w:style w:type="character" w:customStyle="1" w:styleId="18">
    <w:name w:val="font21"/>
    <w:qFormat/>
    <w:uiPriority w:val="0"/>
    <w:rPr>
      <w:rFonts w:hint="default" w:ascii="Arial" w:hAnsi="Arial" w:cs="Arial"/>
      <w:color w:val="000000"/>
      <w:sz w:val="20"/>
      <w:szCs w:val="20"/>
      <w:u w:val="none"/>
    </w:rPr>
  </w:style>
  <w:style w:type="character" w:customStyle="1" w:styleId="19">
    <w:name w:val="font01"/>
    <w:qFormat/>
    <w:uiPriority w:val="0"/>
    <w:rPr>
      <w:rFonts w:hint="default" w:ascii="Times New Roman" w:hAnsi="Times New Roman" w:cs="Times New Roman"/>
      <w:color w:val="000000"/>
      <w:sz w:val="24"/>
      <w:szCs w:val="24"/>
      <w:u w:val="none"/>
    </w:rPr>
  </w:style>
  <w:style w:type="paragraph" w:customStyle="1" w:styleId="20">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1">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2">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4">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5">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6">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7">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29">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3">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9">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p0"/>
    <w:basedOn w:val="1"/>
    <w:qFormat/>
    <w:uiPriority w:val="0"/>
    <w:pPr>
      <w:widowControl/>
    </w:pPr>
    <w:rPr>
      <w:rFonts w:eastAsia="宋体"/>
      <w:kern w:val="0"/>
      <w:szCs w:val="32"/>
    </w:rPr>
  </w:style>
  <w:style w:type="paragraph" w:customStyle="1" w:styleId="49">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0">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1">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2">
    <w:name w:val="页脚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3">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4">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55">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1">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文本 21"/>
    <w:basedOn w:val="1"/>
    <w:qFormat/>
    <w:uiPriority w:val="0"/>
    <w:pPr>
      <w:adjustRightInd w:val="0"/>
      <w:ind w:firstLine="630"/>
      <w:jc w:val="left"/>
      <w:textAlignment w:val="baseline"/>
    </w:pPr>
    <w:rPr>
      <w:rFonts w:eastAsia="黑体"/>
    </w:rPr>
  </w:style>
  <w:style w:type="paragraph" w:customStyle="1" w:styleId="63">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7">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2">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4">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8">
    <w:name w:val="页眉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Char"/>
    <w:basedOn w:val="1"/>
    <w:qFormat/>
    <w:uiPriority w:val="0"/>
    <w:rPr>
      <w:rFonts w:eastAsia="宋体"/>
      <w:sz w:val="21"/>
      <w:szCs w:val="21"/>
    </w:rPr>
  </w:style>
  <w:style w:type="paragraph" w:customStyle="1" w:styleId="80">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1">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2">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28</Pages>
  <Words>10492</Words>
  <Characters>12782</Characters>
  <Lines>71</Lines>
  <Paragraphs>20</Paragraphs>
  <TotalTime>4</TotalTime>
  <ScaleCrop>false</ScaleCrop>
  <LinksUpToDate>false</LinksUpToDate>
  <CharactersWithSpaces>13473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user</cp:lastModifiedBy>
  <cp:lastPrinted>2024-01-23T03:39:00Z</cp:lastPrinted>
  <dcterms:modified xsi:type="dcterms:W3CDTF">2024-02-26T02:15:51Z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2778DE0D3D1747E5A61F757C22D63E49_13</vt:lpwstr>
  </property>
</Properties>
</file>