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hint="eastAsia"/>
          <w:sz w:val="44"/>
          <w:szCs w:val="44"/>
        </w:rPr>
        <w:t>长春市统计局(本级)</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24</w:t>
      </w:r>
      <w:r>
        <w:rPr>
          <w:rFonts w:eastAsia="方正小标宋简体"/>
          <w:sz w:val="44"/>
          <w:szCs w:val="44"/>
        </w:rPr>
        <w:t>年</w:t>
      </w:r>
      <w:r>
        <w:rPr>
          <w:rFonts w:eastAsia="方正小标宋简体" w:hint="eastAsia"/>
          <w:sz w:val="44"/>
          <w:szCs w:val="44"/>
        </w:rPr>
        <w:t>单位</w:t>
      </w:r>
      <w:r>
        <w:rPr>
          <w:rFonts w:eastAsia="方正小标宋简体"/>
          <w:sz w:val="44"/>
          <w:szCs w:val="44"/>
        </w:rPr>
        <w:t>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rPr>
        <w:t>四</w:t>
      </w:r>
      <w:r>
        <w:rPr>
          <w:rFonts w:eastAsia="华文细黑"/>
        </w:rPr>
        <w:t>年</w:t>
      </w:r>
      <w:r>
        <w:rPr>
          <w:rFonts w:eastAsia="华文细黑" w:hint="eastAsia"/>
        </w:rPr>
        <w:t>二</w:t>
      </w:r>
      <w:r>
        <w:rPr>
          <w:rFonts w:eastAsia="华文细黑"/>
        </w:rPr>
        <w:t>月</w:t>
      </w:r>
      <w:r>
        <w:rPr>
          <w:rFonts w:eastAsia="华文细黑" w:hint="eastAsia"/>
        </w:rPr>
        <w:t>二十六</w:t>
      </w:r>
      <w:r>
        <w:rPr>
          <w:rFonts w:eastAsia="华文细黑"/>
        </w:rPr>
        <w:t>日</w:t>
      </w: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rPr>
        <w:t>预算总</w:t>
      </w:r>
      <w:r>
        <w:t>表</w:t>
      </w:r>
    </w:p>
    <w:p>
      <w:pPr>
        <w:ind w:leftChars="100" w:left="320" w:firstLineChars="100" w:firstLine="320"/>
      </w:pPr>
      <w:r>
        <w:t>二、收入</w:t>
      </w:r>
      <w:r>
        <w:rPr>
          <w:rFonts w:hint="eastAsia"/>
        </w:rPr>
        <w:t>预算总</w:t>
      </w:r>
      <w:r>
        <w:t>表</w:t>
      </w:r>
    </w:p>
    <w:p>
      <w:pPr>
        <w:ind w:leftChars="100" w:left="320" w:firstLineChars="100" w:firstLine="320"/>
      </w:pPr>
      <w:r>
        <w:t>三、支出</w:t>
      </w:r>
      <w:r>
        <w:rPr>
          <w:rFonts w:hint="eastAsia"/>
        </w:rPr>
        <w:t>预算总</w:t>
      </w:r>
      <w:r>
        <w:t>表</w:t>
      </w:r>
    </w:p>
    <w:p>
      <w:pPr>
        <w:ind w:leftChars="100" w:left="320" w:firstLineChars="100" w:firstLine="320"/>
      </w:pPr>
      <w:r>
        <w:t>四、财政拨款收支</w:t>
      </w:r>
      <w:r>
        <w:rPr>
          <w:rFonts w:hint="eastAsia"/>
        </w:rPr>
        <w:t>预算总</w:t>
      </w:r>
      <w:r>
        <w:t>表</w:t>
      </w:r>
    </w:p>
    <w:p>
      <w:pPr>
        <w:ind w:leftChars="100" w:left="320" w:firstLineChars="100" w:firstLine="320"/>
      </w:pPr>
      <w:r>
        <w:t>五、</w:t>
      </w:r>
      <w:r>
        <w:rPr>
          <w:rFonts w:hint="eastAsia"/>
        </w:rPr>
        <w:t>一般公共预算拨款支出预算表</w:t>
      </w:r>
    </w:p>
    <w:p>
      <w:pPr>
        <w:ind w:leftChars="100" w:left="320" w:firstLineChars="100" w:firstLine="320"/>
      </w:pPr>
      <w:r>
        <w:t>六、</w:t>
      </w:r>
      <w:r>
        <w:rPr>
          <w:rFonts w:hint="eastAsia"/>
        </w:rPr>
        <w:t>一般公共预算基本支出预算表</w:t>
      </w:r>
    </w:p>
    <w:p>
      <w:pPr>
        <w:ind w:leftChars="100" w:left="320" w:firstLineChars="100" w:firstLine="320"/>
      </w:pPr>
      <w:r>
        <w:t>七、一般公共预算“三公”经费支出</w:t>
      </w:r>
      <w:r>
        <w:rPr>
          <w:rFonts w:hint="eastAsia"/>
        </w:rPr>
        <w:t>预算</w:t>
      </w:r>
      <w:r>
        <w:t>表</w:t>
      </w:r>
    </w:p>
    <w:p>
      <w:pPr>
        <w:ind w:leftChars="100" w:left="320" w:firstLineChars="100" w:firstLine="320"/>
      </w:pPr>
      <w:r>
        <w:t>八、政府性基金预算</w:t>
      </w:r>
      <w:r>
        <w:rPr>
          <w:rFonts w:hint="eastAsia"/>
        </w:rPr>
        <w:t>拨款</w:t>
      </w:r>
      <w:r>
        <w:t>支出</w:t>
      </w:r>
      <w:r>
        <w:rPr>
          <w:rFonts w:hint="eastAsia"/>
        </w:rPr>
        <w:t>预算</w:t>
      </w:r>
      <w:r>
        <w:t>表</w:t>
      </w:r>
    </w:p>
    <w:p>
      <w:pPr>
        <w:ind w:leftChars="100" w:left="320" w:firstLineChars="100" w:firstLine="320"/>
      </w:pPr>
      <w:r>
        <w:rPr>
          <w:rFonts w:hint="eastAsia"/>
        </w:rPr>
        <w:t>九、国有资本经营</w:t>
      </w:r>
      <w:r>
        <w:t>预算支出</w:t>
      </w:r>
      <w:r>
        <w:rPr>
          <w:rFonts w:hint="eastAsia"/>
        </w:rPr>
        <w:t>预算</w:t>
      </w:r>
      <w:r>
        <w:t>表</w:t>
      </w:r>
    </w:p>
    <w:p>
      <w:pPr>
        <w:ind w:leftChars="100" w:left="320" w:firstLineChars="100" w:firstLine="320"/>
      </w:pPr>
      <w:r>
        <w:rPr>
          <w:rFonts w:hint="eastAsia"/>
        </w:rPr>
        <w:t>十、项目支出预算表</w:t>
      </w:r>
    </w:p>
    <w:p>
      <w:pPr>
        <w:ind w:leftChars="100" w:left="320" w:firstLineChars="100" w:firstLine="320"/>
      </w:pPr>
      <w:r>
        <w:rPr>
          <w:rFonts w:hint="eastAsia"/>
        </w:rPr>
        <w:t>十一、财政拨款委托业务费支出预算表</w:t>
      </w:r>
    </w:p>
    <w:p>
      <w:pPr>
        <w:ind w:firstLineChars="200" w:firstLine="64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snapToGrid w:val="0"/>
        <w:spacing w:line="360" w:lineRule="auto"/>
        <w:ind w:firstLineChars="200" w:firstLine="640"/>
        <w:rPr>
          <w:rFonts w:ascii="仿宋_GB2312"/>
          <w:szCs w:val="32"/>
        </w:rPr>
      </w:pPr>
      <w:r>
        <w:rPr>
          <w:rFonts w:ascii="仿宋_GB2312" w:hint="eastAsia"/>
          <w:szCs w:val="32"/>
        </w:rPr>
        <w:t>（一）贯彻执行国家统计方针、政策和法律、法规，制定全市统计规划以及统计调查计划；监督检查统计法律、法规的实施。组织领导全市统计工作，承担确保统计数据真实、准确、及时的责任。</w:t>
      </w:r>
    </w:p>
    <w:p>
      <w:pPr>
        <w:snapToGrid w:val="0"/>
        <w:spacing w:line="360" w:lineRule="auto"/>
        <w:ind w:firstLineChars="200" w:firstLine="640"/>
        <w:rPr>
          <w:rFonts w:ascii="仿宋_GB2312"/>
          <w:szCs w:val="32"/>
        </w:rPr>
      </w:pPr>
      <w:r>
        <w:rPr>
          <w:rFonts w:ascii="仿宋_GB2312" w:hint="eastAsia"/>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snapToGrid w:val="0"/>
        <w:spacing w:line="360" w:lineRule="auto"/>
        <w:ind w:firstLineChars="200" w:firstLine="640"/>
        <w:rPr>
          <w:rFonts w:ascii="仿宋_GB2312"/>
          <w:szCs w:val="32"/>
        </w:rPr>
      </w:pPr>
      <w:r>
        <w:rPr>
          <w:rFonts w:ascii="仿宋_GB2312" w:hint="eastAsia"/>
          <w:szCs w:val="32"/>
        </w:rPr>
        <w:t>（三）组织实施重大省情省力普查计划；统一组织协调全市社会经济统计调查；汇总全市的统计资料；对国民经济各行业、科技、资源环境和社会发展等情况进行统计分祈、统计预测预警和统计监督，向省局及市委、市政府和有关部门提供统计信息和咨询建议；收集、整理、提供国家及省和外市(州)的统计资料，并进行对比分析和研究。</w:t>
      </w:r>
    </w:p>
    <w:p>
      <w:pPr>
        <w:snapToGrid w:val="0"/>
        <w:spacing w:line="360" w:lineRule="auto"/>
        <w:ind w:firstLineChars="200" w:firstLine="640"/>
        <w:rPr>
          <w:rFonts w:ascii="仿宋_GB2312"/>
          <w:szCs w:val="32"/>
        </w:rPr>
      </w:pPr>
      <w:r>
        <w:rPr>
          <w:rFonts w:ascii="仿宋_GB2312" w:hint="eastAsia"/>
          <w:szCs w:val="32"/>
        </w:rPr>
        <w:t>（四）统一核定、管理、公布全市基本统计资料，定期向社会公布全市国民经济和社会发展情况的统计信息。</w:t>
      </w:r>
    </w:p>
    <w:p>
      <w:pPr>
        <w:snapToGrid w:val="0"/>
        <w:spacing w:line="360" w:lineRule="auto"/>
        <w:ind w:firstLineChars="200" w:firstLine="640"/>
        <w:rPr>
          <w:rFonts w:ascii="仿宋_GB2312"/>
          <w:szCs w:val="32"/>
        </w:rPr>
      </w:pPr>
      <w:r>
        <w:rPr>
          <w:rFonts w:ascii="仿宋_GB2312" w:hint="eastAsia"/>
          <w:szCs w:val="32"/>
        </w:rPr>
        <w:t>（五）建立、完善和管理全市统计信息化系统和统计数据体系；组织指导各县(市、区)统计信息化网络和数据库系统建设。</w:t>
      </w:r>
    </w:p>
    <w:p>
      <w:pPr>
        <w:snapToGrid w:val="0"/>
        <w:spacing w:line="360" w:lineRule="auto"/>
        <w:ind w:firstLineChars="200" w:firstLine="640"/>
        <w:rPr>
          <w:rFonts w:ascii="仿宋_GB2312"/>
          <w:szCs w:val="32"/>
        </w:rPr>
      </w:pPr>
      <w:r>
        <w:rPr>
          <w:rFonts w:ascii="仿宋_GB2312" w:hint="eastAsia"/>
          <w:szCs w:val="32"/>
        </w:rPr>
        <w:t>（六）依法管理全市统计调查项目和统计标准，指导专业统计基础工作、统计基层业务基础建设；建立健全统计数据质量审核、监控和评估制庋，负责重要统计数据的审核、监控和评估，依法监督管理涉外调查活动。</w:t>
      </w:r>
    </w:p>
    <w:p>
      <w:pPr>
        <w:snapToGrid w:val="0"/>
        <w:spacing w:line="360" w:lineRule="auto"/>
        <w:ind w:firstLineChars="200" w:firstLine="640"/>
        <w:rPr>
          <w:rFonts w:ascii="仿宋_GB2312"/>
          <w:szCs w:val="32"/>
        </w:rPr>
      </w:pPr>
      <w:r>
        <w:rPr>
          <w:rFonts w:ascii="仿宋_GB2312" w:hint="eastAsia"/>
          <w:szCs w:val="32"/>
        </w:rPr>
        <w:t>（七）负责全市统计系统的干部人事、劳动工资、机构编制和财务经费、审计监督及资产设施管理。</w:t>
      </w:r>
    </w:p>
    <w:p>
      <w:pPr>
        <w:snapToGrid w:val="0"/>
        <w:spacing w:line="360" w:lineRule="auto"/>
        <w:ind w:firstLineChars="200" w:firstLine="640"/>
        <w:rPr>
          <w:rFonts w:ascii="仿宋_GB2312"/>
          <w:szCs w:val="32"/>
        </w:rPr>
      </w:pPr>
      <w:r>
        <w:rPr>
          <w:rFonts w:ascii="仿宋_GB2312" w:hint="eastAsia"/>
          <w:szCs w:val="32"/>
        </w:rPr>
        <w:t>（八）领导局属事业单位。</w:t>
      </w:r>
    </w:p>
    <w:p>
      <w:pPr>
        <w:ind w:firstLineChars="200" w:firstLine="640"/>
        <w:rPr>
          <w:rFonts w:ascii="仿宋_GB2312"/>
          <w:szCs w:val="32"/>
        </w:rPr>
      </w:pPr>
      <w:r>
        <w:rPr>
          <w:rFonts w:ascii="仿宋_GB2312" w:hint="eastAsia"/>
          <w:szCs w:val="32"/>
        </w:rPr>
        <w:t>（九）承办省统计局和市政府交办的其他事项。</w:t>
      </w:r>
    </w:p>
    <w:p>
      <w:pPr>
        <w:ind w:firstLineChars="200" w:firstLine="640"/>
      </w:pPr>
      <w:r>
        <w:rPr>
          <w:rFonts w:eastAsia="楷体_GB2312"/>
        </w:rPr>
        <w:t>二、机构设置</w:t>
      </w:r>
    </w:p>
    <w:p>
      <w:pPr>
        <w:snapToGrid w:val="0"/>
        <w:spacing w:line="360" w:lineRule="auto"/>
        <w:ind w:firstLineChars="200" w:firstLine="640"/>
      </w:pPr>
      <w:r>
        <w:t>根据上述职责，</w:t>
      </w:r>
      <w:r>
        <w:rPr>
          <w:rFonts w:hint="eastAsia"/>
        </w:rPr>
        <w:t>长春市统计局</w:t>
      </w:r>
      <w:r>
        <w:t>设</w:t>
      </w:r>
      <w:r>
        <w:rPr>
          <w:rFonts w:ascii="仿宋_GB2312" w:hint="eastAsia"/>
          <w:szCs w:val="32"/>
        </w:rPr>
        <w:t>12个内设机构。分别为：办公室、法规处、国民经济综合统计处、国民经济核算处、工业交通与能源统计处、农业统计处、固定资产投资统计处、人口与就业统计处、社会科技统计处、贸易与服务业统计处、信息自动化管理处、人事处、机关党委、纪检组（监察室）</w:t>
      </w:r>
      <w:r>
        <w:t>。</w:t>
      </w:r>
    </w:p>
    <w:p>
      <w:pPr>
        <w:pStyle w:val="56"/>
        <w:ind w:firstLineChars="200" w:firstLine="640"/>
        <w:rPr>
          <w:rFonts w:ascii="仿宋_GB2312" w:eastAsia="仿宋_GB2312" w:hint="eastAsia"/>
          <w:kern w:val="2"/>
        </w:rPr>
      </w:pPr>
      <w:r>
        <w:rPr>
          <w:rFonts w:ascii="仿宋_GB2312" w:eastAsia="仿宋_GB2312" w:hint="eastAsia"/>
          <w:kern w:val="2"/>
        </w:rPr>
        <w:t>本单位无下设预算单位。</w:t>
      </w: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pStyle w:val="56"/>
        <w:ind w:firstLineChars="200" w:firstLine="640"/>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89"/>
        <w:gridCol w:w="945"/>
        <w:gridCol w:w="850"/>
        <w:gridCol w:w="61"/>
        <w:gridCol w:w="1050"/>
        <w:gridCol w:w="1243"/>
        <w:gridCol w:w="1070"/>
        <w:gridCol w:w="8"/>
        <w:gridCol w:w="1086"/>
        <w:gridCol w:w="1072"/>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 xml:space="preserve">4年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    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    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 xml:space="preserve">本年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     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1624.39</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299.90</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1462.65</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1195.05</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267.60</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一般公共预算    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1624.39</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r>
              <w:rPr>
                <w:rFonts w:eastAsia="宋体"/>
                <w:kern w:val="0"/>
                <w:sz w:val="20"/>
              </w:rPr>
              <w:t>299.90</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278.38</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260.30</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18.08</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政府性基金预算   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95.22</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81.00</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14.22</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88.04</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88.04</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sz w:val="20"/>
              </w:rPr>
            </w:pPr>
            <w:r>
              <w:rPr>
                <w:rFonts w:eastAsia="宋体" w:hint="eastAsia"/>
                <w:sz w:val="20"/>
              </w:rPr>
              <w:t>二、财政专户管理  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1624.39</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299.90</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1624.39</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299.90</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rPr>
              <w:t xml:space="preserve">  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非财政拨款      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1624.39</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299.90</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1924.29</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1624.39</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299.90</w:t>
            </w:r>
          </w:p>
        </w:tc>
      </w:tr>
    </w:tbl>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rPr>
        <w:t>预算总</w:t>
      </w:r>
      <w:r>
        <w:rPr>
          <w:rFonts w:eastAsia="方正小标宋简体"/>
          <w:sz w:val="44"/>
        </w:rPr>
        <w:t>表</w:t>
      </w:r>
    </w:p>
    <w:tbl>
      <w:tblPr>
        <w:jc w:val="center"/>
        <w:tblW w:w="969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27"/>
        <w:gridCol w:w="899"/>
        <w:gridCol w:w="869"/>
        <w:gridCol w:w="883"/>
        <w:gridCol w:w="405"/>
        <w:gridCol w:w="285"/>
        <w:gridCol w:w="360"/>
        <w:gridCol w:w="298"/>
        <w:gridCol w:w="338"/>
        <w:gridCol w:w="352"/>
        <w:gridCol w:w="300"/>
        <w:gridCol w:w="330"/>
        <w:gridCol w:w="399"/>
        <w:gridCol w:w="411"/>
        <w:gridCol w:w="500"/>
        <w:gridCol w:w="280"/>
        <w:gridCol w:w="404"/>
        <w:gridCol w:w="420"/>
        <w:gridCol w:w="420"/>
        <w:gridCol w:w="322"/>
      </w:tblGrid>
      <w:tr>
        <w:trPr>
          <w:trHeight w:val="335"/>
        </w:trPr>
        <w:tc>
          <w:tcPr>
            <w:tcW w:w="1227" w:type="dxa"/>
            <w:tcBorders>
              <w:bottom w:val="single" w:sz="4" w:space="0" w:color="000000"/>
            </w:tcBorders>
            <w:noWrap/>
          </w:tcPr>
          <w:p>
            <w:pPr>
              <w:autoSpaceDN w:val="0"/>
              <w:jc w:val="left"/>
              <w:textAlignment w:val="center"/>
              <w:rPr>
                <w:rFonts w:eastAsia="华文细黑"/>
                <w:color w:val="000000"/>
                <w:sz w:val="20"/>
              </w:rPr>
            </w:pPr>
          </w:p>
        </w:tc>
        <w:tc>
          <w:tcPr>
            <w:tcW w:w="4336"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982" w:type="dxa"/>
            <w:gridSpan w:val="3"/>
            <w:noWrap/>
            <w:vAlign w:val="center"/>
          </w:tcPr>
          <w:p>
            <w:pPr>
              <w:autoSpaceDN w:val="0"/>
              <w:jc w:val="left"/>
              <w:textAlignment w:val="center"/>
              <w:rPr>
                <w:rFonts w:eastAsia="华文细黑"/>
                <w:color w:val="000000"/>
                <w:sz w:val="20"/>
              </w:rPr>
            </w:pPr>
          </w:p>
        </w:tc>
        <w:tc>
          <w:tcPr>
            <w:tcW w:w="399" w:type="dxa"/>
            <w:noWrap/>
            <w:vAlign w:val="center"/>
          </w:tcPr>
          <w:p>
            <w:pPr>
              <w:autoSpaceDN w:val="0"/>
              <w:jc w:val="left"/>
              <w:textAlignment w:val="center"/>
              <w:rPr>
                <w:rFonts w:eastAsia="华文细黑"/>
                <w:color w:val="000000"/>
                <w:sz w:val="20"/>
              </w:rPr>
            </w:pPr>
          </w:p>
        </w:tc>
        <w:tc>
          <w:tcPr>
            <w:tcW w:w="911" w:type="dxa"/>
            <w:gridSpan w:val="2"/>
            <w:noWrap/>
            <w:vAlign w:val="center"/>
          </w:tcPr>
          <w:p>
            <w:pPr>
              <w:autoSpaceDN w:val="0"/>
              <w:jc w:val="left"/>
              <w:textAlignment w:val="center"/>
              <w:rPr>
                <w:rFonts w:eastAsia="华文细黑"/>
                <w:color w:val="000000"/>
                <w:sz w:val="20"/>
              </w:rPr>
            </w:pPr>
          </w:p>
        </w:tc>
        <w:tc>
          <w:tcPr>
            <w:tcW w:w="279" w:type="dxa"/>
            <w:noWrap/>
            <w:vAlign w:val="bottom"/>
          </w:tcPr>
          <w:p>
            <w:pPr>
              <w:autoSpaceDN w:val="0"/>
              <w:jc w:val="right"/>
              <w:textAlignment w:val="bottom"/>
              <w:rPr>
                <w:rFonts w:eastAsia="宋体"/>
                <w:color w:val="000000"/>
                <w:sz w:val="20"/>
              </w:rPr>
            </w:pPr>
          </w:p>
        </w:tc>
        <w:tc>
          <w:tcPr>
            <w:tcW w:w="1565" w:type="dxa"/>
            <w:gridSpan w:val="4"/>
            <w:noWrap/>
            <w:vAlign w:val="bottom"/>
          </w:tcPr>
          <w:p>
            <w:pPr>
              <w:autoSpaceDN w:val="0"/>
              <w:jc w:val="right"/>
              <w:textAlignment w:val="center"/>
              <w:rPr>
                <w:rFonts w:eastAsia="宋体"/>
                <w:color w:val="000000"/>
                <w:sz w:val="20"/>
              </w:rPr>
            </w:pPr>
            <w:r>
              <w:rPr>
                <w:rFonts w:eastAsia="宋体"/>
                <w:color w:val="000000"/>
                <w:sz w:val="20"/>
              </w:rPr>
              <w:t>单位：万元</w:t>
            </w:r>
          </w:p>
        </w:tc>
      </w:tr>
      <w:tr>
        <w:trPr>
          <w:trHeight w:val="517"/>
        </w:trPr>
        <w:tc>
          <w:tcPr>
            <w:tcW w:w="1227" w:type="dxa"/>
            <w:vMerge w:val="restart"/>
            <w:tcBorders>
              <w:left w:val="single" w:sz="4" w:space="0" w:color="000000"/>
              <w:right w:val="single" w:sz="4" w:space="0" w:color="000000"/>
            </w:tcBorders>
            <w:noWrap/>
            <w:vAlign w:val="center"/>
          </w:tcPr>
          <w:p>
            <w:pPr>
              <w:widowControl/>
              <w:jc w:val="center"/>
              <w:rPr>
                <w:rFonts w:ascii="宋体" w:eastAsia="宋体" w:cs="宋体"/>
                <w:color w:val="000000"/>
                <w:sz w:val="20"/>
              </w:rPr>
            </w:pPr>
            <w:r>
              <w:rPr>
                <w:rFonts w:ascii="宋体" w:eastAsia="宋体" w:cs="宋体" w:hint="eastAsia"/>
                <w:color w:val="000000"/>
                <w:sz w:val="20"/>
              </w:rPr>
              <w:t>部门（单位）名称</w:t>
            </w:r>
          </w:p>
        </w:tc>
        <w:tc>
          <w:tcPr>
            <w:tcW w:w="899" w:type="dxa"/>
            <w:vMerge w:val="restart"/>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总计</w:t>
            </w:r>
          </w:p>
        </w:tc>
        <w:tc>
          <w:tcPr>
            <w:tcW w:w="4419" w:type="dxa"/>
            <w:gridSpan w:val="10"/>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本年预算</w:t>
            </w:r>
          </w:p>
        </w:tc>
        <w:tc>
          <w:tcPr>
            <w:tcW w:w="3154" w:type="dxa"/>
            <w:gridSpan w:val="8"/>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上年结转结余</w:t>
            </w:r>
          </w:p>
        </w:tc>
      </w:tr>
      <w:tr>
        <w:trPr>
          <w:trHeight w:val="517"/>
        </w:trPr>
        <w:tc>
          <w:tcPr>
            <w:tcW w:w="1382" w:type="dxa"/>
            <w:vMerge/>
            <w:tcBorders>
              <w:left w:val="single" w:sz="4" w:space="0" w:color="000000"/>
              <w:right w:val="single" w:sz="4" w:space="0" w:color="000000"/>
            </w:tcBorders>
            <w:noWrap/>
            <w:vAlign w:val="center"/>
          </w:tcPr>
          <w:p/>
        </w:tc>
        <w:tc>
          <w:tcPr>
            <w:tcW w:w="826" w:type="dxa"/>
            <w:vMerge/>
            <w:tcBorders>
              <w:left w:val="single" w:sz="4" w:space="0" w:color="000000"/>
              <w:right w:val="single" w:sz="4" w:space="0" w:color="000000"/>
            </w:tcBorders>
            <w:noWrap/>
            <w:vAlign w:val="center"/>
          </w:tcPr>
          <w:p/>
        </w:tc>
        <w:tc>
          <w:tcPr>
            <w:tcW w:w="869"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合计</w:t>
            </w:r>
          </w:p>
        </w:tc>
        <w:tc>
          <w:tcPr>
            <w:tcW w:w="1572"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财政拨款收入</w:t>
            </w:r>
          </w:p>
        </w:tc>
        <w:tc>
          <w:tcPr>
            <w:tcW w:w="360" w:type="dxa"/>
            <w:vMerge w:val="restart"/>
            <w:tcBorders>
              <w:top w:val="single" w:sz="4" w:space="0" w:color="000000"/>
              <w:left w:val="single" w:sz="4" w:space="0" w:color="auto"/>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财政专户管理资金收入</w:t>
            </w:r>
          </w:p>
        </w:tc>
        <w:tc>
          <w:tcPr>
            <w:tcW w:w="1618" w:type="dxa"/>
            <w:gridSpan w:val="5"/>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单位资            金收入</w:t>
            </w:r>
          </w:p>
        </w:tc>
        <w:tc>
          <w:tcPr>
            <w:tcW w:w="810" w:type="dxa"/>
            <w:gridSpan w:val="2"/>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合计</w:t>
            </w:r>
          </w:p>
        </w:tc>
        <w:tc>
          <w:tcPr>
            <w:tcW w:w="1603" w:type="dxa"/>
            <w:gridSpan w:val="4"/>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财政拨款结转</w:t>
            </w:r>
          </w:p>
        </w:tc>
        <w:tc>
          <w:tcPr>
            <w:tcW w:w="741" w:type="dxa"/>
            <w:gridSpan w:val="2"/>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color w:val="000000"/>
                <w:sz w:val="20"/>
              </w:rPr>
            </w:pPr>
            <w:r>
              <w:rPr>
                <w:rFonts w:ascii="宋体" w:eastAsia="宋体" w:cs="宋体" w:hint="eastAsia"/>
                <w:color w:val="000000"/>
                <w:sz w:val="20"/>
              </w:rPr>
              <w:t>非财政拨款结转结余</w:t>
            </w:r>
          </w:p>
        </w:tc>
      </w:tr>
      <w:tr>
        <w:trPr>
          <w:trHeight w:val="2818"/>
        </w:trPr>
        <w:tc>
          <w:tcPr>
            <w:tcW w:w="1382" w:type="dxa"/>
            <w:vMerge/>
            <w:tcBorders>
              <w:left w:val="single" w:sz="4" w:space="0" w:color="000000"/>
              <w:bottom w:val="single" w:sz="4" w:space="0" w:color="000000"/>
              <w:right w:val="single" w:sz="4" w:space="0" w:color="000000"/>
            </w:tcBorders>
            <w:shd w:val="solid" w:color="FFFFFF" w:fill="auto"/>
            <w:noWrap/>
            <w:vAlign w:val="center"/>
          </w:tcPr>
          <w:p/>
        </w:tc>
        <w:tc>
          <w:tcPr>
            <w:tcW w:w="826" w:type="dxa"/>
            <w:vMerge/>
            <w:tcBorders>
              <w:left w:val="single" w:sz="4" w:space="0" w:color="000000"/>
              <w:bottom w:val="single" w:sz="4" w:space="0" w:color="000000"/>
              <w:right w:val="single" w:sz="4" w:space="0" w:color="000000"/>
            </w:tcBorders>
            <w:shd w:val="solid" w:color="FFFFFF" w:fill="auto"/>
            <w:noWrap/>
            <w:vAlign w:val="center"/>
          </w:tcPr>
          <w:p/>
        </w:tc>
        <w:tc>
          <w:tcPr>
            <w:tcW w:w="421"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883"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一般公共预算收入</w:t>
            </w:r>
          </w:p>
        </w:tc>
        <w:tc>
          <w:tcPr>
            <w:tcW w:w="405" w:type="dxa"/>
            <w:tcBorders>
              <w:top w:val="single" w:sz="4" w:space="0" w:color="000000"/>
              <w:left w:val="single" w:sz="4" w:space="0" w:color="000000"/>
              <w:bottom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政府性基金预算收入</w:t>
            </w: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国有资本经营预算收入</w:t>
            </w:r>
          </w:p>
        </w:tc>
        <w:tc>
          <w:tcPr>
            <w:tcW w:w="421" w:type="dxa"/>
            <w:vMerge/>
            <w:tcBorders>
              <w:left w:val="single" w:sz="4" w:space="0" w:color="auto"/>
              <w:bottom w:val="single" w:sz="4" w:space="0" w:color="000000"/>
              <w:right w:val="single" w:sz="4" w:space="0" w:color="auto"/>
            </w:tcBorders>
            <w:shd w:val="solid" w:color="FFFFFF" w:fill="auto"/>
            <w:noWrap/>
            <w:textDirection w:val="tbLrV"/>
          </w:tc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事业收入</w:t>
            </w: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事业单位经营收入</w:t>
            </w: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上级补助收入</w:t>
            </w: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附属单位上缴收入</w:t>
            </w: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其他收入</w:t>
            </w:r>
          </w:p>
        </w:tc>
        <w:tc>
          <w:tcPr>
            <w:tcW w:w="810" w:type="dxa"/>
            <w:gridSpan w:val="2"/>
            <w:vMerge/>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一般公共预算拨款结转</w:t>
            </w: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政府性基金预算拨款结转</w:t>
            </w:r>
          </w:p>
        </w:tc>
        <w:tc>
          <w:tcPr>
            <w:tcW w:w="420"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国有资本经营预算拨款结转</w:t>
            </w:r>
          </w:p>
        </w:tc>
        <w:tc>
          <w:tcPr>
            <w:tcW w:w="420"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财政专户管理资金结转结余</w:t>
            </w: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color w:val="000000"/>
                <w:sz w:val="20"/>
                <w:shd w:val="clear" w:color="auto" w:fill="FFFFFF"/>
              </w:rPr>
            </w:pPr>
            <w:r>
              <w:rPr>
                <w:rFonts w:ascii="宋体" w:eastAsia="宋体" w:cs="宋体" w:hint="eastAsia"/>
                <w:color w:val="000000"/>
                <w:sz w:val="20"/>
                <w:shd w:val="clear" w:color="auto" w:fill="FFFFFF"/>
              </w:rPr>
              <w:t>单位资金结转结余</w:t>
            </w:r>
          </w:p>
        </w:tc>
      </w:tr>
      <w:tr>
        <w:trPr>
          <w:trHeight w:val="517"/>
        </w:trPr>
        <w:tc>
          <w:tcPr>
            <w:tcW w:w="122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长春市统计局（本级）</w:t>
            </w:r>
          </w:p>
        </w:tc>
        <w:tc>
          <w:tcPr>
            <w:tcW w:w="8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1924.29</w:t>
            </w:r>
          </w:p>
        </w:tc>
        <w:tc>
          <w:tcPr>
            <w:tcW w:w="86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1624.39</w:t>
            </w:r>
          </w:p>
        </w:tc>
        <w:tc>
          <w:tcPr>
            <w:tcW w:w="8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1624.39</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299.90</w:t>
            </w: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299.90</w:t>
            </w: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2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2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2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8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6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22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1924.29</w:t>
            </w:r>
          </w:p>
        </w:tc>
        <w:tc>
          <w:tcPr>
            <w:tcW w:w="86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color w:val="000000"/>
                <w:sz w:val="20"/>
                <w:shd w:val="clear" w:color="auto" w:fill="FFFFFF"/>
              </w:rPr>
              <w:t>1624.39</w:t>
            </w:r>
          </w:p>
        </w:tc>
        <w:tc>
          <w:tcPr>
            <w:tcW w:w="88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color w:val="000000"/>
                <w:sz w:val="20"/>
                <w:shd w:val="clear" w:color="auto" w:fill="FFFFFF"/>
              </w:rPr>
              <w:t>1624.39</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2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29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3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5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81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color w:val="000000"/>
                <w:sz w:val="20"/>
                <w:shd w:val="clear" w:color="auto" w:fill="FFFFFF"/>
              </w:rPr>
              <w:t>299.90</w:t>
            </w:r>
          </w:p>
        </w:tc>
        <w:tc>
          <w:tcPr>
            <w:tcW w:w="78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r>
              <w:rPr>
                <w:rFonts w:eastAsia="宋体"/>
                <w:color w:val="000000"/>
                <w:sz w:val="20"/>
                <w:shd w:val="clear" w:color="auto" w:fill="FFFFFF"/>
              </w:rPr>
              <w:t>299.90</w:t>
            </w:r>
          </w:p>
        </w:tc>
        <w:tc>
          <w:tcPr>
            <w:tcW w:w="404"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75"/>
      </w:tblGrid>
      <w:tr>
        <w:trPr>
          <w:trHeight w:val="615"/>
        </w:trPr>
        <w:tc>
          <w:tcPr>
            <w:tcW w:w="917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rPr>
              <w:t>预算总</w:t>
            </w:r>
            <w:r>
              <w:rPr>
                <w:rFonts w:eastAsia="方正小标宋简体"/>
                <w:kern w:val="0"/>
                <w:sz w:val="44"/>
                <w:szCs w:val="44"/>
              </w:rPr>
              <w:t>表</w:t>
            </w:r>
          </w:p>
          <w:tbl>
            <w:tblPr>
              <w:jc w:val="left"/>
              <w:tblInd w:w="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80"/>
              <w:gridCol w:w="1245"/>
              <w:gridCol w:w="1230"/>
              <w:gridCol w:w="930"/>
              <w:gridCol w:w="1065"/>
              <w:gridCol w:w="357"/>
              <w:gridCol w:w="424"/>
              <w:gridCol w:w="698"/>
              <w:gridCol w:w="119"/>
            </w:tblGrid>
            <w:tr>
              <w:trPr>
                <w:trHeight w:val="636"/>
                <w:gridAfter w:val="1"/>
                <w:wAfter w:w="119" w:type="dxa"/>
              </w:trPr>
              <w:tc>
                <w:tcPr>
                  <w:tcW w:w="6285" w:type="dxa"/>
                  <w:gridSpan w:val="4"/>
                  <w:tcBorders>
                    <w:bottom w:val="single" w:sz="4" w:space="0" w:color="000000"/>
                  </w:tcBorders>
                  <w:noWrap/>
                  <w:vAlign w:val="center"/>
                </w:tcPr>
                <w:p>
                  <w:pPr>
                    <w:widowControl/>
                    <w:jc w:val="left"/>
                    <w:rPr>
                      <w:rFonts w:eastAsia="华文细黑"/>
                      <w:color w:val="000000"/>
                      <w:kern w:val="0"/>
                      <w:sz w:val="20"/>
                    </w:rPr>
                  </w:pPr>
                </w:p>
              </w:tc>
              <w:tc>
                <w:tcPr>
                  <w:tcW w:w="1065" w:type="dxa"/>
                  <w:tcBorders>
                    <w:bottom w:val="single" w:sz="4" w:space="0" w:color="000000"/>
                  </w:tcBorders>
                  <w:noWrap/>
                  <w:vAlign w:val="center"/>
                </w:tcPr>
                <w:p>
                  <w:pPr>
                    <w:widowControl/>
                    <w:jc w:val="right"/>
                    <w:rPr>
                      <w:rFonts w:eastAsia="华文细黑"/>
                      <w:color w:val="000000"/>
                      <w:kern w:val="0"/>
                      <w:sz w:val="20"/>
                    </w:rPr>
                  </w:pPr>
                </w:p>
              </w:tc>
              <w:tc>
                <w:tcPr>
                  <w:tcW w:w="357" w:type="dxa"/>
                  <w:tcBorders>
                    <w:bottom w:val="single" w:sz="4" w:space="0" w:color="000000"/>
                  </w:tcBorders>
                  <w:noWrap/>
                  <w:vAlign w:val="center"/>
                </w:tcPr>
                <w:p>
                  <w:pPr>
                    <w:widowControl/>
                    <w:jc w:val="right"/>
                    <w:rPr>
                      <w:rFonts w:eastAsia="华文细黑"/>
                      <w:color w:val="000000"/>
                      <w:kern w:val="0"/>
                      <w:sz w:val="20"/>
                    </w:rPr>
                  </w:pPr>
                </w:p>
              </w:tc>
              <w:tc>
                <w:tcPr>
                  <w:tcW w:w="1122" w:type="dxa"/>
                  <w:gridSpan w:val="2"/>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783"/>
              </w:trPr>
              <w:tc>
                <w:tcPr>
                  <w:tcW w:w="2880"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5"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2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5"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事业单位</w:t>
                  </w:r>
                </w:p>
                <w:p>
                  <w:pPr>
                    <w:widowControl/>
                    <w:jc w:val="center"/>
                    <w:rPr>
                      <w:rFonts w:eastAsia="华文细黑"/>
                      <w:color w:val="000000"/>
                      <w:kern w:val="0"/>
                      <w:sz w:val="20"/>
                    </w:rPr>
                  </w:pPr>
                  <w:r>
                    <w:rPr>
                      <w:rFonts w:eastAsia="华文细黑" w:hint="eastAsia"/>
                      <w:color w:val="000000"/>
                      <w:kern w:val="0"/>
                      <w:sz w:val="20"/>
                    </w:rPr>
                    <w:t>经营支出</w:t>
                  </w:r>
                </w:p>
              </w:tc>
              <w:tc>
                <w:tcPr>
                  <w:tcW w:w="781"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17"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605"/>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1462.65</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     1083.33</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1462.65</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135.73</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135.73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专项普查活动</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243.59</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243.59</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164.84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164.84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113.54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113.54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1"/>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1924.29</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1544.97</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nil"/>
                    <w:left w:val="nil"/>
                    <w:bottom w:val="nil"/>
                    <w:right w:val="nil"/>
                  </w:tcBorders>
                  <w:shd w:val="clear" w:color="000000" w:fill="FFFFFF"/>
                </w:tcPr>
                <w:p>
                  <w:pPr>
                    <w:widowControl/>
                    <w:jc w:val="center"/>
                    <w:rPr>
                      <w:rFonts w:eastAsia="华文细黑"/>
                      <w:color w:val="000000"/>
                      <w:kern w:val="0"/>
                      <w:sz w:val="20"/>
                    </w:rPr>
                  </w:pPr>
                </w:p>
              </w:tc>
              <w:tc>
                <w:tcPr>
                  <w:tcW w:w="1245" w:type="dxa"/>
                  <w:tcBorders>
                    <w:top w:val="nil"/>
                    <w:left w:val="nil"/>
                    <w:bottom w:val="nil"/>
                    <w:right w:val="nil"/>
                  </w:tcBorders>
                  <w:shd w:val="clear" w:color="000000" w:fill="FFFFFF"/>
                </w:tcPr>
                <w:p>
                  <w:pPr>
                    <w:widowControl/>
                    <w:jc w:val="right"/>
                    <w:rPr>
                      <w:rFonts w:eastAsia="宋体"/>
                      <w:color w:val="000000"/>
                      <w:kern w:val="0"/>
                      <w:sz w:val="20"/>
                    </w:rPr>
                  </w:pPr>
                </w:p>
              </w:tc>
              <w:tc>
                <w:tcPr>
                  <w:tcW w:w="1230" w:type="dxa"/>
                  <w:tcBorders>
                    <w:top w:val="nil"/>
                    <w:left w:val="nil"/>
                    <w:bottom w:val="nil"/>
                    <w:right w:val="nil"/>
                  </w:tcBorders>
                  <w:shd w:val="clear" w:color="000000" w:fill="FFFFFF"/>
                </w:tcPr>
                <w:p>
                  <w:pPr>
                    <w:widowControl/>
                    <w:jc w:val="right"/>
                    <w:rPr>
                      <w:rFonts w:eastAsia="宋体"/>
                      <w:color w:val="000000"/>
                      <w:kern w:val="0"/>
                      <w:sz w:val="20"/>
                    </w:rPr>
                  </w:pPr>
                </w:p>
              </w:tc>
              <w:tc>
                <w:tcPr>
                  <w:tcW w:w="930" w:type="dxa"/>
                  <w:tcBorders>
                    <w:top w:val="nil"/>
                    <w:left w:val="nil"/>
                    <w:bottom w:val="nil"/>
                    <w:right w:val="nil"/>
                  </w:tcBorders>
                  <w:shd w:val="clear" w:color="000000" w:fill="FFFFFF"/>
                </w:tcPr>
                <w:p>
                  <w:pPr>
                    <w:widowControl/>
                    <w:jc w:val="right"/>
                    <w:rPr>
                      <w:rFonts w:eastAsia="宋体"/>
                      <w:color w:val="000000"/>
                      <w:kern w:val="0"/>
                      <w:sz w:val="20"/>
                    </w:rPr>
                  </w:pPr>
                </w:p>
              </w:tc>
              <w:tc>
                <w:tcPr>
                  <w:tcW w:w="1065" w:type="dxa"/>
                  <w:tcBorders>
                    <w:top w:val="nil"/>
                    <w:left w:val="nil"/>
                    <w:bottom w:val="nil"/>
                    <w:right w:val="nil"/>
                  </w:tcBorders>
                  <w:shd w:val="clear" w:color="000000" w:fill="FFFFFF"/>
                </w:tcPr>
                <w:p>
                  <w:pPr>
                    <w:widowControl/>
                    <w:jc w:val="right"/>
                    <w:rPr>
                      <w:rFonts w:eastAsia="宋体"/>
                      <w:color w:val="000000"/>
                      <w:kern w:val="0"/>
                      <w:sz w:val="20"/>
                    </w:rPr>
                  </w:pPr>
                </w:p>
              </w:tc>
              <w:tc>
                <w:tcPr>
                  <w:tcW w:w="781" w:type="dxa"/>
                  <w:gridSpan w:val="2"/>
                  <w:tcBorders>
                    <w:top w:val="nil"/>
                    <w:left w:val="nil"/>
                    <w:bottom w:val="nil"/>
                    <w:right w:val="nil"/>
                  </w:tcBorders>
                  <w:shd w:val="clear" w:color="000000" w:fill="FFFFFF"/>
                </w:tcPr>
                <w:p>
                  <w:pPr>
                    <w:widowControl/>
                    <w:jc w:val="right"/>
                    <w:rPr>
                      <w:rFonts w:eastAsia="宋体"/>
                      <w:color w:val="000000"/>
                      <w:kern w:val="0"/>
                      <w:sz w:val="20"/>
                    </w:rPr>
                  </w:pPr>
                </w:p>
              </w:tc>
              <w:tc>
                <w:tcPr>
                  <w:tcW w:w="817" w:type="dxa"/>
                  <w:gridSpan w:val="2"/>
                  <w:tcBorders>
                    <w:top w:val="nil"/>
                    <w:left w:val="nil"/>
                    <w:bottom w:val="nil"/>
                    <w:right w:val="nil"/>
                  </w:tcBorders>
                  <w:shd w:val="clear" w:color="000000" w:fill="FFFFFF"/>
                </w:tcPr>
                <w:p>
                  <w:pPr>
                    <w:widowControl/>
                    <w:jc w:val="right"/>
                    <w:rPr>
                      <w:rFonts w:eastAsia="宋体"/>
                      <w:color w:val="000000"/>
                      <w:kern w:val="0"/>
                      <w:sz w:val="20"/>
                    </w:rPr>
                  </w:pPr>
                </w:p>
              </w:tc>
            </w:tr>
          </w:tbl>
          <w:p>
            <w:pPr>
              <w:widowControl/>
              <w:rPr>
                <w:rFonts w:eastAsia="方正小标宋简体"/>
                <w:kern w:val="0"/>
                <w:sz w:val="44"/>
                <w:szCs w:val="44"/>
              </w:rPr>
            </w:pPr>
          </w:p>
        </w:tc>
      </w:tr>
      <w:tr>
        <w:trPr>
          <w:trHeight w:val="11083"/>
        </w:trPr>
        <w:tc>
          <w:tcPr>
            <w:tcW w:w="9175" w:type="dxa"/>
            <w:tcBorders>
              <w:top w:val="nil"/>
              <w:left w:val="nil"/>
              <w:bottom w:val="nil"/>
              <w:right w:val="nil"/>
            </w:tcBorders>
            <w:noWrap/>
            <w:vAlign w:val="bottom"/>
          </w:tcPr>
          <w:tbl>
            <w:tblPr>
              <w:tblpPr w:leftFromText="180" w:rightFromText="180" w:vertAnchor="text" w:horzAnchor="page" w:tblpX="-1" w:tblpY="1036"/>
              <w:tblOverlap w:val="never"/>
              <w:tblW w:w="911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70"/>
              <w:gridCol w:w="958"/>
              <w:gridCol w:w="1020"/>
              <w:gridCol w:w="1020"/>
              <w:gridCol w:w="1516"/>
              <w:gridCol w:w="1035"/>
              <w:gridCol w:w="1050"/>
              <w:gridCol w:w="1049"/>
            </w:tblGrid>
            <w:tr>
              <w:trPr>
                <w:trHeight w:val="634"/>
              </w:trPr>
              <w:tc>
                <w:tcPr>
                  <w:tcW w:w="9117"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c>
            </w:tr>
            <w:tr>
              <w:trPr>
                <w:trHeight w:val="502"/>
              </w:trPr>
              <w:tc>
                <w:tcPr>
                  <w:tcW w:w="9117"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467"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65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7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95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51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35"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5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1924.29</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1624.39</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299.90</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1924.29</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1624.39</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299.90</w:t>
                  </w:r>
                </w:p>
              </w:tc>
            </w:tr>
            <w:tr>
              <w:trPr>
                <w:trHeight w:val="32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1924.29</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1624.39</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299.90</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1462.65</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1195.05</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267.60</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278.38</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260.30</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18.08</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95.22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81.00</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14.22</w:t>
                  </w: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88.04</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88.04</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5"/>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rPr>
                    <w:t>二、</w:t>
                  </w:r>
                  <w:r>
                    <w:rPr>
                      <w:rFonts w:eastAsia="宋体"/>
                      <w:kern w:val="0"/>
                      <w:sz w:val="20"/>
                    </w:rPr>
                    <w:t>结转下年</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50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1924.29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1624.39</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299.90</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1924.29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1624.39</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299.90</w:t>
                  </w:r>
                </w:p>
              </w:tc>
            </w:tr>
          </w:tbl>
          <w:p>
            <w:pPr>
              <w:widowControl/>
              <w:rPr>
                <w:rFonts w:eastAsia="方正小标宋简体"/>
                <w:kern w:val="0"/>
                <w:sz w:val="44"/>
                <w:szCs w:val="44"/>
              </w:rPr>
            </w:pPr>
          </w:p>
        </w:tc>
      </w:tr>
    </w:tbl>
    <w:p>
      <w:pPr>
        <w:ind w:left="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7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jc w:val="left"/>
              <w:tblInd w:w="78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431"/>
              <w:gridCol w:w="1043"/>
              <w:gridCol w:w="1043"/>
              <w:gridCol w:w="1043"/>
              <w:gridCol w:w="1043"/>
              <w:gridCol w:w="1564"/>
            </w:tblGrid>
            <w:tr>
              <w:trPr>
                <w:trHeight w:val="390"/>
              </w:trPr>
              <w:tc>
                <w:tcPr>
                  <w:tcW w:w="8167"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431"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43"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129"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564"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368"/>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3402"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043"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488"/>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1462.65</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844.58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238.75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r>
            <w:tr>
              <w:trPr>
                <w:trHeight w:val="42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1462.65</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844.58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238.75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r>
            <w:tr>
              <w:trPr>
                <w:trHeight w:val="44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1083.33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844.58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238.75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一般行政管理事务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135.73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135.73</w:t>
                  </w:r>
                </w:p>
              </w:tc>
            </w:tr>
            <w:tr>
              <w:trPr>
                <w:trHeight w:val="44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专项普查活动</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243.59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243.59</w:t>
                  </w:r>
                </w:p>
              </w:tc>
            </w:tr>
            <w:tr>
              <w:trPr>
                <w:trHeight w:val="483"/>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1"/>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278.38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25"/>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164.84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113.54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113.54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113.54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39"/>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0"/>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95.22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2"/>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88.04</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54"/>
              </w:trPr>
              <w:tc>
                <w:tcPr>
                  <w:tcW w:w="2431"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1924.29</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1544.97</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1306.22</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238.75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379.32</w:t>
                  </w:r>
                </w:p>
              </w:tc>
            </w:tr>
          </w:tbl>
          <w:p>
            <w:pPr>
              <w:widowControl/>
              <w:jc w:val="center"/>
              <w:rPr>
                <w:rFonts w:eastAsia="方正小标宋简体"/>
                <w:kern w:val="0"/>
                <w:sz w:val="44"/>
                <w:szCs w:val="44"/>
              </w:rPr>
            </w:pPr>
          </w:p>
        </w:tc>
      </w:tr>
    </w:tbl>
    <w:p>
      <w:pPr>
        <w:ind w:left="0"/>
        <w:rPr>
          <w:rFonts w:eastAsia="楷体"/>
        </w:rPr>
      </w:pPr>
    </w:p>
    <w:tbl>
      <w:tblPr>
        <w:jc w:val="cent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812"/>
        </w:trPr>
        <w:tc>
          <w:tcPr>
            <w:tcW w:w="3176"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hint="eastAsia"/>
                <w:kern w:val="0"/>
                <w:sz w:val="20"/>
              </w:rPr>
              <w:t>部门预算支出</w:t>
            </w:r>
            <w:r>
              <w:rPr>
                <w:rFonts w:eastAsia="华文细黑"/>
                <w:kern w:val="0"/>
                <w:sz w:val="20"/>
              </w:rPr>
              <w:t>经济分类科目</w:t>
            </w:r>
          </w:p>
        </w:tc>
        <w:tc>
          <w:tcPr>
            <w:tcW w:w="2220" w:type="dxa"/>
            <w:tcBorders>
              <w:top w:val="single" w:sz="4" w:space="0" w:color="auto"/>
              <w:left w:val="single" w:sz="4" w:space="0" w:color="auto"/>
              <w:bottom w:val="nil"/>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bottom w:val="nil"/>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1137.35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kern w:val="0"/>
                <w:sz w:val="20"/>
              </w:rPr>
              <w:t>1137.35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442.99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442.99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184.55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184.55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186.32</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186.32</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113.54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113.54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31.96</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31.96</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49.81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49.81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20.36</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20.36</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88.04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88.04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9.20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9.20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10.58</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10.58</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219.35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r>
              <w:rPr>
                <w:rFonts w:eastAsia="宋体"/>
                <w:kern w:val="0"/>
                <w:sz w:val="20"/>
              </w:rPr>
              <w:t>219.35</w:t>
            </w: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11.50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11.50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4.00</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咨询费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10.25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10.25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1.66</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邮电费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7.23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7.23</w:t>
            </w:r>
          </w:p>
        </w:tc>
      </w:tr>
    </w:tbl>
    <w:p>
      <w:pPr>
        <w:jc w:val="cente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续表</w:t>
      </w:r>
    </w:p>
    <w:p>
      <w:pPr>
        <w:ind w:firstLineChars="250" w:firstLine="500"/>
      </w:pPr>
      <w:r>
        <w:rPr>
          <w:rFonts w:eastAsia="华文细黑"/>
          <w:kern w:val="0"/>
          <w:sz w:val="20"/>
        </w:rPr>
        <w:t xml:space="preserve">                                                                         </w:t>
      </w:r>
      <w:r>
        <w:rPr>
          <w:rFonts w:eastAsia="华文细黑" w:hint="eastAsia"/>
          <w:kern w:val="0"/>
          <w:sz w:val="20"/>
        </w:rPr>
        <w:t>单位：万元</w:t>
      </w:r>
    </w:p>
    <w:tbl>
      <w:tblPr>
        <w:jc w:val="cent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48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取暖费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w:t>
            </w:r>
          </w:p>
        </w:tc>
      </w:tr>
      <w:tr>
        <w:trPr>
          <w:trHeight w:val="484"/>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15.10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15.10</w:t>
            </w:r>
          </w:p>
        </w:tc>
      </w:tr>
      <w:tr>
        <w:trPr>
          <w:trHeight w:val="515"/>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维修（护）费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4.07</w:t>
            </w:r>
          </w:p>
        </w:tc>
      </w:tr>
      <w:tr>
        <w:trPr>
          <w:trHeight w:val="52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10.46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10.46</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13.35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13.35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公务接待费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1.41</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8.64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8.64</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48.27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48.27</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公务用车运行维护费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3.33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3.33</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60.12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60.12</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18.22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18.22</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168.87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168.87</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离休费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18.25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18.25</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146.59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146.59</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4.03</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19.39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19.39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19.39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19.39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1544.96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1306.22</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238.74</w:t>
            </w:r>
          </w:p>
        </w:tc>
      </w:tr>
    </w:tbl>
    <w:p>
      <w:pPr>
        <w:ind w:left="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4.74</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1.41</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3.33</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3.33</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rPr>
                <w:color w:val="000000"/>
                <w:kern w:val="0"/>
                <w:sz w:val="28"/>
                <w:szCs w:val="28"/>
              </w:rPr>
            </w:pPr>
            <w:r>
              <w:rPr>
                <w:color w:val="000000"/>
                <w:kern w:val="0"/>
                <w:sz w:val="28"/>
                <w:szCs w:val="28"/>
              </w:rPr>
              <w:t>说明：</w:t>
            </w:r>
            <w:r>
              <w:rPr>
                <w:color w:val="000000"/>
                <w:kern w:val="0"/>
                <w:sz w:val="28"/>
                <w:szCs w:val="28"/>
              </w:rPr>
              <w:br/>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的单位范围包括单位本级</w:t>
            </w:r>
            <w:r>
              <w:rPr>
                <w:rFonts w:eastAsia="宋体"/>
                <w:color w:val="000000"/>
                <w:kern w:val="0"/>
                <w:sz w:val="28"/>
                <w:szCs w:val="28"/>
              </w:rPr>
              <w:t xml:space="preserve"> 1 </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98</w:t>
            </w:r>
            <w:r>
              <w:rPr>
                <w:color w:val="000000"/>
                <w:kern w:val="0"/>
                <w:sz w:val="28"/>
                <w:szCs w:val="28"/>
              </w:rPr>
              <w:t>人，其中：在职人员</w:t>
            </w:r>
            <w:r>
              <w:rPr>
                <w:rFonts w:eastAsia="宋体"/>
                <w:color w:val="000000"/>
                <w:kern w:val="0"/>
                <w:sz w:val="28"/>
                <w:szCs w:val="28"/>
              </w:rPr>
              <w:t>46</w:t>
            </w:r>
            <w:r>
              <w:rPr>
                <w:rFonts w:eastAsia="宋体"/>
                <w:color w:val="000000"/>
                <w:kern w:val="0"/>
                <w:sz w:val="28"/>
                <w:szCs w:val="28"/>
                <w:u w:color="auto"/>
              </w:rPr>
              <w:t>人，离</w:t>
            </w:r>
            <w:r>
              <w:rPr>
                <w:color w:val="000000"/>
                <w:kern w:val="0"/>
                <w:sz w:val="28"/>
                <w:szCs w:val="28"/>
              </w:rPr>
              <w:t>退休人员</w:t>
            </w:r>
            <w:r>
              <w:rPr>
                <w:rFonts w:eastAsia="宋体"/>
                <w:color w:val="000000"/>
                <w:kern w:val="0"/>
                <w:sz w:val="28"/>
                <w:szCs w:val="28"/>
              </w:rPr>
              <w:t>52人。</w:t>
            </w:r>
          </w:p>
        </w:tc>
      </w:tr>
    </w:tbl>
    <w:p>
      <w:pPr>
        <w:ind w:left="0"/>
        <w:rPr>
          <w:rFonts w:eastAsia="楷体"/>
        </w:rPr>
      </w:pPr>
    </w:p>
    <w:p>
      <w:pPr>
        <w:ind w:firstLineChars="200" w:firstLine="640"/>
        <w:rPr>
          <w:rFonts w:eastAsia="楷体"/>
          <w:shd w:val="solid" w:color="FF0000" w:fill="FFFFFF"/>
        </w:rPr>
      </w:pPr>
    </w:p>
    <w:p>
      <w:pPr>
        <w:ind w:firstLineChars="200" w:firstLine="640"/>
        <w:rPr>
          <w:rFonts w:eastAsia="楷体"/>
          <w:shd w:val="solid" w:color="FF0000" w:fill="FFFFFF"/>
        </w:rPr>
      </w:pPr>
      <w:bookmarkStart w:id="0" w:name="_GoBack"/>
      <w:bookmarkEnd w:id="0"/>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sectPr>
          <w:footerReference w:type="default" r:id="rId7"/>
          <w:footerReference w:type="first" r:id="rId8"/>
          <w:pgSz w:w="11907" w:h="16840"/>
          <w:pgMar w:top="2041" w:right="1474" w:bottom="2041" w:left="1474" w:header="851" w:footer="1587" w:gutter="0"/>
          <w:pgNumType w:fmt="numberInDash" w:start="1"/>
          <w:docGrid w:type="lines" w:linePitch="574" w:charSpace="0"/>
        </w:sectPr>
      </w:pPr>
    </w:p>
    <w:p>
      <w:pPr>
        <w:spacing w:line="700" w:lineRule="exact"/>
        <w:ind w:firstLineChars="200" w:firstLine="64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0"/>
        <w:gridCol w:w="2190"/>
        <w:gridCol w:w="2190"/>
        <w:gridCol w:w="2191"/>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368"/>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8"/>
        <w:gridCol w:w="930"/>
        <w:gridCol w:w="900"/>
        <w:gridCol w:w="553"/>
        <w:gridCol w:w="406"/>
        <w:gridCol w:w="810"/>
        <w:gridCol w:w="990"/>
        <w:gridCol w:w="405"/>
        <w:gridCol w:w="450"/>
        <w:gridCol w:w="420"/>
        <w:gridCol w:w="356"/>
        <w:gridCol w:w="710"/>
        <w:gridCol w:w="420"/>
        <w:gridCol w:w="510"/>
        <w:gridCol w:w="562"/>
        <w:gridCol w:w="554"/>
      </w:tblGrid>
      <w:tr>
        <w:trPr>
          <w:trHeight w:val="1273"/>
        </w:trPr>
        <w:tc>
          <w:tcPr>
            <w:tcW w:w="9791"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项目支出预算</w:t>
            </w:r>
            <w:r>
              <w:rPr>
                <w:rFonts w:ascii="Calibri" w:eastAsia="方正小标宋简体" w:hAnsi="Calibri"/>
                <w:kern w:val="0"/>
                <w:sz w:val="44"/>
                <w:szCs w:val="44"/>
              </w:rPr>
              <w:t>表</w:t>
            </w:r>
          </w:p>
          <w:p>
            <w:pPr>
              <w:autoSpaceDN w:val="0"/>
              <w:jc w:val="center"/>
              <w:textAlignment w:val="center"/>
              <w:rPr>
                <w:rFonts w:ascii="Calibri" w:eastAsia="华文细黑" w:hAnsi="Calibri"/>
                <w:color w:val="000000"/>
                <w:sz w:val="20"/>
                <w:szCs w:val="22"/>
              </w:rPr>
            </w:pPr>
          </w:p>
        </w:tc>
      </w:tr>
      <w:tr>
        <w:trPr>
          <w:trHeight w:val="550"/>
        </w:trPr>
        <w:tc>
          <w:tcPr>
            <w:tcW w:w="818" w:type="dxa"/>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1829" w:type="dxa"/>
            <w:gridSpan w:val="2"/>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553" w:type="dxa"/>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406" w:type="dxa"/>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810" w:type="dxa"/>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2620" w:type="dxa"/>
            <w:gridSpan w:val="5"/>
            <w:tcBorders>
              <w:top w:val="nil"/>
              <w:left w:val="nil"/>
              <w:right w:val="nil"/>
            </w:tcBorders>
            <w:noWrap/>
            <w:vAlign w:val="center"/>
          </w:tcPr>
          <w:p>
            <w:pPr>
              <w:autoSpaceDN w:val="0"/>
              <w:jc w:val="center"/>
              <w:textAlignment w:val="center"/>
              <w:rPr>
                <w:rFonts w:ascii="Calibri" w:eastAsia="华文细黑" w:hAnsi="Calibri"/>
                <w:color w:val="000000"/>
                <w:sz w:val="20"/>
                <w:szCs w:val="22"/>
              </w:rPr>
            </w:pPr>
          </w:p>
        </w:tc>
        <w:tc>
          <w:tcPr>
            <w:tcW w:w="2756" w:type="dxa"/>
            <w:gridSpan w:val="5"/>
            <w:tcBorders>
              <w:top w:val="nil"/>
              <w:left w:val="nil"/>
              <w:right w:val="nil"/>
            </w:tcBorders>
            <w:noWrap/>
            <w:vAlign w:val="bottom"/>
          </w:tcPr>
          <w:p>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trPr>
          <w:trHeight w:val="836"/>
        </w:trPr>
        <w:tc>
          <w:tcPr>
            <w:tcW w:w="818" w:type="dxa"/>
            <w:vMerge w:val="restart"/>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类型</w:t>
            </w:r>
          </w:p>
        </w:tc>
        <w:tc>
          <w:tcPr>
            <w:tcW w:w="1829" w:type="dxa"/>
            <w:gridSpan w:val="2"/>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项目名称</w:t>
            </w:r>
          </w:p>
        </w:tc>
        <w:tc>
          <w:tcPr>
            <w:tcW w:w="959" w:type="dxa"/>
            <w:gridSpan w:val="2"/>
            <w:vMerge w:val="restart"/>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部门（单位）名称</w:t>
            </w:r>
          </w:p>
        </w:tc>
        <w:tc>
          <w:tcPr>
            <w:tcW w:w="810" w:type="dxa"/>
            <w:vMerge w:val="restart"/>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2620" w:type="dxa"/>
            <w:gridSpan w:val="5"/>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本年预算</w:t>
            </w:r>
          </w:p>
        </w:tc>
        <w:tc>
          <w:tcPr>
            <w:tcW w:w="2756" w:type="dxa"/>
            <w:gridSpan w:val="5"/>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上年结转结余</w:t>
            </w:r>
          </w:p>
        </w:tc>
      </w:tr>
      <w:tr>
        <w:trPr>
          <w:trHeight w:val="836"/>
        </w:trPr>
        <w:tc>
          <w:tcPr>
            <w:tcW w:w="472" w:type="dxa"/>
            <w:vMerge/>
            <w:noWrap/>
            <w:vAlign w:val="center"/>
          </w:tcPr>
          <w:p/>
        </w:tc>
        <w:tc>
          <w:tcPr>
            <w:tcW w:w="930" w:type="dxa"/>
            <w:vMerge w:val="restart"/>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900" w:type="dxa"/>
            <w:vMerge w:val="restart"/>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二级  项目</w:t>
            </w:r>
          </w:p>
        </w:tc>
        <w:tc>
          <w:tcPr>
            <w:tcW w:w="865" w:type="dxa"/>
            <w:gridSpan w:val="2"/>
            <w:vMerge/>
            <w:noWrap/>
            <w:textDirection w:val="tbLrV"/>
            <w:vAlign w:val="center"/>
          </w:tcPr>
          <w:p/>
        </w:tc>
        <w:tc>
          <w:tcPr>
            <w:tcW w:w="540" w:type="dxa"/>
            <w:vMerge/>
            <w:noWrap/>
            <w:vAlign w:val="center"/>
          </w:tcPr>
          <w:p/>
        </w:tc>
        <w:tc>
          <w:tcPr>
            <w:tcW w:w="1844" w:type="dxa"/>
            <w:gridSpan w:val="3"/>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420" w:type="dxa"/>
            <w:vMerge w:val="restart"/>
            <w:noWrap/>
            <w:textDirection w:val="tbLr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356" w:type="dxa"/>
            <w:vMerge w:val="restart"/>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c>
          <w:tcPr>
            <w:tcW w:w="1640" w:type="dxa"/>
            <w:gridSpan w:val="3"/>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财政拨款结转</w:t>
            </w:r>
          </w:p>
        </w:tc>
        <w:tc>
          <w:tcPr>
            <w:tcW w:w="1116" w:type="dxa"/>
            <w:gridSpan w:val="2"/>
            <w:noWrap/>
            <w:vAlign w:val="center"/>
          </w:tcPr>
          <w:p>
            <w:pPr>
              <w:tabs>
                <w:tab w:val="left" w:pos="492"/>
              </w:tabs>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非财政拨款结转结余</w:t>
            </w:r>
          </w:p>
        </w:tc>
      </w:tr>
      <w:tr>
        <w:trPr>
          <w:trHeight w:val="2876"/>
        </w:trPr>
        <w:tc>
          <w:tcPr>
            <w:tcW w:w="472" w:type="dxa"/>
            <w:vMerge/>
            <w:noWrap/>
            <w:vAlign w:val="center"/>
          </w:tcPr>
          <w:p/>
        </w:tc>
        <w:tc>
          <w:tcPr>
            <w:tcW w:w="780" w:type="dxa"/>
            <w:vMerge/>
            <w:noWrap/>
            <w:vAlign w:val="center"/>
          </w:tcPr>
          <w:p/>
        </w:tc>
        <w:tc>
          <w:tcPr>
            <w:tcW w:w="827" w:type="dxa"/>
            <w:vMerge/>
            <w:noWrap/>
            <w:vAlign w:val="center"/>
          </w:tcPr>
          <w:p/>
        </w:tc>
        <w:tc>
          <w:tcPr>
            <w:tcW w:w="959" w:type="dxa"/>
            <w:gridSpan w:val="2"/>
            <w:vMerge/>
            <w:noWrap/>
            <w:vAlign w:val="center"/>
          </w:tcPr>
          <w:p/>
        </w:tc>
        <w:tc>
          <w:tcPr>
            <w:tcW w:w="540" w:type="dxa"/>
            <w:vMerge/>
            <w:noWrap/>
            <w:vAlign w:val="center"/>
          </w:tcPr>
          <w:p/>
        </w:tc>
        <w:tc>
          <w:tcPr>
            <w:tcW w:w="990"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405"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预算</w:t>
            </w:r>
          </w:p>
        </w:tc>
        <w:tc>
          <w:tcPr>
            <w:tcW w:w="450"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国有资本经营预算</w:t>
            </w:r>
          </w:p>
        </w:tc>
        <w:tc>
          <w:tcPr>
            <w:tcW w:w="552" w:type="dxa"/>
            <w:vMerge/>
            <w:noWrap/>
            <w:textDirection w:val="tbLrV"/>
            <w:vAlign w:val="center"/>
          </w:tcPr>
          <w:p/>
        </w:tc>
        <w:tc>
          <w:tcPr>
            <w:tcW w:w="540" w:type="dxa"/>
            <w:vMerge/>
            <w:noWrap/>
            <w:textDirection w:val="tbLrV"/>
            <w:vAlign w:val="center"/>
          </w:tcPr>
          <w:p/>
        </w:tc>
        <w:tc>
          <w:tcPr>
            <w:tcW w:w="710"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br/>
              <w:t>公共</w:t>
              <w:br/>
              <w:t>预算</w:t>
            </w:r>
          </w:p>
        </w:tc>
        <w:tc>
          <w:tcPr>
            <w:tcW w:w="420"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br/>
              <w:t>基金</w:t>
              <w:br/>
              <w:t>预算</w:t>
            </w:r>
          </w:p>
        </w:tc>
        <w:tc>
          <w:tcPr>
            <w:tcW w:w="510"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br/>
              <w:t>预算</w:t>
            </w:r>
          </w:p>
        </w:tc>
        <w:tc>
          <w:tcPr>
            <w:tcW w:w="562" w:type="dxa"/>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财政专户管理力资金</w:t>
            </w:r>
          </w:p>
        </w:tc>
        <w:tc>
          <w:tcPr>
            <w:tcW w:w="554" w:type="dxa"/>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700"/>
        </w:trPr>
        <w:tc>
          <w:tcPr>
            <w:tcW w:w="818" w:type="dxa"/>
            <w:noWrap/>
            <w:vAlign w:val="center"/>
          </w:tcPr>
          <w:p>
            <w:pPr>
              <w:widowControl/>
              <w:jc w:val="center"/>
              <w:rPr>
                <w:rFonts w:eastAsia="华文细黑"/>
                <w:color w:val="000000"/>
                <w:kern w:val="0"/>
                <w:sz w:val="20"/>
              </w:rPr>
            </w:pPr>
            <w:r>
              <w:rPr>
                <w:rFonts w:eastAsia="华文细黑"/>
                <w:color w:val="000000"/>
                <w:kern w:val="0"/>
                <w:sz w:val="20"/>
              </w:rPr>
              <w:t>专项业务支出</w:t>
            </w:r>
          </w:p>
        </w:tc>
        <w:tc>
          <w:tcPr>
            <w:tcW w:w="930" w:type="dxa"/>
            <w:noWrap/>
            <w:vAlign w:val="center"/>
          </w:tcPr>
          <w:p>
            <w:pPr>
              <w:widowControl/>
              <w:jc w:val="center"/>
              <w:rPr>
                <w:rFonts w:eastAsia="华文细黑"/>
                <w:color w:val="000000"/>
                <w:kern w:val="0"/>
                <w:sz w:val="20"/>
              </w:rPr>
            </w:pPr>
          </w:p>
        </w:tc>
        <w:tc>
          <w:tcPr>
            <w:tcW w:w="900" w:type="dxa"/>
            <w:noWrap/>
            <w:vAlign w:val="center"/>
          </w:tcPr>
          <w:p>
            <w:pPr>
              <w:widowControl/>
              <w:jc w:val="center"/>
              <w:rPr>
                <w:rFonts w:eastAsia="华文细黑"/>
                <w:color w:val="000000"/>
                <w:kern w:val="0"/>
                <w:sz w:val="20"/>
              </w:rPr>
            </w:pPr>
          </w:p>
        </w:tc>
        <w:tc>
          <w:tcPr>
            <w:tcW w:w="959" w:type="dxa"/>
            <w:gridSpan w:val="2"/>
            <w:noWrap/>
            <w:vAlign w:val="center"/>
          </w:tcPr>
          <w:p>
            <w:pPr>
              <w:widowControl/>
              <w:jc w:val="center"/>
              <w:rPr>
                <w:rFonts w:eastAsia="华文细黑"/>
                <w:color w:val="000000"/>
                <w:kern w:val="0"/>
                <w:sz w:val="20"/>
              </w:rPr>
            </w:pP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379.32</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373.94</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r>
              <w:rPr>
                <w:rFonts w:eastAsia="华文细黑"/>
                <w:color w:val="000000"/>
                <w:kern w:val="0"/>
                <w:sz w:val="20"/>
              </w:rPr>
              <w:t>5.38</w:t>
            </w: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r>
        <w:trPr>
          <w:trHeight w:val="700"/>
        </w:trPr>
        <w:tc>
          <w:tcPr>
            <w:tcW w:w="818" w:type="dxa"/>
            <w:noWrap/>
            <w:vAlign w:val="center"/>
          </w:tcPr>
          <w:p>
            <w:pPr>
              <w:widowControl/>
              <w:jc w:val="center"/>
              <w:rPr>
                <w:rFonts w:eastAsia="华文细黑"/>
                <w:color w:val="000000"/>
                <w:kern w:val="0"/>
                <w:sz w:val="20"/>
              </w:rPr>
            </w:pPr>
          </w:p>
        </w:tc>
        <w:tc>
          <w:tcPr>
            <w:tcW w:w="930" w:type="dxa"/>
            <w:noWrap/>
            <w:vAlign w:val="center"/>
          </w:tcPr>
          <w:p>
            <w:pPr>
              <w:widowControl/>
              <w:jc w:val="center"/>
              <w:rPr>
                <w:rFonts w:eastAsia="华文细黑"/>
                <w:color w:val="000000"/>
                <w:kern w:val="0"/>
                <w:sz w:val="20"/>
              </w:rPr>
            </w:pPr>
            <w:r>
              <w:rPr>
                <w:rFonts w:eastAsia="华文细黑"/>
                <w:color w:val="000000"/>
                <w:kern w:val="0"/>
                <w:sz w:val="20"/>
              </w:rPr>
              <w:t>专项普查活动</w:t>
            </w:r>
          </w:p>
        </w:tc>
        <w:tc>
          <w:tcPr>
            <w:tcW w:w="900" w:type="dxa"/>
            <w:noWrap/>
            <w:vAlign w:val="center"/>
          </w:tcPr>
          <w:p>
            <w:pPr>
              <w:widowControl/>
              <w:jc w:val="center"/>
              <w:rPr>
                <w:rFonts w:eastAsia="华文细黑"/>
                <w:color w:val="000000"/>
                <w:kern w:val="0"/>
                <w:sz w:val="20"/>
              </w:rPr>
            </w:pPr>
          </w:p>
        </w:tc>
        <w:tc>
          <w:tcPr>
            <w:tcW w:w="959" w:type="dxa"/>
            <w:gridSpan w:val="2"/>
            <w:noWrap/>
            <w:vAlign w:val="center"/>
          </w:tcPr>
          <w:p>
            <w:pPr>
              <w:widowControl/>
              <w:jc w:val="center"/>
              <w:rPr>
                <w:rFonts w:eastAsia="华文细黑"/>
                <w:color w:val="000000"/>
                <w:kern w:val="0"/>
                <w:sz w:val="20"/>
              </w:rPr>
            </w:pP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243.59</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243.59</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r>
        <w:trPr>
          <w:trHeight w:val="700"/>
        </w:trPr>
        <w:tc>
          <w:tcPr>
            <w:tcW w:w="818" w:type="dxa"/>
            <w:noWrap/>
            <w:vAlign w:val="center"/>
          </w:tcPr>
          <w:p>
            <w:pPr>
              <w:widowControl/>
              <w:jc w:val="center"/>
              <w:rPr>
                <w:rFonts w:eastAsia="华文细黑"/>
                <w:color w:val="000000"/>
                <w:kern w:val="0"/>
                <w:sz w:val="20"/>
              </w:rPr>
            </w:pPr>
          </w:p>
        </w:tc>
        <w:tc>
          <w:tcPr>
            <w:tcW w:w="930" w:type="dxa"/>
            <w:noWrap/>
            <w:vAlign w:val="center"/>
          </w:tcPr>
          <w:p>
            <w:pPr>
              <w:widowControl/>
              <w:jc w:val="center"/>
              <w:rPr>
                <w:rFonts w:eastAsia="华文细黑"/>
                <w:color w:val="000000"/>
                <w:kern w:val="0"/>
                <w:sz w:val="20"/>
              </w:rPr>
            </w:pPr>
          </w:p>
        </w:tc>
        <w:tc>
          <w:tcPr>
            <w:tcW w:w="900" w:type="dxa"/>
            <w:noWrap/>
            <w:vAlign w:val="center"/>
          </w:tcPr>
          <w:p>
            <w:pPr>
              <w:widowControl/>
              <w:jc w:val="center"/>
              <w:rPr>
                <w:rFonts w:eastAsia="华文细黑"/>
                <w:color w:val="000000"/>
                <w:kern w:val="0"/>
                <w:sz w:val="20"/>
              </w:rPr>
            </w:pPr>
            <w:r>
              <w:rPr>
                <w:rFonts w:eastAsia="华文细黑"/>
                <w:color w:val="000000"/>
                <w:kern w:val="0"/>
                <w:sz w:val="20"/>
              </w:rPr>
              <w:t>第五次全国经济普查经费</w:t>
            </w:r>
          </w:p>
        </w:tc>
        <w:tc>
          <w:tcPr>
            <w:tcW w:w="959" w:type="dxa"/>
            <w:gridSpan w:val="2"/>
            <w:noWrap/>
            <w:vAlign w:val="center"/>
          </w:tcPr>
          <w:p>
            <w:pPr>
              <w:widowControl/>
              <w:jc w:val="center"/>
              <w:rPr>
                <w:rFonts w:eastAsia="华文细黑"/>
                <w:color w:val="000000"/>
                <w:kern w:val="0"/>
                <w:sz w:val="20"/>
              </w:rPr>
            </w:pPr>
            <w:r>
              <w:rPr>
                <w:rFonts w:eastAsia="华文细黑"/>
                <w:color w:val="000000"/>
                <w:kern w:val="0"/>
                <w:sz w:val="20"/>
              </w:rPr>
              <w:t>长春市统计局（本级）</w:t>
            </w: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243.59</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243.59</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r>
        <w:trPr>
          <w:trHeight w:val="700"/>
        </w:trPr>
        <w:tc>
          <w:tcPr>
            <w:tcW w:w="818" w:type="dxa"/>
            <w:noWrap/>
            <w:vAlign w:val="center"/>
          </w:tcPr>
          <w:p>
            <w:pPr>
              <w:widowControl/>
              <w:jc w:val="center"/>
              <w:rPr>
                <w:rFonts w:eastAsia="华文细黑"/>
                <w:color w:val="000000"/>
                <w:kern w:val="0"/>
                <w:sz w:val="20"/>
              </w:rPr>
            </w:pPr>
          </w:p>
        </w:tc>
        <w:tc>
          <w:tcPr>
            <w:tcW w:w="930" w:type="dxa"/>
            <w:noWrap/>
            <w:vAlign w:val="center"/>
          </w:tcPr>
          <w:p>
            <w:pPr>
              <w:widowControl/>
              <w:jc w:val="center"/>
              <w:rPr>
                <w:rFonts w:eastAsia="华文细黑"/>
                <w:color w:val="000000"/>
                <w:kern w:val="0"/>
                <w:sz w:val="20"/>
              </w:rPr>
            </w:pPr>
            <w:r>
              <w:rPr>
                <w:rFonts w:eastAsia="华文细黑"/>
                <w:color w:val="000000"/>
                <w:kern w:val="0"/>
                <w:sz w:val="20"/>
              </w:rPr>
              <w:t>专项统计业务</w:t>
            </w:r>
          </w:p>
        </w:tc>
        <w:tc>
          <w:tcPr>
            <w:tcW w:w="900" w:type="dxa"/>
            <w:noWrap/>
            <w:vAlign w:val="center"/>
          </w:tcPr>
          <w:p>
            <w:pPr>
              <w:widowControl/>
              <w:jc w:val="center"/>
              <w:rPr>
                <w:rFonts w:eastAsia="华文细黑"/>
                <w:color w:val="000000"/>
                <w:kern w:val="0"/>
                <w:sz w:val="20"/>
              </w:rPr>
            </w:pPr>
          </w:p>
        </w:tc>
        <w:tc>
          <w:tcPr>
            <w:tcW w:w="959" w:type="dxa"/>
            <w:gridSpan w:val="2"/>
            <w:noWrap/>
            <w:vAlign w:val="center"/>
          </w:tcPr>
          <w:p>
            <w:pPr>
              <w:widowControl/>
              <w:jc w:val="center"/>
              <w:rPr>
                <w:rFonts w:eastAsia="华文细黑"/>
                <w:color w:val="000000"/>
                <w:kern w:val="0"/>
                <w:sz w:val="20"/>
              </w:rPr>
            </w:pP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135.73</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130.35</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r>
        <w:trPr>
          <w:trHeight w:val="700"/>
        </w:trPr>
        <w:tc>
          <w:tcPr>
            <w:tcW w:w="818" w:type="dxa"/>
            <w:noWrap/>
            <w:vAlign w:val="center"/>
          </w:tcPr>
          <w:p>
            <w:pPr>
              <w:autoSpaceDN w:val="0"/>
              <w:jc w:val="center"/>
              <w:textAlignment w:val="center"/>
              <w:rPr>
                <w:rFonts w:ascii="Calibri" w:eastAsia="华文细黑" w:hAnsi="Calibri"/>
                <w:color w:val="000000"/>
                <w:sz w:val="20"/>
                <w:szCs w:val="22"/>
              </w:rPr>
            </w:pPr>
          </w:p>
        </w:tc>
        <w:tc>
          <w:tcPr>
            <w:tcW w:w="930" w:type="dxa"/>
            <w:noWrap/>
            <w:vAlign w:val="center"/>
          </w:tcPr>
          <w:p>
            <w:pPr>
              <w:autoSpaceDN w:val="0"/>
              <w:jc w:val="right"/>
              <w:textAlignment w:val="center"/>
              <w:rPr>
                <w:rFonts w:ascii="Calibri" w:eastAsia="华文细黑" w:hAnsi="Calibri"/>
                <w:color w:val="000000"/>
                <w:sz w:val="20"/>
                <w:szCs w:val="22"/>
              </w:rPr>
            </w:pPr>
          </w:p>
        </w:tc>
        <w:tc>
          <w:tcPr>
            <w:tcW w:w="900" w:type="dxa"/>
            <w:noWrap/>
            <w:vAlign w:val="center"/>
          </w:tcPr>
          <w:p>
            <w:pPr>
              <w:widowControl/>
              <w:jc w:val="center"/>
              <w:rPr>
                <w:rFonts w:eastAsia="华文细黑"/>
                <w:color w:val="000000"/>
                <w:kern w:val="0"/>
                <w:sz w:val="20"/>
              </w:rPr>
            </w:pPr>
            <w:r>
              <w:rPr>
                <w:rFonts w:eastAsia="华文细黑"/>
                <w:color w:val="000000"/>
                <w:kern w:val="0"/>
                <w:sz w:val="20"/>
              </w:rPr>
              <w:t>统计调查经费</w:t>
            </w:r>
          </w:p>
        </w:tc>
        <w:tc>
          <w:tcPr>
            <w:tcW w:w="959" w:type="dxa"/>
            <w:gridSpan w:val="2"/>
            <w:noWrap/>
            <w:vAlign w:val="center"/>
          </w:tcPr>
          <w:p>
            <w:pPr>
              <w:widowControl/>
              <w:jc w:val="center"/>
              <w:rPr>
                <w:rFonts w:eastAsia="华文细黑"/>
                <w:color w:val="000000"/>
                <w:kern w:val="0"/>
                <w:sz w:val="20"/>
              </w:rPr>
            </w:pPr>
            <w:r>
              <w:rPr>
                <w:rFonts w:eastAsia="华文细黑"/>
                <w:color w:val="000000"/>
                <w:kern w:val="0"/>
                <w:sz w:val="20"/>
              </w:rPr>
              <w:t>长春市统计局（本级）</w:t>
            </w: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135.73</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130.35</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r>
              <w:rPr>
                <w:rFonts w:eastAsia="华文细黑"/>
                <w:color w:val="000000"/>
                <w:kern w:val="0"/>
                <w:sz w:val="20"/>
              </w:rPr>
              <w:t>5.38</w:t>
            </w: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r>
        <w:trPr>
          <w:trHeight w:val="700"/>
        </w:trPr>
        <w:tc>
          <w:tcPr>
            <w:tcW w:w="818" w:type="dxa"/>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930" w:type="dxa"/>
            <w:noWrap/>
            <w:vAlign w:val="center"/>
          </w:tcPr>
          <w:p>
            <w:pPr>
              <w:autoSpaceDN w:val="0"/>
              <w:jc w:val="right"/>
              <w:textAlignment w:val="center"/>
              <w:rPr>
                <w:rFonts w:ascii="Calibri" w:eastAsia="华文细黑" w:hAnsi="Calibri"/>
                <w:color w:val="000000"/>
                <w:sz w:val="20"/>
                <w:szCs w:val="22"/>
              </w:rPr>
            </w:pPr>
          </w:p>
        </w:tc>
        <w:tc>
          <w:tcPr>
            <w:tcW w:w="900" w:type="dxa"/>
            <w:noWrap/>
            <w:vAlign w:val="center"/>
          </w:tcPr>
          <w:p>
            <w:pPr>
              <w:widowControl/>
              <w:jc w:val="center"/>
              <w:rPr>
                <w:rFonts w:eastAsia="华文细黑"/>
                <w:color w:val="000000"/>
                <w:kern w:val="0"/>
                <w:sz w:val="20"/>
              </w:rPr>
            </w:pPr>
          </w:p>
        </w:tc>
        <w:tc>
          <w:tcPr>
            <w:tcW w:w="959" w:type="dxa"/>
            <w:gridSpan w:val="2"/>
            <w:noWrap/>
            <w:vAlign w:val="center"/>
          </w:tcPr>
          <w:p>
            <w:pPr>
              <w:widowControl/>
              <w:jc w:val="center"/>
              <w:rPr>
                <w:rFonts w:eastAsia="华文细黑"/>
                <w:color w:val="000000"/>
                <w:kern w:val="0"/>
                <w:sz w:val="20"/>
              </w:rPr>
            </w:pPr>
          </w:p>
        </w:tc>
        <w:tc>
          <w:tcPr>
            <w:tcW w:w="810" w:type="dxa"/>
            <w:noWrap/>
            <w:vAlign w:val="center"/>
          </w:tcPr>
          <w:p>
            <w:pPr>
              <w:widowControl/>
              <w:jc w:val="center"/>
              <w:rPr>
                <w:rFonts w:eastAsia="华文细黑"/>
                <w:color w:val="000000"/>
                <w:kern w:val="0"/>
                <w:sz w:val="20"/>
              </w:rPr>
            </w:pPr>
            <w:r>
              <w:rPr>
                <w:rFonts w:eastAsia="华文细黑"/>
                <w:color w:val="000000"/>
                <w:kern w:val="0"/>
                <w:sz w:val="20"/>
              </w:rPr>
              <w:t>379.32</w:t>
            </w:r>
          </w:p>
        </w:tc>
        <w:tc>
          <w:tcPr>
            <w:tcW w:w="990" w:type="dxa"/>
            <w:noWrap/>
            <w:vAlign w:val="center"/>
          </w:tcPr>
          <w:p>
            <w:pPr>
              <w:widowControl/>
              <w:jc w:val="center"/>
              <w:rPr>
                <w:rFonts w:eastAsia="华文细黑"/>
                <w:color w:val="000000"/>
                <w:kern w:val="0"/>
                <w:sz w:val="20"/>
              </w:rPr>
            </w:pPr>
            <w:r>
              <w:rPr>
                <w:rFonts w:eastAsia="华文细黑"/>
                <w:color w:val="000000"/>
                <w:kern w:val="0"/>
                <w:sz w:val="20"/>
              </w:rPr>
              <w:t>373.94</w:t>
            </w:r>
          </w:p>
        </w:tc>
        <w:tc>
          <w:tcPr>
            <w:tcW w:w="405" w:type="dxa"/>
            <w:noWrap/>
            <w:vAlign w:val="center"/>
          </w:tcPr>
          <w:p>
            <w:pPr>
              <w:widowControl/>
              <w:jc w:val="center"/>
              <w:rPr>
                <w:rFonts w:eastAsia="华文细黑"/>
                <w:color w:val="000000"/>
                <w:kern w:val="0"/>
                <w:sz w:val="20"/>
              </w:rPr>
            </w:pPr>
          </w:p>
        </w:tc>
        <w:tc>
          <w:tcPr>
            <w:tcW w:w="450" w:type="dxa"/>
            <w:noWrap/>
            <w:vAlign w:val="center"/>
          </w:tcPr>
          <w:p>
            <w:pPr>
              <w:widowControl/>
              <w:jc w:val="center"/>
              <w:rPr>
                <w:rFonts w:eastAsia="华文细黑"/>
                <w:color w:val="000000"/>
                <w:kern w:val="0"/>
                <w:sz w:val="20"/>
              </w:rPr>
            </w:pPr>
          </w:p>
        </w:tc>
        <w:tc>
          <w:tcPr>
            <w:tcW w:w="420" w:type="dxa"/>
            <w:noWrap/>
            <w:vAlign w:val="center"/>
          </w:tcPr>
          <w:p>
            <w:pPr>
              <w:widowControl/>
              <w:jc w:val="center"/>
              <w:rPr>
                <w:rFonts w:eastAsia="华文细黑"/>
                <w:color w:val="000000"/>
                <w:kern w:val="0"/>
                <w:sz w:val="20"/>
              </w:rPr>
            </w:pPr>
          </w:p>
        </w:tc>
        <w:tc>
          <w:tcPr>
            <w:tcW w:w="356" w:type="dxa"/>
            <w:noWrap/>
            <w:vAlign w:val="center"/>
          </w:tcPr>
          <w:p>
            <w:pPr>
              <w:widowControl/>
              <w:jc w:val="center"/>
              <w:rPr>
                <w:rFonts w:eastAsia="华文细黑"/>
                <w:color w:val="000000"/>
                <w:kern w:val="0"/>
                <w:sz w:val="20"/>
              </w:rPr>
            </w:pPr>
          </w:p>
        </w:tc>
        <w:tc>
          <w:tcPr>
            <w:tcW w:w="710" w:type="dxa"/>
            <w:noWrap/>
            <w:vAlign w:val="center"/>
          </w:tcPr>
          <w:p>
            <w:pPr>
              <w:widowControl/>
              <w:jc w:val="center"/>
              <w:rPr>
                <w:rFonts w:eastAsia="华文细黑"/>
                <w:color w:val="000000"/>
                <w:kern w:val="0"/>
                <w:sz w:val="20"/>
              </w:rPr>
            </w:pPr>
            <w:r>
              <w:rPr>
                <w:rFonts w:eastAsia="华文细黑"/>
                <w:color w:val="000000"/>
                <w:kern w:val="0"/>
                <w:sz w:val="20"/>
              </w:rPr>
              <w:t>5.38</w:t>
            </w:r>
          </w:p>
        </w:tc>
        <w:tc>
          <w:tcPr>
            <w:tcW w:w="420" w:type="dxa"/>
            <w:noWrap/>
            <w:vAlign w:val="center"/>
          </w:tcPr>
          <w:p>
            <w:pPr>
              <w:widowControl/>
              <w:jc w:val="center"/>
              <w:rPr>
                <w:rFonts w:eastAsia="华文细黑"/>
                <w:color w:val="000000"/>
                <w:kern w:val="0"/>
                <w:sz w:val="20"/>
              </w:rPr>
            </w:pPr>
          </w:p>
        </w:tc>
        <w:tc>
          <w:tcPr>
            <w:tcW w:w="510" w:type="dxa"/>
            <w:noWrap/>
            <w:vAlign w:val="center"/>
          </w:tcPr>
          <w:p>
            <w:pPr>
              <w:widowControl/>
              <w:jc w:val="center"/>
              <w:rPr>
                <w:rFonts w:eastAsia="华文细黑"/>
                <w:color w:val="000000"/>
                <w:kern w:val="0"/>
                <w:sz w:val="20"/>
              </w:rPr>
            </w:pPr>
          </w:p>
        </w:tc>
        <w:tc>
          <w:tcPr>
            <w:tcW w:w="562" w:type="dxa"/>
            <w:noWrap/>
            <w:vAlign w:val="center"/>
          </w:tcPr>
          <w:p>
            <w:pPr>
              <w:widowControl/>
              <w:jc w:val="center"/>
              <w:rPr>
                <w:rFonts w:eastAsia="华文细黑"/>
                <w:color w:val="000000"/>
                <w:kern w:val="0"/>
                <w:sz w:val="20"/>
              </w:rPr>
            </w:pPr>
          </w:p>
        </w:tc>
        <w:tc>
          <w:tcPr>
            <w:tcW w:w="554" w:type="dxa"/>
            <w:noWrap/>
            <w:vAlign w:val="center"/>
          </w:tcPr>
          <w:p>
            <w:pPr>
              <w:widowControl/>
              <w:jc w:val="center"/>
              <w:rPr>
                <w:rFonts w:eastAsia="华文细黑"/>
                <w:color w:val="000000"/>
                <w:kern w:val="0"/>
                <w:sz w:val="20"/>
              </w:rPr>
            </w:pPr>
          </w:p>
        </w:tc>
      </w:tr>
    </w:tbl>
    <w:p>
      <w:pPr>
        <w:ind w:firstLineChars="200" w:firstLine="640"/>
        <w:rPr>
          <w:rFonts w:eastAsia="楷体"/>
        </w:rPr>
      </w:pPr>
    </w:p>
    <w:p>
      <w:pPr>
        <w:ind w:firstLineChars="200" w:firstLine="640"/>
        <w:rPr>
          <w:rFonts w:eastAsia="楷体"/>
        </w:rPr>
        <w:sectPr>
          <w:pgSz w:w="11907" w:h="16840"/>
          <w:pgMar w:top="2041" w:right="1588" w:bottom="2041" w:left="1588" w:header="851" w:footer="1588" w:gutter="0"/>
          <w:pgNumType w:fmt="numberInDash"/>
          <w:titlePg/>
          <w:docGrid w:type="lines" w:linePitch="574" w:charSpace="-1675"/>
        </w:sectPr>
      </w:pPr>
    </w:p>
    <w:tbl>
      <w:tblPr>
        <w:tblpPr w:leftFromText="180" w:rightFromText="180" w:vertAnchor="text" w:tblpX="90" w:tblpY="337"/>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1089"/>
      </w:tblGrid>
      <w:tr>
        <w:trPr>
          <w:trHeight w:val="1087"/>
        </w:trPr>
        <w:tc>
          <w:tcPr>
            <w:tcW w:w="9066" w:type="dxa"/>
            <w:gridSpan w:val="9"/>
            <w:tcBorders>
              <w:top w:val="nil"/>
              <w:left w:val="nil"/>
              <w:bottom w:val="nil"/>
              <w:right w:val="nil"/>
            </w:tcBorders>
            <w:noWrap/>
            <w:vAlign w:val="center"/>
          </w:tcPr>
          <w:p>
            <w:pPr>
              <w:jc w:val="center"/>
              <w:rPr>
                <w:rFonts w:ascii="华文细黑" w:eastAsia="华文细黑" w:cs="华文细黑"/>
                <w:kern w:val="0"/>
                <w:sz w:val="20"/>
              </w:rPr>
            </w:pPr>
            <w:r>
              <w:rPr>
                <w:rFonts w:ascii="Calibri" w:eastAsia="方正小标宋简体" w:hAnsi="Calibri" w:hint="eastAsia"/>
                <w:kern w:val="0"/>
                <w:sz w:val="44"/>
                <w:szCs w:val="44"/>
              </w:rPr>
              <w:t>财政拨款委托业务费支出预算表</w:t>
            </w:r>
          </w:p>
        </w:tc>
      </w:tr>
      <w:tr>
        <w:trPr>
          <w:trHeight w:val="721"/>
        </w:trPr>
        <w:tc>
          <w:tcPr>
            <w:tcW w:w="9066" w:type="dxa"/>
            <w:gridSpan w:val="9"/>
            <w:tcBorders>
              <w:top w:val="nil"/>
              <w:left w:val="nil"/>
              <w:bottom w:val="single" w:sz="4" w:space="0" w:color="auto"/>
              <w:right w:val="nil"/>
            </w:tcBorders>
            <w:noWrap/>
            <w:vAlign w:val="bottom"/>
          </w:tcPr>
          <w:p>
            <w:pPr>
              <w:jc w:val="right"/>
              <w:rPr>
                <w:rFonts w:ascii="华文细黑" w:eastAsia="华文细黑" w:cs="华文细黑"/>
                <w:kern w:val="0"/>
                <w:sz w:val="20"/>
              </w:rPr>
            </w:pPr>
            <w:r>
              <w:rPr>
                <w:rFonts w:ascii="Calibri" w:eastAsia="华文细黑" w:hAnsi="Calibri"/>
                <w:color w:val="000000"/>
                <w:kern w:val="0"/>
                <w:sz w:val="20"/>
                <w:szCs w:val="22"/>
              </w:rPr>
              <w:t>单位：万元</w:t>
            </w:r>
          </w:p>
        </w:tc>
      </w:tr>
      <w:tr>
        <w:trPr>
          <w:trHeight w:val="744"/>
        </w:trPr>
        <w:tc>
          <w:tcPr>
            <w:tcW w:w="1816" w:type="dxa"/>
            <w:vMerge w:val="restart"/>
            <w:tcBorders>
              <w:top w:val="single" w:sz="4" w:space="0" w:color="auto"/>
              <w:bottom w:val="single" w:sz="4" w:space="0" w:color="auto"/>
            </w:tcBorders>
            <w:noWrap/>
            <w:vAlign w:val="center"/>
          </w:tcPr>
          <w:p>
            <w:pPr>
              <w:jc w:val="center"/>
              <w:rPr>
                <w:rFonts w:ascii="华文细黑" w:eastAsia="华文细黑" w:cs="华文细黑"/>
                <w:color w:val="000000"/>
                <w:sz w:val="20"/>
              </w:rPr>
            </w:pPr>
            <w:r>
              <w:rPr>
                <w:rFonts w:ascii="华文细黑" w:eastAsia="华文细黑" w:cs="华文细黑" w:hint="eastAsia"/>
                <w:color w:val="000000"/>
                <w:sz w:val="20"/>
              </w:rPr>
              <w:t>部门/单位/</w:t>
            </w:r>
          </w:p>
          <w:p>
            <w:pPr>
              <w:jc w:val="center"/>
              <w:rPr>
                <w:rFonts w:ascii="华文细黑" w:eastAsia="华文细黑" w:cs="华文细黑"/>
                <w:kern w:val="0"/>
                <w:sz w:val="20"/>
              </w:rPr>
            </w:pPr>
            <w:r>
              <w:rPr>
                <w:rFonts w:ascii="华文细黑" w:eastAsia="华文细黑" w:cs="华文细黑" w:hint="eastAsia"/>
                <w:color w:val="000000"/>
                <w:sz w:val="20"/>
              </w:rPr>
              <w:t>项目名称</w:t>
            </w:r>
          </w:p>
        </w:tc>
        <w:tc>
          <w:tcPr>
            <w:tcW w:w="1284" w:type="dxa"/>
            <w:vMerge w:val="restart"/>
            <w:tcBorders>
              <w:top w:val="single" w:sz="4" w:space="0" w:color="auto"/>
              <w:bottom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color w:val="000000"/>
                <w:sz w:val="20"/>
              </w:rPr>
              <w:t>委托事    项内容</w:t>
            </w:r>
          </w:p>
        </w:tc>
        <w:tc>
          <w:tcPr>
            <w:tcW w:w="2778" w:type="dxa"/>
            <w:gridSpan w:val="4"/>
            <w:tcBorders>
              <w:top w:val="single" w:sz="4" w:space="0" w:color="auto"/>
              <w:bottom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财政拨款收入</w:t>
            </w:r>
          </w:p>
        </w:tc>
        <w:tc>
          <w:tcPr>
            <w:tcW w:w="1063" w:type="dxa"/>
            <w:vMerge w:val="restart"/>
            <w:tcBorders>
              <w:top w:val="single" w:sz="4" w:space="0" w:color="auto"/>
              <w:bottom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是否政府购买服务  （是/否）</w:t>
            </w:r>
          </w:p>
        </w:tc>
        <w:tc>
          <w:tcPr>
            <w:tcW w:w="1036" w:type="dxa"/>
            <w:vMerge w:val="restart"/>
            <w:tcBorders>
              <w:top w:val="single" w:sz="4" w:space="0" w:color="auto"/>
              <w:bottom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是否政  府采购  （是/否）</w:t>
            </w:r>
          </w:p>
        </w:tc>
        <w:tc>
          <w:tcPr>
            <w:tcW w:w="1089" w:type="dxa"/>
            <w:vMerge w:val="restart"/>
            <w:tcBorders>
              <w:top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特殊情况说明</w:t>
            </w:r>
          </w:p>
        </w:tc>
      </w:tr>
      <w:tr>
        <w:trPr>
          <w:trHeight w:val="2147"/>
        </w:trPr>
        <w:tc>
          <w:tcPr>
            <w:tcW w:w="1816" w:type="dxa"/>
            <w:vMerge/>
            <w:tcBorders>
              <w:top w:val="single" w:sz="4" w:space="0" w:color="auto"/>
            </w:tcBorders>
            <w:noWrap/>
            <w:vAlign w:val="center"/>
          </w:tcPr>
          <w:p/>
        </w:tc>
        <w:tc>
          <w:tcPr>
            <w:tcW w:w="1284" w:type="dxa"/>
            <w:vMerge/>
            <w:tcBorders>
              <w:top w:val="single" w:sz="4" w:space="0" w:color="auto"/>
            </w:tcBorders>
            <w:noWrap/>
            <w:vAlign w:val="center"/>
          </w:tcPr>
          <w:p/>
        </w:tc>
        <w:tc>
          <w:tcPr>
            <w:tcW w:w="667" w:type="dxa"/>
            <w:tcBorders>
              <w:top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合计</w:t>
            </w:r>
          </w:p>
        </w:tc>
        <w:tc>
          <w:tcPr>
            <w:tcW w:w="666" w:type="dxa"/>
            <w:tcBorders>
              <w:top w:val="single" w:sz="4" w:space="0" w:color="auto"/>
            </w:tcBorders>
            <w:noWrap/>
            <w:vAlign w:val="center"/>
          </w:tcPr>
          <w:p>
            <w:pPr>
              <w:jc w:val="center"/>
              <w:rPr>
                <w:rFonts w:ascii="华文细黑" w:eastAsia="华文细黑" w:cs="华文细黑"/>
                <w:kern w:val="0"/>
                <w:sz w:val="20"/>
              </w:rPr>
            </w:pPr>
            <w:r>
              <w:rPr>
                <w:rFonts w:ascii="Calibri" w:eastAsia="华文细黑" w:hAnsi="Calibri" w:hint="eastAsia"/>
                <w:color w:val="000000"/>
                <w:sz w:val="20"/>
                <w:szCs w:val="22"/>
              </w:rPr>
              <w:t>一般公共预算拨款收入</w:t>
            </w:r>
          </w:p>
        </w:tc>
        <w:tc>
          <w:tcPr>
            <w:tcW w:w="717" w:type="dxa"/>
            <w:tcBorders>
              <w:top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政府性基金预算拨款收入</w:t>
            </w:r>
          </w:p>
        </w:tc>
        <w:tc>
          <w:tcPr>
            <w:tcW w:w="728" w:type="dxa"/>
            <w:tcBorders>
              <w:top w:val="single" w:sz="4" w:space="0" w:color="auto"/>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国有资本经营预算拨款收入</w:t>
            </w:r>
          </w:p>
        </w:tc>
        <w:tc>
          <w:tcPr>
            <w:tcW w:w="1063" w:type="dxa"/>
            <w:vMerge/>
            <w:tcBorders>
              <w:top w:val="single" w:sz="4" w:space="0" w:color="auto"/>
            </w:tcBorders>
            <w:noWrap/>
            <w:vAlign w:val="center"/>
          </w:tcPr>
          <w:p/>
        </w:tc>
        <w:tc>
          <w:tcPr>
            <w:tcW w:w="1036" w:type="dxa"/>
            <w:vMerge/>
            <w:tcBorders>
              <w:top w:val="single" w:sz="4" w:space="0" w:color="auto"/>
            </w:tcBorders>
            <w:noWrap/>
            <w:vAlign w:val="center"/>
          </w:tcPr>
          <w:p/>
        </w:tc>
        <w:tc>
          <w:tcPr>
            <w:tcW w:w="1089" w:type="dxa"/>
            <w:vMerge/>
            <w:tcBorders>
              <w:top w:val="single" w:sz="4" w:space="0" w:color="auto"/>
            </w:tcBorders>
            <w:noWrap/>
            <w:vAlign w:val="center"/>
          </w:tcPr>
          <w:p/>
        </w:tc>
      </w:tr>
      <w:tr>
        <w:trPr>
          <w:trHeight w:val="568"/>
        </w:trPr>
        <w:tc>
          <w:tcPr>
            <w:tcW w:w="1816" w:type="dxa"/>
            <w:noWrap/>
            <w:vAlign w:val="center"/>
          </w:tcPr>
          <w:p>
            <w:pPr>
              <w:ind w:firstLineChars="100" w:firstLine="200"/>
              <w:rPr>
                <w:rFonts w:ascii="华文细黑" w:eastAsia="华文细黑" w:cs="华文细黑"/>
                <w:kern w:val="0"/>
                <w:sz w:val="20"/>
              </w:rPr>
            </w:pPr>
            <w:r>
              <w:rPr>
                <w:rFonts w:ascii="华文细黑" w:eastAsia="华文细黑" w:cs="华文细黑"/>
                <w:kern w:val="0"/>
                <w:sz w:val="20"/>
              </w:rPr>
              <w:t>长春市统计局（本级）</w:t>
            </w:r>
          </w:p>
        </w:tc>
        <w:tc>
          <w:tcPr>
            <w:tcW w:w="1284" w:type="dxa"/>
            <w:noWrap/>
            <w:vAlign w:val="center"/>
          </w:tcPr>
          <w:p>
            <w:pPr>
              <w:rPr>
                <w:rFonts w:ascii="华文细黑" w:eastAsia="华文细黑" w:cs="华文细黑"/>
                <w:kern w:val="0"/>
                <w:sz w:val="20"/>
              </w:rPr>
            </w:pPr>
          </w:p>
        </w:tc>
        <w:tc>
          <w:tcPr>
            <w:tcW w:w="667" w:type="dxa"/>
            <w:noWrap/>
            <w:vAlign w:val="center"/>
          </w:tcPr>
          <w:p>
            <w:pPr>
              <w:rPr>
                <w:rFonts w:ascii="华文细黑" w:eastAsia="华文细黑" w:cs="华文细黑"/>
                <w:kern w:val="0"/>
                <w:sz w:val="20"/>
              </w:rPr>
            </w:pPr>
            <w:r>
              <w:rPr>
                <w:rFonts w:ascii="华文细黑" w:eastAsia="华文细黑" w:cs="华文细黑"/>
                <w:kern w:val="0"/>
                <w:sz w:val="20"/>
              </w:rPr>
              <w:t>1.20</w:t>
            </w:r>
          </w:p>
        </w:tc>
        <w:tc>
          <w:tcPr>
            <w:tcW w:w="666" w:type="dxa"/>
            <w:noWrap/>
            <w:vAlign w:val="center"/>
          </w:tcPr>
          <w:p>
            <w:pPr>
              <w:rPr>
                <w:rFonts w:ascii="华文细黑" w:eastAsia="华文细黑" w:cs="华文细黑"/>
                <w:kern w:val="0"/>
                <w:sz w:val="20"/>
              </w:rPr>
            </w:pPr>
            <w:r>
              <w:rPr>
                <w:rFonts w:ascii="华文细黑" w:eastAsia="华文细黑" w:cs="华文细黑"/>
                <w:kern w:val="0"/>
                <w:sz w:val="20"/>
              </w:rPr>
              <w:t>1.20</w:t>
            </w:r>
          </w:p>
        </w:tc>
        <w:tc>
          <w:tcPr>
            <w:tcW w:w="717" w:type="dxa"/>
            <w:noWrap/>
            <w:vAlign w:val="center"/>
          </w:tcPr>
          <w:p>
            <w:pPr>
              <w:rPr>
                <w:rFonts w:ascii="华文细黑" w:eastAsia="华文细黑" w:cs="华文细黑"/>
                <w:kern w:val="0"/>
                <w:sz w:val="20"/>
              </w:rPr>
            </w:pPr>
          </w:p>
        </w:tc>
        <w:tc>
          <w:tcPr>
            <w:tcW w:w="728" w:type="dxa"/>
            <w:noWrap/>
            <w:vAlign w:val="center"/>
          </w:tcPr>
          <w:p>
            <w:pPr>
              <w:rPr>
                <w:rFonts w:ascii="华文细黑" w:eastAsia="华文细黑" w:cs="华文细黑"/>
                <w:kern w:val="0"/>
                <w:sz w:val="20"/>
              </w:rPr>
            </w:pPr>
          </w:p>
        </w:tc>
        <w:tc>
          <w:tcPr>
            <w:tcW w:w="1063" w:type="dxa"/>
            <w:noWrap/>
            <w:vAlign w:val="center"/>
          </w:tcPr>
          <w:p>
            <w:pPr>
              <w:rPr>
                <w:rFonts w:ascii="华文细黑" w:eastAsia="华文细黑" w:cs="华文细黑"/>
                <w:kern w:val="0"/>
                <w:sz w:val="20"/>
              </w:rPr>
            </w:pPr>
          </w:p>
        </w:tc>
        <w:tc>
          <w:tcPr>
            <w:tcW w:w="1036" w:type="dxa"/>
            <w:noWrap/>
            <w:vAlign w:val="center"/>
          </w:tcPr>
          <w:p>
            <w:pPr>
              <w:rPr>
                <w:rFonts w:ascii="华文细黑" w:eastAsia="华文细黑" w:cs="华文细黑"/>
                <w:kern w:val="0"/>
                <w:sz w:val="20"/>
              </w:rPr>
            </w:pPr>
          </w:p>
        </w:tc>
        <w:tc>
          <w:tcPr>
            <w:tcW w:w="1089" w:type="dxa"/>
            <w:noWrap/>
            <w:vAlign w:val="center"/>
          </w:tcPr>
          <w:p>
            <w:pPr>
              <w:rPr>
                <w:rFonts w:ascii="华文细黑" w:eastAsia="华文细黑" w:cs="华文细黑"/>
                <w:kern w:val="0"/>
                <w:sz w:val="20"/>
              </w:rPr>
            </w:pPr>
          </w:p>
        </w:tc>
      </w:tr>
      <w:tr>
        <w:trPr>
          <w:trHeight w:val="568"/>
        </w:trPr>
        <w:tc>
          <w:tcPr>
            <w:tcW w:w="1816" w:type="dxa"/>
            <w:noWrap/>
            <w:vAlign w:val="center"/>
          </w:tcPr>
          <w:p>
            <w:pPr>
              <w:ind w:firstLineChars="200" w:firstLine="400"/>
              <w:rPr>
                <w:rFonts w:ascii="华文细黑" w:eastAsia="华文细黑" w:cs="华文细黑"/>
                <w:kern w:val="0"/>
                <w:sz w:val="20"/>
              </w:rPr>
            </w:pPr>
            <w:r>
              <w:rPr>
                <w:rFonts w:ascii="华文细黑" w:eastAsia="华文细黑" w:cs="华文细黑"/>
                <w:kern w:val="0"/>
                <w:sz w:val="20"/>
              </w:rPr>
              <w:t>统计调查经费</w:t>
            </w:r>
          </w:p>
        </w:tc>
        <w:tc>
          <w:tcPr>
            <w:tcW w:w="1284" w:type="dxa"/>
            <w:noWrap/>
            <w:vAlign w:val="center"/>
          </w:tcPr>
          <w:p>
            <w:pPr>
              <w:rPr>
                <w:rFonts w:ascii="华文细黑" w:eastAsia="华文细黑" w:cs="华文细黑"/>
                <w:kern w:val="0"/>
                <w:sz w:val="20"/>
              </w:rPr>
            </w:pPr>
            <w:r>
              <w:rPr>
                <w:rFonts w:ascii="华文细黑" w:eastAsia="华文细黑" w:cs="华文细黑"/>
                <w:kern w:val="0"/>
                <w:sz w:val="20"/>
              </w:rPr>
              <w:t>2024年并未安排委托事项。</w:t>
            </w:r>
          </w:p>
        </w:tc>
        <w:tc>
          <w:tcPr>
            <w:tcW w:w="667" w:type="dxa"/>
            <w:noWrap/>
            <w:vAlign w:val="center"/>
          </w:tcPr>
          <w:p>
            <w:pPr>
              <w:rPr>
                <w:rFonts w:ascii="华文细黑" w:eastAsia="华文细黑" w:cs="华文细黑"/>
                <w:kern w:val="0"/>
                <w:sz w:val="20"/>
              </w:rPr>
            </w:pPr>
            <w:r>
              <w:rPr>
                <w:rFonts w:ascii="华文细黑" w:eastAsia="华文细黑" w:cs="华文细黑"/>
                <w:kern w:val="0"/>
                <w:sz w:val="20"/>
              </w:rPr>
              <w:t>1.20</w:t>
            </w:r>
          </w:p>
        </w:tc>
        <w:tc>
          <w:tcPr>
            <w:tcW w:w="666" w:type="dxa"/>
            <w:noWrap/>
            <w:vAlign w:val="center"/>
          </w:tcPr>
          <w:p>
            <w:pPr>
              <w:rPr>
                <w:rFonts w:ascii="华文细黑" w:eastAsia="华文细黑" w:cs="华文细黑"/>
                <w:kern w:val="0"/>
                <w:sz w:val="20"/>
              </w:rPr>
            </w:pPr>
            <w:r>
              <w:rPr>
                <w:rFonts w:ascii="华文细黑" w:eastAsia="华文细黑" w:cs="华文细黑"/>
                <w:kern w:val="0"/>
                <w:sz w:val="20"/>
              </w:rPr>
              <w:t>1.20</w:t>
            </w:r>
          </w:p>
        </w:tc>
        <w:tc>
          <w:tcPr>
            <w:tcW w:w="717" w:type="dxa"/>
            <w:noWrap/>
            <w:vAlign w:val="center"/>
          </w:tcPr>
          <w:p>
            <w:pPr>
              <w:rPr>
                <w:rFonts w:ascii="华文细黑" w:eastAsia="华文细黑" w:cs="华文细黑"/>
                <w:kern w:val="0"/>
                <w:sz w:val="20"/>
              </w:rPr>
            </w:pPr>
          </w:p>
        </w:tc>
        <w:tc>
          <w:tcPr>
            <w:tcW w:w="728" w:type="dxa"/>
            <w:noWrap/>
            <w:vAlign w:val="center"/>
          </w:tcPr>
          <w:p>
            <w:pPr>
              <w:rPr>
                <w:rFonts w:ascii="华文细黑" w:eastAsia="华文细黑" w:cs="华文细黑"/>
                <w:kern w:val="0"/>
                <w:sz w:val="20"/>
              </w:rPr>
            </w:pPr>
          </w:p>
        </w:tc>
        <w:tc>
          <w:tcPr>
            <w:tcW w:w="1063" w:type="dxa"/>
            <w:noWrap/>
            <w:vAlign w:val="center"/>
          </w:tcPr>
          <w:p>
            <w:pPr>
              <w:rPr>
                <w:rFonts w:ascii="华文细黑" w:eastAsia="华文细黑" w:cs="华文细黑"/>
                <w:kern w:val="0"/>
                <w:sz w:val="20"/>
              </w:rPr>
            </w:pPr>
            <w:r>
              <w:rPr>
                <w:rFonts w:ascii="华文细黑" w:eastAsia="华文细黑" w:cs="华文细黑"/>
                <w:kern w:val="0"/>
                <w:sz w:val="20"/>
              </w:rPr>
              <w:t>否</w:t>
            </w:r>
          </w:p>
        </w:tc>
        <w:tc>
          <w:tcPr>
            <w:tcW w:w="1036" w:type="dxa"/>
            <w:noWrap/>
            <w:vAlign w:val="center"/>
          </w:tcPr>
          <w:p>
            <w:pPr>
              <w:rPr>
                <w:rFonts w:ascii="华文细黑" w:eastAsia="华文细黑" w:cs="华文细黑"/>
                <w:kern w:val="0"/>
                <w:sz w:val="20"/>
              </w:rPr>
            </w:pPr>
            <w:r>
              <w:rPr>
                <w:rFonts w:ascii="华文细黑" w:eastAsia="华文细黑" w:cs="华文细黑"/>
                <w:kern w:val="0"/>
                <w:sz w:val="20"/>
              </w:rPr>
              <w:t>否</w:t>
            </w:r>
          </w:p>
        </w:tc>
        <w:tc>
          <w:tcPr>
            <w:tcW w:w="1089" w:type="dxa"/>
            <w:noWrap/>
            <w:vAlign w:val="center"/>
          </w:tcPr>
          <w:p>
            <w:pPr>
              <w:rPr>
                <w:rFonts w:ascii="华文细黑" w:eastAsia="华文细黑" w:cs="华文细黑"/>
                <w:kern w:val="0"/>
                <w:sz w:val="20"/>
              </w:rPr>
            </w:pPr>
            <w:r>
              <w:rPr>
                <w:rFonts w:ascii="华文细黑" w:eastAsia="华文细黑" w:cs="华文细黑"/>
                <w:kern w:val="0"/>
                <w:sz w:val="20"/>
              </w:rPr>
              <w:t>2023年结转经费</w:t>
            </w:r>
          </w:p>
        </w:tc>
      </w:tr>
      <w:tr>
        <w:trPr>
          <w:trHeight w:val="568"/>
        </w:trPr>
        <w:tc>
          <w:tcPr>
            <w:tcW w:w="1816" w:type="dxa"/>
            <w:noWrap/>
            <w:vAlign w:val="center"/>
          </w:tcPr>
          <w:p>
            <w:pPr>
              <w:ind w:firstLineChars="200" w:firstLine="400"/>
              <w:rPr>
                <w:rFonts w:ascii="华文细黑" w:eastAsia="华文细黑" w:cs="华文细黑"/>
                <w:kern w:val="0"/>
                <w:sz w:val="20"/>
              </w:rPr>
            </w:pPr>
          </w:p>
        </w:tc>
        <w:tc>
          <w:tcPr>
            <w:tcW w:w="1284" w:type="dxa"/>
            <w:noWrap/>
            <w:vAlign w:val="center"/>
          </w:tcPr>
          <w:p>
            <w:pPr>
              <w:rPr>
                <w:rFonts w:ascii="华文细黑" w:eastAsia="华文细黑" w:cs="华文细黑"/>
                <w:kern w:val="0"/>
                <w:sz w:val="20"/>
              </w:rPr>
            </w:pPr>
          </w:p>
        </w:tc>
        <w:tc>
          <w:tcPr>
            <w:tcW w:w="667" w:type="dxa"/>
            <w:noWrap/>
            <w:vAlign w:val="center"/>
          </w:tcPr>
          <w:p>
            <w:pPr>
              <w:rPr>
                <w:rFonts w:ascii="华文细黑" w:eastAsia="华文细黑" w:cs="华文细黑"/>
                <w:kern w:val="0"/>
                <w:sz w:val="20"/>
              </w:rPr>
            </w:pPr>
          </w:p>
        </w:tc>
        <w:tc>
          <w:tcPr>
            <w:tcW w:w="666" w:type="dxa"/>
            <w:noWrap/>
            <w:vAlign w:val="center"/>
          </w:tcPr>
          <w:p>
            <w:pPr>
              <w:rPr>
                <w:rFonts w:ascii="华文细黑" w:eastAsia="华文细黑" w:cs="华文细黑"/>
                <w:kern w:val="0"/>
                <w:sz w:val="20"/>
              </w:rPr>
            </w:pPr>
          </w:p>
        </w:tc>
        <w:tc>
          <w:tcPr>
            <w:tcW w:w="717" w:type="dxa"/>
            <w:noWrap/>
            <w:vAlign w:val="center"/>
          </w:tcPr>
          <w:p>
            <w:pPr>
              <w:rPr>
                <w:rFonts w:ascii="华文细黑" w:eastAsia="华文细黑" w:cs="华文细黑"/>
                <w:kern w:val="0"/>
                <w:sz w:val="20"/>
              </w:rPr>
            </w:pPr>
          </w:p>
        </w:tc>
        <w:tc>
          <w:tcPr>
            <w:tcW w:w="728" w:type="dxa"/>
            <w:noWrap/>
            <w:vAlign w:val="center"/>
          </w:tcPr>
          <w:p>
            <w:pPr>
              <w:rPr>
                <w:rFonts w:ascii="华文细黑" w:eastAsia="华文细黑" w:cs="华文细黑"/>
                <w:kern w:val="0"/>
                <w:sz w:val="20"/>
              </w:rPr>
            </w:pPr>
          </w:p>
        </w:tc>
        <w:tc>
          <w:tcPr>
            <w:tcW w:w="1063" w:type="dxa"/>
            <w:noWrap/>
            <w:vAlign w:val="center"/>
          </w:tcPr>
          <w:p>
            <w:pPr>
              <w:rPr>
                <w:rFonts w:ascii="华文细黑" w:eastAsia="华文细黑" w:cs="华文细黑"/>
                <w:kern w:val="0"/>
                <w:sz w:val="20"/>
              </w:rPr>
            </w:pPr>
          </w:p>
        </w:tc>
        <w:tc>
          <w:tcPr>
            <w:tcW w:w="1036" w:type="dxa"/>
            <w:noWrap/>
            <w:vAlign w:val="center"/>
          </w:tcPr>
          <w:p>
            <w:pPr>
              <w:rPr>
                <w:rFonts w:ascii="华文细黑" w:eastAsia="华文细黑" w:cs="华文细黑"/>
                <w:kern w:val="0"/>
                <w:sz w:val="20"/>
              </w:rPr>
            </w:pPr>
          </w:p>
        </w:tc>
        <w:tc>
          <w:tcPr>
            <w:tcW w:w="1089" w:type="dxa"/>
            <w:noWrap/>
            <w:vAlign w:val="center"/>
          </w:tcPr>
          <w:p>
            <w:pPr>
              <w:rPr>
                <w:rFonts w:ascii="华文细黑" w:eastAsia="华文细黑" w:cs="华文细黑"/>
                <w:kern w:val="0"/>
                <w:sz w:val="20"/>
              </w:rPr>
            </w:pPr>
          </w:p>
        </w:tc>
      </w:tr>
      <w:tr>
        <w:trPr>
          <w:trHeight w:val="568"/>
        </w:trPr>
        <w:tc>
          <w:tcPr>
            <w:tcW w:w="1816" w:type="dxa"/>
            <w:noWrap/>
            <w:vAlign w:val="center"/>
          </w:tcPr>
          <w:p>
            <w:pPr>
              <w:ind w:firstLineChars="100" w:firstLine="200"/>
              <w:rPr>
                <w:rFonts w:ascii="华文细黑" w:eastAsia="华文细黑" w:cs="华文细黑"/>
                <w:kern w:val="0"/>
                <w:sz w:val="20"/>
              </w:rPr>
            </w:pPr>
          </w:p>
        </w:tc>
        <w:tc>
          <w:tcPr>
            <w:tcW w:w="1284" w:type="dxa"/>
            <w:noWrap/>
            <w:vAlign w:val="center"/>
          </w:tcPr>
          <w:p>
            <w:pPr>
              <w:rPr>
                <w:rFonts w:ascii="华文细黑" w:eastAsia="华文细黑" w:cs="华文细黑"/>
                <w:kern w:val="0"/>
                <w:sz w:val="20"/>
              </w:rPr>
            </w:pPr>
          </w:p>
        </w:tc>
        <w:tc>
          <w:tcPr>
            <w:tcW w:w="667" w:type="dxa"/>
            <w:noWrap/>
            <w:vAlign w:val="center"/>
          </w:tcPr>
          <w:p>
            <w:pPr>
              <w:rPr>
                <w:rFonts w:ascii="华文细黑" w:eastAsia="华文细黑" w:cs="华文细黑"/>
                <w:kern w:val="0"/>
                <w:sz w:val="20"/>
              </w:rPr>
            </w:pPr>
          </w:p>
        </w:tc>
        <w:tc>
          <w:tcPr>
            <w:tcW w:w="666" w:type="dxa"/>
            <w:noWrap/>
            <w:vAlign w:val="center"/>
          </w:tcPr>
          <w:p>
            <w:pPr>
              <w:rPr>
                <w:rFonts w:ascii="华文细黑" w:eastAsia="华文细黑" w:cs="华文细黑"/>
                <w:kern w:val="0"/>
                <w:sz w:val="20"/>
              </w:rPr>
            </w:pPr>
          </w:p>
        </w:tc>
        <w:tc>
          <w:tcPr>
            <w:tcW w:w="717" w:type="dxa"/>
            <w:noWrap/>
            <w:vAlign w:val="center"/>
          </w:tcPr>
          <w:p>
            <w:pPr>
              <w:rPr>
                <w:rFonts w:ascii="华文细黑" w:eastAsia="华文细黑" w:cs="华文细黑"/>
                <w:kern w:val="0"/>
                <w:sz w:val="20"/>
              </w:rPr>
            </w:pPr>
          </w:p>
        </w:tc>
        <w:tc>
          <w:tcPr>
            <w:tcW w:w="728" w:type="dxa"/>
            <w:noWrap/>
            <w:vAlign w:val="center"/>
          </w:tcPr>
          <w:p>
            <w:pPr>
              <w:rPr>
                <w:rFonts w:ascii="华文细黑" w:eastAsia="华文细黑" w:cs="华文细黑"/>
                <w:kern w:val="0"/>
                <w:sz w:val="20"/>
              </w:rPr>
            </w:pPr>
          </w:p>
        </w:tc>
        <w:tc>
          <w:tcPr>
            <w:tcW w:w="1063" w:type="dxa"/>
            <w:noWrap/>
            <w:vAlign w:val="center"/>
          </w:tcPr>
          <w:p>
            <w:pPr>
              <w:rPr>
                <w:rFonts w:ascii="华文细黑" w:eastAsia="华文细黑" w:cs="华文细黑"/>
                <w:kern w:val="0"/>
                <w:sz w:val="20"/>
              </w:rPr>
            </w:pPr>
          </w:p>
        </w:tc>
        <w:tc>
          <w:tcPr>
            <w:tcW w:w="1036" w:type="dxa"/>
            <w:noWrap/>
            <w:vAlign w:val="center"/>
          </w:tcPr>
          <w:p>
            <w:pPr>
              <w:rPr>
                <w:rFonts w:ascii="华文细黑" w:eastAsia="华文细黑" w:cs="华文细黑"/>
                <w:kern w:val="0"/>
                <w:sz w:val="20"/>
              </w:rPr>
            </w:pPr>
          </w:p>
        </w:tc>
        <w:tc>
          <w:tcPr>
            <w:tcW w:w="1089" w:type="dxa"/>
            <w:noWrap/>
            <w:vAlign w:val="center"/>
          </w:tcPr>
          <w:p>
            <w:pPr>
              <w:rPr>
                <w:rFonts w:ascii="华文细黑" w:eastAsia="华文细黑" w:cs="华文细黑"/>
                <w:kern w:val="0"/>
                <w:sz w:val="20"/>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tbl>
      <w:tblPr>
        <w:jc w:val="left"/>
        <w:tblInd w:w="-790" w:type="dxa"/>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719"/>
        <w:gridCol w:w="824"/>
        <w:gridCol w:w="2387"/>
        <w:gridCol w:w="523"/>
        <w:gridCol w:w="540"/>
        <w:gridCol w:w="903"/>
        <w:gridCol w:w="2160"/>
        <w:gridCol w:w="778"/>
        <w:gridCol w:w="451"/>
      </w:tblGrid>
      <w:tr>
        <w:trPr>
          <w:trHeight w:val="1139"/>
        </w:trPr>
        <w:tc>
          <w:tcPr>
            <w:tcW w:w="10079" w:type="dxa"/>
            <w:gridSpan w:val="10"/>
            <w:tcBorders>
              <w:top w:val="nil"/>
              <w:left w:val="nil"/>
              <w:bottom w:val="single" w:sz="4" w:space="0" w:color="000000"/>
              <w:right w:val="nil"/>
            </w:tcBorders>
            <w:noWrap/>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w:t>
            </w:r>
            <w:r>
              <w:rPr>
                <w:rFonts w:ascii="Calibri" w:eastAsia="方正小标宋简体" w:hAnsi="Calibri"/>
                <w:kern w:val="0"/>
                <w:sz w:val="44"/>
                <w:szCs w:val="44"/>
              </w:rPr>
              <w:t>表</w:t>
            </w:r>
          </w:p>
          <w:p>
            <w:pPr>
              <w:spacing w:line="700" w:lineRule="exact"/>
              <w:jc w:val="right"/>
              <w:rPr>
                <w:rFonts w:ascii="Calibri" w:eastAsia="楷体" w:hAnsi="Calibri"/>
                <w:kern w:val="0"/>
                <w:szCs w:val="32"/>
              </w:rPr>
            </w:pPr>
            <w:r>
              <w:rPr>
                <w:rFonts w:ascii="Calibri" w:eastAsia="华文细黑" w:hAnsi="Calibri" w:hint="eastAsia"/>
                <w:color w:val="000000"/>
                <w:sz w:val="20"/>
                <w:szCs w:val="22"/>
              </w:rPr>
              <w:t>单位：万元</w:t>
            </w:r>
          </w:p>
        </w:tc>
      </w:tr>
      <w:tr>
        <w:trPr>
          <w:trHeight w:val="1071"/>
        </w:trPr>
        <w:tc>
          <w:tcPr>
            <w:tcW w:w="79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hint="eastAsia"/>
                <w:kern w:val="0"/>
                <w:sz w:val="20"/>
              </w:rPr>
            </w:pPr>
            <w:r>
              <w:rPr>
                <w:rFonts w:ascii="华文细黑" w:eastAsia="华文细黑" w:cs="华文细黑" w:hint="eastAsia"/>
                <w:kern w:val="0"/>
                <w:sz w:val="20"/>
              </w:rPr>
              <w:t>单位名称</w:t>
            </w:r>
          </w:p>
        </w:tc>
        <w:tc>
          <w:tcPr>
            <w:tcW w:w="719"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项目名称</w:t>
            </w:r>
          </w:p>
        </w:tc>
        <w:tc>
          <w:tcPr>
            <w:tcW w:w="824"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年度资  金总额   （万元）</w:t>
            </w:r>
          </w:p>
        </w:tc>
        <w:tc>
          <w:tcPr>
            <w:tcW w:w="238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年度绩  效目标</w:t>
            </w:r>
          </w:p>
        </w:tc>
        <w:tc>
          <w:tcPr>
            <w:tcW w:w="52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一级指标</w:t>
            </w:r>
          </w:p>
        </w:tc>
        <w:tc>
          <w:tcPr>
            <w:tcW w:w="54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二级指标</w:t>
            </w:r>
          </w:p>
        </w:tc>
        <w:tc>
          <w:tcPr>
            <w:tcW w:w="90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三级指标</w:t>
            </w:r>
          </w:p>
        </w:tc>
        <w:tc>
          <w:tcPr>
            <w:tcW w:w="216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指标解释</w:t>
            </w:r>
          </w:p>
        </w:tc>
        <w:tc>
          <w:tcPr>
            <w:tcW w:w="778"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指标值</w:t>
            </w:r>
          </w:p>
        </w:tc>
        <w:tc>
          <w:tcPr>
            <w:tcW w:w="4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20"/>
              </w:rPr>
            </w:pPr>
            <w:r>
              <w:rPr>
                <w:rFonts w:ascii="华文细黑" w:eastAsia="华文细黑" w:cs="华文细黑" w:hint="eastAsia"/>
                <w:kern w:val="0"/>
                <w:sz w:val="20"/>
              </w:rPr>
              <w:t>权重</w:t>
            </w:r>
          </w:p>
        </w:tc>
      </w:tr>
      <w:tr>
        <w:trPr>
          <w:trHeight w:val="550"/>
        </w:trPr>
        <w:tc>
          <w:tcPr>
            <w:tcW w:w="794"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长春市统计局（本级）</w:t>
            </w:r>
          </w:p>
          <w:p>
            <w:pPr>
              <w:jc w:val="center"/>
              <w:rPr>
                <w:rFonts w:ascii="华文细黑" w:eastAsia="华文细黑" w:cs="华文细黑"/>
                <w:kern w:val="0"/>
                <w:sz w:val="16"/>
                <w:szCs w:val="16"/>
              </w:rPr>
            </w:pPr>
          </w:p>
        </w:tc>
        <w:tc>
          <w:tcPr>
            <w:tcW w:w="719"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统计调查经费</w:t>
            </w:r>
          </w:p>
        </w:tc>
        <w:tc>
          <w:tcPr>
            <w:tcW w:w="824"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130.35</w:t>
            </w:r>
          </w:p>
        </w:tc>
        <w:tc>
          <w:tcPr>
            <w:tcW w:w="2387"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通过开展各类、各项统计调查、统计抽样调查，统计监测，不断深化统计管理改革，全面、及时、准确地上报各专业统计报表，及时发布统计公报，为社会公众需要和政府决策，提供经济社会发展所需要的统计数据。目标1：为了顺利开展各项统计调查、统计抽样调查工作，我单位对基层单位工作人员及调查员进行业务培训，保证调查数据质量。目标2：通过座谈交流、实地调研，深入研究分析基层单位运行现状，经济结构特点、存在问题，从而为基层单位经济高质量发展提供引领和指导。目标3：为了更好的做好搜集、整理提供全市性的基本统计资料的工作，开展统计宣传、统计服务工作，提高社会对统计工作的知晓度、配合度。目标4：为更好的向市委市政府提供统计信息和建议，建立和完善全社会新国民经济核算等统计制度与体系，印发各专业统计报表及统计制度，编辑出版《长春统计年鉴》。</w:t>
            </w:r>
          </w:p>
        </w:tc>
        <w:tc>
          <w:tcPr>
            <w:tcW w:w="523" w:type="dxa"/>
            <w:tcBorders>
              <w:top w:val="single" w:sz="4" w:space="0" w:color="000000"/>
              <w:left w:val="single" w:sz="4" w:space="0" w:color="000000"/>
              <w:bottom w:val="single" w:sz="4" w:space="0" w:color="auto"/>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成本指标</w:t>
            </w:r>
          </w:p>
        </w:tc>
        <w:tc>
          <w:tcPr>
            <w:tcW w:w="54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经济成本指标</w:t>
            </w:r>
          </w:p>
        </w:tc>
        <w:tc>
          <w:tcPr>
            <w:tcW w:w="90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人均培训成本</w:t>
            </w:r>
          </w:p>
        </w:tc>
        <w:tc>
          <w:tcPr>
            <w:tcW w:w="216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反映人员培训的人均成本情况</w:t>
            </w:r>
          </w:p>
        </w:tc>
        <w:tc>
          <w:tcPr>
            <w:tcW w:w="778"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≤400元</w:t>
            </w:r>
          </w:p>
        </w:tc>
        <w:tc>
          <w:tcPr>
            <w:tcW w:w="4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20</w:t>
            </w:r>
          </w:p>
        </w:tc>
      </w:tr>
      <w:tr>
        <w:trPr>
          <w:trHeight w:val="540"/>
        </w:trPr>
        <w:tc>
          <w:tcPr>
            <w:tcW w:w="1038" w:type="dxa"/>
            <w:vMerge/>
            <w:tcBorders>
              <w:top w:val="single" w:sz="4" w:space="0" w:color="000000"/>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523" w:type="dxa"/>
            <w:vMerge w:val="restart"/>
            <w:tcBorders>
              <w:top w:val="single" w:sz="4" w:space="0" w:color="auto"/>
              <w:left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产出指标</w:t>
            </w:r>
          </w:p>
        </w:tc>
        <w:tc>
          <w:tcPr>
            <w:tcW w:w="540"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数量指标</w:t>
            </w: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统计分析报告篇数</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反映统计分析报告篇数情况</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≥40篇</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540"/>
        </w:trPr>
        <w:tc>
          <w:tcPr>
            <w:tcW w:w="795" w:type="dxa"/>
            <w:vMerge/>
            <w:tcBorders>
              <w:top w:val="single" w:sz="4" w:space="0" w:color="000000"/>
              <w:left w:val="single" w:sz="4" w:space="0" w:color="000000"/>
              <w:bottom w:val="single" w:sz="4" w:space="0" w:color="auto"/>
              <w:right w:val="single" w:sz="4" w:space="0" w:color="000000"/>
            </w:tcBorders>
            <w:noWrap/>
            <w:vAlign w:val="center"/>
          </w:tcPr>
          <w:p/>
        </w:tc>
        <w:tc>
          <w:tcPr>
            <w:tcW w:w="720" w:type="dxa"/>
            <w:vMerge/>
            <w:tcBorders>
              <w:top w:val="single" w:sz="4" w:space="0" w:color="auto"/>
              <w:left w:val="single" w:sz="4" w:space="0" w:color="000000"/>
              <w:bottom w:val="single" w:sz="4" w:space="0" w:color="auto"/>
              <w:right w:val="single" w:sz="4" w:space="0" w:color="000000"/>
            </w:tcBorders>
            <w:noWrap/>
            <w:vAlign w:val="center"/>
          </w:tcPr>
          <w:p/>
        </w:tc>
        <w:tc>
          <w:tcPr>
            <w:tcW w:w="825" w:type="dxa"/>
            <w:vMerge/>
            <w:tcBorders>
              <w:top w:val="single" w:sz="4" w:space="0" w:color="auto"/>
              <w:left w:val="single" w:sz="4" w:space="0" w:color="000000"/>
              <w:bottom w:val="single" w:sz="4" w:space="0" w:color="auto"/>
              <w:right w:val="single" w:sz="4" w:space="0" w:color="000000"/>
            </w:tcBorders>
            <w:noWrap/>
            <w:vAlign w:val="center"/>
          </w:tcPr>
          <w:p/>
        </w:tc>
        <w:tc>
          <w:tcPr>
            <w:tcW w:w="2804" w:type="dxa"/>
            <w:vMerge/>
            <w:tcBorders>
              <w:top w:val="single" w:sz="4" w:space="0" w:color="auto"/>
              <w:left w:val="single" w:sz="4" w:space="0" w:color="000000"/>
              <w:bottom w:val="single" w:sz="4" w:space="0" w:color="auto"/>
              <w:right w:val="single" w:sz="4" w:space="0" w:color="000000"/>
            </w:tcBorders>
            <w:noWrap/>
            <w:vAlign w:val="center"/>
          </w:tcPr>
          <w:p/>
        </w:tc>
        <w:tc>
          <w:tcPr>
            <w:tcW w:w="574" w:type="dxa"/>
            <w:vMerge/>
            <w:tcBorders>
              <w:top w:val="single" w:sz="4" w:space="0" w:color="auto"/>
              <w:left w:val="single" w:sz="4" w:space="0" w:color="auto"/>
              <w:bottom w:val="single" w:sz="4" w:space="0" w:color="auto"/>
              <w:right w:val="single" w:sz="4" w:space="0" w:color="auto"/>
            </w:tcBorders>
            <w:noWrap/>
            <w:vAlign w:val="center"/>
          </w:tcPr>
          <w:p/>
        </w:tc>
        <w:tc>
          <w:tcPr>
            <w:tcW w:w="1446" w:type="dxa"/>
            <w:vMerge/>
            <w:tcBorders>
              <w:top w:val="single" w:sz="4" w:space="0" w:color="auto"/>
              <w:left w:val="single" w:sz="4" w:space="0" w:color="auto"/>
              <w:bottom w:val="single" w:sz="4" w:space="0" w:color="auto"/>
              <w:right w:val="single" w:sz="4" w:space="0" w:color="auto"/>
            </w:tcBorders>
            <w:noWrap/>
            <w:vAlign w:val="center"/>
          </w:tcP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发布统计数据</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反映发布各类统计数据情况</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≥10次</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412"/>
        </w:trPr>
        <w:tc>
          <w:tcPr>
            <w:tcW w:w="795" w:type="dxa"/>
            <w:vMerge/>
            <w:tcBorders>
              <w:top w:val="single" w:sz="4" w:space="0" w:color="000000"/>
              <w:left w:val="single" w:sz="4" w:space="0" w:color="000000"/>
              <w:bottom w:val="single" w:sz="4" w:space="0" w:color="auto"/>
              <w:right w:val="single" w:sz="4" w:space="0" w:color="000000"/>
            </w:tcBorders>
            <w:noWrap/>
            <w:vAlign w:val="center"/>
          </w:tcPr>
          <w:p/>
        </w:tc>
        <w:tc>
          <w:tcPr>
            <w:tcW w:w="720" w:type="dxa"/>
            <w:vMerge/>
            <w:tcBorders>
              <w:top w:val="single" w:sz="4" w:space="0" w:color="auto"/>
              <w:left w:val="single" w:sz="4" w:space="0" w:color="000000"/>
              <w:bottom w:val="single" w:sz="4" w:space="0" w:color="auto"/>
              <w:right w:val="single" w:sz="4" w:space="0" w:color="000000"/>
            </w:tcBorders>
            <w:noWrap/>
            <w:vAlign w:val="center"/>
          </w:tcPr>
          <w:p/>
        </w:tc>
        <w:tc>
          <w:tcPr>
            <w:tcW w:w="825" w:type="dxa"/>
            <w:vMerge/>
            <w:tcBorders>
              <w:top w:val="single" w:sz="4" w:space="0" w:color="auto"/>
              <w:left w:val="single" w:sz="4" w:space="0" w:color="000000"/>
              <w:bottom w:val="single" w:sz="4" w:space="0" w:color="auto"/>
              <w:right w:val="single" w:sz="4" w:space="0" w:color="000000"/>
            </w:tcBorders>
            <w:noWrap/>
            <w:vAlign w:val="center"/>
          </w:tcPr>
          <w:p/>
        </w:tc>
        <w:tc>
          <w:tcPr>
            <w:tcW w:w="2804" w:type="dxa"/>
            <w:vMerge/>
            <w:tcBorders>
              <w:top w:val="single" w:sz="4" w:space="0" w:color="auto"/>
              <w:left w:val="single" w:sz="4" w:space="0" w:color="000000"/>
              <w:bottom w:val="single" w:sz="4" w:space="0" w:color="auto"/>
              <w:right w:val="single" w:sz="4" w:space="0" w:color="000000"/>
            </w:tcBorders>
            <w:noWrap/>
            <w:vAlign w:val="center"/>
          </w:tcPr>
          <w:p/>
        </w:tc>
        <w:tc>
          <w:tcPr>
            <w:tcW w:w="574" w:type="dxa"/>
            <w:vMerge/>
            <w:tcBorders>
              <w:top w:val="single" w:sz="4" w:space="0" w:color="auto"/>
              <w:left w:val="single" w:sz="4" w:space="0" w:color="auto"/>
              <w:bottom w:val="single" w:sz="4" w:space="0" w:color="auto"/>
              <w:right w:val="single" w:sz="4" w:space="0" w:color="auto"/>
            </w:tcBorders>
            <w:noWrap/>
            <w:vAlign w:val="center"/>
          </w:tcPr>
          <w:p/>
        </w:tc>
        <w:tc>
          <w:tcPr>
            <w:tcW w:w="1446" w:type="dxa"/>
            <w:vMerge/>
            <w:tcBorders>
              <w:top w:val="single" w:sz="4" w:space="0" w:color="auto"/>
              <w:left w:val="single" w:sz="4" w:space="0" w:color="auto"/>
              <w:bottom w:val="single" w:sz="4" w:space="0" w:color="auto"/>
              <w:right w:val="single" w:sz="4" w:space="0" w:color="auto"/>
            </w:tcBorders>
            <w:noWrap/>
            <w:vAlign w:val="center"/>
          </w:tcP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统计培训人次</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反应统计培训人次情况</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≥1000人</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550"/>
        </w:trPr>
        <w:tc>
          <w:tcPr>
            <w:tcW w:w="1038" w:type="dxa"/>
            <w:vMerge/>
            <w:tcBorders>
              <w:top w:val="single" w:sz="4" w:space="0" w:color="000000"/>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54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时效指标</w:t>
            </w: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年鉴出版时间</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反应年鉴出版完成时间</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12月底前</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10</w:t>
            </w:r>
          </w:p>
        </w:tc>
      </w:tr>
      <w:tr>
        <w:trPr>
          <w:trHeight w:val="2038"/>
        </w:trPr>
        <w:tc>
          <w:tcPr>
            <w:tcW w:w="1038" w:type="dxa"/>
            <w:vMerge/>
            <w:tcBorders>
              <w:top w:val="single" w:sz="4" w:space="0" w:color="000000"/>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52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hint="eastAsia"/>
                <w:kern w:val="0"/>
                <w:sz w:val="16"/>
                <w:szCs w:val="16"/>
              </w:rPr>
            </w:pPr>
            <w:r>
              <w:rPr>
                <w:rFonts w:ascii="华文细黑" w:eastAsia="华文细黑" w:cs="华文细黑"/>
                <w:kern w:val="0"/>
                <w:sz w:val="16"/>
                <w:szCs w:val="16"/>
              </w:rPr>
              <w:t>效果</w:t>
            </w:r>
            <w:r>
              <w:rPr>
                <w:rFonts w:ascii="华文细黑" w:eastAsia="华文细黑" w:cs="华文细黑" w:hint="eastAsia"/>
                <w:kern w:val="0"/>
                <w:sz w:val="16"/>
                <w:szCs w:val="16"/>
              </w:rPr>
              <w:t>指标</w:t>
            </w:r>
          </w:p>
        </w:tc>
        <w:tc>
          <w:tcPr>
            <w:tcW w:w="54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社会效益指标</w:t>
            </w: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提供反映长春市经济运行发展状况的统计公报。</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提供反映长春市经济运行发展状况，为国民经济发展提供数据支撑的统计公报。</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1篇</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30</w:t>
            </w:r>
          </w:p>
        </w:tc>
      </w:tr>
      <w:tr>
        <w:trPr>
          <w:trHeight w:val="810"/>
        </w:trPr>
        <w:tc>
          <w:tcPr>
            <w:tcW w:w="794"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长春市统计局（本级）</w:t>
            </w:r>
          </w:p>
          <w:p>
            <w:pPr>
              <w:jc w:val="center"/>
              <w:rPr>
                <w:rFonts w:ascii="华文细黑" w:eastAsia="华文细黑" w:cs="华文细黑"/>
                <w:kern w:val="0"/>
                <w:sz w:val="16"/>
                <w:szCs w:val="16"/>
              </w:rPr>
            </w:pPr>
          </w:p>
        </w:tc>
        <w:tc>
          <w:tcPr>
            <w:tcW w:w="719"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第五次全国经济普查经费</w:t>
            </w:r>
          </w:p>
        </w:tc>
        <w:tc>
          <w:tcPr>
            <w:tcW w:w="824" w:type="dxa"/>
            <w:vMerge w:val="restart"/>
            <w:tcBorders>
              <w:top w:val="single" w:sz="4" w:space="0" w:color="000000"/>
              <w:left w:val="single" w:sz="4" w:space="0" w:color="000000"/>
              <w:right w:val="single" w:sz="4" w:space="0" w:color="000000"/>
            </w:tcBorders>
            <w:noWrap/>
            <w:vAlign w:val="center"/>
          </w:tcPr>
          <w:p>
            <w:pPr>
              <w:jc w:val="center"/>
              <w:rPr>
                <w:sz w:val="16"/>
                <w:szCs w:val="16"/>
              </w:rPr>
            </w:pPr>
            <w:r>
              <w:rPr>
                <w:rFonts w:ascii="华文细黑" w:eastAsia="华文细黑" w:cs="华文细黑"/>
                <w:sz w:val="16"/>
                <w:szCs w:val="16"/>
              </w:rPr>
              <w:t>243.59</w:t>
            </w:r>
          </w:p>
        </w:tc>
        <w:tc>
          <w:tcPr>
            <w:tcW w:w="2387" w:type="dxa"/>
            <w:vMerge w:val="restart"/>
            <w:tcBorders>
              <w:top w:val="single" w:sz="4" w:space="0" w:color="000000"/>
              <w:left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完成普查登记，普查表审核及数据处理，对普查登记阶段进行监督和执法检查工作，对普查登记质量和数据处理质量进行抽查工作，切实提高普查工作质量。汇总普查原始资料，审核汇总资料，技术总结，确保普查成果助力全市经济发展，为第五次全国经济普查工作及社会公众需要提供详实的统计数据支持。</w:t>
            </w:r>
          </w:p>
        </w:tc>
        <w:tc>
          <w:tcPr>
            <w:tcW w:w="523" w:type="dxa"/>
            <w:tcBorders>
              <w:top w:val="single" w:sz="4" w:space="0" w:color="000000"/>
              <w:left w:val="single" w:sz="4" w:space="0" w:color="000000"/>
              <w:bottom w:val="single" w:sz="4" w:space="0" w:color="auto"/>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成本指标</w:t>
            </w:r>
          </w:p>
        </w:tc>
        <w:tc>
          <w:tcPr>
            <w:tcW w:w="54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经济成本指标</w:t>
            </w:r>
          </w:p>
        </w:tc>
        <w:tc>
          <w:tcPr>
            <w:tcW w:w="90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培训人均成本</w:t>
            </w:r>
          </w:p>
        </w:tc>
        <w:tc>
          <w:tcPr>
            <w:tcW w:w="2160"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反映培训成本控制情况</w:t>
            </w:r>
          </w:p>
        </w:tc>
        <w:tc>
          <w:tcPr>
            <w:tcW w:w="778"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≤400元</w:t>
            </w:r>
          </w:p>
        </w:tc>
        <w:tc>
          <w:tcPr>
            <w:tcW w:w="4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20</w:t>
            </w:r>
          </w:p>
        </w:tc>
      </w:tr>
      <w:tr>
        <w:trPr>
          <w:trHeight w:val="540"/>
        </w:trPr>
        <w:tc>
          <w:tcPr>
            <w:tcW w:w="1038" w:type="dxa"/>
            <w:vMerge/>
            <w:tcBorders>
              <w:top w:val="single" w:sz="4" w:space="0" w:color="000000"/>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523" w:type="dxa"/>
            <w:vMerge w:val="restart"/>
            <w:tcBorders>
              <w:top w:val="single" w:sz="4" w:space="0" w:color="auto"/>
              <w:left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产出指标</w:t>
            </w:r>
          </w:p>
        </w:tc>
        <w:tc>
          <w:tcPr>
            <w:tcW w:w="540" w:type="dxa"/>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数量指标</w:t>
            </w: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统计培训人次</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反映培训各级统计机构及辅助调查人员数情况</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≥1900人次</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20</w:t>
            </w:r>
          </w:p>
        </w:tc>
      </w:tr>
      <w:tr>
        <w:trPr>
          <w:trHeight w:val="757"/>
        </w:trPr>
        <w:tc>
          <w:tcPr>
            <w:tcW w:w="795" w:type="dxa"/>
            <w:vMerge/>
            <w:tcBorders>
              <w:top w:val="single" w:sz="4" w:space="0" w:color="000000"/>
              <w:left w:val="single" w:sz="4" w:space="0" w:color="000000"/>
              <w:bottom w:val="single" w:sz="4" w:space="0" w:color="auto"/>
              <w:right w:val="single" w:sz="4" w:space="0" w:color="000000"/>
            </w:tcBorders>
            <w:noWrap/>
            <w:vAlign w:val="center"/>
          </w:tcPr>
          <w:p/>
        </w:tc>
        <w:tc>
          <w:tcPr>
            <w:tcW w:w="720" w:type="dxa"/>
            <w:vMerge/>
            <w:tcBorders>
              <w:top w:val="single" w:sz="4" w:space="0" w:color="auto"/>
              <w:left w:val="single" w:sz="4" w:space="0" w:color="000000"/>
              <w:bottom w:val="single" w:sz="4" w:space="0" w:color="auto"/>
              <w:right w:val="single" w:sz="4" w:space="0" w:color="000000"/>
            </w:tcBorders>
            <w:noWrap/>
            <w:vAlign w:val="center"/>
          </w:tcPr>
          <w:p/>
        </w:tc>
        <w:tc>
          <w:tcPr>
            <w:tcW w:w="825" w:type="dxa"/>
            <w:vMerge/>
            <w:tcBorders>
              <w:top w:val="single" w:sz="4" w:space="0" w:color="auto"/>
              <w:left w:val="single" w:sz="4" w:space="0" w:color="000000"/>
              <w:bottom w:val="single" w:sz="4" w:space="0" w:color="auto"/>
              <w:right w:val="single" w:sz="4" w:space="0" w:color="000000"/>
            </w:tcBorders>
            <w:noWrap/>
            <w:vAlign w:val="center"/>
          </w:tcPr>
          <w:p/>
        </w:tc>
        <w:tc>
          <w:tcPr>
            <w:tcW w:w="2804" w:type="dxa"/>
            <w:vMerge/>
            <w:tcBorders>
              <w:top w:val="single" w:sz="4" w:space="0" w:color="auto"/>
              <w:left w:val="single" w:sz="4" w:space="0" w:color="000000"/>
              <w:bottom w:val="single" w:sz="4" w:space="0" w:color="auto"/>
              <w:right w:val="single" w:sz="4" w:space="0" w:color="000000"/>
            </w:tcBorders>
            <w:noWrap/>
            <w:vAlign w:val="center"/>
          </w:tcPr>
          <w:p/>
        </w:tc>
        <w:tc>
          <w:tcPr>
            <w:tcW w:w="574" w:type="dxa"/>
            <w:vMerge/>
            <w:tcBorders>
              <w:top w:val="single" w:sz="4" w:space="0" w:color="auto"/>
              <w:left w:val="single" w:sz="4" w:space="0" w:color="auto"/>
              <w:bottom w:val="single" w:sz="4" w:space="0" w:color="auto"/>
              <w:right w:val="single" w:sz="4" w:space="0" w:color="auto"/>
            </w:tcBorders>
            <w:noWrap/>
            <w:vAlign w:val="center"/>
          </w:tcPr>
          <w:p/>
        </w:tc>
        <w:tc>
          <w:tcPr>
            <w:tcW w:w="1446" w:type="dxa"/>
            <w:vMerge/>
            <w:tcBorders>
              <w:top w:val="single" w:sz="4" w:space="0" w:color="auto"/>
              <w:left w:val="single" w:sz="4" w:space="0" w:color="auto"/>
              <w:bottom w:val="single" w:sz="4" w:space="0" w:color="auto"/>
              <w:right w:val="single" w:sz="4" w:space="0" w:color="auto"/>
            </w:tcBorders>
            <w:noWrap/>
            <w:vAlign w:val="center"/>
          </w:tcP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pPr>
            <w:r>
              <w:rPr>
                <w:rFonts w:ascii="华文细黑" w:eastAsia="华文细黑" w:cs="华文细黑"/>
                <w:sz w:val="16"/>
                <w:szCs w:val="16"/>
              </w:rPr>
              <w:t>印制培训教材册数</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反映印制培训教材册数</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≥1900册</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20</w:t>
            </w:r>
          </w:p>
        </w:tc>
      </w:tr>
      <w:tr>
        <w:trPr>
          <w:trHeight w:val="549"/>
        </w:trPr>
        <w:tc>
          <w:tcPr>
            <w:tcW w:w="1038" w:type="dxa"/>
            <w:vMerge/>
            <w:tcBorders>
              <w:top w:val="single" w:sz="4" w:space="0" w:color="000000"/>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52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hint="eastAsia"/>
                <w:kern w:val="0"/>
                <w:sz w:val="16"/>
                <w:szCs w:val="16"/>
              </w:rPr>
            </w:pPr>
            <w:r>
              <w:rPr>
                <w:rFonts w:ascii="华文细黑" w:eastAsia="华文细黑" w:cs="华文细黑" w:hint="eastAsia"/>
                <w:kern w:val="0"/>
                <w:sz w:val="16"/>
                <w:szCs w:val="16"/>
              </w:rPr>
              <w:t>效益指标</w:t>
            </w:r>
          </w:p>
        </w:tc>
        <w:tc>
          <w:tcPr>
            <w:tcW w:w="54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hint="eastAsia"/>
                <w:kern w:val="0"/>
                <w:sz w:val="16"/>
                <w:szCs w:val="16"/>
              </w:rPr>
              <w:t>社会效益指标</w:t>
            </w:r>
          </w:p>
        </w:tc>
        <w:tc>
          <w:tcPr>
            <w:tcW w:w="9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为经济普查员、普查指导员发放工作补贴，保障普查工作正常开展。</w:t>
            </w:r>
          </w:p>
        </w:tc>
        <w:tc>
          <w:tcPr>
            <w:tcW w:w="2160"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为推动经济普查工作顺利开展，完成经济普查工作提供保障，发放第五次全国经济普查中普查员、普查指导员工作补贴，反映两员补贴发放率。为经济普查员、普查指导员发放工作补贴，保障工作正常开展。</w:t>
            </w:r>
          </w:p>
        </w:tc>
        <w:tc>
          <w:tcPr>
            <w:tcW w:w="778"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发放率100%</w:t>
            </w:r>
          </w:p>
        </w:tc>
        <w:tc>
          <w:tcPr>
            <w:tcW w:w="45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r>
              <w:rPr>
                <w:rFonts w:ascii="华文细黑" w:eastAsia="华文细黑" w:cs="华文细黑"/>
                <w:kern w:val="0"/>
                <w:sz w:val="16"/>
                <w:szCs w:val="16"/>
              </w:rPr>
              <w:t>30</w:t>
            </w:r>
          </w:p>
        </w:tc>
      </w:tr>
    </w:tbl>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24</w:t>
      </w:r>
      <w:r>
        <w:rPr>
          <w:rFonts w:eastAsia="黑体"/>
          <w:szCs w:val="32"/>
        </w:rPr>
        <w:t>年收支预算总体情况</w:t>
      </w:r>
    </w:p>
    <w:p>
      <w:pPr>
        <w:ind w:firstLineChars="200" w:firstLine="640"/>
        <w:rPr>
          <w:szCs w:val="32"/>
        </w:rPr>
      </w:pPr>
      <w:r>
        <w:rPr>
          <w:szCs w:val="32"/>
        </w:rPr>
        <w:t>按照综合预算的原则，所有收入和支出全部纳入单位预算管理。收入包括：一般公共预算拨款收入、上年结转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24</w:t>
      </w:r>
      <w:r>
        <w:rPr>
          <w:szCs w:val="32"/>
        </w:rPr>
        <w:t>年收支总预算1924.29万元</w:t>
      </w:r>
      <w:r>
        <w:rPr>
          <w:rFonts w:hint="eastAsia"/>
          <w:szCs w:val="32"/>
        </w:rPr>
        <w:t>，其中：本年预算</w:t>
      </w:r>
      <w:r>
        <w:rPr>
          <w:szCs w:val="32"/>
        </w:rPr>
        <w:t>1624.39</w:t>
      </w:r>
      <w:r>
        <w:rPr>
          <w:rFonts w:hint="eastAsia"/>
          <w:szCs w:val="32"/>
        </w:rPr>
        <w:t>万元；上年结转</w:t>
      </w:r>
      <w:r>
        <w:rPr>
          <w:szCs w:val="32"/>
        </w:rPr>
        <w:t>299.9</w:t>
      </w:r>
      <w:r>
        <w:rPr>
          <w:rFonts w:hint="eastAsia"/>
          <w:szCs w:val="32"/>
        </w:rPr>
        <w:t>万元。2024年本年预算</w:t>
      </w:r>
      <w:r>
        <w:rPr>
          <w:szCs w:val="32"/>
        </w:rPr>
        <w:t>比20</w:t>
      </w:r>
      <w:r>
        <w:rPr>
          <w:rFonts w:hint="eastAsia"/>
          <w:szCs w:val="32"/>
        </w:rPr>
        <w:t>23</w:t>
      </w:r>
      <w:r>
        <w:rPr>
          <w:szCs w:val="32"/>
        </w:rPr>
        <w:t>年</w:t>
      </w:r>
      <w:r>
        <w:rPr>
          <w:rFonts w:hint="eastAsia"/>
          <w:szCs w:val="32"/>
        </w:rPr>
        <w:t>当年</w:t>
      </w:r>
      <w:r>
        <w:rPr>
          <w:szCs w:val="32"/>
        </w:rPr>
        <w:t>预算增加454.49万元，主要原因是</w:t>
        <w:softHyphen/>
        <w:softHyphen/>
        <w:softHyphen/>
        <w:t>本年度为大型普查年，新增第五次全国经济普查经费；本单位退休人员生活补贴由本单位发放，人员经费增加。</w:t>
      </w:r>
    </w:p>
    <w:p>
      <w:pPr>
        <w:ind w:firstLineChars="200" w:firstLine="640"/>
        <w:rPr>
          <w:rFonts w:eastAsia="黑体"/>
          <w:szCs w:val="32"/>
        </w:rPr>
      </w:pPr>
      <w:r>
        <w:rPr>
          <w:rFonts w:eastAsia="黑体"/>
          <w:szCs w:val="32"/>
        </w:rPr>
        <w:t>二、20</w:t>
      </w:r>
      <w:r>
        <w:rPr>
          <w:rFonts w:eastAsia="黑体" w:hint="eastAsia"/>
          <w:szCs w:val="32"/>
        </w:rPr>
        <w:t>24</w:t>
      </w:r>
      <w:r>
        <w:rPr>
          <w:rFonts w:eastAsia="黑体"/>
          <w:szCs w:val="32"/>
        </w:rPr>
        <w:t>年收入预算情况</w:t>
      </w:r>
    </w:p>
    <w:p>
      <w:pPr>
        <w:ind w:firstLineChars="200" w:firstLine="640"/>
        <w:rPr>
          <w:szCs w:val="32"/>
        </w:rPr>
      </w:pPr>
      <w:r>
        <w:rPr>
          <w:szCs w:val="32"/>
        </w:rPr>
        <w:t>20</w:t>
      </w:r>
      <w:r>
        <w:rPr>
          <w:rFonts w:hint="eastAsia"/>
          <w:szCs w:val="32"/>
        </w:rPr>
        <w:t>24</w:t>
      </w:r>
      <w:r>
        <w:rPr>
          <w:szCs w:val="32"/>
        </w:rPr>
        <w:t>年收入预算1924.29万元，其中：本年收入1624.39万元，占84.42%；上年结转</w:t>
      </w:r>
      <w:r>
        <w:rPr>
          <w:rFonts w:hint="eastAsia"/>
          <w:szCs w:val="32"/>
        </w:rPr>
        <w:t>结余</w:t>
      </w:r>
      <w:r>
        <w:rPr>
          <w:szCs w:val="32"/>
        </w:rPr>
        <w:t>299.90万元，占15.58%。本年收入中，一般公共预算拨款收入1624.39万元，占100%。上年结转</w:t>
      </w:r>
      <w:r>
        <w:rPr>
          <w:rFonts w:hint="eastAsia"/>
          <w:szCs w:val="32"/>
        </w:rPr>
        <w:t>中，一般公共预算拨款结转</w:t>
      </w:r>
      <w:r>
        <w:rPr>
          <w:szCs w:val="32"/>
        </w:rPr>
        <w:t>299.9万元，占100%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rPr>
        <w:t>4</w:t>
      </w:r>
      <w:r>
        <w:rPr>
          <w:rFonts w:eastAsia="黑体"/>
          <w:szCs w:val="32"/>
        </w:rPr>
        <w:t>年支出预算情况</w:t>
      </w:r>
    </w:p>
    <w:p>
      <w:pPr>
        <w:ind w:firstLineChars="200" w:firstLine="640"/>
        <w:rPr>
          <w:szCs w:val="32"/>
        </w:rPr>
      </w:pPr>
      <w:r>
        <w:rPr>
          <w:szCs w:val="32"/>
        </w:rPr>
        <w:t>20</w:t>
      </w:r>
      <w:r>
        <w:rPr>
          <w:rFonts w:hint="eastAsia"/>
          <w:szCs w:val="32"/>
        </w:rPr>
        <w:t>24</w:t>
      </w:r>
      <w:r>
        <w:rPr>
          <w:szCs w:val="32"/>
        </w:rPr>
        <w:t>年支出预算1924.29万元，其中：基本支出1544.97万元，占80.29%；项目支出379.32万元，占19.71%。</w:t>
      </w:r>
    </w:p>
    <w:p>
      <w:pPr>
        <w:ind w:firstLine="600"/>
        <w:rPr>
          <w:szCs w:val="32"/>
        </w:rPr>
      </w:pPr>
    </w:p>
    <w:p>
      <w:pPr>
        <w:ind w:firstLine="600"/>
        <w:rPr>
          <w:rFonts w:eastAsia="黑体"/>
          <w:szCs w:val="32"/>
        </w:rPr>
      </w:pPr>
      <w:r>
        <w:rPr>
          <w:rFonts w:eastAsia="楷体"/>
          <w:szCs w:val="32"/>
        </w:rPr>
        <w:br w:type="page"/>
      </w:r>
      <w:r>
        <w:rPr>
          <w:rFonts w:eastAsia="黑体"/>
          <w:szCs w:val="32"/>
        </w:rPr>
        <w:t>四、20</w:t>
      </w:r>
      <w:r>
        <w:rPr>
          <w:rFonts w:eastAsia="黑体" w:hint="eastAsia"/>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年财政拨款收支总预算1924.29万元，其中：</w:t>
      </w:r>
      <w:r>
        <w:rPr>
          <w:rFonts w:hint="eastAsia"/>
          <w:szCs w:val="32"/>
        </w:rPr>
        <w:t>本年预算</w:t>
      </w:r>
      <w:r>
        <w:rPr>
          <w:szCs w:val="32"/>
        </w:rPr>
        <w:t>1624.39万元</w:t>
      </w:r>
      <w:r>
        <w:rPr>
          <w:rFonts w:hint="eastAsia"/>
          <w:szCs w:val="32"/>
        </w:rPr>
        <w:t>，上年结转</w:t>
      </w:r>
      <w:r>
        <w:rPr>
          <w:szCs w:val="32"/>
        </w:rPr>
        <w:t>299.9万元</w:t>
      </w:r>
      <w:r>
        <w:rPr>
          <w:rFonts w:hint="eastAsia"/>
          <w:szCs w:val="32"/>
        </w:rPr>
        <w:t>。</w:t>
      </w:r>
      <w:r>
        <w:rPr>
          <w:szCs w:val="32"/>
        </w:rPr>
        <w:t>支出包括：</w:t>
      </w:r>
      <w:r>
        <w:rPr>
          <w:kern w:val="0"/>
          <w:szCs w:val="32"/>
        </w:rPr>
        <w:t>一般公共服务支出1462.65</w:t>
      </w:r>
      <w:r>
        <w:rPr>
          <w:szCs w:val="32"/>
        </w:rPr>
        <w:t>万元，</w:t>
      </w:r>
      <w:r>
        <w:rPr>
          <w:kern w:val="0"/>
          <w:szCs w:val="32"/>
        </w:rPr>
        <w:t>社会保障和就业支出278.38</w:t>
      </w:r>
      <w:r>
        <w:rPr>
          <w:szCs w:val="32"/>
        </w:rPr>
        <w:t>万元，</w:t>
      </w:r>
      <w:r>
        <w:rPr>
          <w:kern w:val="0"/>
          <w:szCs w:val="32"/>
        </w:rPr>
        <w:t>卫生</w:t>
      </w:r>
      <w:r>
        <w:rPr>
          <w:rFonts w:hint="eastAsia"/>
          <w:kern w:val="0"/>
          <w:szCs w:val="32"/>
        </w:rPr>
        <w:t>健康</w:t>
      </w:r>
      <w:r>
        <w:rPr>
          <w:kern w:val="0"/>
          <w:szCs w:val="32"/>
        </w:rPr>
        <w:t>支出95.22</w:t>
      </w:r>
      <w:r>
        <w:rPr>
          <w:szCs w:val="32"/>
        </w:rPr>
        <w:t>万元，</w:t>
      </w:r>
      <w:r>
        <w:rPr>
          <w:kern w:val="0"/>
          <w:szCs w:val="32"/>
        </w:rPr>
        <w:t>住房保障支出88.04</w:t>
      </w:r>
      <w:r>
        <w:rPr>
          <w:szCs w:val="32"/>
        </w:rPr>
        <w:t>万元。</w:t>
      </w:r>
    </w:p>
    <w:p>
      <w:pPr>
        <w:ind w:firstLine="600"/>
        <w:rPr>
          <w:rFonts w:eastAsia="黑体"/>
          <w:szCs w:val="30"/>
        </w:rPr>
      </w:pPr>
      <w:r>
        <w:rPr>
          <w:rFonts w:eastAsia="黑体"/>
          <w:szCs w:val="30"/>
        </w:rPr>
        <w:t>五、20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24</w:t>
      </w:r>
      <w:r>
        <w:rPr>
          <w:szCs w:val="32"/>
        </w:rPr>
        <w:t>年一般公共预算拨款1924.29万元，其中：基本支出1544.97万元，占80.29%；项目支出379.32万元，占19.71%。基本支出中，人员经费1306.22万元，占84.55%；公用经费238.75万元，占15.45%。</w:t>
      </w:r>
    </w:p>
    <w:p>
      <w:pPr>
        <w:spacing w:line="520" w:lineRule="exact"/>
        <w:ind w:left="0" w:firstLineChars="200" w:firstLine="640"/>
        <w:rPr>
          <w:szCs w:val="32"/>
        </w:rPr>
      </w:pPr>
      <w:r>
        <w:rPr>
          <w:szCs w:val="32"/>
        </w:rPr>
        <w:t>一般公共服务（类）支出1462.65万元，占76.01%，主要用于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社会保障和就业（类）支出278.38万元，占14.47%，主要用于</w:t>
      </w:r>
      <w:r>
        <w:rPr>
          <w:rFonts w:hint="eastAsia"/>
          <w:szCs w:val="32"/>
        </w:rPr>
        <w:t>保障行政事业单位离休职工工资、</w:t>
      </w:r>
      <w:r>
        <w:rPr>
          <w:szCs w:val="32"/>
        </w:rPr>
        <w:t>离</w:t>
      </w:r>
      <w:r>
        <w:rPr>
          <w:rFonts w:hint="eastAsia"/>
          <w:szCs w:val="32"/>
        </w:rPr>
        <w:t>退休职工采暖补贴以及缴纳在职职工养老保险</w:t>
      </w:r>
      <w:r>
        <w:rPr>
          <w:szCs w:val="32"/>
        </w:rPr>
        <w:t>。</w:t>
      </w:r>
    </w:p>
    <w:p>
      <w:pPr>
        <w:spacing w:line="520" w:lineRule="exact"/>
        <w:ind w:left="0" w:firstLineChars="200" w:firstLine="640"/>
        <w:rPr>
          <w:szCs w:val="32"/>
        </w:rPr>
      </w:pPr>
      <w:r>
        <w:rPr>
          <w:rFonts w:hint="eastAsia"/>
          <w:szCs w:val="32"/>
        </w:rPr>
        <w:t>卫生健康（类）</w:t>
      </w:r>
      <w:r>
        <w:rPr>
          <w:szCs w:val="32"/>
        </w:rPr>
        <w:t>支出95.22万元，占4.95%，主要用于</w:t>
      </w:r>
      <w:r>
        <w:rPr>
          <w:rFonts w:hint="eastAsia"/>
          <w:szCs w:val="32"/>
        </w:rPr>
        <w:t>缴纳职工医疗保险。</w:t>
      </w:r>
    </w:p>
    <w:p>
      <w:pPr>
        <w:spacing w:line="520" w:lineRule="exact"/>
        <w:ind w:left="0" w:firstLineChars="200" w:firstLine="640"/>
        <w:rPr>
          <w:szCs w:val="32"/>
        </w:rPr>
      </w:pPr>
      <w:r>
        <w:rPr>
          <w:szCs w:val="32"/>
        </w:rPr>
        <w:t>住房保障（类）支出88.04万元，占4.57%，主要用于</w:t>
      </w:r>
      <w:r>
        <w:rPr>
          <w:rFonts w:hint="eastAsia"/>
          <w:szCs w:val="32"/>
        </w:rPr>
        <w:t>缴纳职工住房公积金</w:t>
      </w:r>
      <w:r>
        <w:rPr>
          <w:szCs w:val="32"/>
        </w:rPr>
        <w:t>。</w:t>
      </w:r>
    </w:p>
    <w:p>
      <w:pPr>
        <w:spacing w:line="520" w:lineRule="exact"/>
        <w:ind w:left="0" w:firstLineChars="200" w:firstLine="640"/>
        <w:rPr>
          <w:rFonts w:eastAsia="黑体"/>
          <w:szCs w:val="32"/>
        </w:rPr>
      </w:pPr>
      <w:r>
        <w:rPr>
          <w:rFonts w:eastAsia="黑体"/>
          <w:szCs w:val="32"/>
        </w:rPr>
        <w:t>六、20</w:t>
      </w:r>
      <w:r>
        <w:rPr>
          <w:rFonts w:eastAsia="黑体" w:hint="eastAsia"/>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年一般公共预算基本支出1544.96万元，其中：</w:t>
      </w:r>
    </w:p>
    <w:p>
      <w:pPr>
        <w:ind w:firstLineChars="200" w:firstLine="640"/>
        <w:rPr>
          <w:kern w:val="0"/>
          <w:szCs w:val="32"/>
        </w:rPr>
      </w:pPr>
      <w:r>
        <w:rPr>
          <w:szCs w:val="32"/>
        </w:rPr>
        <w:t>人员经费1306.22万元，主要包括：</w:t>
      </w:r>
      <w:r>
        <w:rPr>
          <w:kern w:val="0"/>
          <w:szCs w:val="32"/>
        </w:rPr>
        <w:t>基本工资、津贴补贴</w:t>
      </w:r>
      <w:r>
        <w:rPr>
          <w:szCs w:val="32"/>
        </w:rPr>
        <w:t>、</w:t>
      </w:r>
      <w:r>
        <w:rPr>
          <w:kern w:val="0"/>
          <w:szCs w:val="32"/>
        </w:rPr>
        <w:t>奖金</w:t>
      </w:r>
      <w:r>
        <w:rPr>
          <w:szCs w:val="32"/>
        </w:rPr>
        <w:t>、</w:t>
      </w:r>
      <w:r>
        <w:rPr>
          <w:kern w:val="0"/>
          <w:szCs w:val="32"/>
        </w:rPr>
        <w:t>机关事业单位基本养老保险缴费、职工基本医疗保险缴费、公务员医疗补助缴费、其他社会保障缴费、住房公积金、医疗费、其他工资福利支出、离休费、退休费、其他对个人和家庭的补助。</w:t>
      </w:r>
    </w:p>
    <w:p>
      <w:pPr>
        <w:ind w:firstLineChars="200" w:firstLine="640"/>
        <w:rPr>
          <w:szCs w:val="32"/>
        </w:rPr>
      </w:pPr>
      <w:r>
        <w:rPr>
          <w:kern w:val="0"/>
          <w:szCs w:val="32"/>
        </w:rPr>
        <w:t>公用经费238.74</w:t>
      </w:r>
      <w:r>
        <w:rPr>
          <w:szCs w:val="32"/>
        </w:rPr>
        <w:t>万元，主要包括：</w:t>
      </w:r>
      <w:r>
        <w:rPr>
          <w:kern w:val="0"/>
          <w:szCs w:val="32"/>
        </w:rPr>
        <w:t>办公费、印刷费、咨询费、手续费、邮电费、取暖费、差旅费、维修（护）费、会议费、培训费、公务接待费、工会经费、福利费、公务用车运行维护费、其他交通费用、其他商品和服务支出、办公设备购置。</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szCs w:val="32"/>
        </w:rPr>
        <w:t>20</w:t>
      </w:r>
      <w:r>
        <w:rPr>
          <w:rFonts w:hint="eastAsia"/>
          <w:szCs w:val="32"/>
        </w:rPr>
        <w:t>24</w:t>
      </w:r>
      <w:r>
        <w:rPr>
          <w:szCs w:val="32"/>
        </w:rPr>
        <w:t>年“三公”经费预算数为4.74万元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预算数增加0.16万元。其中：</w:t>
      </w:r>
    </w:p>
    <w:p>
      <w:pPr>
        <w:ind w:firstLineChars="200" w:firstLine="640"/>
        <w:rPr>
          <w:szCs w:val="32"/>
          <w:lang w:eastAsia="zh-CN"/>
        </w:rPr>
      </w:pPr>
      <w:r>
        <w:rPr>
          <w:szCs w:val="32"/>
        </w:rPr>
        <w:t>1.因公出国（境）费0万元</w:t>
      </w:r>
      <w:r>
        <w:rPr>
          <w:rFonts w:hint="eastAsia"/>
          <w:szCs w:val="32"/>
        </w:rPr>
        <w:t>，2024年本年预算数与</w:t>
      </w:r>
      <w:r>
        <w:rPr>
          <w:szCs w:val="32"/>
        </w:rPr>
        <w:t>20</w:t>
      </w:r>
      <w:r>
        <w:rPr>
          <w:rFonts w:hint="eastAsia"/>
          <w:szCs w:val="32"/>
        </w:rPr>
        <w:t>2</w:t>
      </w:r>
      <w:r>
        <w:rPr>
          <w:szCs w:val="32"/>
        </w:rPr>
        <w:t>3年预算数</w:t>
      </w:r>
      <w:r>
        <w:rPr>
          <w:rFonts w:hint="eastAsia"/>
          <w:szCs w:val="32"/>
        </w:rPr>
        <w:t>持平</w:t>
      </w:r>
      <w:r>
        <w:rPr>
          <w:rFonts w:hint="eastAsia"/>
          <w:szCs w:val="32"/>
          <w:lang w:eastAsia="zh-CN"/>
        </w:rPr>
        <w:t>。</w:t>
      </w:r>
    </w:p>
    <w:p>
      <w:pPr>
        <w:ind w:firstLineChars="200" w:firstLine="640"/>
        <w:rPr>
          <w:szCs w:val="32"/>
          <w:shd w:val="solid" w:color="FFFFFF" w:fill="FFFFFF"/>
        </w:rPr>
      </w:pPr>
      <w:r>
        <w:rPr>
          <w:szCs w:val="32"/>
        </w:rPr>
        <w:t>2.公务接待费1.41万元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预算数增加0.16万元，</w:t>
      </w:r>
      <w:r>
        <w:rPr>
          <w:szCs w:val="32"/>
          <w:shd w:val="solid" w:color="FFFFFF" w:fill="FFFFFF"/>
        </w:rPr>
        <w:t>主要原因是依据本年度人员情况及核定标准导致公务接待费较上年有所增加。</w:t>
      </w:r>
    </w:p>
    <w:p>
      <w:pPr>
        <w:ind w:firstLineChars="200" w:firstLine="640"/>
        <w:rPr>
          <w:szCs w:val="32"/>
        </w:rPr>
      </w:pPr>
      <w:r>
        <w:rPr>
          <w:szCs w:val="32"/>
          <w:shd w:val="solid" w:color="FFFFFF" w:fill="FFFFFF"/>
        </w:rPr>
        <w:t>3.公务用车购置及运行费3.33万元，</w:t>
      </w:r>
      <w:r>
        <w:rPr>
          <w:rFonts w:hint="eastAsia"/>
          <w:szCs w:val="32"/>
        </w:rPr>
        <w:t>2024年本年预算数</w:t>
      </w:r>
      <w:r>
        <w:rPr>
          <w:rFonts w:hint="eastAsia"/>
          <w:szCs w:val="32"/>
          <w:shd w:val="solid" w:color="FFFFFF" w:fill="FFFFFF"/>
        </w:rPr>
        <w:t>与</w:t>
      </w:r>
      <w:r>
        <w:rPr>
          <w:szCs w:val="32"/>
        </w:rPr>
        <w:t>20</w:t>
      </w:r>
      <w:r>
        <w:rPr>
          <w:rFonts w:hint="eastAsia"/>
          <w:szCs w:val="32"/>
        </w:rPr>
        <w:t>2</w:t>
      </w:r>
      <w:r>
        <w:rPr>
          <w:szCs w:val="32"/>
        </w:rPr>
        <w:t>3年预算数</w:t>
      </w:r>
      <w:r>
        <w:rPr>
          <w:rFonts w:hint="eastAsia"/>
          <w:szCs w:val="32"/>
        </w:rPr>
        <w:t>持平</w:t>
      </w:r>
      <w:r>
        <w:rPr>
          <w:rFonts w:hint="eastAsia"/>
          <w:szCs w:val="32"/>
          <w:lang w:eastAsia="zh-CN"/>
        </w:rPr>
        <w:t>。</w:t>
      </w:r>
      <w:r>
        <w:rPr>
          <w:szCs w:val="32"/>
        </w:rPr>
        <w:t>公务用车运行维护费3.33万元，</w:t>
      </w:r>
      <w:r>
        <w:rPr>
          <w:rFonts w:hint="eastAsia"/>
          <w:szCs w:val="32"/>
        </w:rPr>
        <w:t>2024年本年预算数与</w:t>
      </w:r>
      <w:r>
        <w:rPr>
          <w:szCs w:val="32"/>
        </w:rPr>
        <w:t>20</w:t>
      </w:r>
      <w:r>
        <w:rPr>
          <w:rFonts w:hint="eastAsia"/>
          <w:szCs w:val="32"/>
        </w:rPr>
        <w:t>2</w:t>
      </w:r>
      <w:r>
        <w:rPr>
          <w:szCs w:val="32"/>
        </w:rPr>
        <w:t>3年预算数</w:t>
      </w:r>
      <w:r>
        <w:rPr>
          <w:rFonts w:hint="eastAsia"/>
          <w:szCs w:val="32"/>
        </w:rPr>
        <w:t>持平</w:t>
      </w:r>
      <w:r>
        <w:rPr>
          <w:szCs w:val="32"/>
        </w:rPr>
        <w:t>；公务用车购置费0万元</w:t>
      </w:r>
      <w:r>
        <w:rPr>
          <w:rFonts w:hint="eastAsia"/>
          <w:szCs w:val="32"/>
        </w:rPr>
        <w:t>，2024年本年预算数与</w:t>
      </w:r>
      <w:r>
        <w:rPr>
          <w:szCs w:val="32"/>
        </w:rPr>
        <w:t>20</w:t>
      </w:r>
      <w:r>
        <w:rPr>
          <w:rFonts w:hint="eastAsia"/>
          <w:szCs w:val="32"/>
        </w:rPr>
        <w:t>2</w:t>
      </w:r>
      <w:r>
        <w:rPr>
          <w:szCs w:val="32"/>
        </w:rPr>
        <w:t>3年预算数</w:t>
      </w:r>
      <w:r>
        <w:rPr>
          <w:rFonts w:hint="eastAsia"/>
          <w:szCs w:val="32"/>
        </w:rPr>
        <w:t>持平</w:t>
      </w:r>
      <w:r>
        <w:rPr>
          <w:rFonts w:hint="eastAsia"/>
          <w:szCs w:val="32"/>
          <w:lang w:eastAsia="zh-CN"/>
        </w:rPr>
        <w:t>。</w:t>
      </w:r>
      <w:r>
        <w:rPr>
          <w:rFonts w:hint="eastAsia"/>
          <w:szCs w:val="32"/>
        </w:rPr>
        <w:t xml:space="preserve">         </w:t>
      </w:r>
    </w:p>
    <w:p>
      <w:pPr>
        <w:ind w:left="0" w:firstLineChars="200" w:firstLine="640"/>
        <w:rPr>
          <w:rFonts w:eastAsia="黑体"/>
          <w:szCs w:val="32"/>
        </w:rPr>
      </w:pPr>
      <w:r>
        <w:rPr>
          <w:rFonts w:eastAsia="黑体"/>
          <w:szCs w:val="32"/>
        </w:rPr>
        <w:t>八、20</w:t>
      </w:r>
      <w:r>
        <w:rPr>
          <w:rFonts w:eastAsia="黑体" w:hint="eastAsia"/>
          <w:szCs w:val="32"/>
        </w:rPr>
        <w:t>24</w:t>
      </w:r>
      <w:r>
        <w:rPr>
          <w:rFonts w:eastAsia="黑体"/>
          <w:szCs w:val="32"/>
        </w:rPr>
        <w:t>年政府性基金预算支出情况</w:t>
      </w:r>
    </w:p>
    <w:p>
      <w:pPr>
        <w:ind w:firstLine="640"/>
        <w:rPr>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24</w:t>
      </w:r>
      <w:r>
        <w:rPr>
          <w:rFonts w:eastAsia="黑体"/>
          <w:szCs w:val="32"/>
        </w:rPr>
        <w:t>年</w:t>
      </w:r>
      <w:r>
        <w:rPr>
          <w:rFonts w:eastAsia="黑体" w:hint="eastAsia"/>
          <w:szCs w:val="32"/>
        </w:rPr>
        <w:t>国有资本经营</w:t>
      </w:r>
      <w:r>
        <w:rPr>
          <w:rFonts w:eastAsia="黑体"/>
          <w:szCs w:val="32"/>
        </w:rPr>
        <w:t>预算支出情况</w:t>
      </w:r>
    </w:p>
    <w:p>
      <w:pPr>
        <w:ind w:firstLine="640"/>
        <w:rPr>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szCs w:val="32"/>
        </w:rPr>
        <w:t>20</w:t>
      </w:r>
      <w:r>
        <w:rPr>
          <w:rFonts w:hint="eastAsia"/>
          <w:szCs w:val="32"/>
        </w:rPr>
        <w:t>24</w:t>
      </w:r>
      <w:r>
        <w:rPr>
          <w:szCs w:val="32"/>
        </w:rPr>
        <w:t>年本单位的机关运行经费财政拨款预算238.74万元，比20</w:t>
      </w:r>
      <w:r>
        <w:rPr>
          <w:rFonts w:hint="eastAsia"/>
          <w:szCs w:val="32"/>
        </w:rPr>
        <w:t>23</w:t>
      </w:r>
      <w:r>
        <w:rPr>
          <w:szCs w:val="32"/>
        </w:rPr>
        <w:t>年预算减少40.68万元，下降14.56%</w:t>
      </w:r>
      <w:r>
        <w:rPr>
          <w:rFonts w:hint="eastAsia"/>
          <w:szCs w:val="32"/>
        </w:rPr>
        <w:t>，主要原因是</w:t>
      </w:r>
      <w:r>
        <w:rPr>
          <w:szCs w:val="32"/>
        </w:rPr>
        <w:t>本年度在职转退休及调出人员较多，因此机关运行经费较上年度有所减少。</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r>
        <w:rPr>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szCs w:val="32"/>
        </w:rPr>
      </w:pPr>
      <w:r>
        <w:rPr>
          <w:rFonts w:hint="eastAsia"/>
          <w:szCs w:val="32"/>
        </w:rPr>
        <w:t>截至2023年8月底，</w:t>
      </w:r>
      <w:r>
        <w:rPr>
          <w:szCs w:val="32"/>
        </w:rPr>
        <w:t>本</w:t>
      </w:r>
      <w:r>
        <w:rPr>
          <w:rFonts w:hint="eastAsia"/>
          <w:szCs w:val="32"/>
        </w:rPr>
        <w:t>单位共有车辆</w:t>
      </w:r>
      <w:r>
        <w:rPr>
          <w:szCs w:val="32"/>
        </w:rPr>
        <w:t>1</w:t>
      </w:r>
      <w:r>
        <w:rPr>
          <w:rFonts w:hint="eastAsia"/>
          <w:szCs w:val="32"/>
        </w:rPr>
        <w:t>辆，土地</w:t>
      </w:r>
      <w:r>
        <w:rPr>
          <w:szCs w:val="32"/>
        </w:rPr>
        <w:t>0</w:t>
      </w:r>
      <w:r>
        <w:rPr>
          <w:rFonts w:hint="eastAsia"/>
          <w:szCs w:val="32"/>
        </w:rPr>
        <w:t>平方米，房屋</w:t>
      </w:r>
      <w:r>
        <w:rPr>
          <w:szCs w:val="32"/>
        </w:rPr>
        <w:t>569.56</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Chars="200" w:firstLine="640"/>
        <w:rPr>
          <w:szCs w:val="32"/>
        </w:rPr>
      </w:pPr>
      <w:r>
        <w:rPr>
          <w:rFonts w:hint="eastAsia"/>
          <w:szCs w:val="32"/>
        </w:rPr>
        <w:t>2024年</w:t>
      </w:r>
      <w:r>
        <w:rPr>
          <w:szCs w:val="32"/>
        </w:rPr>
        <w:t>单位</w:t>
      </w:r>
      <w:r>
        <w:rPr>
          <w:rFonts w:hint="eastAsia"/>
          <w:szCs w:val="32"/>
        </w:rPr>
        <w:t>预算安排购置车辆</w:t>
      </w:r>
      <w:r>
        <w:rPr>
          <w:szCs w:val="32"/>
        </w:rPr>
        <w:t>0</w:t>
      </w:r>
      <w:r>
        <w:rPr>
          <w:rFonts w:hint="eastAsia"/>
          <w:szCs w:val="32"/>
        </w:rPr>
        <w:t>辆，安排购置土地</w:t>
      </w:r>
      <w:r>
        <w:rPr>
          <w:szCs w:val="32"/>
        </w:rPr>
        <w:t>0</w:t>
      </w:r>
      <w:r>
        <w:rPr>
          <w:rFonts w:hint="eastAsia"/>
          <w:szCs w:val="32"/>
        </w:rPr>
        <w:t>平方米，安排购置房屋</w:t>
      </w:r>
      <w:r>
        <w:rPr>
          <w:szCs w:val="32"/>
        </w:rPr>
        <w:t>0</w:t>
      </w:r>
      <w:r>
        <w:rPr>
          <w:rFonts w:hint="eastAsia"/>
          <w:szCs w:val="32"/>
        </w:rPr>
        <w:t>平方米，计划新增单价50万元以上设备</w:t>
      </w:r>
      <w:r>
        <w:rPr>
          <w:szCs w:val="32"/>
        </w:rPr>
        <w:t>0</w:t>
      </w:r>
      <w:r>
        <w:rPr>
          <w:rFonts w:hint="eastAsia"/>
          <w:szCs w:val="32"/>
        </w:rPr>
        <w:t>台/套。</w:t>
      </w:r>
    </w:p>
    <w:p>
      <w:pPr>
        <w:numPr>
          <w:ilvl w:val="0"/>
          <w:numId w:val="1"/>
        </w:numPr>
        <w:spacing w:line="540" w:lineRule="exact"/>
        <w:ind w:left="0" w:firstLineChars="200" w:firstLine="640"/>
        <w:rPr>
          <w:rFonts w:eastAsia="楷体"/>
          <w:szCs w:val="32"/>
        </w:rPr>
      </w:pPr>
      <w:r>
        <w:rPr>
          <w:rFonts w:eastAsia="楷体" w:hint="eastAsia"/>
          <w:szCs w:val="32"/>
        </w:rPr>
        <w:t>项目支出情况说明</w:t>
      </w:r>
    </w:p>
    <w:p>
      <w:pPr>
        <w:spacing w:line="540" w:lineRule="exact"/>
        <w:ind w:firstLineChars="200" w:firstLine="640"/>
      </w:pPr>
      <w:r>
        <w:t>202</w:t>
      </w:r>
      <w:r>
        <w:rPr>
          <w:rFonts w:hint="eastAsia"/>
        </w:rPr>
        <w:t>4</w:t>
      </w:r>
      <w:r>
        <w:t>年单位项目支出379.32</w:t>
      </w:r>
      <w:r>
        <w:rPr>
          <w:szCs w:val="32"/>
        </w:rPr>
        <w:t>万元，其中：一级项目2个，二级项目2个；使用</w:t>
      </w:r>
      <w:r>
        <w:rPr>
          <w:rFonts w:hint="eastAsia"/>
          <w:szCs w:val="32"/>
        </w:rPr>
        <w:t>本年拨款</w:t>
      </w:r>
      <w:r>
        <w:rPr>
          <w:szCs w:val="32"/>
        </w:rPr>
        <w:t>373.94万元，</w:t>
      </w:r>
      <w:r>
        <w:rPr>
          <w:rFonts w:hint="eastAsia"/>
          <w:szCs w:val="32"/>
        </w:rPr>
        <w:t>财政拨款结转</w:t>
      </w:r>
      <w:r>
        <w:rPr>
          <w:szCs w:val="32"/>
        </w:rPr>
        <w:t>5.38万元。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rFonts w:eastAsia="楷体"/>
          <w:szCs w:val="32"/>
        </w:rPr>
      </w:pPr>
      <w:r>
        <w:rPr>
          <w:rFonts w:ascii="宋体" w:hAnsi="宋体" w:hint="eastAsia"/>
        </w:rPr>
        <w:t>按照全面实施预算绩效管理的要求，结合本</w:t>
      </w:r>
      <w:r>
        <w:rPr>
          <w:rFonts w:ascii="宋体" w:hAnsi="宋体"/>
        </w:rPr>
        <w:t>单位</w:t>
      </w:r>
      <w:r>
        <w:rPr>
          <w:rFonts w:ascii="宋体" w:hAnsi="宋体" w:hint="eastAsia"/>
        </w:rPr>
        <w:t>职能和重点工作，</w:t>
      </w:r>
      <w:r>
        <w:t>202</w:t>
      </w:r>
      <w:r>
        <w:rPr>
          <w:rFonts w:hint="eastAsia"/>
        </w:rPr>
        <w:t>4</w:t>
      </w:r>
      <w:r>
        <w:rPr>
          <w:rFonts w:ascii="宋体" w:hAnsi="宋体" w:hint="eastAsia"/>
        </w:rPr>
        <w:t>年将</w:t>
      </w:r>
      <w:r>
        <w:rPr>
          <w:szCs w:val="32"/>
        </w:rPr>
        <w:t>2</w:t>
      </w:r>
      <w:r>
        <w:rPr>
          <w:rFonts w:ascii="宋体" w:hAnsi="宋体" w:hint="eastAsia"/>
        </w:rPr>
        <w:t>个项目支出的绩效目标和指标向社会公开，涉及金额</w:t>
      </w:r>
      <w:r>
        <w:rPr>
          <w:szCs w:val="32"/>
        </w:rPr>
        <w:t>373.94</w:t>
      </w:r>
      <w:r>
        <w:rPr>
          <w:rFonts w:ascii="宋体" w:hAnsi="宋体" w:hint="eastAsia"/>
        </w:rPr>
        <w:t>万元。</w:t>
      </w: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szCs w:val="32"/>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w:t>
      </w:r>
      <w:r>
        <w:rPr>
          <w:szCs w:val="32"/>
        </w:rPr>
        <w:t>主要</w:t>
      </w:r>
      <w:r>
        <w:rPr>
          <w:rFonts w:hint="eastAsia"/>
          <w:szCs w:val="32"/>
        </w:rPr>
        <w:t>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rPr>
        <w:t>七</w:t>
      </w:r>
      <w:r>
        <w:rPr>
          <w:rFonts w:eastAsia="楷体"/>
          <w:szCs w:val="32"/>
        </w:rPr>
        <w:t>）“三公”经费：</w:t>
      </w:r>
      <w:r>
        <w:rPr>
          <w:szCs w:val="32"/>
        </w:rPr>
        <w:t>纳入财政预决算管理的“三公”经费，是指单位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w:t>
      </w:r>
      <w:r>
        <w:rPr>
          <w:kern w:val="0"/>
          <w:szCs w:val="32"/>
        </w:rPr>
        <w:t>办公费、印刷费、咨询费、手续费、邮电费、取暖费、差旅费、维修（护）费、会议费、培训费、公务接待费、工会经费、福利费、公务用车运行维护费、其他交通费用、其他商品和服务支出、办公设备购置</w:t>
      </w:r>
      <w:r>
        <w:rPr>
          <w:szCs w:val="32"/>
        </w:rPr>
        <w:t>以及其他费用。</w:t>
      </w:r>
    </w:p>
    <w:p>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Arial Unicode MS"/>
    <w:panose1 w:val="00000000000000000000"/>
    <w:charset w:val="86"/>
    <w:family w:val="auto"/>
    <w:pitch w:val="variable"/>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pitch w:val="variable"/>
    <w:sig w:usb0="00000001" w:usb1="080E0000" w:usb2="00000000" w:usb3="00000000" w:csb0="00040000" w:csb1="00000000"/>
  </w:font>
  <w:font w:name="仿宋_GB2312">
    <w:altName w:val="仿宋"/>
    <w:panose1 w:val="00000000000000000000"/>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altName w:val="DejaVu Sans"/>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659652949"/>
      <w:docPartObj>
        <w:docPartGallery w:val="Page Numbers (Bottom of Page)"/>
        <w:docPartUnique/>
      </w:docPartObj>
    </w:sdtPr>
    <w:sdtEndPr>
      <w:rPr>
        <w:rFonts w:ascii="宋体" w:eastAsia="宋体"/>
        <w:sz w:val="28"/>
        <w:szCs w:val="28"/>
      </w:rPr>
    </w:sdtEndPr>
    <w:sdtContent>
      <w:p>
        <w:pPr>
          <w:pStyle w:val="19"/>
          <w:tabs>
            <w:tab w:val="center" w:pos="4153"/>
            <w:tab w:val="right" w:pos="8306"/>
          </w:tabs>
          <w:jc w:val="center"/>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sdtContent>
  </w:sdt>
  <w:p>
    <w:pPr>
      <w:pStyle w:val="19"/>
      <w:tabs>
        <w:tab w:val="clear" w:pos="4153"/>
        <w:tab w:val="clear" w:pos="8306"/>
        <w:tab w:val="left" w:pos="5124"/>
      </w:tabs>
      <w:rPr>
        <w:rFonts w:ascii="宋体" w:eastAsia="宋体"/>
        <w:sz w:val="28"/>
        <w:szCs w:val="28"/>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7" distR="114297" simplePos="0" relativeHeight="12"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1" name="文本框 8 6"/>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miter/>
                      </a:ln>
                    </wps:spPr>
                    <wps:txbx id="2">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type="#_x0000_t202" id="文本框 8 6 3" o:spid="_x0000_s3" filled="f" stroked="f" style="position:absolute;margin-left:0.0pt;margin-top:0.0pt;width:19.494001pt;height:10.359pt;z-index:12;mso-position-horizontal:center;mso-position-horizontal-relative:margin;mso-position-vertical:absolute;mso-wrap-distance-left:8.99983pt;mso-wrap-distance-right:8.99983pt;mso-wrap-style:none;">
              <v:stroke color="#000000"/>
              <v:textbox id="848" inset="0mm,0mm,0mm,0mm" o:insetmode="custom" style="layout-flow:horizontal;v-text-anchor:top;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109"/>
  <w:drawingGridHorizontalSpacing w:val="156"/>
  <w:drawingGridVerticalSpacing w:val="287"/>
  <w:displayHorizontalDrawingGridEvery w:val="0"/>
  <w:displayVerticalDrawingGridEvery w:val="1"/>
  <w:noPunctuationKerning/>
  <w:characterSpacingControl w:val="compressPunctuation"/>
  <w:compat>
    <w:spaceForUL/>
    <w:balanceSingleByteDoubleByteWidth/>
    <w:doNotExpandShiftReturn/>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szCs w:val="32"/>
    </w:rPr>
  </w:style>
  <w:style w:type="paragraph" w:styleId="3">
    <w:name w:val="heading 3"/>
    <w:basedOn w:val="0"/>
    <w:next w:val="0"/>
    <w:pPr>
      <w:keepNext/>
      <w:keepLines/>
      <w:widowControl w:val="0"/>
      <w:spacing w:before="260" w:after="260" w:line="415" w:lineRule="auto"/>
      <w:outlineLvl w:val="2"/>
    </w:pPr>
    <w:rPr>
      <w:b/>
      <w:bCs/>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Autospacing="1" w:afterAutospacing="1"/>
      <w:jc w:val="left"/>
    </w:pPr>
    <w:rPr>
      <w:rFonts w:ascii="宋体" w:eastAsia="宋体" w:cs="宋体"/>
      <w:kern w:val="0"/>
      <w:sz w:val="24"/>
      <w:szCs w:val="24"/>
    </w:rPr>
  </w:style>
  <w:style w:type="character" w:styleId="22">
    <w:name w:val="page number"/>
    <w:basedOn w:val="10"/>
  </w:style>
  <w:style w:type="character" w:customStyle="1" w:styleId="23">
    <w:name w:val="font61"/>
    <w:rPr>
      <w:rFonts w:ascii="宋体" w:eastAsia="宋体" w:cs="宋体"/>
      <w:color w:val="000000"/>
      <w:sz w:val="24"/>
      <w:szCs w:val="24"/>
      <w:u w:val="none"/>
    </w:rPr>
  </w:style>
  <w:style w:type="character" w:customStyle="1" w:styleId="24">
    <w:name w:val="font41"/>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pPr>
      <w:tabs>
        <w:tab w:val="center" w:pos="4153"/>
        <w:tab w:val="right" w:pos="8306"/>
      </w:tabs>
      <w:snapToGrid w:val="0"/>
      <w:jc w:val="left"/>
    </w:pPr>
    <w:rPr>
      <w:sz w:val="18"/>
    </w:rPr>
  </w:style>
  <w:style w:type="paragraph" w:customStyle="1" w:styleId="29">
    <w:name w:val="页脚 New New New New New New New New New New New"/>
    <w:basedOn w:val="0"/>
    <w:pPr>
      <w:tabs>
        <w:tab w:val="center" w:pos="4153"/>
        <w:tab w:val="right" w:pos="8306"/>
      </w:tabs>
      <w:snapToGrid w:val="0"/>
      <w:jc w:val="left"/>
    </w:pPr>
    <w:rPr>
      <w:sz w:val="18"/>
    </w:rPr>
  </w:style>
  <w:style w:type="paragraph" w:customStyle="1" w:styleId="30">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33">
    <w:name w:val="页脚 New New New New New New New New New New New New New New New New New New New"/>
    <w:basedOn w:val="0"/>
    <w:pPr>
      <w:tabs>
        <w:tab w:val="center" w:pos="4153"/>
        <w:tab w:val="right" w:pos="8306"/>
      </w:tabs>
      <w:snapToGrid w:val="0"/>
      <w:jc w:val="left"/>
    </w:pPr>
    <w:rPr>
      <w:sz w:val="18"/>
    </w:rPr>
  </w:style>
  <w:style w:type="paragraph" w:customStyle="1" w:styleId="34">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sz w:val="18"/>
    </w:rPr>
  </w:style>
  <w:style w:type="paragraph" w:customStyle="1" w:styleId="36">
    <w:name w:val="页脚 New"/>
    <w:basedOn w:val="0"/>
    <w:pPr>
      <w:tabs>
        <w:tab w:val="center" w:pos="4153"/>
        <w:tab w:val="right" w:pos="8306"/>
      </w:tabs>
      <w:snapToGrid w:val="0"/>
      <w:jc w:val="left"/>
    </w:pPr>
    <w:rPr>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pPr>
      <w:tabs>
        <w:tab w:val="center" w:pos="4153"/>
        <w:tab w:val="right" w:pos="8306"/>
      </w:tabs>
      <w:snapToGrid w:val="0"/>
      <w:jc w:val="left"/>
    </w:pPr>
    <w:rPr>
      <w:sz w:val="18"/>
    </w:rPr>
  </w:style>
  <w:style w:type="paragraph" w:customStyle="1" w:styleId="41">
    <w:name w:val="页脚 New New New"/>
    <w:basedOn w:val="0"/>
    <w:pPr>
      <w:tabs>
        <w:tab w:val="center" w:pos="4153"/>
        <w:tab w:val="right" w:pos="8306"/>
      </w:tabs>
      <w:snapToGrid w:val="0"/>
      <w:jc w:val="left"/>
    </w:pPr>
    <w:rPr>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pPr>
      <w:tabs>
        <w:tab w:val="center" w:pos="4153"/>
        <w:tab w:val="right" w:pos="8306"/>
      </w:tabs>
      <w:snapToGrid w:val="0"/>
      <w:jc w:val="left"/>
    </w:pPr>
    <w:rPr>
      <w:sz w:val="18"/>
    </w:rPr>
  </w:style>
  <w:style w:type="paragraph" w:customStyle="1" w:styleId="47">
    <w:name w:val="页脚 New New New New New New New New New New New New New New New New"/>
    <w:basedOn w:val="0"/>
    <w:pPr>
      <w:tabs>
        <w:tab w:val="center" w:pos="4153"/>
        <w:tab w:val="right" w:pos="8306"/>
      </w:tabs>
      <w:snapToGrid w:val="0"/>
      <w:jc w:val="left"/>
    </w:pPr>
    <w:rPr>
      <w:sz w:val="18"/>
    </w:rPr>
  </w:style>
  <w:style w:type="paragraph" w:customStyle="1" w:styleId="48">
    <w:name w:val="页脚 New New New New New New"/>
    <w:basedOn w:val="0"/>
    <w:pPr>
      <w:tabs>
        <w:tab w:val="center" w:pos="4153"/>
        <w:tab w:val="right" w:pos="8306"/>
      </w:tabs>
      <w:snapToGrid w:val="0"/>
      <w:jc w:val="left"/>
    </w:pPr>
    <w:rPr>
      <w:sz w:val="18"/>
    </w:rPr>
  </w:style>
  <w:style w:type="paragraph" w:customStyle="1" w:styleId="49">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pPr>
      <w:tabs>
        <w:tab w:val="center" w:pos="4153"/>
        <w:tab w:val="right" w:pos="8306"/>
      </w:tabs>
      <w:snapToGrid w:val="0"/>
      <w:jc w:val="left"/>
    </w:pPr>
    <w:rPr>
      <w:sz w:val="18"/>
    </w:rPr>
  </w:style>
  <w:style w:type="paragraph" w:customStyle="1" w:styleId="5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pPr>
      <w:tabs>
        <w:tab w:val="center" w:pos="4153"/>
        <w:tab w:val="right" w:pos="8306"/>
      </w:tabs>
      <w:snapToGrid w:val="0"/>
      <w:jc w:val="left"/>
    </w:pPr>
    <w:rPr>
      <w:sz w:val="18"/>
    </w:rPr>
  </w:style>
  <w:style w:type="paragraph" w:customStyle="1" w:styleId="58">
    <w:name w:val="页脚 New New New New New New New New"/>
    <w:basedOn w:val="0"/>
    <w:pPr>
      <w:tabs>
        <w:tab w:val="center" w:pos="4153"/>
        <w:tab w:val="right" w:pos="8306"/>
      </w:tabs>
      <w:snapToGrid w:val="0"/>
      <w:jc w:val="left"/>
    </w:pPr>
    <w:rPr>
      <w:sz w:val="18"/>
    </w:rPr>
  </w:style>
  <w:style w:type="paragraph" w:customStyle="1" w:styleId="59">
    <w:name w:val="页脚 New New New New New New New New New"/>
    <w:basedOn w:val="0"/>
    <w:pPr>
      <w:tabs>
        <w:tab w:val="center" w:pos="4153"/>
        <w:tab w:val="right" w:pos="8306"/>
      </w:tabs>
      <w:snapToGrid w:val="0"/>
      <w:jc w:val="left"/>
    </w:pPr>
    <w:rPr>
      <w:sz w:val="18"/>
    </w:rPr>
  </w:style>
  <w:style w:type="paragraph" w:customStyle="1" w:styleId="60">
    <w:name w:val="页脚 New New New New New New New New New New New New"/>
    <w:basedOn w:val="0"/>
    <w:pPr>
      <w:tabs>
        <w:tab w:val="center" w:pos="4153"/>
        <w:tab w:val="right" w:pos="8306"/>
      </w:tabs>
      <w:snapToGrid w:val="0"/>
      <w:jc w:val="left"/>
    </w:pPr>
    <w:rPr>
      <w:sz w:val="18"/>
    </w:rPr>
  </w:style>
  <w:style w:type="paragraph" w:customStyle="1" w:styleId="61">
    <w:name w:val="页脚 New New New New New New New"/>
    <w:basedOn w:val="0"/>
    <w:pPr>
      <w:tabs>
        <w:tab w:val="center" w:pos="4153"/>
        <w:tab w:val="right" w:pos="8306"/>
      </w:tabs>
      <w:snapToGrid w:val="0"/>
      <w:jc w:val="left"/>
    </w:pPr>
    <w:rPr>
      <w:sz w:val="18"/>
    </w:rPr>
  </w:style>
  <w:style w:type="paragraph" w:customStyle="1" w:styleId="62">
    <w:name w:val="页脚 New New New New"/>
    <w:basedOn w:val="0"/>
    <w:pPr>
      <w:tabs>
        <w:tab w:val="center" w:pos="4153"/>
        <w:tab w:val="right" w:pos="8306"/>
      </w:tabs>
      <w:snapToGrid w:val="0"/>
      <w:jc w:val="left"/>
    </w:pPr>
    <w:rPr>
      <w:sz w:val="18"/>
    </w:rPr>
  </w:style>
  <w:style w:type="paragraph" w:customStyle="1" w:styleId="63">
    <w:name w:val="页脚 New New New New New New New New New New New New New New New New New New"/>
    <w:basedOn w:val="0"/>
    <w:pPr>
      <w:tabs>
        <w:tab w:val="center" w:pos="4153"/>
        <w:tab w:val="right" w:pos="8306"/>
      </w:tabs>
      <w:snapToGrid w:val="0"/>
      <w:jc w:val="left"/>
    </w:pPr>
    <w:rPr>
      <w:sz w:val="18"/>
    </w:rPr>
  </w:style>
  <w:style w:type="paragraph" w:customStyle="1" w:styleId="64">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pPr>
      <w:tabs>
        <w:tab w:val="center" w:pos="4153"/>
        <w:tab w:val="right" w:pos="8306"/>
      </w:tabs>
      <w:snapToGrid w:val="0"/>
      <w:jc w:val="left"/>
    </w:pPr>
    <w:rPr>
      <w:sz w:val="18"/>
    </w:rPr>
  </w:style>
  <w:style w:type="paragraph" w:customStyle="1" w:styleId="69">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pPr>
      <w:adjustRightInd w:val="0"/>
      <w:ind w:firstLine="630"/>
      <w:jc w:val="left"/>
      <w:textAlignment w:val="baseline"/>
    </w:pPr>
    <w:rPr>
      <w:rFonts w:eastAsia="黑体"/>
    </w:rPr>
  </w:style>
  <w:style w:type="paragraph" w:customStyle="1" w:styleId="71">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73">
    <w:name w:val="页脚 New New New New New New New New New New"/>
    <w:basedOn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0">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6">
    <w:name w:val="页眉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Char"/>
    <w:basedOn w:val="0"/>
    <w:rPr>
      <w:rFonts w:eastAsia="宋体"/>
      <w:sz w:val="21"/>
      <w:szCs w:val="21"/>
    </w:rPr>
  </w:style>
  <w:style w:type="paragraph" w:customStyle="1" w:styleId="88">
    <w:name w:val="页脚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89">
    <w:name w:val="页脚 New New New New New New New New New New New New New New New New New New New New New New New New New New"/>
    <w:basedOn w:val="0"/>
    <w:pPr>
      <w:tabs>
        <w:tab w:val="center" w:pos="4153"/>
        <w:tab w:val="right" w:pos="8306"/>
      </w:tabs>
      <w:snapToGrid w:val="0"/>
      <w:jc w:val="left"/>
    </w:pPr>
    <w:rPr>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747</TotalTime>
  <Application>Yozo_Office27021597764231179</Application>
  <Pages>25</Pages>
  <Words>6711</Words>
  <Characters>8340</Characters>
  <Lines>1639</Lines>
  <Paragraphs>679</Paragraphs>
  <CharactersWithSpaces>9041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5</cp:revision>
  <cp:lastPrinted>2024-01-23T03:39:00Z</cp:lastPrinted>
  <dcterms:created xsi:type="dcterms:W3CDTF">2022-02-20T09:24:00Z</dcterms:created>
  <dcterms:modified xsi:type="dcterms:W3CDTF">2024-02-26T02:14:09Z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2778DE0D3D1747E5A61F757C22D63E49_13</vt:lpwstr>
  </property>
</Properties>
</file>