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eastAsia="方正小标宋简体"/>
          <w:sz w:val="44"/>
          <w:szCs w:val="44"/>
        </w:rPr>
        <w:t>长春市统计局农村社会经济调查队</w:t>
      </w:r>
    </w:p>
    <w:p>
      <w:pPr>
        <w:jc w:val="center"/>
        <w:rPr>
          <w:rFonts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lang w:val="en-US" w:eastAsia="zh-CN"/>
        </w:rPr>
        <w:t>4</w:t>
      </w:r>
      <w:r>
        <w:rPr>
          <w:rFonts w:eastAsia="方正小标宋简体"/>
          <w:sz w:val="44"/>
          <w:szCs w:val="44"/>
        </w:rPr>
        <w:t>年单位预算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sectPr>
          <w:headerReference w:type="default" r:id="rId2"/>
          <w:headerReference w:type="even" r:id="rId3"/>
          <w:headerReference w:type="first" r:id="rId4"/>
          <w:footerReference w:type="default" r:id="rId5"/>
          <w:footerReference w:type="even" r:id="rId6"/>
          <w:footerReference w:type="first" r:id="rId7"/>
          <w:type w:val="evenPage"/>
          <w:pgSz w:w="11907" w:h="16840"/>
          <w:pgMar w:top="2041" w:right="1588" w:bottom="2041" w:left="1588" w:header="851" w:footer="1588" w:gutter="0"/>
          <w:pgNumType w:fmt="numberInDash" w:start="1"/>
          <w:titlePg/>
          <w:docGrid w:type="lines" w:linePitch="574" w:charSpace="-1675"/>
        </w:sectPr>
      </w:pPr>
      <w:r>
        <w:rPr>
          <w:rFonts w:eastAsia="华文细黑"/>
        </w:rPr>
        <w:t>二〇二</w:t>
      </w:r>
      <w:r>
        <w:rPr>
          <w:rFonts w:eastAsia="华文细黑" w:hint="eastAsia"/>
          <w:lang w:eastAsia="zh-CN"/>
        </w:rPr>
        <w:t>四</w:t>
      </w:r>
      <w:r>
        <w:rPr>
          <w:rFonts w:eastAsia="华文细黑"/>
        </w:rPr>
        <w:t>年</w:t>
      </w:r>
      <w:r>
        <w:rPr>
          <w:rFonts w:eastAsia="华文细黑" w:hint="eastAsia"/>
          <w:lang w:val="en-US" w:eastAsia="zh-CN"/>
        </w:rPr>
        <w:t>二</w:t>
      </w:r>
      <w:r>
        <w:rPr>
          <w:rFonts w:eastAsia="华文细黑"/>
        </w:rPr>
        <w:t>月</w:t>
      </w:r>
      <w:r>
        <w:rPr>
          <w:rFonts w:eastAsia="华文细黑"/>
          <w:lang w:val="en-US" w:eastAsia="zh-CN"/>
        </w:rPr>
        <w:t>二十六日</w:t>
      </w:r>
    </w:p>
    <w:p>
      <w:pPr>
        <w:ind w:left="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单位概况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Chars="200" w:firstLine="640"/>
        <w:jc w:val="center"/>
        <w:rPr>
          <w:rFonts w:eastAsia="黑体"/>
        </w:rPr>
      </w:pPr>
      <w:r>
        <w:rPr>
          <w:rFonts w:eastAsia="黑体"/>
        </w:rPr>
        <w:t>第一部分 单位概况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ind w:firstLineChars="200" w:firstLine="640"/>
        <w:rPr>
          <w:rFonts w:ascii="仿宋_GB2312" w:hint="eastAsia"/>
          <w:color w:val="000000"/>
          <w:szCs w:val="32"/>
        </w:rPr>
      </w:pPr>
      <w:r>
        <w:rPr>
          <w:rFonts w:ascii="仿宋_GB2312"/>
          <w:color w:val="000000"/>
          <w:szCs w:val="32"/>
        </w:rPr>
        <w:t>（一）</w:t>
      </w:r>
      <w:r>
        <w:rPr>
          <w:rFonts w:ascii="仿宋_GB2312" w:hint="eastAsia"/>
          <w:color w:val="000000"/>
          <w:szCs w:val="32"/>
        </w:rPr>
        <w:t>负责全市农村社会经济抽样调查和专项调查。</w:t>
      </w:r>
    </w:p>
    <w:p>
      <w:pPr>
        <w:ind w:leftChars="200" w:left="640"/>
      </w:pPr>
      <w:r>
        <w:rPr>
          <w:rFonts w:ascii="仿宋_GB2312"/>
          <w:color w:val="000000"/>
          <w:szCs w:val="32"/>
        </w:rPr>
        <w:t>（二）</w:t>
      </w:r>
      <w:r>
        <w:rPr>
          <w:rFonts w:ascii="仿宋_GB2312" w:hint="eastAsia"/>
          <w:color w:val="000000"/>
          <w:szCs w:val="32"/>
        </w:rPr>
        <w:t>负责统计调查数据的收集、汇总、整理、分析和预测。</w:t>
      </w:r>
      <w:r>
        <w:rPr>
          <w:rFonts w:eastAsia="楷体_GB2312"/>
        </w:rPr>
        <w:t>二、机构设置</w:t>
      </w:r>
    </w:p>
    <w:p>
      <w:pPr>
        <w:pStyle w:val="56"/>
        <w:ind w:firstLineChars="200" w:firstLine="640"/>
        <w:rPr>
          <w:rFonts w:ascii="仿宋_GB2312" w:eastAsia="仿宋_GB2312" w:hint="eastAsia"/>
        </w:rPr>
      </w:pPr>
      <w:r>
        <w:rPr>
          <w:rFonts w:ascii="仿宋_GB2312" w:eastAsia="仿宋_GB2312" w:hint="eastAsia"/>
          <w:color w:val="000000"/>
          <w:kern w:val="2"/>
        </w:rPr>
        <w:t>根据所承担的工作职责和人员编制，长春市统计局农村社会经济调查队设4个内设机构。内设机构职责根据本单位主要职责自行分解，内设机构名称报省机构编制部门备案。</w:t>
      </w:r>
      <w:r>
        <w:rPr>
          <w:rFonts w:ascii="仿宋_GB2312" w:eastAsia="仿宋_GB2312" w:hint="eastAsia"/>
          <w:color w:val="000000"/>
        </w:rPr>
        <w:t>本单位无下设预算单位。</w:t>
      </w: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楷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260.31</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199.53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60.78</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207.34</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147.25</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60.09</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260.31</w:t>
            </w: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199.53</w:t>
            </w: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r>
              <w:rPr>
                <w:rFonts w:eastAsia="宋体"/>
                <w:kern w:val="0"/>
                <w:sz w:val="20"/>
              </w:rPr>
              <w:t>60.78</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25.59</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25.59</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10.53</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9.83</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0.70</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16.86</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16.86</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260.31</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199.53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60.78</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260.31</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199.53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60.78</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260.31</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199.53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60.78</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260.31</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199.53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60.78</w:t>
            </w:r>
          </w:p>
        </w:tc>
      </w:tr>
    </w:tbl>
    <w:p>
      <w:pPr>
        <w:ind w:firstLineChars="200" w:firstLine="640"/>
        <w:rPr>
          <w:rFonts w:eastAsia="楷体_GB2312"/>
          <w:strike/>
          <w:dstrike w:val="0"/>
        </w:rPr>
      </w:pPr>
    </w:p>
    <w:p>
      <w:pPr>
        <w:ind w:firstLineChars="200" w:firstLine="640"/>
        <w:rPr>
          <w:rFonts w:eastAsia="楷体_GB2312"/>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101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333"/>
        <w:gridCol w:w="833"/>
        <w:gridCol w:w="851"/>
        <w:gridCol w:w="767"/>
        <w:gridCol w:w="417"/>
        <w:gridCol w:w="433"/>
        <w:gridCol w:w="416"/>
        <w:gridCol w:w="350"/>
        <w:gridCol w:w="149"/>
        <w:gridCol w:w="284"/>
        <w:gridCol w:w="383"/>
        <w:gridCol w:w="325"/>
        <w:gridCol w:w="108"/>
        <w:gridCol w:w="350"/>
        <w:gridCol w:w="39"/>
        <w:gridCol w:w="496"/>
        <w:gridCol w:w="181"/>
        <w:gridCol w:w="716"/>
        <w:gridCol w:w="449"/>
        <w:gridCol w:w="450"/>
        <w:gridCol w:w="399"/>
        <w:gridCol w:w="453"/>
      </w:tblGrid>
      <w:tr>
        <w:trPr>
          <w:trHeight w:val="335"/>
        </w:trPr>
        <w:tc>
          <w:tcPr>
            <w:tcW w:w="1333" w:type="dxa"/>
            <w:tcBorders>
              <w:bottom w:val="single" w:sz="4" w:space="0" w:color="000000"/>
            </w:tcBorders>
            <w:noWrap/>
          </w:tcPr>
          <w:p>
            <w:pPr>
              <w:autoSpaceDN w:val="0"/>
              <w:jc w:val="left"/>
              <w:textAlignment w:val="center"/>
              <w:rPr>
                <w:rFonts w:eastAsia="华文细黑"/>
                <w:color w:val="000000"/>
                <w:sz w:val="20"/>
              </w:rPr>
            </w:pPr>
          </w:p>
        </w:tc>
        <w:tc>
          <w:tcPr>
            <w:tcW w:w="4216" w:type="dxa"/>
            <w:gridSpan w:val="8"/>
            <w:tcBorders>
              <w:bottom w:val="single" w:sz="4" w:space="0" w:color="000000"/>
            </w:tcBorders>
            <w:noWrap/>
            <w:vAlign w:val="center"/>
          </w:tcPr>
          <w:p>
            <w:pPr>
              <w:autoSpaceDN w:val="0"/>
              <w:jc w:val="left"/>
              <w:textAlignment w:val="center"/>
              <w:rPr>
                <w:rFonts w:eastAsia="华文细黑"/>
                <w:color w:val="000000"/>
                <w:sz w:val="20"/>
              </w:rPr>
            </w:pPr>
          </w:p>
        </w:tc>
        <w:tc>
          <w:tcPr>
            <w:tcW w:w="992" w:type="dxa"/>
            <w:gridSpan w:val="3"/>
            <w:noWrap/>
            <w:vAlign w:val="center"/>
          </w:tcPr>
          <w:p>
            <w:pPr>
              <w:autoSpaceDN w:val="0"/>
              <w:jc w:val="left"/>
              <w:textAlignment w:val="center"/>
              <w:rPr>
                <w:rFonts w:eastAsia="华文细黑"/>
                <w:color w:val="000000"/>
                <w:sz w:val="20"/>
              </w:rPr>
            </w:pPr>
          </w:p>
        </w:tc>
        <w:tc>
          <w:tcPr>
            <w:tcW w:w="497" w:type="dxa"/>
            <w:gridSpan w:val="3"/>
            <w:noWrap/>
            <w:vAlign w:val="center"/>
          </w:tcPr>
          <w:p>
            <w:pPr>
              <w:autoSpaceDN w:val="0"/>
              <w:jc w:val="left"/>
              <w:textAlignment w:val="center"/>
              <w:rPr>
                <w:rFonts w:eastAsia="华文细黑"/>
                <w:color w:val="000000"/>
                <w:sz w:val="20"/>
              </w:rPr>
            </w:pPr>
          </w:p>
        </w:tc>
        <w:tc>
          <w:tcPr>
            <w:tcW w:w="496" w:type="dxa"/>
            <w:noWrap/>
            <w:vAlign w:val="center"/>
          </w:tcPr>
          <w:p>
            <w:pPr>
              <w:autoSpaceDN w:val="0"/>
              <w:jc w:val="left"/>
              <w:textAlignment w:val="center"/>
              <w:rPr>
                <w:rFonts w:eastAsia="华文细黑"/>
                <w:color w:val="000000"/>
                <w:sz w:val="20"/>
              </w:rPr>
            </w:pPr>
          </w:p>
        </w:tc>
        <w:tc>
          <w:tcPr>
            <w:tcW w:w="897" w:type="dxa"/>
            <w:gridSpan w:val="2"/>
            <w:noWrap/>
            <w:vAlign w:val="bottom"/>
          </w:tcPr>
          <w:p>
            <w:pPr>
              <w:autoSpaceDN w:val="0"/>
              <w:jc w:val="right"/>
              <w:textAlignment w:val="bottom"/>
              <w:rPr>
                <w:rFonts w:eastAsia="宋体"/>
                <w:color w:val="000000"/>
                <w:sz w:val="20"/>
              </w:rPr>
            </w:pPr>
          </w:p>
        </w:tc>
        <w:tc>
          <w:tcPr>
            <w:tcW w:w="1751" w:type="dxa"/>
            <w:gridSpan w:val="4"/>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trPr>
        <w:tc>
          <w:tcPr>
            <w:tcW w:w="1333" w:type="dxa"/>
            <w:vMerge w:val="restart"/>
            <w:tcBorders>
              <w:left w:val="single" w:sz="4" w:space="0" w:color="000000"/>
              <w:right w:val="single" w:sz="4" w:space="0" w:color="000000"/>
            </w:tcBorders>
            <w:noWrap/>
            <w:vAlign w:val="center"/>
          </w:tcPr>
          <w:p>
            <w:pPr>
              <w:widowControl/>
              <w:jc w:val="center"/>
              <w:rPr>
                <w:rFonts w:ascii="宋体" w:eastAsia="宋体" w:cs="宋体" w:hint="eastAsia"/>
                <w:color w:val="000000"/>
                <w:sz w:val="20"/>
                <w:lang w:eastAsia="zh-CN"/>
              </w:rPr>
            </w:pPr>
            <w:r>
              <w:rPr>
                <w:rFonts w:ascii="宋体" w:eastAsia="宋体" w:cs="宋体" w:hint="eastAsia"/>
                <w:color w:val="000000"/>
                <w:sz w:val="20"/>
                <w:lang w:eastAsia="zh-CN"/>
              </w:rPr>
              <w:t>部门（单位）名称</w:t>
            </w:r>
          </w:p>
        </w:tc>
        <w:tc>
          <w:tcPr>
            <w:tcW w:w="833" w:type="dxa"/>
            <w:vMerge w:val="restart"/>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总计</w:t>
            </w:r>
          </w:p>
        </w:tc>
        <w:tc>
          <w:tcPr>
            <w:tcW w:w="4832" w:type="dxa"/>
            <w:gridSpan w:val="12"/>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lang w:eastAsia="zh-CN"/>
              </w:rPr>
              <w:t>本年预算</w:t>
            </w:r>
          </w:p>
        </w:tc>
        <w:tc>
          <w:tcPr>
            <w:tcW w:w="3183" w:type="dxa"/>
            <w:gridSpan w:val="8"/>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上年结转结余</w:t>
            </w:r>
          </w:p>
        </w:tc>
      </w:tr>
      <w:tr>
        <w:trPr>
          <w:trHeight w:val="517"/>
        </w:trPr>
        <w:tc>
          <w:tcPr>
            <w:tcW w:w="1382" w:type="dxa"/>
            <w:vMerge/>
            <w:tcBorders>
              <w:left w:val="single" w:sz="4" w:space="0" w:color="000000"/>
              <w:right w:val="single" w:sz="4" w:space="0" w:color="000000"/>
            </w:tcBorders>
            <w:noWrap/>
            <w:vAlign w:val="center"/>
          </w:tcPr>
          <w:p/>
        </w:tc>
        <w:tc>
          <w:tcPr>
            <w:tcW w:w="826" w:type="dxa"/>
            <w:vMerge/>
            <w:tcBorders>
              <w:left w:val="single" w:sz="4" w:space="0" w:color="000000"/>
              <w:right w:val="single" w:sz="4" w:space="0" w:color="000000"/>
            </w:tcBorders>
            <w:noWrap/>
            <w:vAlign w:val="center"/>
          </w:tcPr>
          <w:p/>
        </w:tc>
        <w:tc>
          <w:tcPr>
            <w:tcW w:w="851" w:type="dxa"/>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617"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财政拨款收入</w:t>
            </w:r>
          </w:p>
        </w:tc>
        <w:tc>
          <w:tcPr>
            <w:tcW w:w="416" w:type="dxa"/>
            <w:vMerge w:val="restart"/>
            <w:tcBorders>
              <w:top w:val="single" w:sz="4" w:space="0" w:color="000000"/>
              <w:left w:val="single" w:sz="4" w:space="0" w:color="auto"/>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财政专户管理资金收入</w:t>
            </w:r>
          </w:p>
        </w:tc>
        <w:tc>
          <w:tcPr>
            <w:tcW w:w="1949" w:type="dxa"/>
            <w:gridSpan w:val="7"/>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单位资</w:t>
            </w:r>
            <w:r>
              <w:rPr>
                <w:rFonts w:ascii="宋体" w:eastAsia="宋体" w:cs="宋体" w:hint="eastAsia"/>
                <w:color w:val="000000"/>
                <w:sz w:val="20"/>
                <w:lang w:val="en-US" w:eastAsia="zh-CN"/>
              </w:rPr>
              <w:t xml:space="preserve">            </w:t>
            </w:r>
            <w:r>
              <w:rPr>
                <w:rFonts w:ascii="宋体" w:eastAsia="宋体" w:cs="宋体" w:hint="eastAsia"/>
                <w:color w:val="000000"/>
                <w:sz w:val="20"/>
                <w:lang w:eastAsia="zh-CN"/>
              </w:rPr>
              <w:t>金收入</w:t>
            </w:r>
          </w:p>
        </w:tc>
        <w:tc>
          <w:tcPr>
            <w:tcW w:w="716" w:type="dxa"/>
            <w:gridSpan w:val="3"/>
            <w:vMerge w:val="restart"/>
            <w:tcBorders>
              <w:top w:val="single" w:sz="4" w:space="0" w:color="000000"/>
              <w:left w:val="single" w:sz="4" w:space="0" w:color="000000"/>
              <w:bottom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615"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财政拨款结转</w:t>
            </w:r>
          </w:p>
        </w:tc>
        <w:tc>
          <w:tcPr>
            <w:tcW w:w="852" w:type="dxa"/>
            <w:gridSpan w:val="2"/>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非财政拨款结转结余</w:t>
            </w:r>
          </w:p>
        </w:tc>
      </w:tr>
      <w:tr>
        <w:trPr>
          <w:trHeight w:val="2818"/>
        </w:trPr>
        <w:tc>
          <w:tcPr>
            <w:tcW w:w="1382" w:type="dxa"/>
            <w:vMerge/>
            <w:tcBorders>
              <w:left w:val="single" w:sz="4" w:space="0" w:color="000000"/>
              <w:bottom w:val="single" w:sz="4" w:space="0" w:color="000000"/>
              <w:right w:val="single" w:sz="4" w:space="0" w:color="000000"/>
            </w:tcBorders>
            <w:shd w:val="solid" w:color="FFFFFF" w:fill="auto"/>
            <w:noWrap/>
            <w:vAlign w:val="center"/>
          </w:tcPr>
          <w:p/>
        </w:tc>
        <w:tc>
          <w:tcPr>
            <w:tcW w:w="826" w:type="dxa"/>
            <w:vMerge/>
            <w:tcBorders>
              <w:left w:val="single" w:sz="4" w:space="0" w:color="000000"/>
              <w:bottom w:val="single" w:sz="4" w:space="0" w:color="000000"/>
              <w:right w:val="single" w:sz="4" w:space="0" w:color="000000"/>
            </w:tcBorders>
            <w:shd w:val="solid" w:color="FFFFFF" w:fill="auto"/>
            <w:noWrap/>
            <w:vAlign w:val="center"/>
          </w:tcPr>
          <w:p/>
        </w:tc>
        <w:tc>
          <w:tcPr>
            <w:tcW w:w="421"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767"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一般公共预算收入</w:t>
            </w:r>
          </w:p>
        </w:tc>
        <w:tc>
          <w:tcPr>
            <w:tcW w:w="417" w:type="dxa"/>
            <w:tcBorders>
              <w:top w:val="single" w:sz="4" w:space="0" w:color="000000"/>
              <w:left w:val="single" w:sz="4" w:space="0" w:color="000000"/>
              <w:bottom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政府性基金预算收入</w:t>
            </w: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国有资本经营预算收入</w:t>
            </w:r>
          </w:p>
        </w:tc>
        <w:tc>
          <w:tcPr>
            <w:tcW w:w="421" w:type="dxa"/>
            <w:vMerge/>
            <w:tcBorders>
              <w:left w:val="single" w:sz="4" w:space="0" w:color="auto"/>
              <w:bottom w:val="single" w:sz="4" w:space="0" w:color="000000"/>
              <w:right w:val="single" w:sz="4" w:space="0" w:color="auto"/>
            </w:tcBorders>
            <w:shd w:val="solid" w:color="FFFFFF" w:fill="auto"/>
            <w:noWrap/>
            <w:textDirection w:val="tbLrV"/>
          </w:tc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事业收入</w:t>
            </w: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事业单位经营收入</w:t>
            </w:r>
          </w:p>
        </w:tc>
        <w:tc>
          <w:tcPr>
            <w:tcW w:w="383"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上级补助收入</w:t>
            </w: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附属单位上缴收入</w:t>
            </w: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其他收入</w:t>
            </w:r>
          </w:p>
        </w:tc>
        <w:tc>
          <w:tcPr>
            <w:tcW w:w="1106" w:type="dxa"/>
            <w:gridSpan w:val="3"/>
            <w:vMerge/>
            <w:tcBorders>
              <w:top w:val="single" w:sz="4" w:space="0" w:color="000000"/>
              <w:left w:val="single" w:sz="4" w:space="0" w:color="000000"/>
              <w:bottom w:val="single" w:sz="4" w:space="0" w:color="000000"/>
              <w:right w:val="single" w:sz="4" w:space="0" w:color="auto"/>
            </w:tcBorders>
            <w:noWrap/>
            <w:vAlign w:val="center"/>
          </w:tcPr>
          <w:p/>
        </w:tc>
        <w:tc>
          <w:tcPr>
            <w:tcW w:w="716"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一般公共预算拨款结转</w:t>
            </w: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textDirection w:val="tbLrV"/>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政府性基金预算拨款结转</w:t>
            </w:r>
          </w:p>
        </w:tc>
        <w:tc>
          <w:tcPr>
            <w:tcW w:w="449"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国有资本经营预算拨款结转</w:t>
            </w:r>
          </w:p>
        </w:tc>
        <w:tc>
          <w:tcPr>
            <w:tcW w:w="399"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rPr>
            </w:pPr>
            <w:r>
              <w:rPr>
                <w:rFonts w:ascii="宋体" w:eastAsia="宋体" w:cs="宋体" w:hint="eastAsia"/>
                <w:color w:val="000000"/>
                <w:sz w:val="20"/>
                <w:shd w:val="clear" w:color="auto" w:fill="FFFFFF"/>
                <w:lang w:eastAsia="zh-CN"/>
              </w:rPr>
              <w:t>财政专户管理资金结转结余</w:t>
            </w:r>
          </w:p>
        </w:tc>
        <w:tc>
          <w:tcPr>
            <w:tcW w:w="453"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单位资金结转结余</w:t>
            </w:r>
          </w:p>
        </w:tc>
      </w:tr>
      <w:tr>
        <w:trPr>
          <w:trHeight w:val="517"/>
        </w:trPr>
        <w:tc>
          <w:tcPr>
            <w:tcW w:w="133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color w:val="000000"/>
                <w:sz w:val="20"/>
              </w:rPr>
              <w:t>长春市统计局农村社会经济调查队</w:t>
            </w:r>
          </w:p>
        </w:tc>
        <w:tc>
          <w:tcPr>
            <w:tcW w:w="8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260.31</w:t>
            </w:r>
          </w:p>
        </w:tc>
        <w:tc>
          <w:tcPr>
            <w:tcW w:w="85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199.53</w:t>
            </w:r>
          </w:p>
        </w:tc>
        <w:tc>
          <w:tcPr>
            <w:tcW w:w="76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199.53</w:t>
            </w:r>
          </w:p>
        </w:tc>
        <w:tc>
          <w:tcPr>
            <w:tcW w:w="41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gridSpan w:val="3"/>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60.78</w:t>
            </w:r>
          </w:p>
        </w:tc>
        <w:tc>
          <w:tcPr>
            <w:tcW w:w="7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60.78</w:t>
            </w: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33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8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gridSpan w:val="3"/>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33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8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gridSpan w:val="3"/>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33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8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gridSpan w:val="3"/>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33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260.31</w:t>
            </w:r>
          </w:p>
        </w:tc>
        <w:tc>
          <w:tcPr>
            <w:tcW w:w="85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199.53</w:t>
            </w:r>
          </w:p>
        </w:tc>
        <w:tc>
          <w:tcPr>
            <w:tcW w:w="76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199.53</w:t>
            </w:r>
          </w:p>
        </w:tc>
        <w:tc>
          <w:tcPr>
            <w:tcW w:w="41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3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16" w:type="dxa"/>
            <w:gridSpan w:val="3"/>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60.78</w:t>
            </w:r>
          </w:p>
        </w:tc>
        <w:tc>
          <w:tcPr>
            <w:tcW w:w="71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60.78</w:t>
            </w: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4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5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ind w:left="0"/>
        <w:rPr>
          <w:rFonts w:eastAsia="楷体"/>
        </w:rPr>
      </w:pPr>
    </w:p>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rPr>
        <w:t>预算总</w:t>
      </w:r>
      <w:r>
        <w:rPr>
          <w:rFonts w:eastAsia="方正小标宋简体"/>
          <w:kern w:val="0"/>
          <w:sz w:val="44"/>
          <w:szCs w:val="44"/>
        </w:rPr>
        <w:t>表</w:t>
      </w:r>
    </w:p>
    <w:tbl>
      <w:tblPr>
        <w:jc w:val="left"/>
        <w:tblInd w:w="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80"/>
        <w:gridCol w:w="1245"/>
        <w:gridCol w:w="1230"/>
        <w:gridCol w:w="930"/>
        <w:gridCol w:w="1065"/>
        <w:gridCol w:w="357"/>
        <w:gridCol w:w="424"/>
        <w:gridCol w:w="698"/>
        <w:gridCol w:w="119"/>
      </w:tblGrid>
      <w:tr>
        <w:trPr>
          <w:trHeight w:val="636"/>
          <w:gridAfter w:val="1"/>
          <w:wAfter w:w="119" w:type="dxa"/>
        </w:trPr>
        <w:tc>
          <w:tcPr>
            <w:tcW w:w="6285" w:type="dxa"/>
            <w:gridSpan w:val="4"/>
            <w:tcBorders>
              <w:bottom w:val="single" w:sz="4" w:space="0" w:color="000000"/>
            </w:tcBorders>
            <w:noWrap/>
            <w:vAlign w:val="center"/>
          </w:tcPr>
          <w:p>
            <w:pPr>
              <w:widowControl/>
              <w:jc w:val="left"/>
              <w:rPr>
                <w:rFonts w:eastAsia="华文细黑"/>
                <w:color w:val="000000"/>
                <w:kern w:val="0"/>
                <w:sz w:val="20"/>
              </w:rPr>
            </w:pPr>
          </w:p>
        </w:tc>
        <w:tc>
          <w:tcPr>
            <w:tcW w:w="1065" w:type="dxa"/>
            <w:tcBorders>
              <w:bottom w:val="single" w:sz="4" w:space="0" w:color="000000"/>
            </w:tcBorders>
            <w:noWrap/>
            <w:vAlign w:val="center"/>
          </w:tcPr>
          <w:p>
            <w:pPr>
              <w:widowControl/>
              <w:jc w:val="right"/>
              <w:rPr>
                <w:rFonts w:eastAsia="华文细黑"/>
                <w:color w:val="000000"/>
                <w:kern w:val="0"/>
                <w:sz w:val="20"/>
              </w:rPr>
            </w:pPr>
          </w:p>
        </w:tc>
        <w:tc>
          <w:tcPr>
            <w:tcW w:w="357" w:type="dxa"/>
            <w:tcBorders>
              <w:bottom w:val="single" w:sz="4" w:space="0" w:color="000000"/>
            </w:tcBorders>
            <w:noWrap/>
            <w:vAlign w:val="center"/>
          </w:tcPr>
          <w:p>
            <w:pPr>
              <w:widowControl/>
              <w:jc w:val="right"/>
              <w:rPr>
                <w:rFonts w:eastAsia="华文细黑"/>
                <w:color w:val="000000"/>
                <w:kern w:val="0"/>
                <w:sz w:val="20"/>
              </w:rPr>
            </w:pPr>
          </w:p>
        </w:tc>
        <w:tc>
          <w:tcPr>
            <w:tcW w:w="1122" w:type="dxa"/>
            <w:gridSpan w:val="2"/>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783"/>
        </w:trPr>
        <w:tc>
          <w:tcPr>
            <w:tcW w:w="2880"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45"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2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5"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事业单位</w:t>
            </w:r>
          </w:p>
          <w:p>
            <w:pPr>
              <w:widowControl/>
              <w:jc w:val="center"/>
              <w:rPr>
                <w:rFonts w:eastAsia="华文细黑"/>
                <w:color w:val="000000"/>
                <w:kern w:val="0"/>
                <w:sz w:val="20"/>
              </w:rPr>
            </w:pPr>
            <w:r>
              <w:rPr>
                <w:rFonts w:eastAsia="华文细黑" w:hint="eastAsia"/>
                <w:color w:val="000000"/>
                <w:kern w:val="0"/>
                <w:sz w:val="20"/>
              </w:rPr>
              <w:t>经营支出</w:t>
            </w:r>
          </w:p>
        </w:tc>
        <w:tc>
          <w:tcPr>
            <w:tcW w:w="781"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17"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605"/>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207.34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207.34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207.34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207.34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207.34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207.34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25.59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25.59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25.59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25.59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7.95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7.95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17.64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17.64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10.53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10.53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9"/>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10.53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10.53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10.53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10.53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1"/>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16.86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16.86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16.86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16.86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16.86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16.86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260.32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260.32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tbl>
      <w:tblPr>
        <w:tblpPr w:leftFromText="180" w:rightFromText="180" w:vertAnchor="text" w:horzAnchor="page" w:tblpX="1149" w:tblpY="1283"/>
        <w:tblOverlap w:val="never"/>
        <w:tblW w:w="911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70"/>
        <w:gridCol w:w="958"/>
        <w:gridCol w:w="1020"/>
        <w:gridCol w:w="1020"/>
        <w:gridCol w:w="1516"/>
        <w:gridCol w:w="1035"/>
        <w:gridCol w:w="1050"/>
        <w:gridCol w:w="1049"/>
      </w:tblGrid>
      <w:tr>
        <w:trPr>
          <w:trHeight w:val="502"/>
        </w:trPr>
        <w:tc>
          <w:tcPr>
            <w:tcW w:w="9118"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468"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65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7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95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51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35"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5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260.31</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199.53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60.78</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260.31</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199.53</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60.78</w:t>
            </w:r>
          </w:p>
        </w:tc>
      </w:tr>
      <w:tr>
        <w:trPr>
          <w:trHeight w:val="32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260.31</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199.53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60.78</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207.34</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147.25</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60.09</w:t>
            </w: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25.59</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25.59</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10.53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9.83</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0.70</w:t>
            </w: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16.86</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16.86</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5"/>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rPr>
              <w:t>二、</w:t>
            </w:r>
            <w:r>
              <w:rPr>
                <w:rFonts w:eastAsia="宋体"/>
                <w:kern w:val="0"/>
                <w:sz w:val="20"/>
              </w:rPr>
              <w:t>结转下年</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50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260.31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199.53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60.78</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260.31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199.53</w:t>
            </w:r>
          </w:p>
        </w:tc>
        <w:tc>
          <w:tcPr>
            <w:tcW w:w="1049"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60.78</w:t>
            </w:r>
          </w:p>
        </w:tc>
      </w:tr>
    </w:tbl>
    <w:p>
      <w:pPr>
        <w:ind w:left="0"/>
        <w:jc w:val="center"/>
        <w:rPr>
          <w:rFonts w:eastAsia="楷体"/>
        </w:rPr>
      </w:pPr>
      <w:r>
        <w:rPr>
          <w:rFonts w:eastAsia="方正小标宋简体"/>
          <w:kern w:val="0"/>
          <w:sz w:val="44"/>
          <w:szCs w:val="44"/>
        </w:rPr>
        <w:t>财政拨款收支</w:t>
      </w:r>
      <w:r>
        <w:rPr>
          <w:rFonts w:eastAsia="方正小标宋简体" w:hint="eastAsia"/>
          <w:kern w:val="0"/>
          <w:sz w:val="44"/>
          <w:szCs w:val="44"/>
        </w:rPr>
        <w:t>预算总</w:t>
      </w:r>
      <w:r>
        <w:rPr>
          <w:rFonts w:eastAsia="方正小标宋简体"/>
          <w:kern w:val="0"/>
          <w:sz w:val="44"/>
          <w:szCs w:val="44"/>
        </w:rPr>
        <w:t>表</w:t>
      </w:r>
    </w:p>
    <w:tbl>
      <w:tblPr>
        <w:jc w:val="left"/>
        <w:tblInd w:w="173" w:type="dxa"/>
        <w:tblW w:w="879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667"/>
        <w:gridCol w:w="1366"/>
        <w:gridCol w:w="1233"/>
        <w:gridCol w:w="1183"/>
        <w:gridCol w:w="1050"/>
        <w:gridCol w:w="1300"/>
      </w:tblGrid>
      <w:tr>
        <w:trPr>
          <w:trHeight w:val="1988"/>
        </w:trPr>
        <w:tc>
          <w:tcPr>
            <w:tcW w:w="8799" w:type="dxa"/>
            <w:gridSpan w:val="6"/>
            <w:tcBorders>
              <w:bottom w:val="single" w:sz="4" w:space="0" w:color="000000"/>
            </w:tcBorders>
            <w:noWrap/>
            <w:vAlign w:val="center"/>
          </w:tcPr>
          <w:p>
            <w:pPr>
              <w:widowControl/>
              <w:rPr>
                <w:rFonts w:eastAsia="方正小标宋简体"/>
                <w:kern w:val="0"/>
                <w:sz w:val="44"/>
                <w:szCs w:val="44"/>
              </w:rPr>
            </w:pPr>
          </w:p>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tc>
      </w:tr>
      <w:tr>
        <w:trPr>
          <w:trHeight w:val="757"/>
        </w:trPr>
        <w:tc>
          <w:tcPr>
            <w:tcW w:w="266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366"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66"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300"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23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8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05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488"/>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207.34</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207.34</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162.79</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44.54</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424"/>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207.34</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207.34</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162.79</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44.54</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0"/>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207.34</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207.34</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162.79</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44.54</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3"/>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25.59</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25.59</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25.59</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1"/>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25.59</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25.59</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25.59</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25"/>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17.64</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17.64</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17.64</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2"/>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10.53</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39"/>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0"/>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10.53 </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4"/>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2"/>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2"/>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16.86</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54"/>
        </w:trPr>
        <w:tc>
          <w:tcPr>
            <w:tcW w:w="266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260.32</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260.32</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215.77</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44.54</w:t>
            </w:r>
          </w:p>
        </w:tc>
        <w:tc>
          <w:tcPr>
            <w:tcW w:w="13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ind w:firstLineChars="200" w:firstLine="640"/>
        <w:rPr>
          <w:rFonts w:eastAsia="楷体"/>
        </w:rPr>
      </w:pPr>
    </w:p>
    <w:p>
      <w:pPr>
        <w:ind w:firstLineChars="200" w:firstLine="640"/>
        <w:rPr>
          <w:rFonts w:eastAsia="楷体"/>
        </w:rPr>
      </w:pPr>
    </w:p>
    <w:p>
      <w:pPr>
        <w:ind w:left="0"/>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931"/>
      </w:tblGrid>
      <w:tr>
        <w:trPr>
          <w:trHeight w:val="615"/>
        </w:trPr>
        <w:tc>
          <w:tcPr>
            <w:tcW w:w="8931" w:type="dxa"/>
            <w:tcBorders>
              <w:top w:val="nil"/>
              <w:left w:val="nil"/>
              <w:bottom w:val="nil"/>
              <w:right w:val="nil"/>
            </w:tcBorders>
            <w:noWrap/>
            <w:vAlign w:val="bottom"/>
          </w:tcPr>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center"/>
              <w:rPr>
                <w:rFonts w:eastAsia="方正小标宋简体"/>
                <w:kern w:val="0"/>
                <w:sz w:val="44"/>
                <w:szCs w:val="44"/>
              </w:rPr>
            </w:pPr>
            <w:r>
              <w:rPr>
                <w:rFonts w:eastAsia="方正小标宋简体"/>
                <w:kern w:val="0"/>
                <w:sz w:val="44"/>
                <w:szCs w:val="44"/>
              </w:rPr>
              <w:t xml:space="preserve">                                  </w:t>
            </w:r>
            <w:r>
              <w:rPr>
                <w:rFonts w:eastAsia="华文细黑" w:hint="eastAsia"/>
                <w:kern w:val="0"/>
                <w:sz w:val="20"/>
              </w:rPr>
              <w:t>单位：万元</w:t>
            </w:r>
          </w:p>
        </w:tc>
      </w:tr>
    </w:tbl>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532"/>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rPr>
              <w:t>部门预算支出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306"/>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206.91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206.91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11"/>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76.41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76.41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28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43.09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43.09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38"/>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37.89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37.89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17.64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17.64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3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5.71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5.71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21"/>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4.67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4.67</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4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1.39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1.39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15"/>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16.86</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16.86</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0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1.40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1.40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41"/>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1.85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1.85</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96"/>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44.54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kern w:val="0"/>
                <w:sz w:val="20"/>
              </w:rPr>
              <w:t>44.54</w:t>
            </w:r>
          </w:p>
        </w:tc>
      </w:tr>
      <w:tr>
        <w:trPr>
          <w:trHeight w:val="32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3.39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3.39</w:t>
            </w: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6.28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6.28</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0.10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0.10</w:t>
            </w: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4.82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4.82</w:t>
            </w:r>
          </w:p>
        </w:tc>
      </w:tr>
      <w:tr>
        <w:trPr>
          <w:trHeight w:val="34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会议费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3.51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3.51</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1.54</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5.69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5.69</w:t>
            </w:r>
          </w:p>
        </w:tc>
      </w:tr>
      <w:tr>
        <w:trPr>
          <w:trHeight w:val="34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其他交通费用</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10.03</w:t>
            </w: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6.18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6.18</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8.87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8.87</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7.95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7.95</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0.92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0.92</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36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260.32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215.78</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44.54</w:t>
            </w:r>
          </w:p>
        </w:tc>
      </w:tr>
    </w:tbl>
    <w:p>
      <w:pPr>
        <w:rPr>
          <w:sz w:val="16"/>
          <w:szCs w:val="16"/>
        </w:rPr>
      </w:pPr>
    </w:p>
    <w:p>
      <w:pPr>
        <w:ind w:left="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rPr>
                <w:rFonts w:eastAsia="方正小标宋简体"/>
                <w:color w:val="000000"/>
                <w:kern w:val="0"/>
                <w:sz w:val="44"/>
                <w:szCs w:val="44"/>
              </w:rPr>
            </w:pPr>
          </w:p>
          <w:p>
            <w:pPr>
              <w:widowControl/>
              <w:rPr>
                <w:rFonts w:eastAsia="方正小标宋简体"/>
                <w:color w:val="000000"/>
                <w:kern w:val="0"/>
                <w:sz w:val="44"/>
                <w:szCs w:val="44"/>
              </w:rPr>
            </w:pPr>
          </w:p>
          <w:p>
            <w:pPr>
              <w:widowControl/>
              <w:rPr>
                <w:rFonts w:eastAsia="方正小标宋简体"/>
                <w:color w:val="000000"/>
                <w:kern w:val="0"/>
                <w:sz w:val="44"/>
                <w:szCs w:val="44"/>
              </w:rPr>
            </w:pPr>
          </w:p>
          <w:p>
            <w:pPr>
              <w:widowControl/>
              <w:jc w:val="center"/>
              <w:rPr>
                <w:rFonts w:eastAsia="方正小标宋简体"/>
                <w:color w:val="000000"/>
                <w:kern w:val="0"/>
                <w:sz w:val="44"/>
                <w:szCs w:val="44"/>
              </w:rPr>
            </w:pPr>
          </w:p>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4</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jc w:val="both"/>
              <w:rPr>
                <w:rFonts w:eastAsia="仿宋_GB2312" w:hint="eastAsia"/>
                <w:color w:val="000000"/>
                <w:kern w:val="0"/>
                <w:sz w:val="28"/>
                <w:szCs w:val="28"/>
                <w:lang w:val="en-US" w:eastAsia="zh-CN"/>
              </w:rPr>
            </w:pPr>
            <w:r>
              <w:rPr>
                <w:color w:val="000000"/>
                <w:kern w:val="0"/>
                <w:sz w:val="28"/>
                <w:szCs w:val="28"/>
              </w:rPr>
              <w:t>说明：</w:t>
              <w:br/>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的单位范围包括单位本级</w:t>
            </w:r>
            <w:r>
              <w:rPr>
                <w:rFonts w:eastAsia="宋体"/>
                <w:color w:val="000000"/>
                <w:kern w:val="0"/>
                <w:sz w:val="28"/>
                <w:szCs w:val="28"/>
              </w:rPr>
              <w:t xml:space="preserve"> 1 </w:t>
            </w:r>
            <w:r>
              <w:rPr>
                <w:color w:val="000000"/>
                <w:kern w:val="0"/>
                <w:sz w:val="28"/>
                <w:szCs w:val="28"/>
              </w:rPr>
              <w:t>个预算单位。</w:t>
            </w:r>
            <w:r>
              <w:rPr>
                <w:rFonts w:eastAsia="宋体"/>
                <w:color w:val="000000"/>
                <w:kern w:val="0"/>
                <w:sz w:val="28"/>
                <w:szCs w:val="28"/>
              </w:rPr>
              <w:t xml:space="preserve">   </w:t>
              <w:br/>
              <w:t xml:space="preserve">       2</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rPr>
              <w:t>14</w:t>
            </w:r>
            <w:r>
              <w:rPr>
                <w:color w:val="000000"/>
                <w:kern w:val="0"/>
                <w:sz w:val="28"/>
                <w:szCs w:val="28"/>
              </w:rPr>
              <w:t>人，其中：在职人员</w:t>
            </w:r>
            <w:r>
              <w:rPr>
                <w:rFonts w:eastAsia="宋体"/>
                <w:color w:val="000000"/>
                <w:kern w:val="0"/>
                <w:sz w:val="28"/>
                <w:szCs w:val="28"/>
              </w:rPr>
              <w:t>11</w:t>
            </w:r>
            <w:r>
              <w:rPr>
                <w:rFonts w:eastAsia="宋体"/>
                <w:color w:val="000000"/>
                <w:kern w:val="0"/>
                <w:sz w:val="28"/>
                <w:szCs w:val="28"/>
                <w:u w:color="auto"/>
              </w:rPr>
              <w:t>人，</w:t>
            </w:r>
            <w:r>
              <w:rPr>
                <w:color w:val="000000"/>
                <w:kern w:val="0"/>
                <w:sz w:val="28"/>
                <w:szCs w:val="28"/>
              </w:rPr>
              <w:t>退休人员</w:t>
            </w:r>
            <w:r>
              <w:rPr>
                <w:rFonts w:eastAsia="宋体"/>
                <w:color w:val="000000"/>
                <w:kern w:val="0"/>
                <w:sz w:val="28"/>
                <w:szCs w:val="28"/>
              </w:rPr>
              <w:t>3人。</w:t>
            </w:r>
          </w:p>
        </w:tc>
      </w:tr>
    </w:tbl>
    <w:p>
      <w:pPr>
        <w:ind w:left="0"/>
        <w:rPr>
          <w:rFonts w:eastAsia="楷体"/>
        </w:rPr>
      </w:pP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hint="eastAsia"/>
          <w:kern w:val="0"/>
          <w:szCs w:val="32"/>
          <w:lang w:eastAsia="zh-CN"/>
        </w:rPr>
        <w:sectPr>
          <w:footerReference w:type="default" r:id="rId8"/>
          <w:footerReference w:type="first" r:id="rId9"/>
          <w:pgSz w:w="11907" w:h="16840"/>
          <w:pgMar w:top="2041" w:right="1474" w:bottom="2041" w:left="1474" w:header="851" w:footer="1587" w:gutter="0"/>
          <w:pgNumType w:fmt="numberInDash" w:start="1"/>
          <w:rtlGutter/>
          <w:docGrid w:type="lines" w:linePitch="574" w:charSpace="0"/>
        </w:sectPr>
      </w:pPr>
    </w:p>
    <w:p>
      <w:pPr>
        <w:spacing w:line="700" w:lineRule="exact"/>
        <w:ind w:firstLineChars="200" w:firstLine="64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rPr>
          <w:trHeight w:val="1273"/>
        </w:trPr>
        <w:tc>
          <w:tcPr>
            <w:tcW w:w="8676"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47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1367"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4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625"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54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674"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758"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836"/>
        </w:trPr>
        <w:tc>
          <w:tcPr>
            <w:tcW w:w="47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类型</w:t>
            </w:r>
          </w:p>
        </w:tc>
        <w:tc>
          <w:tcPr>
            <w:tcW w:w="1607"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项目名称</w:t>
            </w:r>
          </w:p>
        </w:tc>
        <w:tc>
          <w:tcPr>
            <w:tcW w:w="62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部门（单位）名称</w:t>
            </w:r>
          </w:p>
        </w:tc>
        <w:tc>
          <w:tcPr>
            <w:tcW w:w="54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合计</w:t>
            </w:r>
          </w:p>
        </w:tc>
        <w:tc>
          <w:tcPr>
            <w:tcW w:w="2674"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lang w:eastAsia="zh-CN"/>
              </w:rPr>
              <w:t>本年预算</w:t>
            </w:r>
          </w:p>
        </w:tc>
        <w:tc>
          <w:tcPr>
            <w:tcW w:w="2758"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上年结转结余</w:t>
            </w:r>
          </w:p>
        </w:tc>
      </w:tr>
      <w:tr>
        <w:trPr>
          <w:trHeight w:val="836"/>
        </w:trPr>
        <w:tc>
          <w:tcPr>
            <w:tcW w:w="472" w:type="dxa"/>
            <w:vMerge/>
            <w:tcBorders>
              <w:top w:val="single" w:sz="4" w:space="0" w:color="auto"/>
              <w:left w:val="single" w:sz="4" w:space="0" w:color="auto"/>
              <w:bottom w:val="single" w:sz="4" w:space="0" w:color="auto"/>
              <w:right w:val="single" w:sz="4" w:space="0" w:color="auto"/>
            </w:tcBorders>
            <w:noWrap/>
            <w:vAlign w:val="center"/>
          </w:tcP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827"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二级</w:t>
            </w:r>
            <w:r>
              <w:rPr>
                <w:rFonts w:ascii="Calibri" w:eastAsia="华文细黑" w:hAnsi="Calibri" w:hint="eastAsia"/>
                <w:color w:val="000000"/>
                <w:sz w:val="20"/>
                <w:szCs w:val="22"/>
                <w:lang w:val="en-US" w:eastAsia="zh-CN"/>
              </w:rPr>
              <w:t xml:space="preserve">  </w:t>
            </w:r>
            <w:r>
              <w:rPr>
                <w:rFonts w:ascii="Calibri" w:eastAsia="华文细黑" w:hAnsi="Calibri" w:hint="eastAsia"/>
                <w:color w:val="000000"/>
                <w:sz w:val="20"/>
                <w:szCs w:val="22"/>
              </w:rPr>
              <w:t>项目</w:t>
            </w:r>
          </w:p>
        </w:tc>
        <w:tc>
          <w:tcPr>
            <w:tcW w:w="625"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40" w:type="dxa"/>
            <w:vMerge/>
            <w:tcBorders>
              <w:top w:val="single" w:sz="4" w:space="0" w:color="auto"/>
              <w:left w:val="single" w:sz="4" w:space="0" w:color="auto"/>
              <w:bottom w:val="single" w:sz="4" w:space="0" w:color="auto"/>
              <w:right w:val="single" w:sz="4" w:space="0" w:color="auto"/>
            </w:tcBorders>
            <w:noWrap/>
            <w:vAlign w:val="center"/>
          </w:tcPr>
          <w:p/>
        </w:tc>
        <w:tc>
          <w:tcPr>
            <w:tcW w:w="1582"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552"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540"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lang w:eastAsia="zh-CN"/>
              </w:rPr>
              <w:t>单位资金</w:t>
            </w:r>
          </w:p>
        </w:tc>
        <w:tc>
          <w:tcPr>
            <w:tcW w:w="152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财政拨款结转</w:t>
            </w:r>
          </w:p>
        </w:tc>
        <w:tc>
          <w:tcPr>
            <w:tcW w:w="1234"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非财政拨款结转结余</w:t>
            </w:r>
          </w:p>
        </w:tc>
      </w:tr>
      <w:tr>
        <w:trPr>
          <w:trHeight w:val="2876"/>
        </w:trPr>
        <w:tc>
          <w:tcPr>
            <w:tcW w:w="472" w:type="dxa"/>
            <w:vMerge/>
            <w:tcBorders>
              <w:top w:val="single" w:sz="4" w:space="0" w:color="auto"/>
              <w:left w:val="single" w:sz="4" w:space="0" w:color="auto"/>
              <w:bottom w:val="single" w:sz="4" w:space="0" w:color="auto"/>
              <w:right w:val="single" w:sz="4" w:space="0" w:color="auto"/>
            </w:tcBorders>
            <w:noWrap/>
            <w:vAlign w:val="center"/>
          </w:tcPr>
          <w:p/>
        </w:tc>
        <w:tc>
          <w:tcPr>
            <w:tcW w:w="780" w:type="dxa"/>
            <w:vMerge/>
            <w:tcBorders>
              <w:top w:val="single" w:sz="4" w:space="0" w:color="auto"/>
              <w:left w:val="single" w:sz="4" w:space="0" w:color="auto"/>
              <w:bottom w:val="single" w:sz="4" w:space="0" w:color="auto"/>
              <w:right w:val="single" w:sz="4" w:space="0" w:color="auto"/>
            </w:tcBorders>
            <w:noWrap/>
            <w:vAlign w:val="center"/>
          </w:tcPr>
          <w:p/>
        </w:tc>
        <w:tc>
          <w:tcPr>
            <w:tcW w:w="82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625" w:type="dxa"/>
            <w:vMerge/>
            <w:tcBorders>
              <w:top w:val="single" w:sz="4" w:space="0" w:color="auto"/>
              <w:left w:val="single" w:sz="4" w:space="0" w:color="auto"/>
              <w:bottom w:val="single" w:sz="4" w:space="0" w:color="auto"/>
              <w:right w:val="single" w:sz="4" w:space="0" w:color="auto"/>
            </w:tcBorders>
            <w:noWrap/>
            <w:vAlign w:val="center"/>
          </w:tcPr>
          <w:p/>
        </w:tc>
        <w:tc>
          <w:tcPr>
            <w:tcW w:w="540" w:type="dxa"/>
            <w:vMerge/>
            <w:tcBorders>
              <w:top w:val="single" w:sz="4" w:space="0" w:color="auto"/>
              <w:left w:val="single" w:sz="4" w:space="0" w:color="auto"/>
              <w:bottom w:val="single" w:sz="4" w:space="0" w:color="auto"/>
              <w:right w:val="single" w:sz="4" w:space="0" w:color="auto"/>
            </w:tcBorders>
            <w:noWrap/>
            <w:vAlign w:val="center"/>
          </w:tcPr>
          <w:p/>
        </w:tc>
        <w:tc>
          <w:tcPr>
            <w:tcW w:w="52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52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政府性</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基金</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预算</w:t>
            </w:r>
          </w:p>
        </w:tc>
        <w:tc>
          <w:tcPr>
            <w:tcW w:w="528"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国有资本经营预算</w:t>
            </w:r>
          </w:p>
        </w:tc>
        <w:tc>
          <w:tcPr>
            <w:tcW w:w="552"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4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468"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br/>
              <w:t>公共</w:t>
              <w:br/>
              <w:t>预算</w:t>
            </w:r>
          </w:p>
        </w:tc>
        <w:tc>
          <w:tcPr>
            <w:tcW w:w="55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br/>
              <w:t>基金</w:t>
              <w:br/>
              <w:t>预算</w:t>
            </w:r>
          </w:p>
        </w:tc>
        <w:tc>
          <w:tcPr>
            <w:tcW w:w="50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br/>
              <w:t>预算</w:t>
            </w:r>
          </w:p>
        </w:tc>
        <w:tc>
          <w:tcPr>
            <w:tcW w:w="680"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554"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合计</w:t>
            </w:r>
          </w:p>
        </w:tc>
        <w:tc>
          <w:tcPr>
            <w:tcW w:w="78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bl>
    <w:p>
      <w:pPr>
        <w:spacing w:line="240" w:lineRule="auto"/>
        <w:jc w:val="center"/>
        <w:rPr>
          <w:rFonts w:eastAsia="方正小标宋简体"/>
          <w:kern w:val="0"/>
          <w:sz w:val="44"/>
          <w:szCs w:val="44"/>
          <w:lang w:eastAsia="zh-CN"/>
        </w:r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eastAsia="方正小标宋简体"/>
                <w:kern w:val="0"/>
                <w:sz w:val="44"/>
                <w:szCs w:val="44"/>
                <w:lang w:eastAsia="zh-CN"/>
              </w:rPr>
            </w:pPr>
          </w:p>
          <w:p>
            <w:pPr>
              <w:spacing w:line="240" w:lineRule="auto"/>
              <w:jc w:val="center"/>
              <w:rPr>
                <w:rFonts w:eastAsia="方正小标宋简体"/>
                <w:kern w:val="0"/>
                <w:sz w:val="44"/>
                <w:szCs w:val="44"/>
                <w:lang w:eastAsia="zh-CN"/>
              </w:rPr>
            </w:pPr>
          </w:p>
          <w:p>
            <w:pPr>
              <w:spacing w:line="240" w:lineRule="auto"/>
              <w:jc w:val="center"/>
              <w:rPr>
                <w:rFonts w:eastAsia="方正小标宋简体"/>
                <w:kern w:val="0"/>
                <w:sz w:val="44"/>
                <w:szCs w:val="44"/>
                <w:lang w:eastAsia="zh-CN"/>
              </w:rPr>
            </w:pPr>
          </w:p>
          <w:p>
            <w:pPr>
              <w:spacing w:line="240" w:lineRule="auto"/>
              <w:jc w:val="center"/>
              <w:rPr>
                <w:rFonts w:ascii="华文细黑" w:eastAsia="华文细黑" w:cs="华文细黑" w:hint="eastAsia"/>
                <w:kern w:val="0"/>
                <w:sz w:val="20"/>
                <w:szCs w:val="20"/>
                <w:vertAlign w:val="baseline"/>
                <w:lang w:eastAsia="zh-CN"/>
              </w:rPr>
            </w:pPr>
            <w:r>
              <w:rPr>
                <w:rFonts w:eastAsia="方正小标宋简体"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eastAsia="华文细黑"/>
                <w:color w:val="000000"/>
                <w:kern w:val="0"/>
                <w:sz w:val="20"/>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华文细黑"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sectPr>
          <w:pgSz w:w="11907" w:h="16840"/>
          <w:pgMar w:top="2041" w:right="1588" w:bottom="2041" w:left="1588" w:header="851" w:footer="1588" w:gutter="0"/>
          <w:pgNumType w:fmt="numberInDash"/>
          <w:titlePg/>
          <w:docGrid w:type="lines" w:linePitch="574" w:charSpace="-1675"/>
        </w:sectPr>
      </w:pPr>
    </w:p>
    <w:p>
      <w:pPr>
        <w:ind w:firstLineChars="200" w:firstLine="640"/>
        <w:rPr>
          <w:rFonts w:eastAsia="楷体"/>
        </w:rPr>
      </w:pPr>
    </w:p>
    <w:tbl>
      <w:tblPr>
        <w:jc w:val="left"/>
        <w:tblInd w:w="0" w:type="dxa"/>
        <w:tblW w:w="894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rPr>
          <w:trHeight w:val="688"/>
        </w:trPr>
        <w:tc>
          <w:tcPr>
            <w:tcW w:w="8941" w:type="dxa"/>
            <w:gridSpan w:val="10"/>
            <w:tcBorders>
              <w:top w:val="nil"/>
              <w:left w:val="nil"/>
              <w:bottom w:val="single" w:sz="4" w:space="0" w:color="000000"/>
              <w:right w:val="nil"/>
            </w:tcBorders>
            <w:noWrap/>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绩效目标</w:t>
            </w:r>
            <w:r>
              <w:rPr>
                <w:rFonts w:ascii="Calibri" w:eastAsia="方正小标宋简体" w:hAnsi="Calibri"/>
                <w:kern w:val="0"/>
                <w:sz w:val="44"/>
                <w:szCs w:val="44"/>
              </w:rPr>
              <w:t>表</w:t>
            </w:r>
          </w:p>
          <w:p>
            <w:pPr>
              <w:spacing w:line="700" w:lineRule="exact"/>
              <w:jc w:val="right"/>
              <w:rPr>
                <w:rFonts w:eastAsia="楷体"/>
                <w:kern w:val="0"/>
                <w:szCs w:val="32"/>
                <w:vertAlign w:val="baseline"/>
              </w:rPr>
            </w:pPr>
            <w:r>
              <w:rPr>
                <w:rFonts w:ascii="Calibri" w:eastAsia="华文细黑" w:hAnsi="Calibri" w:hint="eastAsia"/>
                <w:color w:val="000000"/>
                <w:sz w:val="20"/>
                <w:szCs w:val="22"/>
              </w:rPr>
              <w:t>单位：万元</w:t>
            </w:r>
          </w:p>
        </w:tc>
      </w:tr>
      <w:tr>
        <w:trPr>
          <w:trHeight w:val="1071"/>
        </w:trPr>
        <w:tc>
          <w:tcPr>
            <w:tcW w:w="1038"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单位名称</w:t>
            </w:r>
          </w:p>
        </w:tc>
        <w:tc>
          <w:tcPr>
            <w:tcW w:w="103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103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金总额</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（万元）</w:t>
            </w:r>
          </w:p>
        </w:tc>
        <w:tc>
          <w:tcPr>
            <w:tcW w:w="103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效目标</w:t>
            </w:r>
          </w:p>
        </w:tc>
        <w:tc>
          <w:tcPr>
            <w:tcW w:w="77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144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561"/>
        </w:trPr>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77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成本指标</w:t>
            </w:r>
          </w:p>
        </w:tc>
        <w:tc>
          <w:tcPr>
            <w:tcW w:w="144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经济成本指标</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000000"/>
              <w:bottom w:val="single" w:sz="4" w:space="0" w:color="auto"/>
              <w:right w:val="single" w:sz="4" w:space="0" w:color="000000"/>
            </w:tcBorders>
            <w:noWrap/>
            <w:vAlign w:val="center"/>
          </w:tcPr>
          <w:p/>
        </w:tc>
        <w:tc>
          <w:tcPr>
            <w:tcW w:w="1447"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社会成本指标</w:t>
            </w: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000000"/>
              <w:bottom w:val="single" w:sz="4" w:space="0" w:color="auto"/>
              <w:right w:val="single" w:sz="4" w:space="0" w:color="000000"/>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生态环境成本指标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产出指标</w:t>
            </w: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数量指标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质量指标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时效指标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效益指标</w:t>
            </w: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104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满意度指标</w:t>
            </w: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服务对象满意度指标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bl>
    <w:p>
      <w:pPr>
        <w:spacing w:line="700" w:lineRule="exact"/>
        <w:rPr>
          <w:rFonts w:eastAsia="楷体"/>
          <w:kern w:val="0"/>
          <w:szCs w:val="32"/>
        </w:rPr>
      </w:pPr>
    </w:p>
    <w:p>
      <w:pPr>
        <w:spacing w:line="700" w:lineRule="exact"/>
        <w:rPr>
          <w:rFonts w:eastAsia="楷体"/>
          <w:kern w:val="0"/>
          <w:szCs w:val="32"/>
        </w:rPr>
      </w:pPr>
      <w:bookmarkStart w:id="0" w:name="_GoBack"/>
      <w:bookmarkEnd w:id="0"/>
    </w:p>
    <w:p>
      <w:pPr>
        <w:spacing w:line="700" w:lineRule="exact"/>
        <w:ind w:firstLineChars="200" w:firstLine="640"/>
        <w:rPr>
          <w:rFonts w:eastAsia="楷体"/>
          <w:kern w:val="0"/>
          <w:szCs w:val="32"/>
        </w:rPr>
      </w:pPr>
    </w:p>
    <w:p>
      <w:pPr>
        <w:ind w:firstLineChars="200" w:firstLine="640"/>
        <w:jc w:val="center"/>
        <w:rPr>
          <w:rFonts w:ascii="楷体" w:eastAsia="楷体" w:cs="楷体"/>
          <w:kern w:val="0"/>
          <w:szCs w:val="32"/>
        </w:rPr>
      </w:pPr>
    </w:p>
    <w:p>
      <w:pPr>
        <w:ind w:left="0"/>
        <w:rPr>
          <w:rFonts w:ascii="楷体" w:eastAsia="楷体" w:cs="楷体"/>
          <w:kern w:val="0"/>
          <w:szCs w:val="32"/>
        </w:rPr>
      </w:pPr>
    </w:p>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4</w:t>
      </w:r>
      <w:r>
        <w:rPr>
          <w:rFonts w:eastAsia="黑体"/>
          <w:szCs w:val="32"/>
        </w:rPr>
        <w:t>年收支预算总体情况</w:t>
      </w:r>
    </w:p>
    <w:p>
      <w:pPr>
        <w:ind w:left="0" w:firstLineChars="200" w:firstLine="640"/>
        <w:rPr>
          <w:szCs w:val="32"/>
        </w:rPr>
      </w:pPr>
      <w:r>
        <w:rPr>
          <w:szCs w:val="32"/>
        </w:rPr>
        <w:t>按照综合预算的原则，所有收入和支出全部纳入单位预算管理。收入包括：一般公共预算拨款收入、上年结转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年收支总预算260.31万元</w:t>
      </w:r>
      <w:r>
        <w:rPr>
          <w:rFonts w:hint="eastAsia"/>
          <w:szCs w:val="32"/>
          <w:lang w:eastAsia="zh-CN"/>
        </w:rPr>
        <w:t>，其中：本年预算</w:t>
      </w:r>
      <w:r>
        <w:rPr>
          <w:szCs w:val="32"/>
        </w:rPr>
        <w:t>199.53</w:t>
      </w:r>
      <w:r>
        <w:rPr>
          <w:rFonts w:hint="eastAsia"/>
          <w:szCs w:val="32"/>
          <w:lang w:eastAsia="zh-CN"/>
        </w:rPr>
        <w:t>万元；上年结转</w:t>
      </w:r>
      <w:r>
        <w:rPr>
          <w:szCs w:val="32"/>
        </w:rPr>
        <w:t>60.78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预算减少37.45万元，</w:t>
      </w:r>
      <w:r>
        <w:rPr>
          <w:szCs w:val="32"/>
          <w:shd w:val="solid" w:color="FFFFFF" w:fill="FFFFFF"/>
        </w:rPr>
        <w:t>主要原因是本单位认真贯彻落实中央八项规定精神和省财政厅“过紧日子”有关要求，厉行节约，压减预算</w:t>
      </w:r>
      <w:r>
        <w:rPr>
          <w:szCs w:val="32"/>
        </w:rPr>
        <w:t>。</w:t>
      </w:r>
    </w:p>
    <w:p>
      <w:pPr>
        <w:ind w:left="0" w:firstLineChars="250" w:firstLine="800"/>
        <w:rPr>
          <w:szCs w:val="32"/>
        </w:rPr>
      </w:pPr>
      <w:r>
        <w:rPr>
          <w:rFonts w:eastAsia="黑体"/>
          <w:szCs w:val="32"/>
        </w:rPr>
        <w:t>二、20</w:t>
      </w:r>
      <w:r>
        <w:rPr>
          <w:rFonts w:eastAsia="黑体" w:hint="eastAsia"/>
          <w:szCs w:val="32"/>
        </w:rPr>
        <w:t>2</w:t>
      </w:r>
      <w:r>
        <w:rPr>
          <w:rFonts w:eastAsia="黑体" w:hint="eastAsia"/>
          <w:szCs w:val="32"/>
          <w:lang w:val="en-US" w:eastAsia="zh-CN"/>
        </w:rPr>
        <w:t>4</w:t>
      </w:r>
      <w:r>
        <w:rPr>
          <w:rFonts w:eastAsia="黑体"/>
          <w:szCs w:val="32"/>
        </w:rPr>
        <w:t>年收入预算情况</w:t>
      </w:r>
    </w:p>
    <w:p>
      <w:pPr>
        <w:ind w:firstLineChars="200" w:firstLine="640"/>
        <w:rPr>
          <w:szCs w:val="32"/>
        </w:rPr>
      </w:pPr>
      <w:r>
        <w:rPr>
          <w:szCs w:val="32"/>
        </w:rPr>
        <w:t>20</w:t>
      </w:r>
      <w:r>
        <w:rPr>
          <w:rFonts w:hint="eastAsia"/>
          <w:szCs w:val="32"/>
        </w:rPr>
        <w:t>2</w:t>
      </w:r>
      <w:r>
        <w:rPr>
          <w:rFonts w:hint="eastAsia"/>
          <w:szCs w:val="32"/>
          <w:lang w:val="en-US" w:eastAsia="zh-CN"/>
        </w:rPr>
        <w:t>4</w:t>
      </w:r>
      <w:r>
        <w:rPr>
          <w:szCs w:val="32"/>
        </w:rPr>
        <w:t>年收入预算260.31万元，其中：本年收入199.53万元，占76.65%；上年结转</w:t>
      </w:r>
      <w:r>
        <w:rPr>
          <w:rFonts w:hint="eastAsia"/>
          <w:szCs w:val="32"/>
          <w:lang w:eastAsia="zh-CN"/>
        </w:rPr>
        <w:t>结余</w:t>
      </w:r>
      <w:r>
        <w:rPr>
          <w:szCs w:val="32"/>
        </w:rPr>
        <w:t>60.78万元，占23.35%。本年收入中，一般公共预算拨款收入199.53万元，占100%</w:t>
      </w:r>
      <w:r>
        <w:rPr>
          <w:rFonts w:hint="eastAsia"/>
          <w:szCs w:val="32"/>
        </w:rPr>
        <w:t>。</w:t>
      </w:r>
      <w:r>
        <w:rPr>
          <w:szCs w:val="32"/>
        </w:rPr>
        <w:t>上年结转</w:t>
      </w:r>
      <w:r>
        <w:rPr>
          <w:rFonts w:hint="eastAsia"/>
          <w:szCs w:val="32"/>
        </w:rPr>
        <w:t>中，一般公共预算拨款结转</w:t>
      </w:r>
      <w:r>
        <w:rPr>
          <w:szCs w:val="32"/>
        </w:rPr>
        <w:t>60.78万元，占100%</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4</w:t>
      </w:r>
      <w:r>
        <w:rPr>
          <w:rFonts w:eastAsia="黑体"/>
          <w:szCs w:val="32"/>
        </w:rPr>
        <w:t>年支出预算情况</w:t>
      </w:r>
    </w:p>
    <w:p>
      <w:pPr>
        <w:ind w:left="0" w:firstLineChars="200" w:firstLine="640"/>
        <w:rPr>
          <w:szCs w:val="32"/>
        </w:rPr>
      </w:pPr>
      <w:r>
        <w:rPr>
          <w:szCs w:val="32"/>
        </w:rPr>
        <w:t>20</w:t>
      </w:r>
      <w:r>
        <w:rPr>
          <w:rFonts w:hint="eastAsia"/>
          <w:szCs w:val="32"/>
        </w:rPr>
        <w:t>2</w:t>
      </w:r>
      <w:r>
        <w:rPr>
          <w:rFonts w:hint="eastAsia"/>
          <w:szCs w:val="32"/>
          <w:lang w:val="en-US" w:eastAsia="zh-CN"/>
        </w:rPr>
        <w:t>4</w:t>
      </w:r>
      <w:r>
        <w:rPr>
          <w:szCs w:val="32"/>
        </w:rPr>
        <w:t>年支出预算260.31万元，其中：基本支出260.31万元，占100%。</w:t>
      </w:r>
    </w:p>
    <w:p>
      <w:pPr>
        <w:ind w:left="0" w:firstLineChars="200" w:firstLine="640"/>
        <w:rPr>
          <w:szCs w:val="32"/>
        </w:rPr>
      </w:pPr>
      <w:r>
        <w:rPr>
          <w:rFonts w:eastAsia="黑体"/>
          <w:szCs w:val="32"/>
        </w:rPr>
        <w:t>四、20</w:t>
      </w:r>
      <w:r>
        <w:rPr>
          <w:rFonts w:eastAsia="黑体" w:hint="eastAsia"/>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年财政拨款收支总预算260.31万元，其中：</w:t>
      </w:r>
      <w:r>
        <w:rPr>
          <w:rFonts w:hint="eastAsia"/>
          <w:szCs w:val="32"/>
        </w:rPr>
        <w:t>本年</w:t>
      </w:r>
      <w:r>
        <w:rPr>
          <w:rFonts w:hint="eastAsia"/>
          <w:szCs w:val="32"/>
          <w:lang w:eastAsia="zh-CN"/>
        </w:rPr>
        <w:t>预算</w:t>
      </w:r>
      <w:r>
        <w:rPr>
          <w:szCs w:val="32"/>
        </w:rPr>
        <w:t>260.31万元</w:t>
      </w:r>
      <w:r>
        <w:rPr>
          <w:rFonts w:hint="eastAsia"/>
          <w:szCs w:val="32"/>
        </w:rPr>
        <w:t>，上年结转</w:t>
      </w:r>
      <w:r>
        <w:rPr>
          <w:szCs w:val="32"/>
        </w:rPr>
        <w:t>60.78万元</w:t>
      </w:r>
      <w:r>
        <w:rPr>
          <w:rFonts w:hint="eastAsia"/>
          <w:szCs w:val="32"/>
        </w:rPr>
        <w:t>。</w:t>
      </w:r>
      <w:r>
        <w:rPr>
          <w:szCs w:val="32"/>
        </w:rPr>
        <w:t>支出包括：</w:t>
      </w:r>
      <w:r>
        <w:rPr>
          <w:kern w:val="0"/>
          <w:szCs w:val="32"/>
        </w:rPr>
        <w:t>一般公共服务支出</w:t>
      </w:r>
      <w:r>
        <w:rPr>
          <w:szCs w:val="32"/>
        </w:rPr>
        <w:t>207.33万元，</w:t>
      </w:r>
      <w:r>
        <w:rPr>
          <w:kern w:val="0"/>
          <w:szCs w:val="32"/>
        </w:rPr>
        <w:t>社会保障和就业支出</w:t>
      </w:r>
      <w:r>
        <w:rPr>
          <w:szCs w:val="32"/>
        </w:rPr>
        <w:t>25.59万元，</w:t>
      </w:r>
      <w:r>
        <w:rPr>
          <w:kern w:val="0"/>
          <w:szCs w:val="32"/>
        </w:rPr>
        <w:t>卫生</w:t>
      </w:r>
      <w:r>
        <w:rPr>
          <w:rFonts w:hint="eastAsia"/>
          <w:kern w:val="0"/>
          <w:szCs w:val="32"/>
        </w:rPr>
        <w:t>健康</w:t>
      </w:r>
      <w:r>
        <w:rPr>
          <w:kern w:val="0"/>
          <w:szCs w:val="32"/>
        </w:rPr>
        <w:t>支出</w:t>
      </w:r>
      <w:r>
        <w:rPr>
          <w:szCs w:val="32"/>
        </w:rPr>
        <w:t>10.53万元，</w:t>
      </w:r>
      <w:r>
        <w:rPr>
          <w:kern w:val="0"/>
          <w:szCs w:val="32"/>
        </w:rPr>
        <w:t>住房保障支出</w:t>
      </w:r>
      <w:r>
        <w:rPr>
          <w:szCs w:val="32"/>
        </w:rPr>
        <w:t>16.86万元。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年一般公共预算拨款260.31万元，其中：基本支出260.31万元，占100%。基本支出中，人员经费215.77万元，占82.89%；公用经费44.54万元，占17.11%。</w:t>
      </w:r>
    </w:p>
    <w:p>
      <w:pPr>
        <w:spacing w:line="520" w:lineRule="exact"/>
        <w:ind w:left="0" w:firstLineChars="200" w:firstLine="640"/>
        <w:rPr>
          <w:szCs w:val="32"/>
        </w:rPr>
      </w:pPr>
      <w:r>
        <w:rPr>
          <w:szCs w:val="32"/>
        </w:rPr>
        <w:t>一般公共服务（类）支出207.33万元，占79.65%，主要用于</w:t>
      </w:r>
      <w:r>
        <w:rPr>
          <w:rFonts w:hint="eastAsia"/>
          <w:szCs w:val="32"/>
        </w:rPr>
        <w:t>保障职工工资，维持机关正常运转以及完成年度统计工作</w:t>
      </w:r>
      <w:r>
        <w:rPr>
          <w:szCs w:val="32"/>
        </w:rPr>
        <w:t>。</w:t>
      </w:r>
    </w:p>
    <w:p>
      <w:pPr>
        <w:spacing w:line="520" w:lineRule="exact"/>
        <w:ind w:left="0" w:firstLineChars="200" w:firstLine="640"/>
        <w:rPr>
          <w:szCs w:val="32"/>
        </w:rPr>
      </w:pPr>
      <w:r>
        <w:rPr>
          <w:szCs w:val="32"/>
        </w:rPr>
        <w:t>社会保障和就业（类）支出25.59万元，占9.83%，主要用于</w:t>
      </w:r>
      <w:r>
        <w:rPr>
          <w:rFonts w:hint="eastAsia"/>
          <w:szCs w:val="32"/>
        </w:rPr>
        <w:t>单位</w:t>
      </w:r>
      <w:r>
        <w:rPr>
          <w:szCs w:val="32"/>
        </w:rPr>
        <w:t>退</w:t>
      </w:r>
      <w:r>
        <w:rPr>
          <w:rFonts w:hint="eastAsia"/>
          <w:szCs w:val="32"/>
        </w:rPr>
        <w:t>休职工</w:t>
      </w:r>
      <w:r>
        <w:rPr>
          <w:szCs w:val="32"/>
        </w:rPr>
        <w:t>生活补贴</w:t>
      </w:r>
      <w:r>
        <w:rPr>
          <w:rFonts w:hint="eastAsia"/>
          <w:szCs w:val="32"/>
        </w:rPr>
        <w:t>、采暖补贴以及缴纳在职职工养老保险</w:t>
      </w:r>
      <w:r>
        <w:rPr>
          <w:szCs w:val="32"/>
        </w:rPr>
        <w:t>。</w:t>
      </w:r>
    </w:p>
    <w:p>
      <w:pPr>
        <w:spacing w:line="520" w:lineRule="exact"/>
        <w:ind w:left="0" w:firstLineChars="200" w:firstLine="640"/>
        <w:rPr>
          <w:szCs w:val="32"/>
        </w:rPr>
      </w:pPr>
      <w:r>
        <w:rPr>
          <w:rFonts w:hint="eastAsia"/>
          <w:szCs w:val="32"/>
        </w:rPr>
        <w:t>卫生健康（类）</w:t>
      </w:r>
      <w:r>
        <w:rPr>
          <w:szCs w:val="32"/>
        </w:rPr>
        <w:t>支出10.53万元，占4.04%，主要用于</w:t>
      </w:r>
      <w:r>
        <w:rPr>
          <w:rFonts w:hint="eastAsia"/>
          <w:szCs w:val="32"/>
        </w:rPr>
        <w:t>缴纳职工医疗保险。</w:t>
      </w:r>
    </w:p>
    <w:p>
      <w:pPr>
        <w:spacing w:line="520" w:lineRule="exact"/>
        <w:ind w:left="0" w:firstLineChars="200" w:firstLine="640"/>
        <w:rPr>
          <w:rFonts w:hint="eastAsia"/>
          <w:szCs w:val="32"/>
        </w:rPr>
      </w:pPr>
      <w:r>
        <w:rPr>
          <w:szCs w:val="32"/>
        </w:rPr>
        <w:t>住房保障（类）支出16.86万元，占6.48%，主要用于</w:t>
      </w:r>
      <w:r>
        <w:rPr>
          <w:rFonts w:hint="eastAsia"/>
          <w:szCs w:val="32"/>
        </w:rPr>
        <w:t>缴纳职工住房公积金</w:t>
      </w:r>
      <w:r>
        <w:rPr>
          <w:szCs w:val="32"/>
        </w:rPr>
        <w:t>。</w:t>
      </w:r>
    </w:p>
    <w:p>
      <w:pPr>
        <w:spacing w:line="520" w:lineRule="exact"/>
        <w:ind w:firstLineChars="200" w:firstLine="640"/>
        <w:rPr>
          <w:rFonts w:eastAsia="黑体"/>
          <w:szCs w:val="32"/>
        </w:rPr>
      </w:pPr>
      <w:r>
        <w:rPr>
          <w:rFonts w:eastAsia="黑体"/>
          <w:szCs w:val="32"/>
        </w:rPr>
        <w:t>六、20</w:t>
      </w:r>
      <w:r>
        <w:rPr>
          <w:rFonts w:eastAsia="黑体" w:hint="eastAsia"/>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年一般公共预算基本支出260.31万元，其中：</w:t>
      </w:r>
    </w:p>
    <w:p>
      <w:pPr>
        <w:ind w:firstLineChars="200" w:firstLine="640"/>
        <w:rPr>
          <w:kern w:val="0"/>
          <w:szCs w:val="32"/>
        </w:rPr>
      </w:pPr>
      <w:r>
        <w:rPr>
          <w:szCs w:val="32"/>
        </w:rPr>
        <w:t>人员经费215.77万元，主要包括：</w:t>
      </w:r>
      <w:r>
        <w:rPr>
          <w:kern w:val="0"/>
          <w:szCs w:val="32"/>
        </w:rPr>
        <w:t>基本工资、津贴补贴</w:t>
      </w:r>
      <w:r>
        <w:rPr>
          <w:szCs w:val="32"/>
        </w:rPr>
        <w:t>、</w:t>
      </w:r>
      <w:r>
        <w:rPr>
          <w:kern w:val="0"/>
          <w:szCs w:val="32"/>
        </w:rPr>
        <w:t>奖金</w:t>
      </w:r>
      <w:r>
        <w:rPr>
          <w:szCs w:val="32"/>
        </w:rPr>
        <w:t>、</w:t>
      </w:r>
      <w:r>
        <w:rPr>
          <w:kern w:val="0"/>
          <w:szCs w:val="32"/>
        </w:rPr>
        <w:t>机关事业单位基本养老保险缴费、职工基本医疗保险缴费、公务员医疗补助缴费、其他社会保障缴费、住房公积金、医疗费、其他工资福利支出、退休费、其他对个人和家庭的补助。</w:t>
      </w:r>
    </w:p>
    <w:p>
      <w:pPr>
        <w:ind w:firstLineChars="200" w:firstLine="640"/>
        <w:rPr>
          <w:szCs w:val="32"/>
        </w:rPr>
      </w:pPr>
      <w:r>
        <w:rPr>
          <w:kern w:val="0"/>
          <w:szCs w:val="32"/>
        </w:rPr>
        <w:t>公用经费</w:t>
      </w:r>
      <w:r>
        <w:rPr>
          <w:szCs w:val="32"/>
        </w:rPr>
        <w:t>44.54万元，主要包括：</w:t>
      </w:r>
      <w:r>
        <w:rPr>
          <w:kern w:val="0"/>
          <w:szCs w:val="32"/>
        </w:rPr>
        <w:t>办公费</w:t>
      </w:r>
      <w:r>
        <w:rPr>
          <w:szCs w:val="32"/>
        </w:rPr>
        <w:t>、</w:t>
      </w:r>
      <w:r>
        <w:rPr>
          <w:kern w:val="0"/>
          <w:szCs w:val="32"/>
        </w:rPr>
        <w:t>印刷费</w:t>
      </w:r>
      <w:r>
        <w:rPr>
          <w:szCs w:val="32"/>
        </w:rPr>
        <w:t>、</w:t>
      </w:r>
      <w:r>
        <w:rPr>
          <w:kern w:val="0"/>
          <w:szCs w:val="32"/>
        </w:rPr>
        <w:t>手续费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其他交通费用</w:t>
      </w:r>
      <w:r>
        <w:rPr>
          <w:szCs w:val="32"/>
        </w:rPr>
        <w:t>、</w:t>
      </w:r>
      <w:r>
        <w:rPr>
          <w:kern w:val="0"/>
          <w:szCs w:val="32"/>
        </w:rPr>
        <w:t>其他商品和服务支出。</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rFonts w:ascii="仿宋" w:eastAsia="仿宋" w:hint="eastAsia"/>
          <w:szCs w:val="32"/>
        </w:rPr>
      </w:pPr>
      <w:r>
        <w:rPr>
          <w:rFonts w:ascii="仿宋" w:eastAsia="仿宋" w:hint="eastAsia"/>
          <w:szCs w:val="32"/>
        </w:rPr>
        <w:t>本单位无一般公共预算拨款。</w:t>
      </w:r>
    </w:p>
    <w:p>
      <w:pPr>
        <w:ind w:firstLineChars="200" w:firstLine="640"/>
        <w:rPr>
          <w:rFonts w:eastAsia="黑体"/>
          <w:szCs w:val="32"/>
        </w:rPr>
      </w:pPr>
      <w:r>
        <w:rPr>
          <w:rFonts w:eastAsia="黑体"/>
          <w:szCs w:val="32"/>
        </w:rPr>
        <w:t>八、20</w:t>
      </w:r>
      <w:r>
        <w:rPr>
          <w:rFonts w:eastAsia="黑体" w:hint="eastAsia"/>
          <w:szCs w:val="32"/>
        </w:rPr>
        <w:t>2</w:t>
      </w:r>
      <w:r>
        <w:rPr>
          <w:rFonts w:eastAsia="黑体"/>
          <w:szCs w:val="32"/>
          <w:lang w:val="en-US" w:eastAsia="zh-CN"/>
        </w:rPr>
        <w:t>4</w:t>
      </w:r>
      <w:r>
        <w:rPr>
          <w:rFonts w:eastAsia="黑体"/>
          <w:szCs w:val="32"/>
        </w:rPr>
        <w:t>年政府性基金预算支出情况</w:t>
      </w:r>
    </w:p>
    <w:p>
      <w:pPr>
        <w:ind w:firstLine="640"/>
        <w:rPr>
          <w:szCs w:val="32"/>
        </w:rPr>
      </w:pPr>
      <w:r>
        <w:rPr>
          <w:rFonts w:hint="eastAsia"/>
          <w:szCs w:val="32"/>
        </w:rPr>
        <w:t>本单位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szCs w:val="32"/>
          <w:lang w:val="en-US" w:eastAsia="zh-CN"/>
        </w:rPr>
        <w:t>4</w:t>
      </w:r>
      <w:r>
        <w:rPr>
          <w:rFonts w:eastAsia="黑体"/>
          <w:szCs w:val="32"/>
        </w:rPr>
        <w:t>年</w:t>
      </w:r>
      <w:r>
        <w:rPr>
          <w:rFonts w:eastAsia="黑体" w:hint="eastAsia"/>
          <w:szCs w:val="32"/>
        </w:rPr>
        <w:t>国有资本经营</w:t>
      </w:r>
      <w:r>
        <w:rPr>
          <w:rFonts w:eastAsia="黑体"/>
          <w:szCs w:val="32"/>
        </w:rPr>
        <w:t>预算支出情况</w:t>
      </w:r>
    </w:p>
    <w:p>
      <w:pPr>
        <w:ind w:firstLine="640"/>
        <w:rPr>
          <w:szCs w:val="32"/>
        </w:rPr>
      </w:pPr>
      <w:r>
        <w:rPr>
          <w:rFonts w:hint="eastAsia"/>
          <w:szCs w:val="32"/>
        </w:rPr>
        <w:t>本单位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spacing w:line="54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年本单位的机关运行经费财政拨款预算44.54万元，比20</w:t>
      </w:r>
      <w:r>
        <w:rPr>
          <w:rFonts w:hint="eastAsia"/>
          <w:szCs w:val="32"/>
        </w:rPr>
        <w:t>2</w:t>
      </w:r>
      <w:r>
        <w:rPr>
          <w:rFonts w:hint="eastAsia"/>
          <w:szCs w:val="32"/>
          <w:lang w:val="en-US" w:eastAsia="zh-CN"/>
        </w:rPr>
        <w:t>3</w:t>
      </w:r>
      <w:r>
        <w:rPr>
          <w:szCs w:val="32"/>
        </w:rPr>
        <w:t>年预算减少14.73万元，下降24.85%</w:t>
      </w:r>
      <w:r>
        <w:rPr>
          <w:rFonts w:hint="eastAsia"/>
          <w:szCs w:val="32"/>
        </w:rPr>
        <w:t>，主要原因是</w:t>
      </w:r>
      <w:r>
        <w:rPr>
          <w:szCs w:val="32"/>
          <w:shd w:val="solid" w:color="FFFFFF" w:fill="FFFFFF"/>
        </w:rPr>
        <w:t>本单位认真贯彻落实中央八项规定精神和省财政厅“过紧日子”有关要求，厉行节约，压减预算</w:t>
      </w:r>
      <w:r>
        <w:rPr>
          <w:szCs w:val="32"/>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hint="eastAsia"/>
          <w:szCs w:val="32"/>
        </w:rPr>
        <w:t>本单位无政府采购预算</w:t>
      </w:r>
      <w:r>
        <w:rPr>
          <w:szCs w:val="32"/>
        </w:rPr>
        <w:t>。</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rFonts w:eastAsia="楷体" w:hint="eastAsia"/>
          <w:szCs w:val="32"/>
        </w:rPr>
      </w:pPr>
      <w:r>
        <w:rPr>
          <w:rFonts w:hint="eastAsia"/>
          <w:szCs w:val="32"/>
        </w:rPr>
        <w:t>本单位无国有资产占有使用情况。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rPr>
          <w:rFonts w:hint="eastAsia"/>
          <w:szCs w:val="32"/>
        </w:rPr>
      </w:pPr>
      <w:r>
        <w:rPr>
          <w:rFonts w:hint="eastAsia"/>
          <w:szCs w:val="32"/>
        </w:rPr>
        <w:t>本单位无项目支出拨款。</w:t>
      </w:r>
    </w:p>
    <w:p>
      <w:pPr>
        <w:spacing w:line="540" w:lineRule="exact"/>
        <w:ind w:firstLineChars="200" w:firstLine="640"/>
        <w:rPr>
          <w:rFonts w:eastAsia="楷体"/>
          <w:szCs w:val="32"/>
        </w:rPr>
      </w:pPr>
      <w:r>
        <w:rPr>
          <w:rFonts w:eastAsia="楷体" w:hint="eastAsia"/>
          <w:szCs w:val="32"/>
        </w:rPr>
        <w:t>（五）项目支出绩效目标情况说明</w:t>
      </w:r>
    </w:p>
    <w:p>
      <w:pPr>
        <w:spacing w:line="540" w:lineRule="exact"/>
        <w:ind w:firstLineChars="200" w:firstLine="640"/>
        <w:rPr>
          <w:rFonts w:hint="eastAsia"/>
          <w:szCs w:val="32"/>
        </w:rPr>
      </w:pPr>
      <w:r>
        <w:rPr>
          <w:rFonts w:hint="eastAsia"/>
          <w:szCs w:val="32"/>
        </w:rPr>
        <w:t>本单位无项目支出拨款。</w:t>
      </w:r>
    </w:p>
    <w:p>
      <w:pPr>
        <w:ind w:left="0"/>
        <w:rPr>
          <w:szCs w:val="32"/>
        </w:rPr>
      </w:pPr>
    </w:p>
    <w:p>
      <w:pPr>
        <w:jc w:val="center"/>
        <w:rPr>
          <w:rFonts w:eastAsia="黑体"/>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Pr>
          <w:szCs w:val="32"/>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szCs w:val="32"/>
          <w:lang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t>单位</w:t>
      </w:r>
      <w:r>
        <w:rPr>
          <w:rFonts w:hint="eastAsia"/>
        </w:rPr>
        <w:t>预算安排的项目支出在一定期限内预期达到的产出和效果。</w:t>
      </w: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00" w:usb3="00000000" w:csb0="00040000" w:csb1="00000000"/>
  </w:font>
  <w:font w:name="华文细黑">
    <w:panose1 w:val="02010600040101010101"/>
    <w:charset w:val="86"/>
    <w:family w:val="auto"/>
    <w:pitch w:val="variable"/>
    <w:sig w:usb0="00000287" w:usb1="080F0000" w:usb2="00000000" w:usb3="00000000" w:csb0="0004009F" w:csb1="DFD7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posOffset>-5193713</wp:posOffset>
              </wp:positionH>
              <wp:positionV relativeFrom="paragraph">
                <wp:posOffset>162494</wp:posOffset>
              </wp:positionV>
              <wp:extent cx="4445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444500" cy="230251"/>
                      </a:xfrm>
                      <a:prstGeom prst="rect"/>
                      <a:noFill/>
                      <a:ln w="9525"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21 3" o:spid="_x0000_s3" filled="f" stroked="f" style="position:absolute;margin-left:-408.9538pt;margin-top:12.794804pt;width:35.000076pt;height:18.130003pt;z-index:15;mso-position-horizontal:absolut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left" w:pos="5124"/>
      </w:tabs>
      <w:jc w:val="center"/>
    </w:pPr>
    <w:r>
      <w:fldChar w:fldCharType="begin"/>
    </w:r>
    <w:r>
      <w:instrText>PAGE</w:instrText>
    </w:r>
    <w:r>
      <w:fldChar w:fldCharType="separate"/>
    </w:r>
    <w:r>
      <w:t>- 1 -</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round/>
                      </a:ln>
                    </wps:spPr>
                    <wps:txbx id="5">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8 6" o:spid="_x0000_s6" filled="f" stroked="f" style="position:absolute;margin-left:0.0pt;margin-top:0.0pt;width:19.494003pt;height:10.358989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61"/>
    <w:rPr>
      <w:rFonts w:ascii="宋体" w:eastAsia="宋体" w:cs="宋体"/>
      <w:color w:val="000000"/>
      <w:sz w:val="24"/>
      <w:szCs w:val="24"/>
      <w:u w:val="none"/>
    </w:rPr>
  </w:style>
  <w:style w:type="character" w:customStyle="1" w:styleId="24">
    <w:name w:val="font41"/>
    <w:rPr>
      <w:rFonts w:ascii="华文细黑" w:eastAsia="华文细黑" w:cs="华文细黑"/>
      <w:color w:val="000000"/>
      <w:sz w:val="20"/>
      <w:szCs w:val="20"/>
      <w:u w:val="none"/>
    </w:rPr>
  </w:style>
  <w:style w:type="character" w:customStyle="1" w:styleId="25">
    <w:name w:val="font11"/>
    <w:rPr>
      <w:rFonts w:ascii="Arial" w:cs="Arial" w:hAnsi="Arial"/>
      <w:color w:val="000000"/>
      <w:sz w:val="24"/>
      <w:szCs w:val="24"/>
      <w:u w:val="none"/>
    </w:rPr>
  </w:style>
  <w:style w:type="character" w:customStyle="1" w:styleId="26">
    <w:name w:val="font21"/>
    <w:rPr>
      <w:rFonts w:ascii="Arial" w:cs="Arial" w:hAnsi="Arial"/>
      <w:color w:val="000000"/>
      <w:sz w:val="20"/>
      <w:szCs w:val="20"/>
      <w:u w:val="none"/>
    </w:rPr>
  </w:style>
  <w:style w:type="character" w:customStyle="1" w:styleId="27">
    <w:name w:val="font01"/>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29">
    <w:name w:val="页脚 New New New New New New New New New New New"/>
    <w:basedOn w:val="0"/>
    <w:pPr>
      <w:tabs>
        <w:tab w:val="center" w:pos="4153"/>
        <w:tab w:val="right" w:pos="8306"/>
      </w:tabs>
      <w:snapToGrid w:val="0"/>
      <w:jc w:val="left"/>
    </w:pPr>
    <w:rPr>
      <w:rFonts w:eastAsia="仿宋_GB2312"/>
      <w:kern w:val="2"/>
      <w:sz w:val="18"/>
    </w:rPr>
  </w:style>
  <w:style w:type="paragraph" w:customStyle="1" w:styleId="30">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脚 New"/>
    <w:basedOn w:val="0"/>
    <w:pPr>
      <w:tabs>
        <w:tab w:val="center" w:pos="4153"/>
        <w:tab w:val="right" w:pos="8306"/>
      </w:tabs>
      <w:snapToGrid w:val="0"/>
      <w:jc w:val="left"/>
    </w:pPr>
    <w:rPr>
      <w:rFonts w:eastAsia="仿宋_GB2312"/>
      <w:kern w:val="2"/>
      <w:sz w:val="18"/>
    </w:rPr>
  </w:style>
  <w:style w:type="paragraph" w:customStyle="1" w:styleId="37">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1">
    <w:name w:val="页脚 New New New"/>
    <w:basedOn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7">
    <w:name w:val="页脚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8">
    <w:name w:val="页脚 New New New New New New"/>
    <w:basedOn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p0"/>
    <w:basedOn w:val="0"/>
    <w:pPr>
      <w:widowControl/>
    </w:pPr>
    <w:rPr>
      <w:rFonts w:eastAsia="宋体"/>
      <w:kern w:val="0"/>
      <w:szCs w:val="32"/>
    </w:rPr>
  </w:style>
  <w:style w:type="paragraph" w:customStyle="1" w:styleId="57">
    <w:name w:val="页脚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8">
    <w:name w:val="页脚 New New New New New New New New"/>
    <w:basedOn w:val="0"/>
    <w:pPr>
      <w:tabs>
        <w:tab w:val="center" w:pos="4153"/>
        <w:tab w:val="right" w:pos="8306"/>
      </w:tabs>
      <w:snapToGrid w:val="0"/>
      <w:jc w:val="left"/>
    </w:pPr>
    <w:rPr>
      <w:rFonts w:eastAsia="仿宋_GB2312"/>
      <w:kern w:val="2"/>
      <w:sz w:val="18"/>
    </w:rPr>
  </w:style>
  <w:style w:type="paragraph" w:customStyle="1" w:styleId="59">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0">
    <w:name w:val="页脚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1">
    <w:name w:val="页脚 New New New New New New New"/>
    <w:basedOn w:val="0"/>
    <w:pPr>
      <w:tabs>
        <w:tab w:val="center" w:pos="4153"/>
        <w:tab w:val="right" w:pos="8306"/>
      </w:tabs>
      <w:snapToGrid w:val="0"/>
      <w:jc w:val="left"/>
    </w:pPr>
    <w:rPr>
      <w:rFonts w:eastAsia="仿宋_GB2312"/>
      <w:kern w:val="2"/>
      <w:sz w:val="18"/>
    </w:rPr>
  </w:style>
  <w:style w:type="paragraph" w:customStyle="1" w:styleId="62">
    <w:name w:val="页脚 New New New New"/>
    <w:basedOn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4">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pPr>
      <w:tabs>
        <w:tab w:val="center" w:pos="4153"/>
        <w:tab w:val="right" w:pos="8306"/>
      </w:tabs>
      <w:snapToGrid w:val="0"/>
      <w:jc w:val="left"/>
    </w:pPr>
    <w:rPr>
      <w:rFonts w:eastAsia="仿宋_GB2312"/>
      <w:kern w:val="2"/>
      <w:sz w:val="18"/>
    </w:rPr>
  </w:style>
  <w:style w:type="paragraph" w:customStyle="1" w:styleId="69">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pPr>
      <w:adjustRightInd w:val="0"/>
      <w:ind w:firstLine="630"/>
      <w:jc w:val="left"/>
      <w:textAlignment w:val="baseline"/>
    </w:pPr>
    <w:rPr>
      <w:rFonts w:eastAsia="黑体"/>
    </w:rPr>
  </w:style>
  <w:style w:type="paragraph" w:customStyle="1" w:styleId="71">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3">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Char"/>
    <w:basedOn w:val="0"/>
    <w:rPr>
      <w:rFonts w:eastAsia="宋体"/>
      <w:sz w:val="21"/>
      <w:szCs w:val="21"/>
    </w:rPr>
  </w:style>
  <w:style w:type="paragraph" w:customStyle="1" w:styleId="88">
    <w:name w:val="页脚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9">
    <w:name w:val="页脚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90">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docProps/app.xml><?xml version="1.0" encoding="utf-8"?>
<Properties xmlns="http://schemas.openxmlformats.org/officeDocument/2006/extended-properties">
  <Template>Normal.eit</Template>
  <TotalTime>494</TotalTime>
  <Application>Yozo_Office27021597764231179</Application>
  <Pages>21</Pages>
  <Words>4545</Words>
  <Characters>5602</Characters>
  <Lines>1413</Lines>
  <Paragraphs>541</Paragraphs>
  <CharactersWithSpaces>6261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2024-01-23T03:39:45Z</cp:lastPrinted>
  <dcterms:created xsi:type="dcterms:W3CDTF">2022-02-20T09:24:00Z</dcterms:created>
  <dcterms:modified xsi:type="dcterms:W3CDTF">2024-02-26T02:17:44Z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2778DE0D3D1747E5A61F757C22D63E49_13</vt:lpwstr>
  </property>
</Properties>
</file>