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长春市统计局南关区分局</w:t>
      </w:r>
    </w:p>
    <w:p>
      <w:pPr>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2024年单位预算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pPr>
      <w:r>
        <w:rPr>
          <w:rFonts w:eastAsia="华文细黑"/>
        </w:rPr>
        <w:t>二〇二</w:t>
      </w:r>
      <w:r>
        <w:rPr>
          <w:rFonts w:eastAsia="华文细黑" w:hint="eastAsia"/>
        </w:rPr>
        <w:t>四</w:t>
      </w:r>
      <w:r>
        <w:rPr>
          <w:rFonts w:eastAsia="华文细黑"/>
        </w:rPr>
        <w:t>年</w:t>
      </w:r>
      <w:r>
        <w:rPr>
          <w:rFonts w:eastAsia="华文细黑" w:hint="eastAsia"/>
        </w:rPr>
        <w:t>二</w:t>
      </w:r>
      <w:r>
        <w:rPr>
          <w:rFonts w:eastAsia="华文细黑"/>
        </w:rPr>
        <w:t>月</w:t>
      </w:r>
      <w:r>
        <w:rPr>
          <w:rFonts w:eastAsia="华文细黑" w:hint="eastAsia"/>
        </w:rPr>
        <w:t>二十六</w:t>
      </w:r>
      <w:r>
        <w:rPr>
          <w:rFonts w:eastAsia="华文细黑"/>
        </w:rPr>
        <w:t>日</w:t>
      </w:r>
    </w:p>
    <w:p>
      <w:pPr>
        <w:rPr>
          <w:rFonts w:eastAsia="黑体"/>
        </w:rPr>
      </w:pPr>
    </w:p>
    <w:p>
      <w:pPr>
        <w:ind w:firstLineChars="200" w:firstLine="640"/>
        <w:rPr>
          <w:rFonts w:eastAsia="黑体"/>
        </w:rPr>
      </w:pPr>
    </w:p>
    <w:p>
      <w:pPr>
        <w:ind w:firstLineChars="200" w:firstLine="640"/>
        <w:rPr>
          <w:rFonts w:eastAsia="黑体"/>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p>
    <w:p>
      <w:pPr>
        <w:ind w:firstLineChars="200" w:firstLine="64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eastAsia="黑体" w:hint="eastAsia"/>
        </w:rPr>
        <w:t>单位</w:t>
      </w:r>
      <w:r>
        <w:rPr>
          <w:rFonts w:eastAsia="黑体"/>
        </w:rPr>
        <w:t>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rPr>
        <w:t>预算总</w:t>
      </w:r>
      <w:r>
        <w:t>表</w:t>
      </w:r>
    </w:p>
    <w:p>
      <w:pPr>
        <w:ind w:leftChars="100" w:left="320" w:firstLineChars="100" w:firstLine="320"/>
      </w:pPr>
      <w:r>
        <w:t>二、收入</w:t>
      </w:r>
      <w:r>
        <w:rPr>
          <w:rFonts w:hint="eastAsia"/>
        </w:rPr>
        <w:t>预算总</w:t>
      </w:r>
      <w:r>
        <w:t>表</w:t>
      </w:r>
    </w:p>
    <w:p>
      <w:pPr>
        <w:ind w:leftChars="100" w:left="320" w:firstLineChars="100" w:firstLine="320"/>
      </w:pPr>
      <w:r>
        <w:t>三、支出</w:t>
      </w:r>
      <w:r>
        <w:rPr>
          <w:rFonts w:hint="eastAsia"/>
        </w:rPr>
        <w:t>预算总</w:t>
      </w:r>
      <w:r>
        <w:t>表</w:t>
      </w:r>
    </w:p>
    <w:p>
      <w:pPr>
        <w:ind w:leftChars="100" w:left="320" w:firstLineChars="100" w:firstLine="320"/>
      </w:pPr>
      <w:r>
        <w:t>四、财政拨款收支</w:t>
      </w:r>
      <w:r>
        <w:rPr>
          <w:rFonts w:hint="eastAsia"/>
        </w:rPr>
        <w:t>预算总</w:t>
      </w:r>
      <w:r>
        <w:t>表</w:t>
      </w:r>
    </w:p>
    <w:p>
      <w:pPr>
        <w:ind w:leftChars="100" w:left="320" w:firstLineChars="100" w:firstLine="320"/>
      </w:pPr>
      <w:r>
        <w:t>五、</w:t>
      </w:r>
      <w:r>
        <w:rPr>
          <w:rFonts w:hint="eastAsia"/>
        </w:rPr>
        <w:t>一般公共预算拨款支出预算表</w:t>
      </w:r>
    </w:p>
    <w:p>
      <w:pPr>
        <w:ind w:leftChars="100" w:left="320" w:firstLineChars="100" w:firstLine="320"/>
      </w:pPr>
      <w:r>
        <w:t>六、</w:t>
      </w:r>
      <w:r>
        <w:rPr>
          <w:rFonts w:hint="eastAsia"/>
        </w:rPr>
        <w:t>一般公共预算基本支出预算表</w:t>
      </w:r>
    </w:p>
    <w:p>
      <w:pPr>
        <w:ind w:leftChars="100" w:left="320" w:firstLineChars="100" w:firstLine="320"/>
      </w:pPr>
      <w:r>
        <w:t>七、一般公共预算“三公”经费支出</w:t>
      </w:r>
      <w:r>
        <w:rPr>
          <w:rFonts w:hint="eastAsia"/>
        </w:rPr>
        <w:t>预算</w:t>
      </w:r>
      <w:r>
        <w:t>表</w:t>
      </w:r>
    </w:p>
    <w:p>
      <w:pPr>
        <w:ind w:leftChars="100" w:left="320" w:firstLineChars="100" w:firstLine="320"/>
      </w:pPr>
      <w:r>
        <w:t>八、政府性基金预算</w:t>
      </w:r>
      <w:r>
        <w:rPr>
          <w:rFonts w:hint="eastAsia"/>
        </w:rPr>
        <w:t>拨款</w:t>
      </w:r>
      <w:r>
        <w:t>支出</w:t>
      </w:r>
      <w:r>
        <w:rPr>
          <w:rFonts w:hint="eastAsia"/>
        </w:rPr>
        <w:t>预算</w:t>
      </w:r>
      <w:r>
        <w:t>表</w:t>
      </w:r>
    </w:p>
    <w:p>
      <w:pPr>
        <w:ind w:leftChars="100" w:left="320" w:firstLineChars="100" w:firstLine="320"/>
      </w:pPr>
      <w:r>
        <w:rPr>
          <w:rFonts w:hint="eastAsia"/>
        </w:rPr>
        <w:t>九、国有资本经营</w:t>
      </w:r>
      <w:r>
        <w:t>预算支出</w:t>
      </w:r>
      <w:r>
        <w:rPr>
          <w:rFonts w:hint="eastAsia"/>
        </w:rPr>
        <w:t>预算</w:t>
      </w:r>
      <w:r>
        <w:t>表</w:t>
      </w:r>
    </w:p>
    <w:p>
      <w:pPr>
        <w:ind w:leftChars="100" w:left="320" w:firstLineChars="100" w:firstLine="320"/>
      </w:pPr>
      <w:r>
        <w:rPr>
          <w:rFonts w:hint="eastAsia"/>
        </w:rPr>
        <w:t>十、项目支出预算表</w:t>
      </w:r>
    </w:p>
    <w:p>
      <w:pPr>
        <w:ind w:leftChars="100" w:left="320" w:firstLineChars="100" w:firstLine="320"/>
      </w:pPr>
      <w:r>
        <w:rPr>
          <w:rFonts w:hint="eastAsia"/>
        </w:rPr>
        <w:t>十一、财政拨款委托业务费支出预算表</w:t>
      </w:r>
    </w:p>
    <w:p>
      <w:pPr>
        <w:ind w:firstLineChars="200" w:firstLine="64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br w:type="page"/>
      </w:r>
    </w:p>
    <w:p>
      <w:pPr>
        <w:ind w:firstLineChars="200" w:firstLine="640"/>
        <w:jc w:val="center"/>
        <w:rPr>
          <w:rFonts w:eastAsia="黑体"/>
        </w:rPr>
      </w:pPr>
      <w:r>
        <w:rPr>
          <w:rFonts w:eastAsia="黑体"/>
        </w:rPr>
        <w:t xml:space="preserve">第一部分 </w:t>
      </w:r>
      <w:r>
        <w:rPr>
          <w:rFonts w:eastAsia="黑体" w:hint="eastAsia"/>
        </w:rPr>
        <w:t>单位</w:t>
      </w:r>
      <w:r>
        <w:rPr>
          <w:rFonts w:eastAsia="黑体"/>
        </w:rPr>
        <w:t>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ind w:firstLineChars="200" w:firstLine="640"/>
        <w:rPr>
          <w:color w:val="000000"/>
          <w:szCs w:val="32"/>
        </w:rPr>
      </w:pPr>
      <w:r>
        <w:rPr>
          <w:color w:val="000000"/>
          <w:szCs w:val="32"/>
        </w:rPr>
        <w:t>长春市统计局南关区分局为长春市统计局的</w:t>
      </w:r>
      <w:r>
        <w:rPr>
          <w:rFonts w:hint="eastAsia"/>
          <w:color w:val="000000"/>
          <w:szCs w:val="32"/>
        </w:rPr>
        <w:t>派出</w:t>
      </w:r>
      <w:r>
        <w:rPr>
          <w:color w:val="000000"/>
          <w:szCs w:val="32"/>
        </w:rPr>
        <w:t>机构</w:t>
      </w:r>
      <w:r>
        <w:rPr>
          <w:rFonts w:hint="eastAsia"/>
          <w:color w:val="000000"/>
          <w:szCs w:val="32"/>
        </w:rPr>
        <w:t>，</w:t>
      </w:r>
      <w:r>
        <w:rPr>
          <w:color w:val="000000"/>
          <w:szCs w:val="32"/>
        </w:rPr>
        <w:t>主要职责是在长春市统计局的领导下负责辖区内的统计业务</w:t>
      </w:r>
      <w:r>
        <w:rPr>
          <w:rFonts w:hint="eastAsia"/>
          <w:color w:val="000000"/>
          <w:szCs w:val="32"/>
        </w:rPr>
        <w:t>。具体如下：</w:t>
      </w:r>
    </w:p>
    <w:p>
      <w:pPr>
        <w:ind w:firstLineChars="200" w:firstLine="640"/>
        <w:rPr>
          <w:color w:val="000000"/>
          <w:szCs w:val="32"/>
        </w:rPr>
      </w:pPr>
      <w:r>
        <w:rPr>
          <w:color w:val="000000"/>
          <w:szCs w:val="32"/>
        </w:rPr>
        <w:t>（一）贯彻执行国家和省、市统计方针、政策以及法律、法规，制定全</w:t>
      </w:r>
      <w:r>
        <w:rPr>
          <w:rFonts w:hint="eastAsia"/>
          <w:color w:val="000000"/>
          <w:szCs w:val="32"/>
        </w:rPr>
        <w:t>区</w:t>
      </w:r>
      <w:r>
        <w:rPr>
          <w:color w:val="000000"/>
          <w:szCs w:val="32"/>
        </w:rPr>
        <w:t>统计规划及全</w:t>
      </w:r>
      <w:r>
        <w:rPr>
          <w:rFonts w:hint="eastAsia"/>
          <w:color w:val="000000"/>
          <w:szCs w:val="32"/>
        </w:rPr>
        <w:t>区</w:t>
      </w:r>
      <w:r>
        <w:rPr>
          <w:color w:val="000000"/>
          <w:szCs w:val="32"/>
        </w:rPr>
        <w:t>性统计调查计划，监督检查统计法律、法规的实施。组织领导全</w:t>
      </w:r>
      <w:r>
        <w:rPr>
          <w:rFonts w:hint="eastAsia"/>
          <w:color w:val="000000"/>
          <w:szCs w:val="32"/>
        </w:rPr>
        <w:t>区</w:t>
      </w:r>
      <w:r>
        <w:rPr>
          <w:color w:val="000000"/>
          <w:szCs w:val="32"/>
        </w:rPr>
        <w:t>统计工作，承担确保统计数据真实、准确、及时的责任</w:t>
      </w:r>
      <w:r>
        <w:rPr>
          <w:rFonts w:hint="eastAsia"/>
          <w:color w:val="000000"/>
          <w:szCs w:val="32"/>
        </w:rPr>
        <w:t>。</w:t>
      </w:r>
    </w:p>
    <w:p>
      <w:pPr>
        <w:ind w:firstLineChars="200" w:firstLine="640"/>
        <w:rPr>
          <w:color w:val="000000"/>
          <w:szCs w:val="32"/>
        </w:rPr>
      </w:pPr>
      <w:r>
        <w:rPr>
          <w:color w:val="000000"/>
          <w:szCs w:val="32"/>
        </w:rPr>
        <w:t>（二）根据全国统一的基本统计制度，建立健全全</w:t>
      </w:r>
      <w:r>
        <w:rPr>
          <w:rFonts w:hint="eastAsia"/>
          <w:color w:val="000000"/>
          <w:szCs w:val="32"/>
        </w:rPr>
        <w:t>区</w:t>
      </w:r>
      <w:r>
        <w:rPr>
          <w:color w:val="000000"/>
          <w:szCs w:val="32"/>
        </w:rPr>
        <w:t>国民经济核算体系和统计指标体系，制定全</w:t>
      </w:r>
      <w:r>
        <w:rPr>
          <w:rFonts w:hint="eastAsia"/>
          <w:color w:val="000000"/>
          <w:szCs w:val="32"/>
        </w:rPr>
        <w:t>区</w:t>
      </w:r>
      <w:r>
        <w:rPr>
          <w:color w:val="000000"/>
          <w:szCs w:val="32"/>
        </w:rPr>
        <w:t>统一的基本统计报表制度和统计标准；汇编提供全</w:t>
      </w:r>
      <w:r>
        <w:rPr>
          <w:rFonts w:hint="eastAsia"/>
          <w:color w:val="000000"/>
          <w:szCs w:val="32"/>
        </w:rPr>
        <w:t>区</w:t>
      </w:r>
      <w:r>
        <w:rPr>
          <w:color w:val="000000"/>
          <w:szCs w:val="32"/>
        </w:rPr>
        <w:t>国民经济核算资料，监督管理全</w:t>
      </w:r>
      <w:r>
        <w:rPr>
          <w:rFonts w:hint="eastAsia"/>
          <w:color w:val="000000"/>
          <w:szCs w:val="32"/>
        </w:rPr>
        <w:t>区</w:t>
      </w:r>
      <w:r>
        <w:rPr>
          <w:color w:val="000000"/>
          <w:szCs w:val="32"/>
        </w:rPr>
        <w:t>各级统计机关国民经济核算工作。</w:t>
      </w:r>
    </w:p>
    <w:p>
      <w:pPr>
        <w:ind w:firstLineChars="200" w:firstLine="640"/>
        <w:rPr>
          <w:color w:val="000000"/>
          <w:szCs w:val="32"/>
        </w:rPr>
      </w:pPr>
      <w:r>
        <w:rPr>
          <w:color w:val="000000"/>
          <w:szCs w:val="32"/>
        </w:rPr>
        <w:t>（三）研究提出重大的</w:t>
      </w:r>
      <w:r>
        <w:rPr>
          <w:rFonts w:hint="eastAsia"/>
          <w:color w:val="000000"/>
          <w:szCs w:val="32"/>
        </w:rPr>
        <w:t>区</w:t>
      </w:r>
      <w:r>
        <w:rPr>
          <w:color w:val="000000"/>
          <w:szCs w:val="32"/>
        </w:rPr>
        <w:t>情</w:t>
      </w:r>
      <w:r>
        <w:rPr>
          <w:rFonts w:hint="eastAsia"/>
          <w:color w:val="000000"/>
          <w:szCs w:val="32"/>
        </w:rPr>
        <w:t>区</w:t>
      </w:r>
      <w:r>
        <w:rPr>
          <w:color w:val="000000"/>
          <w:szCs w:val="32"/>
        </w:rPr>
        <w:t>力普查计划，并组织实施；统一组织协调各</w:t>
      </w:r>
      <w:r>
        <w:rPr>
          <w:rFonts w:hint="eastAsia"/>
          <w:color w:val="000000"/>
          <w:szCs w:val="32"/>
        </w:rPr>
        <w:t>街乡</w:t>
      </w:r>
      <w:r>
        <w:rPr>
          <w:color w:val="000000"/>
          <w:szCs w:val="32"/>
        </w:rPr>
        <w:t>及各部门的社会经济统计调查；对国民经济各行业、科技、资源环境和社会发展等情况进行统计分析、统计预测预警和统计监督，向</w:t>
      </w:r>
      <w:r>
        <w:rPr>
          <w:rFonts w:hint="eastAsia"/>
          <w:color w:val="000000"/>
          <w:szCs w:val="32"/>
        </w:rPr>
        <w:t>区</w:t>
      </w:r>
      <w:r>
        <w:rPr>
          <w:color w:val="000000"/>
          <w:szCs w:val="32"/>
        </w:rPr>
        <w:t>委、</w:t>
      </w:r>
      <w:r>
        <w:rPr>
          <w:rFonts w:hint="eastAsia"/>
          <w:color w:val="000000"/>
          <w:szCs w:val="32"/>
        </w:rPr>
        <w:t>区</w:t>
      </w:r>
      <w:r>
        <w:rPr>
          <w:color w:val="000000"/>
          <w:szCs w:val="32"/>
        </w:rPr>
        <w:t>政府及有关部门提供统计信息和咨询建议；收集、整理、提供国家及其他城市的统计资料，并进行对比分析和研究。</w:t>
      </w:r>
    </w:p>
    <w:p>
      <w:pPr>
        <w:ind w:firstLineChars="200" w:firstLine="640"/>
        <w:rPr>
          <w:color w:val="000000"/>
          <w:szCs w:val="32"/>
        </w:rPr>
      </w:pPr>
      <w:r>
        <w:rPr>
          <w:color w:val="000000"/>
          <w:szCs w:val="32"/>
        </w:rPr>
        <w:t>（四）统一核定、管理、公布全</w:t>
      </w:r>
      <w:r>
        <w:rPr>
          <w:rFonts w:hint="eastAsia"/>
          <w:color w:val="000000"/>
          <w:szCs w:val="32"/>
        </w:rPr>
        <w:t>区</w:t>
      </w:r>
      <w:r>
        <w:rPr>
          <w:color w:val="000000"/>
          <w:szCs w:val="32"/>
        </w:rPr>
        <w:t>性的基本统计资料，定期向社会公布全</w:t>
      </w:r>
      <w:r>
        <w:rPr>
          <w:rFonts w:hint="eastAsia"/>
          <w:color w:val="000000"/>
          <w:szCs w:val="32"/>
        </w:rPr>
        <w:t>区</w:t>
      </w:r>
      <w:r>
        <w:rPr>
          <w:color w:val="000000"/>
          <w:szCs w:val="32"/>
        </w:rPr>
        <w:t>国民经济和社会发展情况的统计信息。</w:t>
      </w:r>
    </w:p>
    <w:p>
      <w:pPr>
        <w:ind w:firstLineChars="200" w:firstLine="640"/>
        <w:rPr>
          <w:color w:val="000000"/>
          <w:szCs w:val="32"/>
        </w:rPr>
      </w:pPr>
      <w:r>
        <w:rPr>
          <w:color w:val="000000"/>
          <w:szCs w:val="32"/>
        </w:rPr>
        <w:t>（五）建立、完善和管理全</w:t>
      </w:r>
      <w:r>
        <w:rPr>
          <w:rFonts w:hint="eastAsia"/>
          <w:color w:val="000000"/>
          <w:szCs w:val="32"/>
        </w:rPr>
        <w:t>区</w:t>
      </w:r>
      <w:r>
        <w:rPr>
          <w:color w:val="000000"/>
          <w:szCs w:val="32"/>
        </w:rPr>
        <w:t>统计信息自动化系统和全</w:t>
      </w:r>
      <w:r>
        <w:rPr>
          <w:rFonts w:hint="eastAsia"/>
          <w:color w:val="000000"/>
          <w:szCs w:val="32"/>
        </w:rPr>
        <w:t>区</w:t>
      </w:r>
      <w:r>
        <w:rPr>
          <w:color w:val="000000"/>
          <w:szCs w:val="32"/>
        </w:rPr>
        <w:t>统计数据库体系；组织指导</w:t>
      </w:r>
      <w:r>
        <w:rPr>
          <w:rFonts w:hint="eastAsia"/>
          <w:color w:val="000000"/>
          <w:szCs w:val="32"/>
        </w:rPr>
        <w:t>街乡</w:t>
      </w:r>
      <w:r>
        <w:rPr>
          <w:color w:val="000000"/>
          <w:szCs w:val="32"/>
        </w:rPr>
        <w:t>统计信息自动化网络和数据库系统建设。</w:t>
      </w:r>
    </w:p>
    <w:p>
      <w:pPr>
        <w:ind w:firstLineChars="200" w:firstLine="640"/>
        <w:rPr>
          <w:color w:val="000000"/>
          <w:szCs w:val="32"/>
        </w:rPr>
      </w:pPr>
      <w:r>
        <w:rPr>
          <w:color w:val="000000"/>
          <w:szCs w:val="32"/>
        </w:rPr>
        <w:t>（六）依法管理各部门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pPr>
        <w:ind w:firstLineChars="200" w:firstLine="640"/>
        <w:rPr>
          <w:color w:val="000000"/>
          <w:szCs w:val="32"/>
        </w:rPr>
      </w:pPr>
      <w:r>
        <w:rPr>
          <w:color w:val="000000"/>
          <w:szCs w:val="32"/>
        </w:rPr>
        <w:t>（七）负责全</w:t>
      </w:r>
      <w:r>
        <w:rPr>
          <w:rFonts w:hint="eastAsia"/>
          <w:color w:val="000000"/>
          <w:szCs w:val="32"/>
        </w:rPr>
        <w:t>区</w:t>
      </w:r>
      <w:r>
        <w:rPr>
          <w:color w:val="000000"/>
          <w:szCs w:val="32"/>
        </w:rPr>
        <w:t>统计系统的干部人事、机构编制和财务经费、审计监督及资产设施管理。</w:t>
      </w:r>
    </w:p>
    <w:p>
      <w:pPr>
        <w:ind w:firstLineChars="200" w:firstLine="640"/>
        <w:rPr>
          <w:color w:val="000000"/>
          <w:sz w:val="21"/>
          <w:szCs w:val="21"/>
        </w:rPr>
      </w:pPr>
      <w:r>
        <w:rPr>
          <w:color w:val="000000"/>
          <w:szCs w:val="32"/>
        </w:rPr>
        <w:t>（八）承办市统计局和</w:t>
      </w:r>
      <w:r>
        <w:rPr>
          <w:rFonts w:hint="eastAsia"/>
          <w:color w:val="000000"/>
          <w:szCs w:val="32"/>
        </w:rPr>
        <w:t>区</w:t>
      </w:r>
      <w:r>
        <w:rPr>
          <w:color w:val="000000"/>
          <w:szCs w:val="32"/>
        </w:rPr>
        <w:t>政府交办的其他事项。</w:t>
      </w:r>
    </w:p>
    <w:p>
      <w:pPr>
        <w:ind w:firstLineChars="200" w:firstLine="640"/>
      </w:pPr>
      <w:r>
        <w:rPr>
          <w:rFonts w:eastAsia="楷体_GB2312"/>
        </w:rPr>
        <w:t>二、机构设置</w:t>
      </w:r>
    </w:p>
    <w:p>
      <w:pPr>
        <w:pStyle w:val="56"/>
        <w:ind w:firstLineChars="200" w:firstLine="640"/>
        <w:rPr>
          <w:rFonts w:eastAsia="仿宋_GB2312"/>
          <w:color w:val="000000"/>
          <w:kern w:val="2"/>
        </w:rPr>
      </w:pPr>
      <w:r>
        <w:rPr>
          <w:rFonts w:eastAsia="仿宋_GB2312"/>
          <w:color w:val="000000"/>
          <w:kern w:val="2"/>
        </w:rPr>
        <w:t>根据上述职责，</w:t>
      </w:r>
      <w:r>
        <w:rPr>
          <w:rFonts w:eastAsia="仿宋_GB2312" w:hint="eastAsia"/>
          <w:color w:val="000000"/>
          <w:kern w:val="2"/>
        </w:rPr>
        <w:t>长春市</w:t>
      </w:r>
      <w:r>
        <w:rPr>
          <w:rFonts w:eastAsia="仿宋_GB2312"/>
          <w:color w:val="000000"/>
          <w:kern w:val="2"/>
        </w:rPr>
        <w:t>统计局南关区分局分为</w:t>
      </w:r>
      <w:r>
        <w:rPr>
          <w:rFonts w:eastAsia="仿宋_GB2312" w:hint="eastAsia"/>
          <w:color w:val="000000"/>
          <w:kern w:val="2"/>
        </w:rPr>
        <w:t>综合科</w:t>
      </w:r>
      <w:r>
        <w:rPr>
          <w:rFonts w:eastAsia="仿宋_GB2312"/>
          <w:color w:val="000000"/>
          <w:kern w:val="2"/>
        </w:rPr>
        <w:t>和社会经济统计科</w:t>
      </w:r>
      <w:r>
        <w:rPr>
          <w:rFonts w:eastAsia="仿宋_GB2312" w:hint="eastAsia"/>
          <w:color w:val="000000"/>
          <w:kern w:val="2"/>
        </w:rPr>
        <w:t>。本单位无下设预算单位。</w:t>
      </w: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黑体"/>
        </w:rPr>
      </w:pPr>
      <w:r>
        <w:rPr>
          <w:rFonts w:eastAsia="楷体" w:hint="eastAsia"/>
        </w:rPr>
        <w:br w:type="page"/>
      </w: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89"/>
        <w:gridCol w:w="945"/>
        <w:gridCol w:w="850"/>
        <w:gridCol w:w="61"/>
        <w:gridCol w:w="1050"/>
        <w:gridCol w:w="1243"/>
        <w:gridCol w:w="1070"/>
        <w:gridCol w:w="8"/>
        <w:gridCol w:w="1086"/>
        <w:gridCol w:w="1072"/>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预算总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支 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 xml:space="preserve">4年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    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    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 xml:space="preserve">本年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     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311.96</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251.33</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r>
              <w:rPr>
                <w:rFonts w:eastAsia="宋体" w:hint="eastAsia"/>
                <w:kern w:val="0"/>
                <w:sz w:val="20"/>
              </w:rPr>
              <w:t>60.63</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eastAsia="宋体" w:hint="eastAsia"/>
                <w:color w:val="000000"/>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253.22</w:t>
            </w: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195.04</w:t>
            </w: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58.18</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一般公共预算    拨款收入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311.96</w:t>
            </w: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rPr>
              <w:t>251.33</w:t>
            </w: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r>
              <w:rPr>
                <w:rFonts w:eastAsia="宋体" w:hint="eastAsia"/>
                <w:kern w:val="0"/>
                <w:sz w:val="20"/>
              </w:rPr>
              <w:t>60.63</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sz w:val="20"/>
              </w:rPr>
              <w:t>二、</w:t>
            </w:r>
            <w:r>
              <w:rPr>
                <w:rFonts w:eastAsia="宋体" w:hint="eastAsia"/>
                <w:color w:val="000000"/>
                <w:sz w:val="20"/>
              </w:rPr>
              <w:t>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right"/>
              <w:textAlignment w:val="center"/>
              <w:rPr>
                <w:rFonts w:eastAsia="宋体"/>
                <w:color w:val="000000"/>
                <w:kern w:val="0"/>
                <w:sz w:val="20"/>
              </w:rPr>
            </w:pPr>
            <w:r>
              <w:rPr>
                <w:rFonts w:eastAsia="宋体" w:hint="eastAsia"/>
                <w:color w:val="000000"/>
                <w:kern w:val="0"/>
                <w:sz w:val="20"/>
              </w:rPr>
              <w:t>37.60</w:t>
            </w: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rPr>
              <w:t>36.39</w:t>
            </w: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rPr>
              <w:t>1.21</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政府性基金预算   拨款收入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sz w:val="20"/>
              </w:rPr>
              <w:t>三、</w:t>
            </w:r>
            <w:r>
              <w:rPr>
                <w:rFonts w:eastAsia="宋体" w:hint="eastAsia"/>
                <w:color w:val="000000"/>
                <w:sz w:val="20"/>
              </w:rPr>
              <w:t>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right"/>
              <w:textAlignment w:val="center"/>
              <w:rPr>
                <w:rFonts w:eastAsia="宋体"/>
                <w:color w:val="000000"/>
                <w:kern w:val="0"/>
                <w:sz w:val="20"/>
              </w:rPr>
            </w:pPr>
            <w:r>
              <w:rPr>
                <w:rFonts w:eastAsia="宋体" w:hint="eastAsia"/>
                <w:color w:val="000000"/>
                <w:kern w:val="0"/>
                <w:sz w:val="20"/>
              </w:rPr>
              <w:t>10.84</w:t>
            </w: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rPr>
              <w:t>9.59</w:t>
            </w: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rPr>
              <w:t>1.25</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hint="eastAsia"/>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right"/>
              <w:textAlignment w:val="center"/>
              <w:rPr>
                <w:rFonts w:eastAsia="宋体"/>
                <w:color w:val="000000"/>
                <w:kern w:val="0"/>
                <w:sz w:val="20"/>
              </w:rPr>
            </w:pPr>
            <w:r>
              <w:rPr>
                <w:rFonts w:eastAsia="宋体" w:hint="eastAsia"/>
                <w:color w:val="000000"/>
                <w:kern w:val="0"/>
                <w:sz w:val="20"/>
              </w:rPr>
              <w:t>10.31</w:t>
            </w: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rPr>
              <w:t>10.31</w:t>
            </w: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sz w:val="20"/>
              </w:rPr>
            </w:pPr>
            <w:r>
              <w:rPr>
                <w:rFonts w:eastAsia="宋体" w:hint="eastAsia"/>
                <w:sz w:val="20"/>
              </w:rPr>
              <w:t>二、财政专户管理  资金收入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right"/>
              <w:rPr>
                <w:rFonts w:eastAsia="宋体"/>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sz w:val="20"/>
              </w:rPr>
            </w:pPr>
          </w:p>
        </w:tc>
        <w:tc>
          <w:tcPr>
            <w:tcW w:w="1134" w:type="dxa"/>
            <w:tcBorders>
              <w:top w:val="nil"/>
              <w:left w:val="single" w:sz="4" w:space="0" w:color="auto"/>
              <w:bottom w:val="single" w:sz="4" w:space="0" w:color="auto"/>
              <w:right w:val="nil"/>
            </w:tcBorders>
            <w:noWrap/>
            <w:vAlign w:val="center"/>
          </w:tcPr>
          <w:p>
            <w:pPr>
              <w:jc w:val="right"/>
              <w:rPr>
                <w:rFonts w:eastAsia="宋体"/>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sz w:val="20"/>
              </w:rPr>
            </w:pPr>
          </w:p>
        </w:tc>
        <w:tc>
          <w:tcPr>
            <w:tcW w:w="1156" w:type="dxa"/>
            <w:tcBorders>
              <w:top w:val="nil"/>
              <w:left w:val="single" w:sz="4" w:space="0" w:color="auto"/>
              <w:bottom w:val="single" w:sz="4" w:space="0" w:color="auto"/>
              <w:right w:val="single" w:sz="4" w:space="0" w:color="auto"/>
            </w:tcBorders>
            <w:noWrap/>
            <w:vAlign w:val="center"/>
          </w:tcPr>
          <w:p>
            <w:pPr>
              <w:jc w:val="right"/>
              <w:rPr>
                <w:rFonts w:eastAsia="宋体"/>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sz w:val="20"/>
              </w:rPr>
            </w:pPr>
          </w:p>
        </w:tc>
        <w:tc>
          <w:tcPr>
            <w:tcW w:w="1158" w:type="dxa"/>
            <w:tcBorders>
              <w:top w:val="nil"/>
              <w:left w:val="nil"/>
              <w:bottom w:val="single" w:sz="4" w:space="0" w:color="auto"/>
              <w:right w:val="single" w:sz="4" w:space="0" w:color="auto"/>
            </w:tcBorders>
            <w:noWrap/>
            <w:vAlign w:val="center"/>
          </w:tcPr>
          <w:p>
            <w:pPr>
              <w:jc w:val="right"/>
              <w:rPr>
                <w:rFonts w:eastAsia="宋体"/>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311.96</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251.33</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r>
              <w:rPr>
                <w:rFonts w:eastAsia="宋体" w:hint="eastAsia"/>
                <w:kern w:val="0"/>
                <w:sz w:val="20"/>
              </w:rPr>
              <w:t>60.63</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b/>
                <w:bCs/>
                <w:kern w:val="0"/>
                <w:sz w:val="20"/>
              </w:rPr>
            </w:pPr>
            <w:r>
              <w:rPr>
                <w:rFonts w:eastAsia="宋体" w:hint="eastAsia"/>
                <w:kern w:val="0"/>
                <w:sz w:val="20"/>
              </w:rPr>
              <w:t>311.96</w:t>
            </w: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251.33</w:t>
            </w: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60.63</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rPr>
              <w:t xml:space="preserve">  支出</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非财政拨款      结转结余</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311.96</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251.33</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r>
              <w:rPr>
                <w:rFonts w:eastAsia="宋体" w:hint="eastAsia"/>
                <w:kern w:val="0"/>
                <w:sz w:val="20"/>
              </w:rPr>
              <w:t>60.63</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311.96</w:t>
            </w: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251.33</w:t>
            </w: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60.63</w:t>
            </w: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rPr>
          <w:rFonts w:eastAsia="方正小标宋简体"/>
          <w:sz w:val="44"/>
        </w:rPr>
      </w:pPr>
    </w:p>
    <w:p>
      <w:pPr>
        <w:rPr>
          <w:rFonts w:eastAsia="方正小标宋简体"/>
          <w:sz w:val="44"/>
        </w:rPr>
      </w:pPr>
    </w:p>
    <w:p>
      <w:pPr>
        <w:jc w:val="center"/>
        <w:rPr>
          <w:rFonts w:eastAsia="方正小标宋简体"/>
          <w:sz w:val="44"/>
        </w:rPr>
      </w:pPr>
      <w:r>
        <w:rPr>
          <w:rFonts w:eastAsia="方正小标宋简体"/>
          <w:sz w:val="44"/>
        </w:rPr>
        <w:t>收入</w:t>
      </w:r>
      <w:r>
        <w:rPr>
          <w:rFonts w:eastAsia="方正小标宋简体" w:hint="eastAsia"/>
          <w:sz w:val="44"/>
        </w:rPr>
        <w:t>预算总</w:t>
      </w:r>
      <w:r>
        <w:rPr>
          <w:rFonts w:eastAsia="方正小标宋简体"/>
          <w:sz w:val="44"/>
        </w:rPr>
        <w:t>表</w:t>
      </w:r>
    </w:p>
    <w:tbl>
      <w:tblPr>
        <w:jc w:val="center"/>
        <w:tblW w:w="1029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03"/>
        <w:gridCol w:w="795"/>
        <w:gridCol w:w="795"/>
        <w:gridCol w:w="780"/>
        <w:gridCol w:w="405"/>
        <w:gridCol w:w="345"/>
        <w:gridCol w:w="405"/>
        <w:gridCol w:w="358"/>
        <w:gridCol w:w="421"/>
        <w:gridCol w:w="99"/>
        <w:gridCol w:w="321"/>
        <w:gridCol w:w="421"/>
        <w:gridCol w:w="252"/>
        <w:gridCol w:w="169"/>
        <w:gridCol w:w="723"/>
        <w:gridCol w:w="765"/>
        <w:gridCol w:w="312"/>
        <w:gridCol w:w="184"/>
        <w:gridCol w:w="435"/>
        <w:gridCol w:w="435"/>
        <w:gridCol w:w="840"/>
        <w:gridCol w:w="28"/>
      </w:tblGrid>
      <w:tr>
        <w:trPr>
          <w:trHeight w:val="335"/>
          <w:gridAfter w:val="1"/>
          <w:wAfter w:w="28" w:type="dxa"/>
        </w:trPr>
        <w:tc>
          <w:tcPr>
            <w:tcW w:w="1003" w:type="dxa"/>
            <w:tcBorders>
              <w:bottom w:val="single" w:sz="4" w:space="0" w:color="000000"/>
            </w:tcBorders>
            <w:noWrap/>
          </w:tcPr>
          <w:p>
            <w:pPr>
              <w:autoSpaceDN w:val="0"/>
              <w:jc w:val="left"/>
              <w:textAlignment w:val="center"/>
              <w:rPr>
                <w:rFonts w:eastAsia="华文细黑"/>
                <w:color w:val="000000"/>
                <w:sz w:val="20"/>
              </w:rPr>
            </w:pPr>
          </w:p>
        </w:tc>
        <w:tc>
          <w:tcPr>
            <w:tcW w:w="4403" w:type="dxa"/>
            <w:gridSpan w:val="9"/>
            <w:tcBorders>
              <w:bottom w:val="single" w:sz="4" w:space="0" w:color="000000"/>
            </w:tcBorders>
            <w:noWrap/>
            <w:vAlign w:val="center"/>
          </w:tcPr>
          <w:p>
            <w:pPr>
              <w:autoSpaceDN w:val="0"/>
              <w:jc w:val="left"/>
              <w:textAlignment w:val="center"/>
              <w:rPr>
                <w:rFonts w:eastAsia="华文细黑"/>
                <w:color w:val="000000"/>
                <w:sz w:val="20"/>
              </w:rPr>
            </w:pPr>
          </w:p>
        </w:tc>
        <w:tc>
          <w:tcPr>
            <w:tcW w:w="994" w:type="dxa"/>
            <w:gridSpan w:val="3"/>
            <w:noWrap/>
            <w:vAlign w:val="center"/>
          </w:tcPr>
          <w:p>
            <w:pPr>
              <w:autoSpaceDN w:val="0"/>
              <w:jc w:val="left"/>
              <w:textAlignment w:val="center"/>
              <w:rPr>
                <w:rFonts w:eastAsia="华文细黑"/>
                <w:color w:val="000000"/>
                <w:sz w:val="20"/>
              </w:rPr>
            </w:pPr>
          </w:p>
        </w:tc>
        <w:tc>
          <w:tcPr>
            <w:tcW w:w="892" w:type="dxa"/>
            <w:gridSpan w:val="2"/>
            <w:noWrap/>
            <w:vAlign w:val="center"/>
          </w:tcPr>
          <w:p>
            <w:pPr>
              <w:autoSpaceDN w:val="0"/>
              <w:jc w:val="left"/>
              <w:textAlignment w:val="center"/>
              <w:rPr>
                <w:rFonts w:eastAsia="华文细黑"/>
                <w:color w:val="000000"/>
                <w:sz w:val="20"/>
              </w:rPr>
            </w:pPr>
          </w:p>
        </w:tc>
        <w:tc>
          <w:tcPr>
            <w:tcW w:w="765" w:type="dxa"/>
            <w:noWrap/>
            <w:vAlign w:val="center"/>
          </w:tcPr>
          <w:p>
            <w:pPr>
              <w:autoSpaceDN w:val="0"/>
              <w:jc w:val="left"/>
              <w:textAlignment w:val="center"/>
              <w:rPr>
                <w:rFonts w:eastAsia="华文细黑"/>
                <w:color w:val="000000"/>
                <w:sz w:val="20"/>
              </w:rPr>
            </w:pPr>
          </w:p>
        </w:tc>
        <w:tc>
          <w:tcPr>
            <w:tcW w:w="312" w:type="dxa"/>
            <w:noWrap/>
            <w:vAlign w:val="bottom"/>
          </w:tcPr>
          <w:p>
            <w:pPr>
              <w:autoSpaceDN w:val="0"/>
              <w:jc w:val="right"/>
              <w:textAlignment w:val="bottom"/>
              <w:rPr>
                <w:rFonts w:eastAsia="宋体"/>
                <w:color w:val="000000"/>
                <w:sz w:val="20"/>
              </w:rPr>
            </w:pPr>
          </w:p>
        </w:tc>
        <w:tc>
          <w:tcPr>
            <w:tcW w:w="1894" w:type="dxa"/>
            <w:gridSpan w:val="4"/>
            <w:noWrap/>
            <w:vAlign w:val="bottom"/>
          </w:tcPr>
          <w:p>
            <w:pPr>
              <w:autoSpaceDN w:val="0"/>
              <w:jc w:val="right"/>
              <w:textAlignment w:val="center"/>
              <w:rPr>
                <w:rFonts w:eastAsia="宋体"/>
                <w:color w:val="000000"/>
                <w:sz w:val="20"/>
              </w:rPr>
            </w:pPr>
            <w:r>
              <w:rPr>
                <w:rFonts w:eastAsia="宋体"/>
                <w:color w:val="000000"/>
                <w:sz w:val="20"/>
              </w:rPr>
              <w:t>单位：万元</w:t>
            </w:r>
          </w:p>
        </w:tc>
      </w:tr>
      <w:tr>
        <w:trPr>
          <w:trHeight w:val="517"/>
        </w:trPr>
        <w:tc>
          <w:tcPr>
            <w:tcW w:w="1003" w:type="dxa"/>
            <w:vMerge w:val="restart"/>
            <w:tcBorders>
              <w:left w:val="single" w:sz="4" w:space="0" w:color="000000"/>
              <w:right w:val="single" w:sz="4" w:space="0" w:color="000000"/>
            </w:tcBorders>
            <w:noWrap/>
            <w:vAlign w:val="center"/>
          </w:tcPr>
          <w:p>
            <w:pPr>
              <w:widowControl/>
              <w:jc w:val="center"/>
              <w:rPr>
                <w:rFonts w:ascii="宋体" w:eastAsia="宋体" w:cs="宋体"/>
                <w:color w:val="000000"/>
                <w:sz w:val="20"/>
              </w:rPr>
            </w:pPr>
            <w:r>
              <w:rPr>
                <w:rFonts w:ascii="宋体" w:eastAsia="宋体" w:cs="宋体" w:hint="eastAsia"/>
                <w:color w:val="000000"/>
                <w:sz w:val="20"/>
              </w:rPr>
              <w:t>部门（单位）名称</w:t>
            </w:r>
          </w:p>
        </w:tc>
        <w:tc>
          <w:tcPr>
            <w:tcW w:w="795" w:type="dxa"/>
            <w:vMerge w:val="restart"/>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总计</w:t>
            </w:r>
          </w:p>
        </w:tc>
        <w:tc>
          <w:tcPr>
            <w:tcW w:w="4771" w:type="dxa"/>
            <w:gridSpan w:val="12"/>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本年预算</w:t>
            </w:r>
          </w:p>
        </w:tc>
        <w:tc>
          <w:tcPr>
            <w:tcW w:w="3722" w:type="dxa"/>
            <w:gridSpan w:val="8"/>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上年结转结余</w:t>
            </w:r>
          </w:p>
        </w:tc>
      </w:tr>
      <w:tr>
        <w:trPr>
          <w:trHeight w:val="517"/>
        </w:trPr>
        <w:tc>
          <w:tcPr>
            <w:tcW w:w="1003" w:type="dxa"/>
            <w:vMerge/>
            <w:tcBorders>
              <w:left w:val="single" w:sz="4" w:space="0" w:color="000000"/>
              <w:right w:val="single" w:sz="4" w:space="0" w:color="000000"/>
            </w:tcBorders>
            <w:noWrap/>
            <w:vAlign w:val="center"/>
          </w:tcPr>
          <w:p/>
        </w:tc>
        <w:tc>
          <w:tcPr>
            <w:tcW w:w="795" w:type="dxa"/>
            <w:vMerge/>
            <w:tcBorders>
              <w:left w:val="single" w:sz="4" w:space="0" w:color="000000"/>
              <w:right w:val="single" w:sz="4" w:space="0" w:color="000000"/>
            </w:tcBorders>
            <w:noWrap/>
            <w:vAlign w:val="center"/>
          </w:tcPr>
          <w:p/>
        </w:tc>
        <w:tc>
          <w:tcPr>
            <w:tcW w:w="795" w:type="dxa"/>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合计</w:t>
            </w:r>
          </w:p>
        </w:tc>
        <w:tc>
          <w:tcPr>
            <w:tcW w:w="1530"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财政拨款收入</w:t>
            </w:r>
          </w:p>
        </w:tc>
        <w:tc>
          <w:tcPr>
            <w:tcW w:w="405" w:type="dxa"/>
            <w:vMerge w:val="restart"/>
            <w:tcBorders>
              <w:top w:val="single" w:sz="4" w:space="0" w:color="000000"/>
              <w:left w:val="single" w:sz="4" w:space="0" w:color="auto"/>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财政专户管理资金收入</w:t>
            </w:r>
          </w:p>
        </w:tc>
        <w:tc>
          <w:tcPr>
            <w:tcW w:w="2041" w:type="dxa"/>
            <w:gridSpan w:val="7"/>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单位资            金收入</w:t>
            </w:r>
          </w:p>
        </w:tc>
        <w:tc>
          <w:tcPr>
            <w:tcW w:w="723" w:type="dxa"/>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合计</w:t>
            </w:r>
          </w:p>
        </w:tc>
        <w:tc>
          <w:tcPr>
            <w:tcW w:w="1696" w:type="dxa"/>
            <w:gridSpan w:val="4"/>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财政拨款结转</w:t>
            </w:r>
          </w:p>
        </w:tc>
        <w:tc>
          <w:tcPr>
            <w:tcW w:w="1303" w:type="dxa"/>
            <w:gridSpan w:val="3"/>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非财政拨款结转结余</w:t>
            </w:r>
          </w:p>
        </w:tc>
      </w:tr>
      <w:tr>
        <w:trPr>
          <w:trHeight w:val="2818"/>
        </w:trPr>
        <w:tc>
          <w:tcPr>
            <w:tcW w:w="1003" w:type="dxa"/>
            <w:vMerge/>
            <w:tcBorders>
              <w:left w:val="single" w:sz="4" w:space="0" w:color="000000"/>
              <w:bottom w:val="single" w:sz="4" w:space="0" w:color="000000"/>
              <w:right w:val="single" w:sz="4" w:space="0" w:color="000000"/>
            </w:tcBorders>
            <w:shd w:val="solid" w:color="FFFFFF" w:fill="auto"/>
            <w:noWrap/>
            <w:vAlign w:val="center"/>
          </w:tcPr>
          <w:p/>
        </w:tc>
        <w:tc>
          <w:tcPr>
            <w:tcW w:w="795" w:type="dxa"/>
            <w:vMerge/>
            <w:tcBorders>
              <w:left w:val="single" w:sz="4" w:space="0" w:color="000000"/>
              <w:bottom w:val="single" w:sz="4" w:space="0" w:color="000000"/>
              <w:right w:val="single" w:sz="4" w:space="0" w:color="000000"/>
            </w:tcBorders>
            <w:shd w:val="solid" w:color="FFFFFF" w:fill="auto"/>
            <w:noWrap/>
            <w:vAlign w:val="center"/>
          </w:tcPr>
          <w:p/>
        </w:tc>
        <w:tc>
          <w:tcPr>
            <w:tcW w:w="795"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780"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一般公共预算收入</w:t>
            </w:r>
          </w:p>
        </w:tc>
        <w:tc>
          <w:tcPr>
            <w:tcW w:w="405" w:type="dxa"/>
            <w:tcBorders>
              <w:top w:val="single" w:sz="4" w:space="0" w:color="000000"/>
              <w:left w:val="single" w:sz="4" w:space="0" w:color="000000"/>
              <w:bottom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政府性基金预算收入</w:t>
            </w: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国有资本经营预算收入</w:t>
            </w:r>
          </w:p>
        </w:tc>
        <w:tc>
          <w:tcPr>
            <w:tcW w:w="405" w:type="dxa"/>
            <w:vMerge/>
            <w:tcBorders>
              <w:left w:val="single" w:sz="4" w:space="0" w:color="auto"/>
              <w:bottom w:val="single" w:sz="4" w:space="0" w:color="000000"/>
              <w:right w:val="single" w:sz="4" w:space="0" w:color="auto"/>
            </w:tcBorders>
            <w:shd w:val="solid" w:color="FFFFFF" w:fill="auto"/>
            <w:noWrap/>
            <w:textDirection w:val="tbLrV"/>
          </w:tcPr>
          <w:p/>
        </w:tc>
        <w:tc>
          <w:tcPr>
            <w:tcW w:w="358"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事业收入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事业单位经营收入</w:t>
            </w: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上级补助收入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附属单位上缴收入</w:t>
            </w: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其他收入</w:t>
            </w:r>
          </w:p>
        </w:tc>
        <w:tc>
          <w:tcPr>
            <w:tcW w:w="723"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76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一般公共预算拨款结转</w:t>
            </w:r>
          </w:p>
        </w:tc>
        <w:tc>
          <w:tcPr>
            <w:tcW w:w="496"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政府性基金预算拨款结转</w:t>
            </w:r>
          </w:p>
        </w:tc>
        <w:tc>
          <w:tcPr>
            <w:tcW w:w="435"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国有资本经营预算拨款结转</w:t>
            </w:r>
          </w:p>
        </w:tc>
        <w:tc>
          <w:tcPr>
            <w:tcW w:w="435"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财政专户管理资金结转结余</w:t>
            </w:r>
          </w:p>
        </w:tc>
        <w:tc>
          <w:tcPr>
            <w:tcW w:w="868"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单位资金结转结余</w:t>
            </w:r>
          </w:p>
        </w:tc>
      </w:tr>
      <w:tr>
        <w:trPr>
          <w:trHeight w:val="517"/>
        </w:trPr>
        <w:tc>
          <w:tcPr>
            <w:tcW w:w="1003" w:type="dxa"/>
            <w:tcBorders>
              <w:top w:val="single" w:sz="4" w:space="0" w:color="000000"/>
              <w:left w:val="single" w:sz="4" w:space="0" w:color="000000"/>
              <w:bottom w:val="single" w:sz="4" w:space="0" w:color="000000"/>
            </w:tcBorders>
            <w:shd w:val="solid" w:color="FFFFFF" w:fill="auto"/>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长春市统计局南关区分局</w:t>
            </w: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311.96</w:t>
            </w: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251.33</w:t>
            </w:r>
          </w:p>
        </w:tc>
        <w:tc>
          <w:tcPr>
            <w:tcW w:w="7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251.33</w:t>
            </w: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2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60.63</w:t>
            </w:r>
          </w:p>
        </w:tc>
        <w:tc>
          <w:tcPr>
            <w:tcW w:w="7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18"/>
                <w:szCs w:val="18"/>
                <w:shd w:val="clear" w:color="auto" w:fill="FFFFFF"/>
              </w:rPr>
            </w:pPr>
            <w:r>
              <w:rPr>
                <w:rFonts w:eastAsia="宋体" w:hint="eastAsia"/>
                <w:color w:val="000000"/>
                <w:sz w:val="18"/>
                <w:szCs w:val="18"/>
                <w:shd w:val="clear" w:color="auto" w:fill="FFFFFF"/>
              </w:rPr>
              <w:t>60.63</w:t>
            </w:r>
          </w:p>
        </w:tc>
        <w:tc>
          <w:tcPr>
            <w:tcW w:w="496"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00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2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96"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00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2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96"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00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2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96"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00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311.96</w:t>
            </w:r>
          </w:p>
        </w:tc>
        <w:tc>
          <w:tcPr>
            <w:tcW w:w="79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251.33</w:t>
            </w:r>
          </w:p>
        </w:tc>
        <w:tc>
          <w:tcPr>
            <w:tcW w:w="7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251.33</w:t>
            </w: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05"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35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72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60.63</w:t>
            </w:r>
          </w:p>
        </w:tc>
        <w:tc>
          <w:tcPr>
            <w:tcW w:w="7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60.63</w:t>
            </w:r>
          </w:p>
        </w:tc>
        <w:tc>
          <w:tcPr>
            <w:tcW w:w="496"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3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86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r>
        <w:rPr>
          <w:rFonts w:eastAsia="楷体"/>
        </w:rPr>
        <w:br w:type="page"/>
      </w:r>
    </w:p>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rPr>
        <w:t>预算总</w:t>
      </w:r>
      <w:r>
        <w:rPr>
          <w:rFonts w:eastAsia="方正小标宋简体"/>
          <w:kern w:val="0"/>
          <w:sz w:val="44"/>
          <w:szCs w:val="44"/>
        </w:rPr>
        <w:t>表</w:t>
      </w:r>
    </w:p>
    <w:tbl>
      <w:tblPr>
        <w:jc w:val="left"/>
        <w:tblInd w:w="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80"/>
        <w:gridCol w:w="1245"/>
        <w:gridCol w:w="1230"/>
        <w:gridCol w:w="930"/>
        <w:gridCol w:w="1065"/>
        <w:gridCol w:w="357"/>
        <w:gridCol w:w="424"/>
        <w:gridCol w:w="698"/>
        <w:gridCol w:w="119"/>
      </w:tblGrid>
      <w:tr>
        <w:trPr>
          <w:trHeight w:val="636"/>
          <w:gridAfter w:val="1"/>
          <w:wAfter w:w="119" w:type="dxa"/>
        </w:trPr>
        <w:tc>
          <w:tcPr>
            <w:tcW w:w="6285" w:type="dxa"/>
            <w:gridSpan w:val="4"/>
            <w:tcBorders>
              <w:bottom w:val="single" w:sz="4" w:space="0" w:color="000000"/>
            </w:tcBorders>
            <w:noWrap/>
            <w:vAlign w:val="center"/>
          </w:tcPr>
          <w:p>
            <w:pPr>
              <w:widowControl/>
              <w:jc w:val="left"/>
              <w:rPr>
                <w:rFonts w:eastAsia="华文细黑"/>
                <w:color w:val="000000"/>
                <w:kern w:val="0"/>
                <w:sz w:val="20"/>
              </w:rPr>
            </w:pPr>
          </w:p>
        </w:tc>
        <w:tc>
          <w:tcPr>
            <w:tcW w:w="1065" w:type="dxa"/>
            <w:tcBorders>
              <w:bottom w:val="single" w:sz="4" w:space="0" w:color="000000"/>
            </w:tcBorders>
            <w:noWrap/>
            <w:vAlign w:val="center"/>
          </w:tcPr>
          <w:p>
            <w:pPr>
              <w:widowControl/>
              <w:jc w:val="right"/>
              <w:rPr>
                <w:rFonts w:eastAsia="华文细黑"/>
                <w:color w:val="000000"/>
                <w:kern w:val="0"/>
                <w:sz w:val="20"/>
              </w:rPr>
            </w:pPr>
          </w:p>
        </w:tc>
        <w:tc>
          <w:tcPr>
            <w:tcW w:w="357" w:type="dxa"/>
            <w:tcBorders>
              <w:bottom w:val="single" w:sz="4" w:space="0" w:color="000000"/>
            </w:tcBorders>
            <w:noWrap/>
            <w:vAlign w:val="center"/>
          </w:tcPr>
          <w:p>
            <w:pPr>
              <w:widowControl/>
              <w:jc w:val="right"/>
              <w:rPr>
                <w:rFonts w:eastAsia="华文细黑"/>
                <w:color w:val="000000"/>
                <w:kern w:val="0"/>
                <w:sz w:val="20"/>
              </w:rPr>
            </w:pPr>
          </w:p>
        </w:tc>
        <w:tc>
          <w:tcPr>
            <w:tcW w:w="1122" w:type="dxa"/>
            <w:gridSpan w:val="2"/>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783"/>
        </w:trPr>
        <w:tc>
          <w:tcPr>
            <w:tcW w:w="2880"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45"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2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5"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事业单位</w:t>
            </w:r>
          </w:p>
          <w:p>
            <w:pPr>
              <w:widowControl/>
              <w:jc w:val="center"/>
              <w:rPr>
                <w:rFonts w:eastAsia="华文细黑"/>
                <w:color w:val="000000"/>
                <w:kern w:val="0"/>
                <w:sz w:val="20"/>
              </w:rPr>
            </w:pPr>
            <w:r>
              <w:rPr>
                <w:rFonts w:eastAsia="华文细黑" w:hint="eastAsia"/>
                <w:color w:val="000000"/>
                <w:kern w:val="0"/>
                <w:sz w:val="20"/>
              </w:rPr>
              <w:t>经营支出</w:t>
            </w:r>
          </w:p>
        </w:tc>
        <w:tc>
          <w:tcPr>
            <w:tcW w:w="781"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17"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605"/>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253.22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115.03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253.22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115.03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一般行政管理事务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30.21</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30.21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9"/>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专项普查活动</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84.82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84.82</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25.46</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25.46</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机关事业单位基本养老保险缴费支出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12.14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12.14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9"/>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1"/>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311.97</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196.94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115.03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tbl>
      <w:tblPr>
        <w:tblpPr w:leftFromText="180" w:rightFromText="180" w:vertAnchor="text" w:horzAnchor="page" w:tblpX="1248" w:tblpY="154"/>
        <w:tblOverlap w:val="never"/>
        <w:tblW w:w="911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70"/>
        <w:gridCol w:w="958"/>
        <w:gridCol w:w="1020"/>
        <w:gridCol w:w="1020"/>
        <w:gridCol w:w="1516"/>
        <w:gridCol w:w="1035"/>
        <w:gridCol w:w="1050"/>
        <w:gridCol w:w="1049"/>
      </w:tblGrid>
      <w:tr>
        <w:trPr>
          <w:trHeight w:val="634"/>
        </w:trPr>
        <w:tc>
          <w:tcPr>
            <w:tcW w:w="9118"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rPr>
              <w:t>预算总</w:t>
            </w:r>
            <w:r>
              <w:rPr>
                <w:rFonts w:eastAsia="方正小标宋简体"/>
                <w:kern w:val="0"/>
                <w:sz w:val="44"/>
                <w:szCs w:val="44"/>
              </w:rPr>
              <w:t>表</w:t>
            </w:r>
          </w:p>
        </w:tc>
      </w:tr>
      <w:tr>
        <w:trPr>
          <w:trHeight w:val="502"/>
        </w:trPr>
        <w:tc>
          <w:tcPr>
            <w:tcW w:w="9118"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493"/>
        </w:trPr>
        <w:tc>
          <w:tcPr>
            <w:tcW w:w="446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65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7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95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51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35"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5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hint="eastAsia"/>
                <w:color w:val="000000"/>
                <w:kern w:val="0"/>
                <w:sz w:val="20"/>
              </w:rPr>
              <w:t>311.96</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251.33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60.63</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311.96</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251.33</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hint="eastAsia"/>
                <w:color w:val="000000"/>
                <w:kern w:val="0"/>
                <w:sz w:val="20"/>
              </w:rPr>
              <w:t>60.63</w:t>
            </w:r>
          </w:p>
        </w:tc>
      </w:tr>
      <w:tr>
        <w:trPr>
          <w:trHeight w:val="32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hint="eastAsia"/>
                <w:color w:val="000000"/>
                <w:kern w:val="0"/>
                <w:sz w:val="20"/>
              </w:rPr>
              <w:t>311.96</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251.33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60.63</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253.22</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195.04</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58.18</w:t>
            </w: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hint="eastAsia"/>
                <w:color w:val="000000"/>
                <w:kern w:val="0"/>
                <w:sz w:val="20"/>
              </w:rPr>
              <w:t>37.60</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36.39</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1.21</w:t>
            </w: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10.84</w:t>
            </w: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9.59</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1.25</w:t>
            </w: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5"/>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rPr>
              <w:t>二、</w:t>
            </w:r>
            <w:r>
              <w:rPr>
                <w:rFonts w:eastAsia="宋体"/>
                <w:kern w:val="0"/>
                <w:sz w:val="20"/>
              </w:rPr>
              <w:t>结转下年</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50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311.96</w:t>
            </w: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251.33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60.63</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311.96</w:t>
            </w: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251.33</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hint="eastAsia"/>
                <w:color w:val="000000"/>
                <w:kern w:val="0"/>
                <w:sz w:val="20"/>
              </w:rPr>
              <w:t>60.63</w:t>
            </w:r>
          </w:p>
        </w:tc>
      </w:tr>
    </w:tbl>
    <w:p>
      <w:pPr>
        <w:rPr>
          <w:rFonts w:eastAsia="楷体"/>
        </w:rPr>
      </w:pPr>
    </w:p>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75"/>
      </w:tblGrid>
      <w:tr>
        <w:trPr>
          <w:trHeight w:val="6081"/>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jc w:val="left"/>
              <w:tblInd w:w="78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431"/>
              <w:gridCol w:w="1043"/>
              <w:gridCol w:w="1043"/>
              <w:gridCol w:w="1043"/>
              <w:gridCol w:w="1043"/>
              <w:gridCol w:w="1564"/>
            </w:tblGrid>
            <w:tr>
              <w:trPr>
                <w:trHeight w:val="390"/>
              </w:trPr>
              <w:tc>
                <w:tcPr>
                  <w:tcW w:w="8167"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431"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43"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129" w:type="dxa"/>
                  <w:gridSpan w:val="3"/>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564"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368"/>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3402" w:type="dxa"/>
                  <w:gridSpan w:val="3"/>
                  <w:vMerge/>
                  <w:tcBorders>
                    <w:top w:val="single" w:sz="4" w:space="0" w:color="000000"/>
                    <w:left w:val="single" w:sz="4" w:space="0" w:color="000000"/>
                    <w:bottom w:val="single" w:sz="4" w:space="0" w:color="000000"/>
                    <w:right w:val="single" w:sz="4" w:space="0" w:color="000000"/>
                  </w:tcBorders>
                  <w:noWrap/>
                  <w:vAlign w:val="center"/>
                </w:tc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04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04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04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488"/>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253.22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109.35</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28.84</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115.03</w:t>
                  </w:r>
                </w:p>
              </w:tc>
            </w:tr>
            <w:tr>
              <w:trPr>
                <w:trHeight w:val="424"/>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253.22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109.35</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28.84</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115.03</w:t>
                  </w:r>
                </w:p>
              </w:tc>
            </w:tr>
            <w:tr>
              <w:trPr>
                <w:trHeight w:val="44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138.19</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109.35</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28.84</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一般行政管理事务</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30.21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30.21</w:t>
                  </w:r>
                </w:p>
              </w:tc>
            </w:tr>
            <w:tr>
              <w:trPr>
                <w:trHeight w:val="44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专项普查活动</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84.82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84.82</w:t>
                  </w:r>
                </w:p>
              </w:tc>
            </w:tr>
            <w:tr>
              <w:trPr>
                <w:trHeight w:val="483"/>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1"/>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37.60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25"/>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25.46</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25.46</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25.46</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r>
                    <w:rPr>
                      <w:rFonts w:eastAsia="宋体"/>
                      <w:color w:val="000000"/>
                      <w:kern w:val="0"/>
                      <w:sz w:val="20"/>
                    </w:rPr>
                    <w:t>机关事业单位基本养老保险缴费支出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12.14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12.14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12.14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2"/>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39"/>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4"/>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2"/>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2"/>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10.31</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54"/>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311.97</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196.94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168.10</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28.84</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rPr>
                    <w:t>115.03</w:t>
                  </w:r>
                </w:p>
              </w:tc>
            </w:tr>
          </w:tbl>
          <w:p>
            <w:pPr>
              <w:widowControl/>
              <w:jc w:val="center"/>
              <w:rPr>
                <w:rFonts w:eastAsia="方正小标宋简体"/>
                <w:kern w:val="0"/>
                <w:sz w:val="44"/>
                <w:szCs w:val="44"/>
              </w:rPr>
            </w:pPr>
          </w:p>
        </w:tc>
      </w:tr>
    </w:tbl>
    <w:p>
      <w:pPr>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rPr>
                <w:rFonts w:eastAsia="方正小标宋简体"/>
                <w:kern w:val="0"/>
                <w:sz w:val="44"/>
                <w:szCs w:val="44"/>
              </w:rPr>
            </w:pPr>
          </w:p>
          <w:p>
            <w:pPr>
              <w:widowControl/>
              <w:rPr>
                <w:rFonts w:eastAsia="方正小标宋简体"/>
                <w:kern w:val="0"/>
                <w:sz w:val="44"/>
                <w:szCs w:val="44"/>
              </w:rPr>
            </w:pPr>
            <w:bookmarkStart w:id="0" w:name="_GoBack"/>
            <w:bookmarkEnd w:id="0"/>
          </w:p>
          <w:p>
            <w:pPr>
              <w:widowControl/>
              <w:jc w:val="center"/>
              <w:rPr>
                <w:rFonts w:eastAsia="方正小标宋简体"/>
                <w:kern w:val="0"/>
                <w:sz w:val="44"/>
                <w:szCs w:val="44"/>
              </w:rPr>
            </w:pPr>
            <w:r>
              <w:rPr>
                <w:rFonts w:eastAsia="方正小标宋简体" w:hint="eastAsia"/>
                <w:kern w:val="0"/>
                <w:sz w:val="44"/>
                <w:szCs w:val="44"/>
              </w:rPr>
              <w:t>一般公共预算基本支出预算表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812"/>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rPr>
              <w:t>单位预算支出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14"/>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142..06</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hint="eastAsia"/>
                <w:kern w:val="0"/>
                <w:sz w:val="20"/>
              </w:rPr>
              <w:t>142..06</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39.88</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39.88</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28.08</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28.08</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37.14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37.14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12.14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12.14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3.58</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3.58</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7.04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7.04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0.99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0.99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10.31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10.31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1.50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1.50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1.40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1.40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25.34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hint="eastAsia"/>
                <w:kern w:val="0"/>
                <w:sz w:val="20"/>
              </w:rPr>
              <w:t>25.34</w:t>
            </w: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4.32</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hint="eastAsia"/>
                <w:kern w:val="0"/>
                <w:sz w:val="20"/>
              </w:rPr>
              <w:t>4.32</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邮电费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0.41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0.41</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0.12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0.12</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0.78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0.78</w:t>
            </w:r>
          </w:p>
        </w:tc>
      </w:tr>
      <w:tr>
        <w:trPr>
          <w:trHeight w:val="295"/>
        </w:trPr>
        <w:tc>
          <w:tcPr>
            <w:tcW w:w="8931" w:type="dxa"/>
            <w:gridSpan w:val="4"/>
            <w:tcBorders>
              <w:top w:val="single" w:sz="4" w:space="0" w:color="auto"/>
              <w:left w:val="nil"/>
              <w:bottom w:val="nil"/>
              <w:right w:val="nil"/>
            </w:tcBorders>
            <w:noWrap/>
            <w:vAlign w:val="center"/>
          </w:tcPr>
          <w:p>
            <w:pPr>
              <w:widowControl/>
              <w:jc w:val="right"/>
              <w:rPr>
                <w:rFonts w:eastAsia="宋体"/>
                <w:kern w:val="0"/>
                <w:sz w:val="20"/>
              </w:rPr>
            </w:pPr>
          </w:p>
        </w:tc>
      </w:tr>
      <w:tr>
        <w:trPr>
          <w:trHeight w:val="295"/>
        </w:trPr>
        <w:tc>
          <w:tcPr>
            <w:tcW w:w="8931" w:type="dxa"/>
            <w:gridSpan w:val="4"/>
            <w:tcBorders>
              <w:top w:val="nil"/>
              <w:left w:val="nil"/>
              <w:bottom w:val="single" w:sz="4" w:space="0" w:color="auto"/>
              <w:right w:val="nil"/>
            </w:tcBorders>
            <w:noWrap/>
            <w:vAlign w:val="center"/>
          </w:tcPr>
          <w:p>
            <w:pPr>
              <w:widowControl/>
              <w:jc w:val="center"/>
              <w:rPr>
                <w:rFonts w:eastAsia="方正小标宋简体"/>
                <w:kern w:val="0"/>
                <w:sz w:val="44"/>
                <w:szCs w:val="44"/>
              </w:rPr>
            </w:pPr>
            <w:r>
              <w:rPr>
                <w:rFonts w:eastAsia="方正小标宋简体" w:hint="eastAsia"/>
                <w:kern w:val="0"/>
                <w:sz w:val="44"/>
                <w:szCs w:val="44"/>
              </w:rPr>
              <w:t>一般公共预算基本支出预算表续表</w:t>
            </w:r>
          </w:p>
          <w:p>
            <w:pPr>
              <w:widowControl/>
              <w:jc w:val="left"/>
              <w:rPr>
                <w:rFonts w:eastAsia="方正小标宋简体"/>
                <w:kern w:val="0"/>
                <w:sz w:val="44"/>
                <w:szCs w:val="44"/>
              </w:rPr>
            </w:pPr>
            <w:r>
              <w:rPr>
                <w:rFonts w:eastAsia="华文细黑" w:hint="eastAsia"/>
                <w:kern w:val="0"/>
                <w:sz w:val="20"/>
              </w:rPr>
              <w:t>单位：万元</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2.03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2.03</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6.96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6.96</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其他交通费用</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8.34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8.34</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1.38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1.38</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26.05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26.05</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25.46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25.46</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0.59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0.59</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color w:val="000000"/>
                <w:kern w:val="0"/>
                <w:sz w:val="20"/>
              </w:rPr>
              <w:t>四、资本性支出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3.50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3.50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3.50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3.50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196.95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168.11</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rPr>
              <w:t>28.84</w:t>
            </w:r>
          </w:p>
        </w:tc>
      </w:tr>
    </w:tbl>
    <w:p>
      <w:pPr>
        <w:ind w:firstLine="636"/>
        <w:rPr>
          <w:rFonts w:eastAsia="楷体"/>
        </w:rPr>
      </w:pPr>
    </w:p>
    <w:p>
      <w:pPr>
        <w:ind w:firstLine="636"/>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24</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rPr>
                <w:color w:val="000000"/>
                <w:kern w:val="0"/>
                <w:sz w:val="28"/>
                <w:szCs w:val="28"/>
              </w:rPr>
            </w:pPr>
            <w:r>
              <w:rPr>
                <w:rFonts w:hint="eastAsia"/>
                <w:color w:val="000000"/>
                <w:kern w:val="0"/>
                <w:sz w:val="28"/>
                <w:szCs w:val="28"/>
              </w:rPr>
              <w:t>说明：</w:t>
            </w:r>
          </w:p>
          <w:p>
            <w:pPr>
              <w:widowControl/>
              <w:numPr>
                <w:ilvl w:val="0"/>
                <w:numId w:val="1"/>
              </w:numPr>
              <w:rPr>
                <w:color w:val="000000"/>
                <w:kern w:val="0"/>
                <w:sz w:val="28"/>
                <w:szCs w:val="28"/>
              </w:rPr>
            </w:pPr>
            <w:r>
              <w:rPr>
                <w:rFonts w:hint="eastAsia"/>
                <w:color w:val="000000"/>
                <w:kern w:val="0"/>
                <w:sz w:val="28"/>
                <w:szCs w:val="28"/>
              </w:rPr>
              <w:t>“2024年预算数”的单位范围包括</w:t>
            </w:r>
            <w:r>
              <w:rPr>
                <w:rFonts w:hint="eastAsia"/>
                <w:color w:val="000000"/>
                <w:kern w:val="0"/>
                <w:sz w:val="28"/>
                <w:szCs w:val="28"/>
                <w:lang w:eastAsia="zh-CN"/>
              </w:rPr>
              <w:t>本单位</w:t>
            </w:r>
            <w:r>
              <w:rPr>
                <w:rFonts w:hint="eastAsia"/>
                <w:color w:val="000000"/>
                <w:kern w:val="0"/>
                <w:sz w:val="28"/>
                <w:szCs w:val="28"/>
                <w:lang w:val="en-US" w:eastAsia="zh-CN"/>
              </w:rPr>
              <w:t>1</w:t>
            </w:r>
            <w:r>
              <w:rPr>
                <w:color w:val="000000"/>
                <w:kern w:val="0"/>
                <w:sz w:val="28"/>
                <w:szCs w:val="28"/>
              </w:rPr>
              <w:t>个预算单位</w:t>
            </w:r>
            <w:r>
              <w:rPr>
                <w:rFonts w:hint="eastAsia"/>
                <w:color w:val="000000"/>
                <w:kern w:val="0"/>
                <w:sz w:val="28"/>
                <w:szCs w:val="28"/>
              </w:rPr>
              <w:t>。</w:t>
            </w:r>
          </w:p>
          <w:p>
            <w:pPr>
              <w:widowControl/>
              <w:numPr>
                <w:ilvl w:val="0"/>
                <w:numId w:val="1"/>
              </w:numPr>
              <w:rPr>
                <w:color w:val="000000"/>
                <w:kern w:val="0"/>
                <w:sz w:val="28"/>
                <w:szCs w:val="28"/>
              </w:rPr>
            </w:pPr>
            <w:r>
              <w:rPr>
                <w:rFonts w:hint="eastAsia"/>
                <w:color w:val="000000"/>
                <w:kern w:val="0"/>
                <w:sz w:val="28"/>
                <w:szCs w:val="28"/>
              </w:rPr>
              <w:t>“2024年预算数”的实有人员15 人，其中：在职人员 6人，退休人员</w:t>
            </w:r>
            <w:r>
              <w:rPr>
                <w:rFonts w:hint="eastAsia"/>
                <w:color w:val="000000"/>
                <w:kern w:val="0"/>
                <w:sz w:val="28"/>
                <w:szCs w:val="28"/>
                <w:lang w:val="en-US" w:eastAsia="zh-CN"/>
              </w:rPr>
              <w:t>9</w:t>
            </w:r>
            <w:r>
              <w:rPr>
                <w:rFonts w:hint="eastAsia"/>
                <w:color w:val="000000"/>
                <w:kern w:val="0"/>
                <w:sz w:val="28"/>
                <w:szCs w:val="28"/>
              </w:rPr>
              <w:t xml:space="preserve"> 人</w:t>
            </w:r>
            <w:r>
              <w:rPr>
                <w:rFonts w:hint="eastAsia"/>
                <w:color w:val="000000"/>
                <w:kern w:val="0"/>
                <w:sz w:val="28"/>
                <w:szCs w:val="28"/>
                <w:lang w:eastAsia="zh-CN"/>
              </w:rPr>
              <w:t>。</w:t>
            </w:r>
          </w:p>
        </w:tc>
      </w:tr>
    </w:tbl>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kern w:val="0"/>
          <w:szCs w:val="32"/>
        </w:rPr>
      </w:pP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rPr>
              <w:t>拨款</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
          <w:kern w:val="0"/>
          <w:szCs w:val="32"/>
        </w:rPr>
        <w:sectPr>
          <w:footerReference w:type="default" r:id="rId7"/>
          <w:footerReference w:type="first" r:id="rId8"/>
          <w:pgSz w:w="11907" w:h="16840"/>
          <w:pgMar w:top="2041" w:right="1474" w:bottom="2041" w:left="1474" w:header="851" w:footer="1587" w:gutter="0"/>
          <w:pgNumType w:fmt="numberInDash" w:start="1"/>
          <w:docGrid w:type="lines" w:linePitch="574" w:charSpace="0"/>
        </w:sectPr>
      </w:pPr>
    </w:p>
    <w:tbl>
      <w:tblPr>
        <w:tblpPr w:leftFromText="180" w:rightFromText="180" w:vertAnchor="page" w:horzAnchor="page" w:tblpX="1573" w:tblpY="2320"/>
        <w:tblW w:w="878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8"/>
        <w:gridCol w:w="930"/>
        <w:gridCol w:w="900"/>
        <w:gridCol w:w="553"/>
        <w:gridCol w:w="406"/>
        <w:gridCol w:w="810"/>
        <w:gridCol w:w="990"/>
        <w:gridCol w:w="405"/>
        <w:gridCol w:w="450"/>
        <w:gridCol w:w="420"/>
        <w:gridCol w:w="356"/>
        <w:gridCol w:w="710"/>
        <w:gridCol w:w="420"/>
        <w:gridCol w:w="510"/>
        <w:gridCol w:w="562"/>
        <w:gridCol w:w="554"/>
      </w:tblGrid>
      <w:tr>
        <w:trPr>
          <w:trHeight w:val="1273"/>
        </w:trPr>
        <w:tc>
          <w:tcPr>
            <w:tcW w:w="9791"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项目支出预算</w:t>
            </w:r>
            <w:r>
              <w:rPr>
                <w:rFonts w:ascii="Calibri" w:eastAsia="方正小标宋简体" w:hAnsi="Calibri"/>
                <w:kern w:val="0"/>
                <w:sz w:val="44"/>
                <w:szCs w:val="44"/>
              </w:rPr>
              <w:t>表</w:t>
            </w:r>
          </w:p>
          <w:p>
            <w:pPr>
              <w:autoSpaceDN w:val="0"/>
              <w:jc w:val="center"/>
              <w:textAlignment w:val="center"/>
              <w:rPr>
                <w:rFonts w:ascii="Calibri" w:eastAsia="华文细黑" w:hAnsi="Calibri"/>
                <w:color w:val="000000"/>
                <w:sz w:val="20"/>
                <w:szCs w:val="22"/>
              </w:rPr>
            </w:pPr>
          </w:p>
        </w:tc>
      </w:tr>
      <w:tr>
        <w:trPr>
          <w:trHeight w:val="550"/>
        </w:trPr>
        <w:tc>
          <w:tcPr>
            <w:tcW w:w="818"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1829"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553"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406"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81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2620"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2756"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trPr>
          <w:trHeight w:val="836"/>
        </w:trPr>
        <w:tc>
          <w:tcPr>
            <w:tcW w:w="818"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类型</w:t>
            </w:r>
          </w:p>
        </w:tc>
        <w:tc>
          <w:tcPr>
            <w:tcW w:w="1829" w:type="dxa"/>
            <w:gridSpan w:val="2"/>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项目名称</w:t>
            </w:r>
          </w:p>
        </w:tc>
        <w:tc>
          <w:tcPr>
            <w:tcW w:w="959"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部门（单位）名称</w:t>
            </w:r>
          </w:p>
        </w:tc>
        <w:tc>
          <w:tcPr>
            <w:tcW w:w="81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2620"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本年预算</w:t>
            </w:r>
          </w:p>
        </w:tc>
        <w:tc>
          <w:tcPr>
            <w:tcW w:w="2756"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上年结转结余</w:t>
            </w:r>
          </w:p>
        </w:tc>
      </w:tr>
      <w:tr>
        <w:trPr>
          <w:trHeight w:val="836"/>
        </w:trPr>
        <w:tc>
          <w:tcPr>
            <w:tcW w:w="472" w:type="dxa"/>
            <w:vMerge/>
            <w:tcBorders>
              <w:top w:val="single" w:sz="4" w:space="0" w:color="auto"/>
              <w:left w:val="single" w:sz="4" w:space="0" w:color="auto"/>
              <w:bottom w:val="single" w:sz="4" w:space="0" w:color="auto"/>
              <w:right w:val="single" w:sz="4" w:space="0" w:color="auto"/>
            </w:tcBorders>
            <w:noWrap/>
            <w:vAlign w:val="center"/>
          </w:tcPr>
          <w:p/>
        </w:tc>
        <w:tc>
          <w:tcPr>
            <w:tcW w:w="93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二级  项目</w:t>
            </w:r>
          </w:p>
        </w:tc>
        <w:tc>
          <w:tcPr>
            <w:tcW w:w="865" w:type="dxa"/>
            <w:gridSpan w:val="2"/>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40" w:type="dxa"/>
            <w:vMerge/>
            <w:tcBorders>
              <w:top w:val="single" w:sz="4" w:space="0" w:color="auto"/>
              <w:left w:val="single" w:sz="4" w:space="0" w:color="auto"/>
              <w:bottom w:val="single" w:sz="4" w:space="0" w:color="auto"/>
              <w:right w:val="single" w:sz="4" w:space="0" w:color="auto"/>
            </w:tcBorders>
            <w:noWrap/>
            <w:vAlign w:val="center"/>
          </w:tcPr>
          <w:p/>
        </w:tc>
        <w:tc>
          <w:tcPr>
            <w:tcW w:w="184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420"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财政专户管理资金</w:t>
            </w:r>
          </w:p>
        </w:tc>
        <w:tc>
          <w:tcPr>
            <w:tcW w:w="356"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c>
          <w:tcPr>
            <w:tcW w:w="1640"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财政拨款结转</w:t>
            </w:r>
          </w:p>
        </w:tc>
        <w:tc>
          <w:tcPr>
            <w:tcW w:w="1116"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非财政拨款结转结余</w:t>
            </w:r>
          </w:p>
        </w:tc>
      </w:tr>
      <w:tr>
        <w:trPr>
          <w:trHeight w:val="2876"/>
        </w:trPr>
        <w:tc>
          <w:tcPr>
            <w:tcW w:w="472" w:type="dxa"/>
            <w:vMerge/>
            <w:tcBorders>
              <w:top w:val="single" w:sz="4" w:space="0" w:color="auto"/>
              <w:left w:val="single" w:sz="4" w:space="0" w:color="auto"/>
              <w:bottom w:val="single" w:sz="4" w:space="0" w:color="auto"/>
              <w:right w:val="single" w:sz="4" w:space="0" w:color="auto"/>
            </w:tcBorders>
            <w:noWrap/>
            <w:vAlign w:val="center"/>
          </w:tcPr>
          <w:p/>
        </w:tc>
        <w:tc>
          <w:tcPr>
            <w:tcW w:w="780" w:type="dxa"/>
            <w:vMerge/>
            <w:tcBorders>
              <w:top w:val="single" w:sz="4" w:space="0" w:color="auto"/>
              <w:left w:val="single" w:sz="4" w:space="0" w:color="auto"/>
              <w:bottom w:val="single" w:sz="4" w:space="0" w:color="auto"/>
              <w:right w:val="single" w:sz="4" w:space="0" w:color="auto"/>
            </w:tcBorders>
            <w:noWrap/>
            <w:vAlign w:val="center"/>
          </w:tcPr>
          <w:p/>
        </w:tc>
        <w:tc>
          <w:tcPr>
            <w:tcW w:w="827" w:type="dxa"/>
            <w:vMerge/>
            <w:tcBorders>
              <w:top w:val="single" w:sz="4" w:space="0" w:color="auto"/>
              <w:left w:val="single" w:sz="4" w:space="0" w:color="auto"/>
              <w:bottom w:val="single" w:sz="4" w:space="0" w:color="auto"/>
              <w:right w:val="single" w:sz="4" w:space="0" w:color="auto"/>
            </w:tcBorders>
            <w:noWrap/>
            <w:vAlign w:val="center"/>
          </w:tcPr>
          <w:p/>
        </w:tc>
        <w:tc>
          <w:tcPr>
            <w:tcW w:w="959" w:type="dxa"/>
            <w:gridSpan w:val="2"/>
            <w:vMerge/>
            <w:tcBorders>
              <w:top w:val="single" w:sz="4" w:space="0" w:color="auto"/>
              <w:left w:val="single" w:sz="4" w:space="0" w:color="auto"/>
              <w:bottom w:val="single" w:sz="4" w:space="0" w:color="auto"/>
              <w:right w:val="single" w:sz="4" w:space="0" w:color="auto"/>
            </w:tcBorders>
            <w:noWrap/>
            <w:vAlign w:val="center"/>
          </w:tcPr>
          <w:p/>
        </w:tc>
        <w:tc>
          <w:tcPr>
            <w:tcW w:w="540" w:type="dxa"/>
            <w:vMerge/>
            <w:tcBorders>
              <w:top w:val="single" w:sz="4" w:space="0" w:color="auto"/>
              <w:left w:val="single" w:sz="4" w:space="0" w:color="auto"/>
              <w:bottom w:val="single" w:sz="4" w:space="0" w:color="auto"/>
              <w:right w:val="single" w:sz="4" w:space="0" w:color="auto"/>
            </w:tcBorders>
            <w:noWrap/>
            <w:vAlign w:val="center"/>
          </w:tcPr>
          <w:p/>
        </w:tc>
        <w:tc>
          <w:tcPr>
            <w:tcW w:w="99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40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p>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基金</w:t>
            </w:r>
          </w:p>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预算</w:t>
            </w:r>
          </w:p>
        </w:tc>
        <w:tc>
          <w:tcPr>
            <w:tcW w:w="45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国有资本经营预算</w:t>
            </w:r>
          </w:p>
        </w:tc>
        <w:tc>
          <w:tcPr>
            <w:tcW w:w="552"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4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71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br/>
              <w:t>公共</w:t>
              <w:br/>
              <w:t>预算</w:t>
            </w:r>
          </w:p>
        </w:tc>
        <w:tc>
          <w:tcPr>
            <w:tcW w:w="42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br/>
              <w:t>基金</w:t>
              <w:br/>
              <w:t>预算</w:t>
            </w:r>
          </w:p>
        </w:tc>
        <w:tc>
          <w:tcPr>
            <w:tcW w:w="51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br/>
              <w:t>预算</w:t>
            </w:r>
          </w:p>
        </w:tc>
        <w:tc>
          <w:tcPr>
            <w:tcW w:w="562"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财政专户管理资金</w:t>
            </w:r>
          </w:p>
        </w:tc>
        <w:tc>
          <w:tcPr>
            <w:tcW w:w="554"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trPr>
          <w:trHeight w:val="700"/>
        </w:trPr>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ascii="宋体" w:eastAsia="宋体" w:cs="宋体" w:hint="eastAsia"/>
                <w:color w:val="000000"/>
                <w:kern w:val="0"/>
                <w:sz w:val="20"/>
              </w:rPr>
              <w:t>专项业务支出</w:t>
            </w:r>
          </w:p>
        </w:tc>
        <w:tc>
          <w:tcPr>
            <w:tcW w:w="93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90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8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115.03</w:t>
            </w:r>
          </w:p>
        </w:tc>
        <w:tc>
          <w:tcPr>
            <w:tcW w:w="9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102.25</w:t>
            </w:r>
          </w:p>
        </w:tc>
        <w:tc>
          <w:tcPr>
            <w:tcW w:w="40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35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12.78</w:t>
            </w: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6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r>
      <w:tr>
        <w:trPr>
          <w:trHeight w:val="700"/>
        </w:trPr>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93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r>
              <w:rPr>
                <w:rFonts w:ascii="宋体" w:eastAsia="宋体" w:cs="宋体" w:hint="eastAsia"/>
                <w:color w:val="000000"/>
                <w:kern w:val="0"/>
                <w:sz w:val="20"/>
              </w:rPr>
              <w:t>专项普查活动</w:t>
            </w:r>
          </w:p>
        </w:tc>
        <w:tc>
          <w:tcPr>
            <w:tcW w:w="90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p>
        </w:tc>
        <w:tc>
          <w:tcPr>
            <w:tcW w:w="8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84.82</w:t>
            </w:r>
          </w:p>
        </w:tc>
        <w:tc>
          <w:tcPr>
            <w:tcW w:w="9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84.82</w:t>
            </w:r>
          </w:p>
        </w:tc>
        <w:tc>
          <w:tcPr>
            <w:tcW w:w="40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35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6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r>
      <w:tr>
        <w:trPr>
          <w:trHeight w:val="700"/>
        </w:trPr>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93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p>
        </w:tc>
        <w:tc>
          <w:tcPr>
            <w:tcW w:w="90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r>
              <w:rPr>
                <w:rFonts w:ascii="宋体" w:eastAsia="宋体" w:cs="宋体" w:hint="eastAsia"/>
                <w:color w:val="000000"/>
                <w:kern w:val="0"/>
                <w:sz w:val="20"/>
              </w:rPr>
              <w:t>第五次全国经济普查经费</w:t>
            </w: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r>
              <w:rPr>
                <w:rFonts w:ascii="宋体" w:eastAsia="宋体" w:cs="宋体" w:hint="eastAsia"/>
                <w:color w:val="000000"/>
                <w:kern w:val="0"/>
                <w:sz w:val="20"/>
              </w:rPr>
              <w:t>长春市统计局南关区分局</w:t>
            </w:r>
          </w:p>
        </w:tc>
        <w:tc>
          <w:tcPr>
            <w:tcW w:w="8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84.82</w:t>
            </w:r>
          </w:p>
        </w:tc>
        <w:tc>
          <w:tcPr>
            <w:tcW w:w="9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84.82</w:t>
            </w:r>
          </w:p>
        </w:tc>
        <w:tc>
          <w:tcPr>
            <w:tcW w:w="40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35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6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r>
      <w:tr>
        <w:trPr>
          <w:trHeight w:val="700"/>
        </w:trPr>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93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r>
              <w:rPr>
                <w:rFonts w:ascii="宋体" w:eastAsia="宋体" w:cs="宋体" w:hint="eastAsia"/>
                <w:color w:val="000000"/>
                <w:kern w:val="0"/>
                <w:sz w:val="20"/>
              </w:rPr>
              <w:t>专项统计业务</w:t>
            </w:r>
          </w:p>
        </w:tc>
        <w:tc>
          <w:tcPr>
            <w:tcW w:w="90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p>
        </w:tc>
        <w:tc>
          <w:tcPr>
            <w:tcW w:w="8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30.21</w:t>
            </w:r>
          </w:p>
        </w:tc>
        <w:tc>
          <w:tcPr>
            <w:tcW w:w="9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17.43</w:t>
            </w:r>
          </w:p>
        </w:tc>
        <w:tc>
          <w:tcPr>
            <w:tcW w:w="40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35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6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r>
      <w:tr>
        <w:trPr>
          <w:trHeight w:val="700"/>
        </w:trPr>
        <w:tc>
          <w:tcPr>
            <w:tcW w:w="818"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93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p>
        </w:tc>
        <w:tc>
          <w:tcPr>
            <w:tcW w:w="90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r>
              <w:rPr>
                <w:rFonts w:ascii="宋体" w:eastAsia="宋体" w:cs="宋体" w:hint="eastAsia"/>
                <w:color w:val="000000"/>
                <w:kern w:val="0"/>
                <w:sz w:val="20"/>
              </w:rPr>
              <w:t>统计调查经费</w:t>
            </w: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color w:val="000000"/>
                <w:kern w:val="0"/>
                <w:sz w:val="20"/>
              </w:rPr>
            </w:pPr>
            <w:r>
              <w:rPr>
                <w:rFonts w:ascii="宋体" w:eastAsia="宋体" w:cs="宋体" w:hint="eastAsia"/>
                <w:color w:val="000000"/>
                <w:kern w:val="0"/>
                <w:sz w:val="20"/>
              </w:rPr>
              <w:t>长春市统计局南关区分局</w:t>
            </w:r>
          </w:p>
        </w:tc>
        <w:tc>
          <w:tcPr>
            <w:tcW w:w="8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30.21</w:t>
            </w:r>
          </w:p>
        </w:tc>
        <w:tc>
          <w:tcPr>
            <w:tcW w:w="9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17.43</w:t>
            </w:r>
          </w:p>
        </w:tc>
        <w:tc>
          <w:tcPr>
            <w:tcW w:w="40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35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12.78</w:t>
            </w: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6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r>
      <w:tr>
        <w:trPr>
          <w:trHeight w:val="700"/>
        </w:trPr>
        <w:tc>
          <w:tcPr>
            <w:tcW w:w="818"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930"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90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959"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8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115.03</w:t>
            </w:r>
          </w:p>
        </w:tc>
        <w:tc>
          <w:tcPr>
            <w:tcW w:w="9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102.25</w:t>
            </w:r>
          </w:p>
        </w:tc>
        <w:tc>
          <w:tcPr>
            <w:tcW w:w="40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35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12.78</w:t>
            </w:r>
          </w:p>
        </w:tc>
        <w:tc>
          <w:tcPr>
            <w:tcW w:w="4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6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5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r>
    </w:tbl>
    <w:p>
      <w:pPr>
        <w:ind w:firstLineChars="200" w:firstLine="640"/>
        <w:rPr>
          <w:rFonts w:eastAsia="楷体"/>
        </w:rPr>
      </w:pPr>
    </w:p>
    <w:p>
      <w:pPr>
        <w:ind w:firstLineChars="200" w:firstLine="640"/>
        <w:rPr>
          <w:rFonts w:eastAsia="楷体"/>
        </w:rPr>
        <w:sectPr>
          <w:pgSz w:w="11907" w:h="16840"/>
          <w:pgMar w:top="2041" w:right="1588" w:bottom="2041" w:left="1588" w:header="851" w:footer="1588" w:gutter="0"/>
          <w:pgNumType w:fmt="numberInDash"/>
          <w:titlePg/>
          <w:docGrid w:type="lines" w:linePitch="574" w:charSpace="-1675"/>
        </w:sectPr>
      </w:pPr>
    </w:p>
    <w:tbl>
      <w:tblPr>
        <w:tblpPr w:leftFromText="180" w:rightFromText="180" w:vertAnchor="text" w:horzAnchor="margin" w:tblpXSpec="left" w:tblpY="-5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jc w:val="center"/>
              <w:rPr>
                <w:rFonts w:ascii="华文细黑" w:eastAsia="华文细黑" w:cs="华文细黑"/>
                <w:kern w:val="0"/>
                <w:sz w:val="20"/>
                <w:szCs w:val="20"/>
              </w:rPr>
            </w:pPr>
            <w:r>
              <w:rPr>
                <w:rFonts w:ascii="Calibri" w:eastAsia="方正小标宋简体" w:hAnsi="Calibri" w:hint="eastAsia"/>
                <w:kern w:val="0"/>
                <w:sz w:val="44"/>
                <w:szCs w:val="44"/>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jc w:val="right"/>
              <w:rPr>
                <w:rFonts w:ascii="华文细黑" w:eastAsia="华文细黑" w:cs="华文细黑"/>
                <w:kern w:val="0"/>
                <w:sz w:val="20"/>
                <w:szCs w:val="20"/>
              </w:rPr>
            </w:pPr>
            <w:r>
              <w:rPr>
                <w:rFonts w:ascii="Calibri" w:eastAsia="华文细黑" w:hAnsi="Calibri"/>
                <w:color w:val="000000"/>
                <w:kern w:val="0"/>
                <w:sz w:val="20"/>
                <w:szCs w:val="22"/>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color w:val="000000"/>
                <w:sz w:val="20"/>
                <w:szCs w:val="20"/>
              </w:rPr>
            </w:pPr>
            <w:r>
              <w:rPr>
                <w:rFonts w:ascii="华文细黑" w:eastAsia="华文细黑" w:cs="华文细黑" w:hint="eastAsia"/>
                <w:color w:val="000000"/>
                <w:sz w:val="20"/>
                <w:szCs w:val="20"/>
              </w:rPr>
              <w:t>部门/单位/</w:t>
            </w:r>
          </w:p>
          <w:p>
            <w:pPr>
              <w:jc w:val="center"/>
              <w:rPr>
                <w:rFonts w:ascii="华文细黑" w:eastAsia="华文细黑" w:cs="华文细黑"/>
                <w:kern w:val="0"/>
                <w:sz w:val="20"/>
                <w:szCs w:val="20"/>
              </w:rPr>
            </w:pPr>
            <w:r>
              <w:rPr>
                <w:rFonts w:ascii="华文细黑" w:eastAsia="华文细黑" w:cs="华文细黑" w:hint="eastAsia"/>
                <w:color w:val="000000"/>
                <w:sz w:val="20"/>
                <w:szCs w:val="20"/>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color w:val="000000"/>
                <w:sz w:val="20"/>
                <w:szCs w:val="20"/>
              </w:rPr>
              <w:t>委托事    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是否政府购买服务  （是/否）</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是否政  府采购  （是/否）</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Calibri" w:eastAsia="华文细黑" w:hAnsi="Calibri" w:hint="eastAsia"/>
                <w:color w:val="000000"/>
                <w:sz w:val="20"/>
                <w:szCs w:val="22"/>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szCs w:val="20"/>
              </w:rPr>
            </w:pPr>
            <w:r>
              <w:rPr>
                <w:rFonts w:ascii="华文细黑" w:eastAsia="华文细黑" w:cs="华文细黑" w:hint="eastAsia"/>
                <w:kern w:val="0"/>
                <w:sz w:val="20"/>
                <w:szCs w:val="20"/>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r>
              <w:rPr>
                <w:rFonts w:ascii="华文细黑" w:eastAsia="华文细黑" w:cs="华文细黑" w:hint="eastAsia"/>
                <w:kern w:val="0"/>
                <w:sz w:val="20"/>
                <w:szCs w:val="20"/>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华文细黑" w:eastAsia="华文细黑" w:cs="华文细黑"/>
                <w:kern w:val="0"/>
                <w:sz w:val="20"/>
                <w:szCs w:val="20"/>
              </w:rPr>
            </w:pPr>
            <w:r>
              <w:rPr>
                <w:rFonts w:ascii="华文细黑" w:eastAsia="华文细黑" w:cs="华文细黑" w:hint="eastAsia"/>
                <w:kern w:val="0"/>
                <w:sz w:val="20"/>
                <w:szCs w:val="20"/>
              </w:rPr>
              <w:t>单位名称1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szCs w:val="20"/>
              </w:rPr>
            </w:pPr>
            <w:r>
              <w:rPr>
                <w:rFonts w:ascii="华文细黑" w:eastAsia="华文细黑" w:cs="华文细黑" w:hint="eastAsia"/>
                <w:kern w:val="0"/>
                <w:sz w:val="20"/>
                <w:szCs w:val="20"/>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szCs w:val="20"/>
              </w:rPr>
            </w:pPr>
            <w:r>
              <w:rPr>
                <w:rFonts w:ascii="华文细黑" w:eastAsia="华文细黑" w:cs="华文细黑" w:hint="eastAsia"/>
                <w:kern w:val="0"/>
                <w:sz w:val="20"/>
                <w:szCs w:val="20"/>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华文细黑" w:eastAsia="华文细黑" w:cs="华文细黑"/>
                <w:kern w:val="0"/>
                <w:sz w:val="20"/>
                <w:szCs w:val="20"/>
              </w:rPr>
            </w:pPr>
            <w:r>
              <w:rPr>
                <w:rFonts w:ascii="华文细黑" w:eastAsia="华文细黑" w:cs="华文细黑" w:hint="eastAsia"/>
                <w:kern w:val="0"/>
                <w:sz w:val="20"/>
                <w:szCs w:val="20"/>
              </w:rPr>
              <w:t>单位名称2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szCs w:val="20"/>
              </w:rPr>
            </w:pPr>
            <w:r>
              <w:rPr>
                <w:rFonts w:ascii="华文细黑" w:eastAsia="华文细黑" w:cs="华文细黑" w:hint="eastAsia"/>
                <w:kern w:val="0"/>
                <w:sz w:val="20"/>
                <w:szCs w:val="20"/>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szCs w:val="20"/>
              </w:rPr>
            </w:pPr>
            <w:r>
              <w:rPr>
                <w:rFonts w:ascii="华文细黑" w:eastAsia="华文细黑" w:cs="华文细黑" w:hint="eastAsia"/>
                <w:kern w:val="0"/>
                <w:sz w:val="20"/>
                <w:szCs w:val="20"/>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r>
              <w:rPr>
                <w:rFonts w:ascii="华文细黑" w:eastAsia="华文细黑" w:cs="华文细黑" w:hint="eastAsia"/>
                <w:kern w:val="0"/>
                <w:sz w:val="20"/>
                <w:szCs w:val="20"/>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szCs w:val="20"/>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pPr>
    </w:p>
    <w:p>
      <w:pPr>
        <w:ind w:firstLineChars="200" w:firstLine="640"/>
        <w:rPr>
          <w:rFonts w:eastAsia="楷体"/>
        </w:rPr>
      </w:pPr>
    </w:p>
    <w:p>
      <w:pPr>
        <w:ind w:firstLineChars="200" w:firstLine="640"/>
        <w:rPr>
          <w:rFonts w:eastAsia="楷体"/>
        </w:rPr>
      </w:pPr>
    </w:p>
    <w:tbl>
      <w:tblPr>
        <w:jc w:val="left"/>
        <w:tblInd w:w="-420" w:type="dxa"/>
        <w:tblW w:w="985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38"/>
        <w:gridCol w:w="750"/>
        <w:gridCol w:w="850"/>
        <w:gridCol w:w="1950"/>
        <w:gridCol w:w="612"/>
        <w:gridCol w:w="625"/>
        <w:gridCol w:w="1550"/>
        <w:gridCol w:w="1304"/>
        <w:gridCol w:w="1021"/>
        <w:gridCol w:w="750"/>
      </w:tblGrid>
      <w:tr>
        <w:trPr>
          <w:trHeight w:val="1613"/>
        </w:trPr>
        <w:tc>
          <w:tcPr>
            <w:tcW w:w="9850" w:type="dxa"/>
            <w:gridSpan w:val="10"/>
            <w:tcBorders>
              <w:top w:val="nil"/>
              <w:left w:val="nil"/>
              <w:bottom w:val="single" w:sz="4" w:space="0" w:color="000000"/>
              <w:right w:val="nil"/>
            </w:tcBorders>
            <w:noWrap/>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项目支出绩效目标</w:t>
            </w:r>
            <w:r>
              <w:rPr>
                <w:rFonts w:ascii="Calibri" w:eastAsia="方正小标宋简体" w:hAnsi="Calibri"/>
                <w:kern w:val="0"/>
                <w:sz w:val="44"/>
                <w:szCs w:val="44"/>
              </w:rPr>
              <w:t>表</w:t>
            </w:r>
          </w:p>
          <w:p>
            <w:pPr>
              <w:spacing w:line="700" w:lineRule="exact"/>
              <w:jc w:val="right"/>
              <w:rPr>
                <w:rFonts w:ascii="Calibri" w:eastAsia="楷体" w:hAnsi="Calibri"/>
                <w:kern w:val="0"/>
                <w:szCs w:val="32"/>
              </w:rPr>
            </w:pPr>
            <w:r>
              <w:rPr>
                <w:rFonts w:ascii="Calibri" w:eastAsia="华文细黑" w:hAnsi="Calibri" w:hint="eastAsia"/>
                <w:color w:val="000000"/>
                <w:sz w:val="20"/>
                <w:szCs w:val="22"/>
              </w:rPr>
              <w:t>单位：万元</w:t>
            </w:r>
          </w:p>
        </w:tc>
      </w:tr>
      <w:tr>
        <w:trPr>
          <w:trHeight w:val="906"/>
        </w:trPr>
        <w:tc>
          <w:tcPr>
            <w:tcW w:w="438" w:type="dxa"/>
            <w:tcBorders>
              <w:top w:val="single" w:sz="4" w:space="0" w:color="000000"/>
              <w:left w:val="single" w:sz="4" w:space="0" w:color="000000"/>
              <w:bottom w:val="single" w:sz="4" w:space="0" w:color="000000"/>
              <w:right w:val="single" w:sz="4" w:space="0" w:color="000000"/>
            </w:tcBorders>
            <w:noWrap/>
            <w:vAlign w:val="center"/>
          </w:tcPr>
          <w:p>
            <w:pPr>
              <w:ind w:left="360" w:hangingChars="200" w:hanging="360"/>
              <w:rPr>
                <w:rFonts w:ascii="华文细黑" w:eastAsia="华文细黑" w:cs="华文细黑"/>
                <w:kern w:val="0"/>
                <w:sz w:val="18"/>
                <w:szCs w:val="18"/>
              </w:rPr>
            </w:pPr>
            <w:r>
              <w:rPr>
                <w:rFonts w:ascii="华文细黑" w:eastAsia="华文细黑" w:cs="华文细黑" w:hint="eastAsia"/>
                <w:kern w:val="0"/>
                <w:sz w:val="18"/>
                <w:szCs w:val="18"/>
              </w:rPr>
              <w:t>单</w:t>
            </w:r>
          </w:p>
          <w:p>
            <w:pPr>
              <w:ind w:left="360" w:hangingChars="200" w:hanging="360"/>
              <w:rPr>
                <w:rFonts w:ascii="华文细黑" w:eastAsia="华文细黑" w:cs="华文细黑"/>
                <w:kern w:val="0"/>
                <w:sz w:val="18"/>
                <w:szCs w:val="18"/>
              </w:rPr>
            </w:pPr>
            <w:r>
              <w:rPr>
                <w:rFonts w:ascii="华文细黑" w:eastAsia="华文细黑" w:cs="华文细黑" w:hint="eastAsia"/>
                <w:kern w:val="0"/>
                <w:sz w:val="18"/>
                <w:szCs w:val="18"/>
              </w:rPr>
              <w:t>位</w:t>
            </w:r>
          </w:p>
          <w:p>
            <w:pPr>
              <w:ind w:left="360" w:hangingChars="200" w:hanging="360"/>
              <w:rPr>
                <w:rFonts w:ascii="华文细黑" w:eastAsia="华文细黑" w:cs="华文细黑"/>
                <w:kern w:val="0"/>
                <w:sz w:val="18"/>
                <w:szCs w:val="18"/>
              </w:rPr>
            </w:pPr>
            <w:r>
              <w:rPr>
                <w:rFonts w:ascii="华文细黑" w:eastAsia="华文细黑" w:cs="华文细黑" w:hint="eastAsia"/>
                <w:kern w:val="0"/>
                <w:sz w:val="18"/>
                <w:szCs w:val="18"/>
              </w:rPr>
              <w:t>名</w:t>
            </w:r>
          </w:p>
          <w:p>
            <w:pPr>
              <w:ind w:left="360" w:hangingChars="200" w:hanging="360"/>
              <w:rPr>
                <w:rFonts w:ascii="华文细黑" w:eastAsia="华文细黑" w:cs="华文细黑"/>
                <w:kern w:val="0"/>
                <w:sz w:val="18"/>
                <w:szCs w:val="18"/>
              </w:rPr>
            </w:pPr>
            <w:r>
              <w:rPr>
                <w:rFonts w:ascii="华文细黑" w:eastAsia="华文细黑" w:cs="华文细黑" w:hint="eastAsia"/>
                <w:kern w:val="0"/>
                <w:sz w:val="18"/>
                <w:szCs w:val="18"/>
              </w:rPr>
              <w:t>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项目名称</w:t>
            </w:r>
          </w:p>
        </w:tc>
        <w:tc>
          <w:tcPr>
            <w:tcW w:w="85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年度资金总额（万元）</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年度绩效目标</w:t>
            </w:r>
          </w:p>
        </w:tc>
        <w:tc>
          <w:tcPr>
            <w:tcW w:w="612"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一级指标</w:t>
            </w:r>
          </w:p>
        </w:tc>
        <w:tc>
          <w:tcPr>
            <w:tcW w:w="62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二级指标</w:t>
            </w:r>
          </w:p>
        </w:tc>
        <w:tc>
          <w:tcPr>
            <w:tcW w:w="155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三级指标</w:t>
            </w:r>
          </w:p>
        </w:tc>
        <w:tc>
          <w:tcPr>
            <w:tcW w:w="130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指标解释</w:t>
            </w:r>
          </w:p>
        </w:tc>
        <w:tc>
          <w:tcPr>
            <w:tcW w:w="102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指标值</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权重</w:t>
            </w:r>
          </w:p>
        </w:tc>
      </w:tr>
      <w:tr>
        <w:trPr>
          <w:trHeight w:val="1009"/>
        </w:trPr>
        <w:tc>
          <w:tcPr>
            <w:tcW w:w="438" w:type="dxa"/>
            <w:vMerge w:val="restart"/>
            <w:tcBorders>
              <w:top w:val="single" w:sz="4" w:space="0" w:color="auto"/>
              <w:left w:val="single" w:sz="4" w:space="0" w:color="000000"/>
              <w:bottom w:val="single" w:sz="4" w:space="0" w:color="auto"/>
              <w:right w:val="single" w:sz="4" w:space="0" w:color="000000"/>
            </w:tcBorders>
            <w:noWrap/>
            <w:vAlign w:val="center"/>
          </w:tcPr>
          <w:p>
            <w:pPr>
              <w:rPr>
                <w:rFonts w:ascii="宋体" w:eastAsia="宋体" w:cs="宋体"/>
                <w:kern w:val="0"/>
                <w:sz w:val="18"/>
                <w:szCs w:val="18"/>
              </w:rPr>
            </w:pPr>
            <w:r>
              <w:rPr>
                <w:rFonts w:ascii="宋体" w:eastAsia="宋体" w:cs="宋体" w:hint="eastAsia"/>
                <w:kern w:val="0"/>
                <w:sz w:val="18"/>
                <w:szCs w:val="18"/>
              </w:rPr>
              <w:t>长春市统计局南关区分局</w:t>
            </w:r>
          </w:p>
        </w:tc>
        <w:tc>
          <w:tcPr>
            <w:tcW w:w="750" w:type="dxa"/>
            <w:vMerge w:val="restart"/>
            <w:tcBorders>
              <w:top w:val="single" w:sz="4" w:space="0" w:color="auto"/>
              <w:left w:val="single" w:sz="4" w:space="0" w:color="000000"/>
              <w:bottom w:val="single" w:sz="4" w:space="0" w:color="auto"/>
              <w:right w:val="single" w:sz="4" w:space="0" w:color="000000"/>
            </w:tcBorders>
            <w:noWrap/>
            <w:vAlign w:val="center"/>
          </w:tcPr>
          <w:p>
            <w:pPr>
              <w:jc w:val="center"/>
              <w:rPr>
                <w:rFonts w:ascii="宋体" w:eastAsia="宋体" w:cs="宋体"/>
                <w:kern w:val="0"/>
                <w:sz w:val="18"/>
                <w:szCs w:val="18"/>
              </w:rPr>
            </w:pPr>
            <w:r>
              <w:rPr>
                <w:rFonts w:ascii="宋体" w:eastAsia="宋体" w:cs="宋体" w:hint="eastAsia"/>
                <w:kern w:val="0"/>
                <w:sz w:val="18"/>
                <w:szCs w:val="18"/>
              </w:rPr>
              <w:t>第五次全国经济普查经费</w:t>
            </w:r>
          </w:p>
        </w:tc>
        <w:tc>
          <w:tcPr>
            <w:tcW w:w="850" w:type="dxa"/>
            <w:vMerge w:val="restart"/>
            <w:tcBorders>
              <w:top w:val="single" w:sz="4" w:space="0" w:color="auto"/>
              <w:left w:val="single" w:sz="4" w:space="0" w:color="000000"/>
              <w:bottom w:val="single" w:sz="4" w:space="0" w:color="auto"/>
              <w:right w:val="single" w:sz="4" w:space="0" w:color="000000"/>
            </w:tcBorders>
            <w:noWrap/>
            <w:vAlign w:val="center"/>
          </w:tcPr>
          <w:p>
            <w:pPr>
              <w:jc w:val="center"/>
              <w:rPr>
                <w:rFonts w:ascii="宋体" w:eastAsia="宋体" w:cs="宋体"/>
                <w:kern w:val="0"/>
                <w:sz w:val="18"/>
                <w:szCs w:val="18"/>
              </w:rPr>
            </w:pPr>
            <w:r>
              <w:rPr>
                <w:rFonts w:ascii="宋体" w:eastAsia="宋体" w:cs="宋体" w:hint="eastAsia"/>
                <w:kern w:val="0"/>
                <w:sz w:val="18"/>
                <w:szCs w:val="18"/>
              </w:rPr>
              <w:t>84.82</w:t>
            </w:r>
          </w:p>
        </w:tc>
        <w:tc>
          <w:tcPr>
            <w:tcW w:w="1950" w:type="dxa"/>
            <w:vMerge w:val="restart"/>
            <w:tcBorders>
              <w:top w:val="single" w:sz="4" w:space="0" w:color="auto"/>
              <w:left w:val="single" w:sz="4" w:space="0" w:color="000000"/>
              <w:bottom w:val="single" w:sz="4" w:space="0" w:color="auto"/>
              <w:right w:val="single" w:sz="4" w:space="0" w:color="000000"/>
            </w:tcBorders>
            <w:noWrap/>
            <w:vAlign w:val="center"/>
          </w:tcPr>
          <w:p>
            <w:pPr>
              <w:jc w:val="center"/>
              <w:rPr>
                <w:rFonts w:ascii="宋体" w:eastAsia="宋体" w:cs="宋体"/>
                <w:kern w:val="0"/>
                <w:sz w:val="18"/>
                <w:szCs w:val="18"/>
              </w:rPr>
            </w:pPr>
            <w:r>
              <w:rPr>
                <w:rFonts w:ascii="宋体" w:eastAsia="宋体" w:cs="宋体" w:hint="eastAsia"/>
                <w:kern w:val="0"/>
                <w:sz w:val="18"/>
                <w:szCs w:val="18"/>
              </w:rPr>
              <w:t>2024年通过经济普查摸清全区家底，普查正式登记阶段做到不丢数，确保五经普数据填报质量，通过经济普查数据深挖增长潜力。全面调查我区第二产业和第三产业的发展规模、布局和效益，了解产业组织、产业结构、产业技术、产业形态的现状以及各生产要素的构成，摸清全部法人单位资产负债状况和新兴产业发展情况。</w:t>
            </w:r>
          </w:p>
        </w:tc>
        <w:tc>
          <w:tcPr>
            <w:tcW w:w="612"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产出指标</w:t>
            </w:r>
          </w:p>
        </w:tc>
        <w:tc>
          <w:tcPr>
            <w:tcW w:w="625"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数量指标</w:t>
            </w:r>
          </w:p>
        </w:tc>
        <w:tc>
          <w:tcPr>
            <w:tcW w:w="155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统计分析报告篇数</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反应统计分析报告篇数情况</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&gt;=2篇</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30</w:t>
            </w:r>
          </w:p>
        </w:tc>
      </w:tr>
      <w:tr>
        <w:trPr>
          <w:trHeight w:val="1165"/>
        </w:trPr>
        <w:tc>
          <w:tcPr>
            <w:tcW w:w="438" w:type="dxa"/>
            <w:vMerge/>
            <w:tcBorders>
              <w:top w:val="single" w:sz="4" w:space="0" w:color="auto"/>
              <w:left w:val="single" w:sz="4" w:space="0" w:color="000000"/>
              <w:bottom w:val="single" w:sz="4" w:space="0" w:color="auto"/>
              <w:right w:val="single" w:sz="4" w:space="0" w:color="000000"/>
            </w:tcBorders>
            <w:noWrap/>
            <w:vAlign w:val="center"/>
          </w:tcPr>
          <w:p/>
        </w:tc>
        <w:tc>
          <w:tcPr>
            <w:tcW w:w="750" w:type="dxa"/>
            <w:vMerge/>
            <w:tcBorders>
              <w:top w:val="single" w:sz="4" w:space="0" w:color="auto"/>
              <w:left w:val="single" w:sz="4" w:space="0" w:color="000000"/>
              <w:bottom w:val="single" w:sz="4" w:space="0" w:color="auto"/>
              <w:right w:val="single" w:sz="4" w:space="0" w:color="000000"/>
            </w:tcBorders>
            <w:noWrap/>
            <w:vAlign w:val="center"/>
          </w:tcPr>
          <w:p/>
        </w:tc>
        <w:tc>
          <w:tcPr>
            <w:tcW w:w="850" w:type="dxa"/>
            <w:vMerge/>
            <w:tcBorders>
              <w:top w:val="single" w:sz="4" w:space="0" w:color="auto"/>
              <w:left w:val="single" w:sz="4" w:space="0" w:color="000000"/>
              <w:bottom w:val="single" w:sz="4" w:space="0" w:color="auto"/>
              <w:right w:val="single" w:sz="4" w:space="0" w:color="000000"/>
            </w:tcBorders>
            <w:noWrap/>
            <w:vAlign w:val="center"/>
          </w:tcPr>
          <w:p/>
        </w:tc>
        <w:tc>
          <w:tcPr>
            <w:tcW w:w="1950" w:type="dxa"/>
            <w:vMerge/>
            <w:tcBorders>
              <w:top w:val="single" w:sz="4" w:space="0" w:color="auto"/>
              <w:left w:val="single" w:sz="4" w:space="0" w:color="000000"/>
              <w:bottom w:val="single" w:sz="4" w:space="0" w:color="auto"/>
              <w:right w:val="single" w:sz="4" w:space="0" w:color="000000"/>
            </w:tcBorders>
            <w:noWrap/>
            <w:vAlign w:val="center"/>
          </w:tcPr>
          <w:p/>
        </w:tc>
        <w:tc>
          <w:tcPr>
            <w:tcW w:w="612" w:type="dxa"/>
            <w:vMerge/>
            <w:tcBorders>
              <w:top w:val="single" w:sz="4" w:space="0" w:color="auto"/>
              <w:left w:val="single" w:sz="4" w:space="0" w:color="auto"/>
              <w:bottom w:val="single" w:sz="4" w:space="0" w:color="auto"/>
              <w:right w:val="single" w:sz="4" w:space="0" w:color="auto"/>
            </w:tcBorders>
            <w:noWrap/>
            <w:vAlign w:val="center"/>
          </w:tcPr>
          <w:p/>
        </w:tc>
        <w:tc>
          <w:tcPr>
            <w:tcW w:w="625" w:type="dxa"/>
            <w:vMerge/>
            <w:tcBorders>
              <w:top w:val="single" w:sz="4" w:space="0" w:color="auto"/>
              <w:left w:val="single" w:sz="4" w:space="0" w:color="auto"/>
              <w:bottom w:val="single" w:sz="4" w:space="0" w:color="auto"/>
              <w:right w:val="single" w:sz="4" w:space="0" w:color="auto"/>
            </w:tcBorders>
            <w:noWrap/>
            <w:vAlign w:val="center"/>
          </w:tcPr>
          <w:p/>
        </w:tc>
        <w:tc>
          <w:tcPr>
            <w:tcW w:w="155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kern w:val="0"/>
                <w:sz w:val="18"/>
                <w:szCs w:val="18"/>
              </w:rPr>
            </w:pPr>
            <w:r>
              <w:rPr>
                <w:rFonts w:ascii="宋体" w:eastAsia="宋体" w:cs="宋体" w:hint="eastAsia"/>
                <w:kern w:val="0"/>
                <w:sz w:val="18"/>
                <w:szCs w:val="18"/>
              </w:rPr>
              <w:t>普查员、普查指导员补贴发放人数</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反映普查员、普查指导员补贴发放人数</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&gt;=100人</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20</w:t>
            </w:r>
          </w:p>
        </w:tc>
      </w:tr>
      <w:tr>
        <w:trPr>
          <w:trHeight w:val="1570"/>
        </w:trPr>
        <w:tc>
          <w:tcPr>
            <w:tcW w:w="438" w:type="dxa"/>
            <w:vMerge/>
            <w:tcBorders>
              <w:top w:val="single" w:sz="4" w:space="0" w:color="auto"/>
              <w:left w:val="single" w:sz="4" w:space="0" w:color="000000"/>
              <w:bottom w:val="single" w:sz="4" w:space="0" w:color="auto"/>
              <w:right w:val="single" w:sz="4" w:space="0" w:color="000000"/>
            </w:tcBorders>
            <w:noWrap/>
            <w:vAlign w:val="center"/>
          </w:tcPr>
          <w:p/>
        </w:tc>
        <w:tc>
          <w:tcPr>
            <w:tcW w:w="750" w:type="dxa"/>
            <w:vMerge/>
            <w:tcBorders>
              <w:top w:val="single" w:sz="4" w:space="0" w:color="auto"/>
              <w:left w:val="single" w:sz="4" w:space="0" w:color="000000"/>
              <w:bottom w:val="single" w:sz="4" w:space="0" w:color="auto"/>
              <w:right w:val="single" w:sz="4" w:space="0" w:color="000000"/>
            </w:tcBorders>
            <w:noWrap/>
            <w:vAlign w:val="center"/>
          </w:tcPr>
          <w:p/>
        </w:tc>
        <w:tc>
          <w:tcPr>
            <w:tcW w:w="850" w:type="dxa"/>
            <w:vMerge/>
            <w:tcBorders>
              <w:top w:val="single" w:sz="4" w:space="0" w:color="auto"/>
              <w:left w:val="single" w:sz="4" w:space="0" w:color="000000"/>
              <w:bottom w:val="single" w:sz="4" w:space="0" w:color="auto"/>
              <w:right w:val="single" w:sz="4" w:space="0" w:color="000000"/>
            </w:tcBorders>
            <w:noWrap/>
            <w:vAlign w:val="center"/>
          </w:tcPr>
          <w:p/>
        </w:tc>
        <w:tc>
          <w:tcPr>
            <w:tcW w:w="1950" w:type="dxa"/>
            <w:vMerge/>
            <w:tcBorders>
              <w:top w:val="single" w:sz="4" w:space="0" w:color="auto"/>
              <w:left w:val="single" w:sz="4" w:space="0" w:color="000000"/>
              <w:bottom w:val="single" w:sz="4" w:space="0" w:color="auto"/>
              <w:right w:val="single" w:sz="4" w:space="0" w:color="000000"/>
            </w:tcBorders>
            <w:noWrap/>
            <w:vAlign w:val="center"/>
          </w:tcPr>
          <w:p/>
        </w:tc>
        <w:tc>
          <w:tcPr>
            <w:tcW w:w="612"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效益指标</w:t>
            </w:r>
          </w:p>
        </w:tc>
        <w:tc>
          <w:tcPr>
            <w:tcW w:w="625"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社会效益指标</w:t>
            </w:r>
          </w:p>
        </w:tc>
        <w:tc>
          <w:tcPr>
            <w:tcW w:w="155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提供反映本区经普发展成果，为经济发展提供数据支撑</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省、市、区采纳文章的篇数情况或提供社会公报情况</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&gt;=1篇</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40</w:t>
            </w:r>
          </w:p>
        </w:tc>
      </w:tr>
      <w:tr>
        <w:trPr>
          <w:trHeight w:val="651"/>
        </w:trPr>
        <w:tc>
          <w:tcPr>
            <w:tcW w:w="438" w:type="dxa"/>
            <w:vMerge/>
            <w:tcBorders>
              <w:top w:val="single" w:sz="4" w:space="0" w:color="auto"/>
              <w:left w:val="single" w:sz="4" w:space="0" w:color="000000"/>
              <w:bottom w:val="single" w:sz="4" w:space="0" w:color="auto"/>
              <w:right w:val="single" w:sz="4" w:space="0" w:color="000000"/>
            </w:tcBorders>
            <w:noWrap/>
            <w:vAlign w:val="center"/>
          </w:tcPr>
          <w:p/>
        </w:tc>
        <w:tc>
          <w:tcPr>
            <w:tcW w:w="750" w:type="dxa"/>
            <w:vMerge w:val="restart"/>
            <w:tcBorders>
              <w:top w:val="single" w:sz="4" w:space="0" w:color="auto"/>
              <w:left w:val="single" w:sz="4" w:space="0" w:color="000000"/>
              <w:bottom w:val="single" w:sz="4" w:space="0" w:color="auto"/>
              <w:right w:val="single" w:sz="4" w:space="0" w:color="000000"/>
            </w:tcBorders>
            <w:noWrap/>
            <w:vAlign w:val="center"/>
          </w:tcPr>
          <w:p>
            <w:pPr>
              <w:jc w:val="center"/>
              <w:rPr>
                <w:rFonts w:ascii="宋体" w:eastAsia="宋体" w:cs="宋体"/>
                <w:kern w:val="0"/>
                <w:sz w:val="18"/>
                <w:szCs w:val="18"/>
              </w:rPr>
            </w:pPr>
            <w:r>
              <w:rPr>
                <w:rFonts w:ascii="宋体" w:eastAsia="宋体" w:cs="宋体" w:hint="eastAsia"/>
                <w:kern w:val="0"/>
                <w:sz w:val="18"/>
                <w:szCs w:val="18"/>
              </w:rPr>
              <w:t>统计调查经费</w:t>
            </w:r>
          </w:p>
        </w:tc>
        <w:tc>
          <w:tcPr>
            <w:tcW w:w="850" w:type="dxa"/>
            <w:vMerge w:val="restart"/>
            <w:tcBorders>
              <w:top w:val="single" w:sz="4" w:space="0" w:color="auto"/>
              <w:left w:val="single" w:sz="4" w:space="0" w:color="000000"/>
              <w:bottom w:val="single" w:sz="4" w:space="0" w:color="auto"/>
              <w:right w:val="single" w:sz="4" w:space="0" w:color="000000"/>
            </w:tcBorders>
            <w:noWrap/>
            <w:vAlign w:val="center"/>
          </w:tcPr>
          <w:p>
            <w:pPr>
              <w:jc w:val="center"/>
              <w:rPr>
                <w:rFonts w:ascii="宋体" w:eastAsia="宋体" w:cs="宋体"/>
                <w:kern w:val="0"/>
                <w:sz w:val="18"/>
                <w:szCs w:val="18"/>
              </w:rPr>
            </w:pPr>
            <w:r>
              <w:rPr>
                <w:rFonts w:ascii="宋体" w:eastAsia="宋体" w:cs="宋体" w:hint="eastAsia"/>
                <w:kern w:val="0"/>
                <w:sz w:val="18"/>
                <w:szCs w:val="18"/>
              </w:rPr>
              <w:t>17.43</w:t>
            </w:r>
          </w:p>
        </w:tc>
        <w:tc>
          <w:tcPr>
            <w:tcW w:w="1950" w:type="dxa"/>
            <w:vMerge w:val="restart"/>
            <w:tcBorders>
              <w:top w:val="single" w:sz="4" w:space="0" w:color="auto"/>
              <w:left w:val="single" w:sz="4" w:space="0" w:color="000000"/>
              <w:bottom w:val="single" w:sz="4" w:space="0" w:color="auto"/>
              <w:right w:val="single" w:sz="4" w:space="0" w:color="000000"/>
            </w:tcBorders>
            <w:noWrap/>
            <w:vAlign w:val="center"/>
          </w:tcPr>
          <w:p>
            <w:pPr>
              <w:jc w:val="center"/>
              <w:rPr>
                <w:rFonts w:ascii="宋体" w:eastAsia="宋体" w:cs="宋体"/>
                <w:kern w:val="0"/>
                <w:sz w:val="18"/>
                <w:szCs w:val="18"/>
              </w:rPr>
            </w:pPr>
            <w:r>
              <w:rPr>
                <w:rFonts w:ascii="宋体" w:eastAsia="宋体" w:cs="宋体" w:hint="eastAsia"/>
                <w:kern w:val="0"/>
                <w:sz w:val="18"/>
                <w:szCs w:val="18"/>
              </w:rPr>
              <w:t>2024年组织实施本市统计工作规划、调查计划及其调查方案。负责全市统计报表和统计资料管理工作。根据国家统计法律、规章，组织和指导全市统计法规的宣传普及工作。1、印刷报表及年鉴 2、组织统计人员业务培训 3、根据市政府的政策、精神调整或者增加相应项目。通过以上项目活动健全统计机制，培养统计人才，夯实业务水平。</w:t>
            </w:r>
          </w:p>
        </w:tc>
        <w:tc>
          <w:tcPr>
            <w:tcW w:w="612"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产出指标</w:t>
            </w:r>
          </w:p>
        </w:tc>
        <w:tc>
          <w:tcPr>
            <w:tcW w:w="625"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数量指标</w:t>
            </w:r>
          </w:p>
        </w:tc>
        <w:tc>
          <w:tcPr>
            <w:tcW w:w="155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统计信息发布条数</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反映数据发布情况</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&gt;=3条</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20</w:t>
            </w:r>
          </w:p>
        </w:tc>
      </w:tr>
      <w:tr>
        <w:trPr>
          <w:trHeight w:val="561"/>
        </w:trPr>
        <w:tc>
          <w:tcPr>
            <w:tcW w:w="438" w:type="dxa"/>
            <w:vMerge/>
            <w:tcBorders>
              <w:top w:val="single" w:sz="4" w:space="0" w:color="auto"/>
              <w:left w:val="single" w:sz="4" w:space="0" w:color="000000"/>
              <w:bottom w:val="single" w:sz="4" w:space="0" w:color="auto"/>
              <w:right w:val="single" w:sz="4" w:space="0" w:color="000000"/>
            </w:tcBorders>
            <w:noWrap/>
            <w:vAlign w:val="center"/>
          </w:tcPr>
          <w:p/>
        </w:tc>
        <w:tc>
          <w:tcPr>
            <w:tcW w:w="750" w:type="dxa"/>
            <w:vMerge/>
            <w:tcBorders>
              <w:top w:val="single" w:sz="4" w:space="0" w:color="auto"/>
              <w:left w:val="single" w:sz="4" w:space="0" w:color="000000"/>
              <w:bottom w:val="single" w:sz="4" w:space="0" w:color="auto"/>
              <w:right w:val="single" w:sz="4" w:space="0" w:color="000000"/>
            </w:tcBorders>
            <w:noWrap/>
            <w:vAlign w:val="center"/>
          </w:tcPr>
          <w:p/>
        </w:tc>
        <w:tc>
          <w:tcPr>
            <w:tcW w:w="850" w:type="dxa"/>
            <w:vMerge/>
            <w:tcBorders>
              <w:top w:val="single" w:sz="4" w:space="0" w:color="auto"/>
              <w:left w:val="single" w:sz="4" w:space="0" w:color="000000"/>
              <w:bottom w:val="single" w:sz="4" w:space="0" w:color="auto"/>
              <w:right w:val="single" w:sz="4" w:space="0" w:color="000000"/>
            </w:tcBorders>
            <w:noWrap/>
            <w:vAlign w:val="center"/>
          </w:tcPr>
          <w:p/>
        </w:tc>
        <w:tc>
          <w:tcPr>
            <w:tcW w:w="1950" w:type="dxa"/>
            <w:vMerge/>
            <w:tcBorders>
              <w:top w:val="single" w:sz="4" w:space="0" w:color="auto"/>
              <w:left w:val="single" w:sz="4" w:space="0" w:color="000000"/>
              <w:bottom w:val="single" w:sz="4" w:space="0" w:color="auto"/>
              <w:right w:val="single" w:sz="4" w:space="0" w:color="000000"/>
            </w:tcBorders>
            <w:noWrap/>
            <w:vAlign w:val="center"/>
          </w:tcPr>
          <w:p/>
        </w:tc>
        <w:tc>
          <w:tcPr>
            <w:tcW w:w="612" w:type="dxa"/>
            <w:vMerge/>
            <w:tcBorders>
              <w:top w:val="single" w:sz="4" w:space="0" w:color="auto"/>
              <w:left w:val="single" w:sz="4" w:space="0" w:color="auto"/>
              <w:bottom w:val="single" w:sz="4" w:space="0" w:color="auto"/>
              <w:right w:val="single" w:sz="4" w:space="0" w:color="auto"/>
            </w:tcBorders>
            <w:noWrap/>
            <w:vAlign w:val="center"/>
          </w:tcPr>
          <w:p/>
        </w:tc>
        <w:tc>
          <w:tcPr>
            <w:tcW w:w="625" w:type="dxa"/>
            <w:vMerge/>
            <w:tcBorders>
              <w:top w:val="single" w:sz="4" w:space="0" w:color="auto"/>
              <w:left w:val="single" w:sz="4" w:space="0" w:color="auto"/>
              <w:bottom w:val="single" w:sz="4" w:space="0" w:color="auto"/>
              <w:right w:val="single" w:sz="4" w:space="0" w:color="auto"/>
            </w:tcBorders>
            <w:noWrap/>
            <w:vAlign w:val="center"/>
          </w:tcPr>
          <w:p/>
        </w:tc>
        <w:tc>
          <w:tcPr>
            <w:tcW w:w="155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培训人次</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反映参加培训人员的数量情况</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&gt;=200人</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20</w:t>
            </w:r>
          </w:p>
        </w:tc>
      </w:tr>
      <w:tr>
        <w:trPr>
          <w:trHeight w:val="561"/>
        </w:trPr>
        <w:tc>
          <w:tcPr>
            <w:tcW w:w="438" w:type="dxa"/>
            <w:vMerge/>
            <w:tcBorders>
              <w:top w:val="single" w:sz="4" w:space="0" w:color="auto"/>
              <w:left w:val="single" w:sz="4" w:space="0" w:color="000000"/>
              <w:bottom w:val="single" w:sz="4" w:space="0" w:color="auto"/>
              <w:right w:val="single" w:sz="4" w:space="0" w:color="000000"/>
            </w:tcBorders>
            <w:noWrap/>
            <w:vAlign w:val="center"/>
          </w:tcPr>
          <w:p/>
        </w:tc>
        <w:tc>
          <w:tcPr>
            <w:tcW w:w="750" w:type="dxa"/>
            <w:vMerge/>
            <w:tcBorders>
              <w:top w:val="single" w:sz="4" w:space="0" w:color="auto"/>
              <w:left w:val="single" w:sz="4" w:space="0" w:color="000000"/>
              <w:bottom w:val="single" w:sz="4" w:space="0" w:color="auto"/>
              <w:right w:val="single" w:sz="4" w:space="0" w:color="000000"/>
            </w:tcBorders>
            <w:noWrap/>
            <w:vAlign w:val="center"/>
          </w:tcPr>
          <w:p/>
        </w:tc>
        <w:tc>
          <w:tcPr>
            <w:tcW w:w="850" w:type="dxa"/>
            <w:vMerge/>
            <w:tcBorders>
              <w:top w:val="single" w:sz="4" w:space="0" w:color="auto"/>
              <w:left w:val="single" w:sz="4" w:space="0" w:color="000000"/>
              <w:bottom w:val="single" w:sz="4" w:space="0" w:color="auto"/>
              <w:right w:val="single" w:sz="4" w:space="0" w:color="000000"/>
            </w:tcBorders>
            <w:noWrap/>
            <w:vAlign w:val="center"/>
          </w:tcPr>
          <w:p/>
        </w:tc>
        <w:tc>
          <w:tcPr>
            <w:tcW w:w="1950" w:type="dxa"/>
            <w:vMerge/>
            <w:tcBorders>
              <w:top w:val="single" w:sz="4" w:space="0" w:color="auto"/>
              <w:left w:val="single" w:sz="4" w:space="0" w:color="000000"/>
              <w:bottom w:val="single" w:sz="4" w:space="0" w:color="auto"/>
              <w:right w:val="single" w:sz="4" w:space="0" w:color="000000"/>
            </w:tcBorders>
            <w:noWrap/>
            <w:vAlign w:val="center"/>
          </w:tcPr>
          <w:p/>
        </w:tc>
        <w:tc>
          <w:tcPr>
            <w:tcW w:w="612" w:type="dxa"/>
            <w:vMerge/>
            <w:tcBorders>
              <w:top w:val="single" w:sz="4" w:space="0" w:color="auto"/>
              <w:left w:val="single" w:sz="4" w:space="0" w:color="auto"/>
              <w:bottom w:val="single" w:sz="4" w:space="0" w:color="auto"/>
              <w:right w:val="single" w:sz="4" w:space="0" w:color="auto"/>
            </w:tcBorders>
            <w:noWrap/>
            <w:vAlign w:val="center"/>
          </w:tcPr>
          <w:p/>
        </w:tc>
        <w:tc>
          <w:tcPr>
            <w:tcW w:w="625" w:type="dxa"/>
            <w:vMerge/>
            <w:tcBorders>
              <w:top w:val="single" w:sz="4" w:space="0" w:color="auto"/>
              <w:left w:val="single" w:sz="4" w:space="0" w:color="auto"/>
              <w:bottom w:val="single" w:sz="4" w:space="0" w:color="auto"/>
              <w:right w:val="single" w:sz="4" w:space="0" w:color="auto"/>
            </w:tcBorders>
            <w:noWrap/>
            <w:vAlign w:val="center"/>
          </w:tcPr>
          <w:p/>
        </w:tc>
        <w:tc>
          <w:tcPr>
            <w:tcW w:w="155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普查宣传次数</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反映统计普法宣传情况</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&gt;=1次</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10</w:t>
            </w:r>
          </w:p>
        </w:tc>
      </w:tr>
      <w:tr>
        <w:trPr>
          <w:trHeight w:val="561"/>
        </w:trPr>
        <w:tc>
          <w:tcPr>
            <w:tcW w:w="438" w:type="dxa"/>
            <w:vMerge/>
            <w:tcBorders>
              <w:top w:val="single" w:sz="4" w:space="0" w:color="auto"/>
              <w:left w:val="single" w:sz="4" w:space="0" w:color="000000"/>
              <w:bottom w:val="single" w:sz="4" w:space="0" w:color="auto"/>
              <w:right w:val="single" w:sz="4" w:space="0" w:color="000000"/>
            </w:tcBorders>
            <w:noWrap/>
            <w:vAlign w:val="center"/>
          </w:tcPr>
          <w:p/>
        </w:tc>
        <w:tc>
          <w:tcPr>
            <w:tcW w:w="750" w:type="dxa"/>
            <w:vMerge/>
            <w:tcBorders>
              <w:top w:val="single" w:sz="4" w:space="0" w:color="auto"/>
              <w:left w:val="single" w:sz="4" w:space="0" w:color="000000"/>
              <w:bottom w:val="single" w:sz="4" w:space="0" w:color="auto"/>
              <w:right w:val="single" w:sz="4" w:space="0" w:color="000000"/>
            </w:tcBorders>
            <w:noWrap/>
            <w:vAlign w:val="center"/>
          </w:tcPr>
          <w:p/>
        </w:tc>
        <w:tc>
          <w:tcPr>
            <w:tcW w:w="850" w:type="dxa"/>
            <w:vMerge/>
            <w:tcBorders>
              <w:top w:val="single" w:sz="4" w:space="0" w:color="auto"/>
              <w:left w:val="single" w:sz="4" w:space="0" w:color="000000"/>
              <w:bottom w:val="single" w:sz="4" w:space="0" w:color="auto"/>
              <w:right w:val="single" w:sz="4" w:space="0" w:color="000000"/>
            </w:tcBorders>
            <w:noWrap/>
            <w:vAlign w:val="center"/>
          </w:tcPr>
          <w:p/>
        </w:tc>
        <w:tc>
          <w:tcPr>
            <w:tcW w:w="1950" w:type="dxa"/>
            <w:vMerge/>
            <w:tcBorders>
              <w:top w:val="single" w:sz="4" w:space="0" w:color="auto"/>
              <w:left w:val="single" w:sz="4" w:space="0" w:color="000000"/>
              <w:bottom w:val="single" w:sz="4" w:space="0" w:color="auto"/>
              <w:right w:val="single" w:sz="4" w:space="0" w:color="000000"/>
            </w:tcBorders>
            <w:noWrap/>
            <w:vAlign w:val="center"/>
          </w:tcPr>
          <w:p/>
        </w:tc>
        <w:tc>
          <w:tcPr>
            <w:tcW w:w="612"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效益指标</w:t>
            </w:r>
          </w:p>
        </w:tc>
        <w:tc>
          <w:tcPr>
            <w:tcW w:w="625"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社会效益指标</w:t>
            </w:r>
          </w:p>
        </w:tc>
        <w:tc>
          <w:tcPr>
            <w:tcW w:w="1550"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提供反映本区经济运行发展状况，为经济发展提供数据支撑</w:t>
            </w:r>
          </w:p>
        </w:tc>
        <w:tc>
          <w:tcPr>
            <w:tcW w:w="130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18"/>
                <w:szCs w:val="18"/>
              </w:rPr>
            </w:pPr>
            <w:r>
              <w:rPr>
                <w:rFonts w:ascii="宋体" w:eastAsia="宋体" w:cs="宋体" w:hint="eastAsia"/>
                <w:kern w:val="0"/>
                <w:sz w:val="18"/>
                <w:szCs w:val="18"/>
              </w:rPr>
              <w:t>向省、市、区提供分析报告篇数或向社会公共提供统计公报篇数</w:t>
            </w:r>
          </w:p>
        </w:tc>
        <w:tc>
          <w:tcPr>
            <w:tcW w:w="102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&gt;=1篇</w:t>
            </w:r>
          </w:p>
        </w:tc>
        <w:tc>
          <w:tcPr>
            <w:tcW w:w="75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8"/>
                <w:szCs w:val="18"/>
              </w:rPr>
            </w:pPr>
            <w:r>
              <w:rPr>
                <w:rFonts w:ascii="华文细黑" w:eastAsia="华文细黑" w:cs="华文细黑" w:hint="eastAsia"/>
                <w:kern w:val="0"/>
                <w:sz w:val="18"/>
                <w:szCs w:val="18"/>
              </w:rPr>
              <w:t>40</w:t>
            </w:r>
          </w:p>
        </w:tc>
      </w:tr>
    </w:tbl>
    <w:p>
      <w:pPr>
        <w:spacing w:line="700" w:lineRule="exact"/>
        <w:rPr>
          <w:rFonts w:eastAsia="黑体"/>
        </w:rPr>
      </w:pPr>
      <w:r>
        <w:rPr>
          <w:rFonts w:eastAsia="楷体" w:hint="eastAsia"/>
          <w:kern w:val="0"/>
          <w:szCs w:val="32"/>
        </w:rPr>
        <w:br w:type="page"/>
      </w:r>
    </w:p>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ascii="黑体" w:eastAsia="黑体" w:cs="黑体" w:hint="eastAsia"/>
          <w:szCs w:val="32"/>
        </w:rPr>
        <w:t>一、2024年收支预算总体情况</w:t>
      </w:r>
    </w:p>
    <w:p>
      <w:pPr>
        <w:ind w:firstLineChars="200" w:firstLine="640"/>
        <w:rPr>
          <w:rFonts w:ascii="仿宋_GB2312" w:cs="仿宋_GB2312"/>
          <w:szCs w:val="32"/>
        </w:rPr>
      </w:pPr>
      <w:r>
        <w:rPr>
          <w:rFonts w:ascii="仿宋_GB2312" w:cs="仿宋_GB2312" w:hint="eastAsia"/>
          <w:szCs w:val="32"/>
        </w:rPr>
        <w:t>按照综合预算的原则，所有收入和支出全部纳入单位预算管理。收入包括：一般公共预算拨款收入、上年结转结余等；支出包括：一般公共服务支出、社会保障和就业支出、卫生健康支出、住房保障支出等。2024年收支总预算311.96万元，其中：本年预算251.33万元；上年结转60.63万元。2024年本年预算比2023年当年预算增加84.19万元，主要原因是</w:t>
        <w:softHyphen/>
        <w:softHyphen/>
        <w:softHyphen/>
        <w:t>本年度为大型普查年，新增第五次全国经济普查经费。</w:t>
      </w:r>
    </w:p>
    <w:p>
      <w:pPr>
        <w:ind w:firstLineChars="200" w:firstLine="640"/>
        <w:rPr>
          <w:rFonts w:ascii="黑体" w:eastAsia="黑体" w:cs="黑体"/>
          <w:szCs w:val="32"/>
        </w:rPr>
      </w:pPr>
      <w:r>
        <w:rPr>
          <w:rFonts w:ascii="黑体" w:eastAsia="黑体" w:cs="黑体" w:hint="eastAsia"/>
          <w:szCs w:val="32"/>
        </w:rPr>
        <w:t>二、2024年收入预算情况</w:t>
      </w:r>
    </w:p>
    <w:p>
      <w:pPr>
        <w:ind w:firstLineChars="200" w:firstLine="640"/>
        <w:rPr>
          <w:rFonts w:ascii="仿宋_GB2312" w:cs="仿宋_GB2312"/>
          <w:szCs w:val="32"/>
        </w:rPr>
      </w:pPr>
      <w:r>
        <w:rPr>
          <w:rFonts w:ascii="仿宋_GB2312" w:cs="仿宋_GB2312" w:hint="eastAsia"/>
          <w:szCs w:val="32"/>
        </w:rPr>
        <w:t>2024年收入预算311.96万元，其中：本年收入251.33万元，占80.56%；上年结转结余60.63万元，占19.44%。本年收入中，一般公共预算拨款收入251.33万元，占100%。上年结转中，一般公共预算拨款结转60.63万元，占100%。</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rPr>
        <w:t>4</w:t>
      </w:r>
      <w:r>
        <w:rPr>
          <w:rFonts w:eastAsia="黑体"/>
          <w:szCs w:val="32"/>
        </w:rPr>
        <w:t>年支出预算情况</w:t>
      </w:r>
    </w:p>
    <w:p>
      <w:pPr>
        <w:ind w:firstLineChars="200" w:firstLine="640"/>
        <w:rPr>
          <w:rFonts w:ascii="仿宋_GB2312" w:cs="仿宋_GB2312"/>
          <w:szCs w:val="32"/>
        </w:rPr>
      </w:pPr>
      <w:r>
        <w:rPr>
          <w:rFonts w:ascii="仿宋_GB2312" w:cs="仿宋_GB2312" w:hint="eastAsia"/>
          <w:szCs w:val="32"/>
        </w:rPr>
        <w:t>2024年支出预算311.96万元，其中：基本支出196.94万元，占63.13%；项目支出115.02万元，占36.87%。</w:t>
      </w:r>
    </w:p>
    <w:p>
      <w:pPr>
        <w:ind w:firstLineChars="200" w:firstLine="640"/>
        <w:rPr>
          <w:rFonts w:eastAsia="黑体"/>
          <w:szCs w:val="32"/>
        </w:rPr>
      </w:pPr>
      <w:r>
        <w:rPr>
          <w:rFonts w:eastAsia="黑体"/>
          <w:szCs w:val="32"/>
        </w:rPr>
        <w:t>四、20</w:t>
      </w:r>
      <w:r>
        <w:rPr>
          <w:rFonts w:eastAsia="黑体" w:hint="eastAsia"/>
          <w:szCs w:val="32"/>
        </w:rPr>
        <w:t>2</w:t>
      </w:r>
      <w:r>
        <w:rPr>
          <w:rFonts w:hint="eastAsia"/>
          <w:szCs w:val="32"/>
        </w:rPr>
        <w:t>4</w:t>
      </w:r>
      <w:r>
        <w:rPr>
          <w:rFonts w:eastAsia="黑体"/>
          <w:szCs w:val="32"/>
        </w:rPr>
        <w:t>年财政拨款收支预算情况</w:t>
      </w:r>
    </w:p>
    <w:p>
      <w:pPr>
        <w:ind w:firstLine="600"/>
        <w:rPr>
          <w:szCs w:val="32"/>
        </w:rPr>
      </w:pPr>
      <w:r>
        <w:rPr>
          <w:szCs w:val="32"/>
        </w:rPr>
        <w:t>2</w:t>
      </w:r>
      <w:r>
        <w:rPr>
          <w:rFonts w:ascii="仿宋_GB2312" w:cs="仿宋_GB2312" w:hint="eastAsia"/>
          <w:szCs w:val="32"/>
        </w:rPr>
        <w:t>024年财政拨款收支总预算311.96万元，其中：本年预算251.33万元，上年结转60.63万元。支出包括：一般公共服务支出253.21万元，社会保障和就业支出37.60万元，卫生健康支出10.84万元，住房保障支出10.31万元。</w:t>
      </w:r>
    </w:p>
    <w:p>
      <w:pPr>
        <w:ind w:firstLine="600"/>
        <w:rPr>
          <w:rFonts w:eastAsia="黑体"/>
          <w:szCs w:val="30"/>
        </w:rPr>
      </w:pPr>
      <w:r>
        <w:rPr>
          <w:rFonts w:eastAsia="黑体"/>
          <w:szCs w:val="30"/>
        </w:rPr>
        <w:t>五、20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支出</w:t>
      </w:r>
      <w:r>
        <w:rPr>
          <w:rFonts w:eastAsia="黑体"/>
          <w:szCs w:val="30"/>
        </w:rPr>
        <w:t>情况</w:t>
      </w:r>
    </w:p>
    <w:p>
      <w:pPr>
        <w:ind w:firstLine="600"/>
        <w:rPr>
          <w:rFonts w:ascii="仿宋_GB2312" w:cs="仿宋_GB2312"/>
          <w:szCs w:val="32"/>
        </w:rPr>
      </w:pPr>
      <w:r>
        <w:rPr>
          <w:rFonts w:ascii="仿宋_GB2312" w:cs="仿宋_GB2312" w:hint="eastAsia"/>
          <w:szCs w:val="32"/>
        </w:rPr>
        <w:t>2024年一般公共预算拨款311.96万元，其中：基本支出196.94万元，占63.13%；项目支出115.02万元，占36.87%。基本支出中，人员经费168.10万元，占85.36%；公用经费28.84万元，占14.64%。</w:t>
      </w:r>
    </w:p>
    <w:p>
      <w:pPr>
        <w:ind w:firstLine="600"/>
        <w:rPr>
          <w:rFonts w:ascii="仿宋_GB2312" w:cs="仿宋_GB2312"/>
          <w:szCs w:val="32"/>
        </w:rPr>
      </w:pPr>
      <w:r>
        <w:rPr>
          <w:rFonts w:ascii="仿宋_GB2312" w:cs="仿宋_GB2312" w:hint="eastAsia"/>
          <w:szCs w:val="32"/>
        </w:rPr>
        <w:t>一般公共服务（类）支出253.21万元，占81.17%，主要用于保障职工工资，维持机关正常运转以及完成年度统计工作。</w:t>
      </w:r>
    </w:p>
    <w:p>
      <w:pPr>
        <w:ind w:firstLine="600"/>
        <w:rPr>
          <w:rFonts w:ascii="仿宋_GB2312" w:cs="仿宋_GB2312"/>
          <w:szCs w:val="32"/>
        </w:rPr>
      </w:pPr>
      <w:r>
        <w:rPr>
          <w:rFonts w:ascii="仿宋_GB2312" w:cs="仿宋_GB2312" w:hint="eastAsia"/>
          <w:szCs w:val="32"/>
        </w:rPr>
        <w:t>社会保障和就业（类）支出37.60万元，占12.05%，主要用于保障行政事业单位退休职工工资、退休职工采暖补贴以及缴纳在职职工养老保险。</w:t>
      </w:r>
    </w:p>
    <w:p>
      <w:pPr>
        <w:ind w:firstLine="600"/>
        <w:rPr>
          <w:rFonts w:ascii="仿宋_GB2312" w:cs="仿宋_GB2312"/>
          <w:szCs w:val="32"/>
        </w:rPr>
      </w:pPr>
      <w:r>
        <w:rPr>
          <w:rFonts w:ascii="仿宋_GB2312" w:cs="仿宋_GB2312" w:hint="eastAsia"/>
          <w:szCs w:val="32"/>
        </w:rPr>
        <w:t>卫生健康（类）支出10.84万元，占3.48%，主要用于缴纳职工医疗保险。</w:t>
      </w:r>
    </w:p>
    <w:p>
      <w:pPr>
        <w:ind w:firstLine="600"/>
        <w:rPr>
          <w:szCs w:val="32"/>
        </w:rPr>
      </w:pPr>
      <w:r>
        <w:rPr>
          <w:rFonts w:ascii="仿宋_GB2312" w:cs="仿宋_GB2312" w:hint="eastAsia"/>
          <w:szCs w:val="32"/>
        </w:rPr>
        <w:t>住房保障（类）支出10.31万元，占3.30%，主要用于缴纳职工住房公积金</w:t>
      </w:r>
      <w:r>
        <w:rPr>
          <w:szCs w:val="32"/>
        </w:rPr>
        <w:t>。</w:t>
      </w:r>
    </w:p>
    <w:p>
      <w:pPr>
        <w:spacing w:line="520" w:lineRule="exact"/>
        <w:ind w:firstLineChars="200" w:firstLine="640"/>
        <w:rPr>
          <w:rFonts w:eastAsia="黑体"/>
          <w:szCs w:val="32"/>
        </w:rPr>
      </w:pPr>
      <w:r>
        <w:rPr>
          <w:rFonts w:eastAsia="黑体"/>
          <w:szCs w:val="32"/>
        </w:rPr>
        <w:t>六、20</w:t>
      </w:r>
      <w:r>
        <w:rPr>
          <w:rFonts w:eastAsia="黑体" w:hint="eastAsia"/>
          <w:szCs w:val="32"/>
        </w:rPr>
        <w:t>2</w:t>
      </w:r>
      <w:r>
        <w:rPr>
          <w:rFonts w:hint="eastAsia"/>
          <w:szCs w:val="32"/>
        </w:rPr>
        <w:t>4</w:t>
      </w:r>
      <w:r>
        <w:rPr>
          <w:rFonts w:eastAsia="黑体"/>
          <w:szCs w:val="32"/>
        </w:rPr>
        <w:t>年一般公共预算基本支出情况</w:t>
      </w:r>
    </w:p>
    <w:p>
      <w:pPr>
        <w:ind w:firstLine="600"/>
        <w:rPr>
          <w:rFonts w:ascii="仿宋_GB2312" w:cs="仿宋_GB2312"/>
          <w:szCs w:val="32"/>
        </w:rPr>
      </w:pPr>
      <w:r>
        <w:rPr>
          <w:rFonts w:ascii="仿宋_GB2312" w:cs="仿宋_GB2312" w:hint="eastAsia"/>
          <w:szCs w:val="32"/>
        </w:rPr>
        <w:t>2024年一般公共预算基本支出196.95万元，其中：</w:t>
      </w:r>
    </w:p>
    <w:p>
      <w:pPr>
        <w:ind w:firstLine="600"/>
        <w:rPr>
          <w:rFonts w:ascii="仿宋_GB2312" w:cs="仿宋_GB2312"/>
          <w:szCs w:val="32"/>
        </w:rPr>
      </w:pPr>
      <w:r>
        <w:rPr>
          <w:rFonts w:ascii="仿宋_GB2312" w:cs="仿宋_GB2312" w:hint="eastAsia"/>
          <w:szCs w:val="32"/>
        </w:rPr>
        <w:t>人员经费168.11万元，主要包括：基本工资、津贴补贴、奖金、机关事业单位基本养老保险缴费、职工基本医疗保险缴费、公务员医疗补助缴费、其他社会保障缴费、住房公积金、医疗费、其他工资福利支出、退休费、其他对个人和家庭的补助。</w:t>
      </w:r>
    </w:p>
    <w:p>
      <w:pPr>
        <w:ind w:firstLine="600"/>
        <w:rPr>
          <w:kern w:val="0"/>
          <w:szCs w:val="32"/>
        </w:rPr>
      </w:pPr>
      <w:r>
        <w:rPr>
          <w:rFonts w:ascii="仿宋_GB2312" w:cs="仿宋_GB2312" w:hint="eastAsia"/>
          <w:szCs w:val="32"/>
        </w:rPr>
        <w:t>公用经费28.84万元，主要包括：办公费、印刷费、邮电费、差旅费、培训费、工会经费、福利费、其他交通费用、其他商品和服务支出、办公设备购置。</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szCs w:val="32"/>
        </w:rPr>
      </w:pPr>
      <w:r>
        <w:rPr>
          <w:rFonts w:ascii="仿宋_GB2312" w:cs="仿宋_GB2312" w:hint="eastAsia"/>
          <w:szCs w:val="32"/>
        </w:rPr>
        <w:t xml:space="preserve">本单位无一般公共预算拨款。 </w:t>
      </w:r>
    </w:p>
    <w:p>
      <w:pPr>
        <w:ind w:firstLineChars="200" w:firstLine="640"/>
        <w:rPr>
          <w:rFonts w:eastAsia="黑体"/>
          <w:szCs w:val="32"/>
        </w:rPr>
      </w:pPr>
      <w:r>
        <w:rPr>
          <w:rFonts w:eastAsia="黑体"/>
          <w:szCs w:val="32"/>
        </w:rPr>
        <w:t>八、20</w:t>
      </w:r>
      <w:r>
        <w:rPr>
          <w:rFonts w:eastAsia="黑体" w:hint="eastAsia"/>
          <w:szCs w:val="32"/>
        </w:rPr>
        <w:t>24</w:t>
      </w:r>
      <w:r>
        <w:rPr>
          <w:rFonts w:eastAsia="黑体"/>
          <w:szCs w:val="32"/>
        </w:rPr>
        <w:t>年政府性基金预算支出情况</w:t>
      </w:r>
    </w:p>
    <w:p>
      <w:pPr>
        <w:ind w:firstLineChars="200" w:firstLine="640"/>
        <w:rPr>
          <w:kern w:val="0"/>
          <w:szCs w:val="32"/>
        </w:rPr>
      </w:pPr>
      <w:r>
        <w:rPr>
          <w:rFonts w:ascii="仿宋_GB2312" w:cs="仿宋_GB2312" w:hint="eastAsia"/>
          <w:szCs w:val="32"/>
        </w:rPr>
        <w:t>本单位无政府性基金预算拨款。</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24</w:t>
      </w:r>
      <w:r>
        <w:rPr>
          <w:rFonts w:eastAsia="黑体"/>
          <w:szCs w:val="32"/>
        </w:rPr>
        <w:t>年</w:t>
      </w:r>
      <w:r>
        <w:rPr>
          <w:rFonts w:eastAsia="黑体" w:hint="eastAsia"/>
          <w:szCs w:val="32"/>
        </w:rPr>
        <w:t>国有资本经营</w:t>
      </w:r>
      <w:r>
        <w:rPr>
          <w:rFonts w:eastAsia="黑体"/>
          <w:szCs w:val="32"/>
        </w:rPr>
        <w:t>预算支出情况</w:t>
      </w:r>
    </w:p>
    <w:p>
      <w:pPr>
        <w:ind w:firstLineChars="200" w:firstLine="640"/>
        <w:rPr>
          <w:rFonts w:ascii="仿宋_GB2312" w:cs="仿宋_GB2312"/>
          <w:szCs w:val="32"/>
        </w:rPr>
      </w:pPr>
      <w:r>
        <w:rPr>
          <w:rFonts w:ascii="仿宋_GB2312" w:cs="仿宋_GB2312" w:hint="eastAsia"/>
          <w:szCs w:val="32"/>
        </w:rPr>
        <w:t>本单位无国有资本经营预算拨款。</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spacing w:line="540" w:lineRule="exact"/>
        <w:ind w:firstLineChars="200" w:firstLine="640"/>
        <w:rPr>
          <w:szCs w:val="32"/>
        </w:rPr>
      </w:pPr>
      <w:r>
        <w:rPr>
          <w:rFonts w:ascii="仿宋_GB2312" w:cs="仿宋_GB2312" w:hint="eastAsia"/>
          <w:szCs w:val="32"/>
        </w:rPr>
        <w:t>2024年本单位机关运行经费财政拨款预算25.34万元，比2023年预算减少5.26万元，下降17.19%，主要原因是本单位认真贯彻落实中央八项规定精神和省财政厅“过紧日子”有关要求，厉行节约，压减预算。</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ascii="仿宋_GB2312" w:cs="仿宋_GB2312" w:hint="eastAsia"/>
          <w:szCs w:val="32"/>
        </w:rPr>
        <w:t>本单位2024年无政府采购预算</w:t>
      </w:r>
      <w:r>
        <w:rPr>
          <w:rFonts w:hint="eastAsia"/>
          <w:szCs w:val="32"/>
        </w:rPr>
        <w:t>。</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rFonts w:ascii="仿宋_GB2312" w:cs="仿宋_GB2312"/>
          <w:szCs w:val="32"/>
        </w:rPr>
      </w:pPr>
      <w:r>
        <w:rPr>
          <w:rFonts w:ascii="仿宋_GB2312" w:cs="仿宋_GB2312" w:hint="eastAsia"/>
          <w:szCs w:val="32"/>
        </w:rPr>
        <w:t>本单位无国有资产占有使用情况。</w:t>
      </w:r>
    </w:p>
    <w:p>
      <w:pPr>
        <w:numPr>
          <w:ilvl w:val="0"/>
          <w:numId w:val="2"/>
        </w:numPr>
        <w:spacing w:line="540" w:lineRule="exact"/>
        <w:ind w:left="0" w:firstLineChars="200" w:firstLine="640"/>
        <w:rPr>
          <w:rFonts w:eastAsia="楷体"/>
          <w:szCs w:val="32"/>
        </w:rPr>
      </w:pPr>
      <w:r>
        <w:rPr>
          <w:rFonts w:eastAsia="楷体" w:hint="eastAsia"/>
          <w:szCs w:val="32"/>
        </w:rPr>
        <w:t>项目支出情况说明</w:t>
      </w:r>
    </w:p>
    <w:p>
      <w:pPr>
        <w:spacing w:line="540" w:lineRule="exact"/>
        <w:ind w:firstLineChars="200" w:firstLine="640"/>
        <w:rPr>
          <w:rFonts w:ascii="仿宋_GB2312" w:cs="仿宋_GB2312"/>
          <w:szCs w:val="32"/>
        </w:rPr>
      </w:pPr>
      <w:r>
        <w:rPr>
          <w:rFonts w:ascii="仿宋_GB2312" w:cs="仿宋_GB2312" w:hint="eastAsia"/>
          <w:szCs w:val="32"/>
        </w:rPr>
        <w:t>2024年单位项目支出115.02万元，其中：一级项目2个，二级项目2个；使用本年拨款102.25万元，财政拨款结转12.77万元。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szCs w:val="32"/>
        </w:rPr>
      </w:pPr>
      <w:r>
        <w:rPr>
          <w:rFonts w:ascii="仿宋_GB2312" w:cs="仿宋_GB2312" w:hint="eastAsia"/>
          <w:szCs w:val="32"/>
        </w:rPr>
        <w:t>按照全面实施预算绩效管理的要求，结合本单位职能和重点工作，2024年将2个项目支出的绩效目标和指标向社会公开，涉及金额102.25万元。</w:t>
      </w:r>
      <w:r>
        <w:rPr>
          <w:rFonts w:eastAsia="楷体"/>
          <w:szCs w:val="32"/>
        </w:rPr>
        <w:br w:type="page"/>
      </w: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指本单位所属下级单位（包含独立核算和非独立核算的，相关支出纳入和未纳入单位预算的下级单位）上缴给本单位的全部收入（包括下级事业单位上缴的事业收入、其他收入和下级企业单位上缴的利润等）。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rPr>
        <w:t>七</w:t>
      </w:r>
      <w:r>
        <w:rPr>
          <w:rFonts w:eastAsia="楷体"/>
          <w:szCs w:val="32"/>
        </w:rPr>
        <w:t>）“三公”经费：</w:t>
      </w:r>
      <w:r>
        <w:rPr>
          <w:szCs w:val="32"/>
        </w:rPr>
        <w:t>纳入财政预决算管理的“三公”经费，是指</w:t>
      </w:r>
      <w:r>
        <w:rPr>
          <w:rFonts w:hint="eastAsia"/>
          <w:szCs w:val="32"/>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szCs w:val="32"/>
        </w:rPr>
        <w:t>（</w:t>
      </w:r>
      <w:r>
        <w:rPr>
          <w:rFonts w:eastAsia="楷体" w:hint="eastAsia"/>
          <w:szCs w:val="32"/>
        </w:rPr>
        <w:t>十九</w:t>
      </w:r>
      <w:r>
        <w:rPr>
          <w:rFonts w:eastAsia="楷体"/>
          <w:szCs w:val="32"/>
        </w:rPr>
        <w:t>）</w:t>
      </w:r>
      <w:r>
        <w:rPr>
          <w:rFonts w:eastAsia="楷体" w:hint="eastAsia"/>
          <w:szCs w:val="32"/>
        </w:rPr>
        <w:t>项目支出绩效目标：</w:t>
      </w:r>
      <w:r>
        <w:rPr>
          <w:rFonts w:hint="eastAsia"/>
        </w:rPr>
        <w:t>项目支出绩效目标是指单位预算安排的项目支出在一定期限内预期达到的产出和效果。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华文细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2A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altName w:val="DejaVu Sans"/>
    <w:panose1 w:val="020B0604020202020204"/>
    <w:charset w:val="01"/>
    <w:family w:val="swiss"/>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5334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533400" cy="230251"/>
                      </a:xfrm>
                      <a:prstGeom prst="rect"/>
                      <a:noFill/>
                      <a:ln w="9525" cmpd="sng" cap="flat">
                        <a:noFill/>
                        <a:prstDash val="solid"/>
                        <a:miter/>
                      </a:ln>
                    </wps:spPr>
                    <wps:txbx id="2">
                      <w:txbxContent>
                        <w:p>
                          <w:pPr>
                            <w:snapToGrid w:val="0"/>
                            <w:rPr>
                              <w:rFonts w:ascii="宋体" w:eastAsia="宋体" w:cs="宋体"/>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- 1 -</w:t>
                          </w:r>
                          <w:r>
                            <w:rPr>
                              <w:rFonts w:ascii="宋体" w:eastAsia="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文本框 21 3" o:spid="_x0000_s3" filled="f" stroked="f" style="position:absolute;margin-left:0.0pt;margin-top:0.0pt;width:42.0pt;height:18.130003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- 1 -</w:t>
                    </w:r>
                    <w:r>
                      <w:rPr>
                        <w:rFonts w:ascii="宋体" w:eastAsia="宋体" w:cs="宋体" w:hint="eastAsia"/>
                        <w:sz w:val="28"/>
                        <w:szCs w:val="28"/>
                      </w:rPr>
                      <w:fldChar w:fldCharType="end"/>
                    </w:r>
                  </w:p>
                </w:txbxContent>
              </v:textbox>
            </v:shape>
          </w:pict>
        </mc:Fallback>
      </mc:AlternateContent>
    </w:r>
  </w:p>
  <w:p>
    <w:pPr>
      <w:pStyle w:val="19"/>
      <w:tabs>
        <w:tab w:val="clear" w:pos="4153"/>
        <w:tab w:val="clear" w:pos="8306"/>
        <w:tab w:val="left" w:pos="5124"/>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5">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type="#_x0000_t202" id="文本框 8 6" o:spid="_x0000_s6" filled="f" stroked="f" style="position:absolute;margin-left:0.0pt;margin-top:0.0pt;width:19.494003pt;height:10.359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DD74A25"/>
    <w:multiLevelType w:val="singleLevel"/>
    <w:tmpl w:val="0DD74A25"/>
    <w:lvl w:ilvl="0">
      <w:start w:val="1"/>
      <w:numFmt w:val="decimal"/>
      <w:lvlRestart w:val="0"/>
      <w:suff w:val="nothing"/>
      <w:lvlText w:val="%1、"/>
      <w:lvlJc w:val="left"/>
      <w:pPr>
        <w:ind w:left="0" w:hanging="0"/>
      </w:pPr>
    </w:lvl>
  </w:abstractNum>
  <w:abstractNum w:abstractNumId="1">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109"/>
  <w:drawingGridHorizontalSpacing w:val="156"/>
  <w:drawingGridVerticalSpacing w:val="287"/>
  <w:displayHorizontalDrawingGridEvery w:val="0"/>
  <w:displayVerticalDrawingGridEvery w:val="1"/>
  <w:noPunctuationKerning/>
  <w:characterSpacingControl w:val="compressPunctuation"/>
  <w:compat>
    <w:spaceForUL/>
    <w:balanceSingleByteDoubleByteWidth/>
    <w:doNotExpandShiftReturn/>
    <w:doNotUseIndentAsNumberingTabStop/>
    <w:compatSetting w:name="compatibilityMode" w:uri="http://schemas.microsoft.com/office/word" w:val="12"/>
  </w:compat>
  <w:docVars>
    <w:docVar w:name="commondata" w:val="eyJoZGlkIjoiZTk3MzBlYmFjM2VhMzkxOTc2ZWMyZTE1ZGVkNmFkYj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61"/>
    <w:rPr>
      <w:rFonts w:ascii="宋体" w:eastAsia="宋体" w:cs="宋体"/>
      <w:color w:val="000000"/>
      <w:sz w:val="24"/>
      <w:szCs w:val="24"/>
      <w:u w:val="none"/>
    </w:rPr>
  </w:style>
  <w:style w:type="character" w:customStyle="1" w:styleId="24">
    <w:name w:val="font41"/>
    <w:rPr>
      <w:rFonts w:ascii="华文细黑" w:eastAsia="华文细黑" w:cs="华文细黑"/>
      <w:color w:val="000000"/>
      <w:sz w:val="20"/>
      <w:szCs w:val="20"/>
      <w:u w:val="none"/>
    </w:rPr>
  </w:style>
  <w:style w:type="character" w:customStyle="1" w:styleId="25">
    <w:name w:val="font11"/>
    <w:rPr>
      <w:rFonts w:ascii="Arial" w:cs="Arial" w:hAnsi="Arial"/>
      <w:color w:val="000000"/>
      <w:sz w:val="24"/>
      <w:szCs w:val="24"/>
      <w:u w:val="none"/>
    </w:rPr>
  </w:style>
  <w:style w:type="character" w:customStyle="1" w:styleId="26">
    <w:name w:val="font21"/>
    <w:rPr>
      <w:rFonts w:ascii="Arial" w:cs="Arial" w:hAnsi="Arial"/>
      <w:color w:val="000000"/>
      <w:sz w:val="20"/>
      <w:szCs w:val="20"/>
      <w:u w:val="none"/>
    </w:rPr>
  </w:style>
  <w:style w:type="character" w:customStyle="1" w:styleId="27">
    <w:name w:val="font01"/>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pPr>
      <w:tabs>
        <w:tab w:val="center" w:pos="4153"/>
        <w:tab w:val="right" w:pos="8306"/>
      </w:tabs>
      <w:snapToGrid w:val="0"/>
      <w:jc w:val="left"/>
    </w:pPr>
    <w:rPr>
      <w:sz w:val="18"/>
    </w:rPr>
  </w:style>
  <w:style w:type="paragraph" w:customStyle="1" w:styleId="29">
    <w:name w:val="页脚 New New New New New New New New New New New"/>
    <w:basedOn w:val="0"/>
    <w:pPr>
      <w:tabs>
        <w:tab w:val="center" w:pos="4153"/>
        <w:tab w:val="right" w:pos="8306"/>
      </w:tabs>
      <w:snapToGrid w:val="0"/>
      <w:jc w:val="left"/>
    </w:pPr>
    <w:rPr>
      <w:sz w:val="18"/>
    </w:rPr>
  </w:style>
  <w:style w:type="paragraph" w:customStyle="1" w:styleId="30">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33">
    <w:name w:val="页脚 New New New New New New New New New New New New New New New New New New New"/>
    <w:basedOn w:val="0"/>
    <w:pPr>
      <w:tabs>
        <w:tab w:val="center" w:pos="4153"/>
        <w:tab w:val="right" w:pos="8306"/>
      </w:tabs>
      <w:snapToGrid w:val="0"/>
      <w:jc w:val="left"/>
    </w:pPr>
    <w:rPr>
      <w:sz w:val="18"/>
    </w:rPr>
  </w:style>
  <w:style w:type="paragraph" w:customStyle="1" w:styleId="34">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pPr>
      <w:tabs>
        <w:tab w:val="center" w:pos="4153"/>
        <w:tab w:val="right" w:pos="8306"/>
      </w:tabs>
      <w:snapToGrid w:val="0"/>
      <w:jc w:val="left"/>
    </w:pPr>
    <w:rPr>
      <w:sz w:val="18"/>
    </w:rPr>
  </w:style>
  <w:style w:type="paragraph" w:customStyle="1" w:styleId="36">
    <w:name w:val="页脚 New"/>
    <w:basedOn w:val="0"/>
    <w:pPr>
      <w:tabs>
        <w:tab w:val="center" w:pos="4153"/>
        <w:tab w:val="right" w:pos="8306"/>
      </w:tabs>
      <w:snapToGrid w:val="0"/>
      <w:jc w:val="left"/>
    </w:pPr>
    <w:rPr>
      <w:sz w:val="18"/>
    </w:rPr>
  </w:style>
  <w:style w:type="paragraph" w:customStyle="1" w:styleId="37">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pPr>
      <w:tabs>
        <w:tab w:val="center" w:pos="4153"/>
        <w:tab w:val="right" w:pos="8306"/>
      </w:tabs>
      <w:snapToGrid w:val="0"/>
      <w:jc w:val="left"/>
    </w:pPr>
    <w:rPr>
      <w:sz w:val="18"/>
    </w:rPr>
  </w:style>
  <w:style w:type="paragraph" w:customStyle="1" w:styleId="41">
    <w:name w:val="页脚 New New New"/>
    <w:basedOn w:val="0"/>
    <w:pPr>
      <w:tabs>
        <w:tab w:val="center" w:pos="4153"/>
        <w:tab w:val="right" w:pos="8306"/>
      </w:tabs>
      <w:snapToGrid w:val="0"/>
      <w:jc w:val="left"/>
    </w:pPr>
    <w:rPr>
      <w:sz w:val="18"/>
    </w:rPr>
  </w:style>
  <w:style w:type="paragraph" w:customStyle="1" w:styleId="42">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pPr>
      <w:tabs>
        <w:tab w:val="center" w:pos="4153"/>
        <w:tab w:val="right" w:pos="8306"/>
      </w:tabs>
      <w:snapToGrid w:val="0"/>
      <w:jc w:val="left"/>
    </w:pPr>
    <w:rPr>
      <w:sz w:val="18"/>
    </w:rPr>
  </w:style>
  <w:style w:type="paragraph" w:customStyle="1" w:styleId="47">
    <w:name w:val="页脚 New New New New New New New New New New New New New New New New"/>
    <w:basedOn w:val="0"/>
    <w:pPr>
      <w:tabs>
        <w:tab w:val="center" w:pos="4153"/>
        <w:tab w:val="right" w:pos="8306"/>
      </w:tabs>
      <w:snapToGrid w:val="0"/>
      <w:jc w:val="left"/>
    </w:pPr>
    <w:rPr>
      <w:sz w:val="18"/>
    </w:rPr>
  </w:style>
  <w:style w:type="paragraph" w:customStyle="1" w:styleId="48">
    <w:name w:val="页脚 New New New New New New"/>
    <w:basedOn w:val="0"/>
    <w:pPr>
      <w:tabs>
        <w:tab w:val="center" w:pos="4153"/>
        <w:tab w:val="right" w:pos="8306"/>
      </w:tabs>
      <w:snapToGrid w:val="0"/>
      <w:jc w:val="left"/>
    </w:pPr>
    <w:rPr>
      <w:sz w:val="18"/>
    </w:rPr>
  </w:style>
  <w:style w:type="paragraph" w:customStyle="1" w:styleId="49">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pPr>
      <w:tabs>
        <w:tab w:val="center" w:pos="4153"/>
        <w:tab w:val="right" w:pos="8306"/>
      </w:tabs>
      <w:snapToGrid w:val="0"/>
      <w:jc w:val="left"/>
    </w:pPr>
    <w:rPr>
      <w:sz w:val="18"/>
    </w:rPr>
  </w:style>
  <w:style w:type="paragraph" w:customStyle="1" w:styleId="5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p0"/>
    <w:basedOn w:val="0"/>
    <w:pPr>
      <w:widowControl/>
    </w:pPr>
    <w:rPr>
      <w:rFonts w:eastAsia="宋体"/>
      <w:kern w:val="0"/>
      <w:szCs w:val="32"/>
    </w:rPr>
  </w:style>
  <w:style w:type="paragraph" w:customStyle="1" w:styleId="57">
    <w:name w:val="页脚 New New New New New New New New New New New New New New New New New New New New"/>
    <w:basedOn w:val="0"/>
    <w:pPr>
      <w:tabs>
        <w:tab w:val="center" w:pos="4153"/>
        <w:tab w:val="right" w:pos="8306"/>
      </w:tabs>
      <w:snapToGrid w:val="0"/>
      <w:jc w:val="left"/>
    </w:pPr>
    <w:rPr>
      <w:sz w:val="18"/>
    </w:rPr>
  </w:style>
  <w:style w:type="paragraph" w:customStyle="1" w:styleId="58">
    <w:name w:val="页脚 New New New New New New New New"/>
    <w:basedOn w:val="0"/>
    <w:pPr>
      <w:tabs>
        <w:tab w:val="center" w:pos="4153"/>
        <w:tab w:val="right" w:pos="8306"/>
      </w:tabs>
      <w:snapToGrid w:val="0"/>
      <w:jc w:val="left"/>
    </w:pPr>
    <w:rPr>
      <w:sz w:val="18"/>
    </w:rPr>
  </w:style>
  <w:style w:type="paragraph" w:customStyle="1" w:styleId="59">
    <w:name w:val="页脚 New New New New New New New New New"/>
    <w:basedOn w:val="0"/>
    <w:pPr>
      <w:tabs>
        <w:tab w:val="center" w:pos="4153"/>
        <w:tab w:val="right" w:pos="8306"/>
      </w:tabs>
      <w:snapToGrid w:val="0"/>
      <w:jc w:val="left"/>
    </w:pPr>
    <w:rPr>
      <w:sz w:val="18"/>
    </w:rPr>
  </w:style>
  <w:style w:type="paragraph" w:customStyle="1" w:styleId="60">
    <w:name w:val="页脚 New New New New New New New New New New New New"/>
    <w:basedOn w:val="0"/>
    <w:pPr>
      <w:tabs>
        <w:tab w:val="center" w:pos="4153"/>
        <w:tab w:val="right" w:pos="8306"/>
      </w:tabs>
      <w:snapToGrid w:val="0"/>
      <w:jc w:val="left"/>
    </w:pPr>
    <w:rPr>
      <w:sz w:val="18"/>
    </w:rPr>
  </w:style>
  <w:style w:type="paragraph" w:customStyle="1" w:styleId="61">
    <w:name w:val="页脚 New New New New New New New"/>
    <w:basedOn w:val="0"/>
    <w:pPr>
      <w:tabs>
        <w:tab w:val="center" w:pos="4153"/>
        <w:tab w:val="right" w:pos="8306"/>
      </w:tabs>
      <w:snapToGrid w:val="0"/>
      <w:jc w:val="left"/>
    </w:pPr>
    <w:rPr>
      <w:sz w:val="18"/>
    </w:rPr>
  </w:style>
  <w:style w:type="paragraph" w:customStyle="1" w:styleId="62">
    <w:name w:val="页脚 New New New New"/>
    <w:basedOn w:val="0"/>
    <w:pPr>
      <w:tabs>
        <w:tab w:val="center" w:pos="4153"/>
        <w:tab w:val="right" w:pos="8306"/>
      </w:tabs>
      <w:snapToGrid w:val="0"/>
      <w:jc w:val="left"/>
    </w:pPr>
    <w:rPr>
      <w:sz w:val="18"/>
    </w:rPr>
  </w:style>
  <w:style w:type="paragraph" w:customStyle="1" w:styleId="63">
    <w:name w:val="页脚 New New New New New New New New New New New New New New New New New New"/>
    <w:basedOn w:val="0"/>
    <w:pPr>
      <w:tabs>
        <w:tab w:val="center" w:pos="4153"/>
        <w:tab w:val="right" w:pos="8306"/>
      </w:tabs>
      <w:snapToGrid w:val="0"/>
      <w:jc w:val="left"/>
    </w:pPr>
    <w:rPr>
      <w:sz w:val="18"/>
    </w:rPr>
  </w:style>
  <w:style w:type="paragraph" w:customStyle="1" w:styleId="64">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pPr>
      <w:tabs>
        <w:tab w:val="center" w:pos="4153"/>
        <w:tab w:val="right" w:pos="8306"/>
      </w:tabs>
      <w:snapToGrid w:val="0"/>
      <w:jc w:val="left"/>
    </w:pPr>
    <w:rPr>
      <w:sz w:val="18"/>
    </w:rPr>
  </w:style>
  <w:style w:type="paragraph" w:customStyle="1" w:styleId="69">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pPr>
      <w:adjustRightInd w:val="0"/>
      <w:ind w:firstLine="630"/>
      <w:jc w:val="left"/>
      <w:textAlignment w:val="baseline"/>
    </w:pPr>
    <w:rPr>
      <w:rFonts w:eastAsia="黑体"/>
    </w:rPr>
  </w:style>
  <w:style w:type="paragraph" w:customStyle="1" w:styleId="71">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73">
    <w:name w:val="页脚 New New New New New New New New New New"/>
    <w:basedOn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pPr>
      <w:tabs>
        <w:tab w:val="center" w:pos="4153"/>
        <w:tab w:val="right" w:pos="8306"/>
      </w:tabs>
      <w:snapToGrid w:val="0"/>
      <w:jc w:val="left"/>
    </w:pPr>
    <w:rPr>
      <w:sz w:val="18"/>
    </w:rPr>
  </w:style>
  <w:style w:type="paragraph" w:customStyle="1" w:styleId="77">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0">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pPr>
      <w:tabs>
        <w:tab w:val="center" w:pos="4153"/>
        <w:tab w:val="right" w:pos="8306"/>
      </w:tabs>
      <w:snapToGrid w:val="0"/>
      <w:jc w:val="left"/>
    </w:pPr>
    <w:rPr>
      <w:sz w:val="18"/>
    </w:rPr>
  </w:style>
  <w:style w:type="paragraph" w:customStyle="1" w:styleId="85">
    <w:name w:val="页脚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6">
    <w:name w:val="页眉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Char"/>
    <w:basedOn w:val="0"/>
    <w:rPr>
      <w:rFonts w:eastAsia="宋体"/>
      <w:sz w:val="21"/>
      <w:szCs w:val="21"/>
    </w:rPr>
  </w:style>
  <w:style w:type="paragraph" w:customStyle="1" w:styleId="88">
    <w:name w:val="页脚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9">
    <w:name w:val="页脚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90">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24</Pages>
  <Words>5874</Words>
  <Characters>7166</Characters>
  <Lines>1552</Lines>
  <Paragraphs>631</Paragraphs>
  <CharactersWithSpaces>7696</CharactersWithSpaces>
  <Company>Organization</Company>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2024-01-23T03:39:00Z</cp:lastPrinted>
  <dcterms:created xsi:type="dcterms:W3CDTF">2024-02-26T02:16:00Z</dcterms:created>
  <dcterms:modified xsi:type="dcterms:W3CDTF">2024-02-26T02:32:53Z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B8BA505E6B1C4B89960DDE52F9246BBD_13</vt:lpwstr>
  </property>
</Properties>
</file>