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hint="eastAsia" w:ascii="宋体" w:hAnsi="宋体" w:eastAsia="宋体" w:cs="宋体"/>
        </w:rPr>
      </w:pP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hint="eastAsia" w:eastAsia="方正小标宋简体"/>
          <w:sz w:val="44"/>
          <w:szCs w:val="44"/>
          <w:u w:val="none"/>
        </w:rPr>
      </w:pPr>
      <w:r>
        <w:rPr>
          <w:rFonts w:hint="eastAsia" w:eastAsia="方正小标宋简体"/>
          <w:sz w:val="44"/>
          <w:szCs w:val="44"/>
          <w:u w:val="none"/>
        </w:rPr>
        <w:t>长春市统计局宽城区分局</w:t>
      </w:r>
    </w:p>
    <w:p>
      <w:pPr>
        <w:jc w:val="center"/>
        <w:rPr>
          <w:rFonts w:eastAsia="方正小标宋简体"/>
          <w:sz w:val="44"/>
          <w:szCs w:val="44"/>
        </w:rPr>
      </w:pP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4</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val="en-US"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eastAsia="仿宋_GB2312"/>
          <w:lang w:eastAsia="zh-CN"/>
        </w:rPr>
      </w:pPr>
      <w:r>
        <w:rPr>
          <w:rFonts w:hint="eastAsia"/>
          <w:lang w:eastAsia="zh-CN"/>
        </w:rPr>
        <w:t>十一、财政拨款委托业务费支出预算表</w:t>
      </w:r>
    </w:p>
    <w:p>
      <w:pPr>
        <w:ind w:firstLine="640" w:firstLineChars="20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lang w:val="en-US" w:eastAsia="zh-CN"/>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ind w:firstLine="640" w:firstLineChars="200"/>
        <w:rPr>
          <w:rFonts w:hint="eastAsia"/>
          <w:color w:val="000000"/>
          <w:szCs w:val="32"/>
        </w:rPr>
      </w:pPr>
      <w:r>
        <w:rPr>
          <w:rFonts w:hint="eastAsia"/>
          <w:color w:val="000000"/>
          <w:szCs w:val="32"/>
        </w:rPr>
        <w:t>（一）贯彻执行国家和省、市统计方针、政策以及法律、法规，监督检查统计法律、法规的实施。组织领导全区统计工作，承担确保统计数据真实、准确、及时的责任。</w:t>
      </w:r>
    </w:p>
    <w:p>
      <w:pPr>
        <w:ind w:firstLine="640" w:firstLineChars="200"/>
        <w:rPr>
          <w:rFonts w:hint="eastAsia"/>
          <w:color w:val="000000"/>
          <w:szCs w:val="32"/>
        </w:rPr>
      </w:pPr>
      <w:r>
        <w:rPr>
          <w:rFonts w:hint="eastAsia"/>
          <w:color w:val="000000"/>
          <w:szCs w:val="32"/>
        </w:rPr>
        <w:t>（二）根据全国统一的基本统计制度，汇编提供全区国民经济核算资料，监督管理全区各级统计机关国民经济核算工作。</w:t>
      </w:r>
    </w:p>
    <w:p>
      <w:pPr>
        <w:ind w:firstLine="640" w:firstLineChars="200"/>
        <w:rPr>
          <w:rFonts w:hint="eastAsia"/>
          <w:color w:val="000000"/>
          <w:szCs w:val="32"/>
        </w:rPr>
      </w:pPr>
      <w:r>
        <w:rPr>
          <w:rFonts w:hint="eastAsia"/>
          <w:color w:val="000000"/>
          <w:szCs w:val="32"/>
        </w:rPr>
        <w:t>（三）根据省、市统计局的统一安排，组织实施全区的社会经济统计调查；对国民经济各行业、科技、资源环境和社会发展等情况进行统计分析、统计预测预警和统计监督，向区委、区政府及有关部门提供统计信息和咨询建议；收集、整理、提供国家及其他城市的统计资料，并进行对比分析和研究。</w:t>
      </w:r>
    </w:p>
    <w:p>
      <w:pPr>
        <w:ind w:firstLine="640" w:firstLineChars="200"/>
        <w:rPr>
          <w:rFonts w:hint="eastAsia"/>
          <w:color w:val="000000"/>
          <w:szCs w:val="32"/>
        </w:rPr>
      </w:pPr>
      <w:r>
        <w:rPr>
          <w:rFonts w:hint="eastAsia"/>
          <w:color w:val="000000"/>
          <w:szCs w:val="32"/>
        </w:rPr>
        <w:t>（四）统一核定、管理、公布全区性的基本统计资料，定期向社会公布全区国民经济和社会发展情况的统计信息。</w:t>
      </w:r>
    </w:p>
    <w:p>
      <w:pPr>
        <w:ind w:firstLine="640" w:firstLineChars="200"/>
        <w:rPr>
          <w:rFonts w:hint="eastAsia"/>
          <w:color w:val="000000"/>
          <w:szCs w:val="32"/>
        </w:rPr>
      </w:pPr>
      <w:r>
        <w:rPr>
          <w:rFonts w:hint="eastAsia"/>
          <w:color w:val="000000"/>
          <w:szCs w:val="32"/>
        </w:rPr>
        <w:t>（五）根据市统计局的统一安排，建立、完善和管理区统计分局统计信息自动化网络和数据库系统建设。</w:t>
      </w:r>
    </w:p>
    <w:p>
      <w:pPr>
        <w:ind w:firstLine="640" w:firstLineChars="200"/>
        <w:rPr>
          <w:rFonts w:hint="eastAsia"/>
          <w:color w:val="000000"/>
          <w:szCs w:val="32"/>
        </w:rPr>
      </w:pPr>
      <w:r>
        <w:rPr>
          <w:rFonts w:hint="eastAsia"/>
          <w:color w:val="000000"/>
          <w:szCs w:val="32"/>
        </w:rPr>
        <w:t>（六）依法管理各部门统计调查项目和统计标准，指导专业统计基础工作、统计基层业务基础建设，建立健全统计数据质量审核、监控和评估制度，负责重要统计数据的审核、监控和评估，依法监督管理涉外调查活动。</w:t>
      </w:r>
    </w:p>
    <w:p>
      <w:pPr>
        <w:ind w:firstLine="640" w:firstLineChars="200"/>
        <w:rPr>
          <w:rFonts w:hint="eastAsia"/>
          <w:color w:val="000000"/>
          <w:szCs w:val="32"/>
        </w:rPr>
      </w:pPr>
      <w:r>
        <w:rPr>
          <w:rFonts w:hint="eastAsia"/>
          <w:color w:val="000000"/>
          <w:szCs w:val="32"/>
        </w:rPr>
        <w:t>（七）根据省、市统计局的统一安排，负责区统计分局的干部人事、机构编制和财务经费、审计监督及资产设施管理。</w:t>
      </w:r>
    </w:p>
    <w:p>
      <w:pPr>
        <w:ind w:firstLine="640" w:firstLineChars="200"/>
        <w:rPr>
          <w:rFonts w:hint="eastAsia"/>
          <w:color w:val="000000"/>
          <w:szCs w:val="32"/>
        </w:rPr>
      </w:pPr>
      <w:r>
        <w:rPr>
          <w:rFonts w:hint="eastAsia"/>
          <w:color w:val="000000"/>
          <w:szCs w:val="32"/>
        </w:rPr>
        <w:t>（八）承办省、市统计局和宽城区政府交办的其他事项。</w:t>
      </w:r>
    </w:p>
    <w:p>
      <w:pPr>
        <w:ind w:firstLine="640" w:firstLineChars="200"/>
      </w:pPr>
      <w:r>
        <w:rPr>
          <w:rFonts w:eastAsia="楷体_GB2312"/>
        </w:rPr>
        <w:t>二、机构设置</w:t>
      </w:r>
    </w:p>
    <w:p>
      <w:pPr>
        <w:pStyle w:val="48"/>
        <w:ind w:firstLine="640" w:firstLineChars="200"/>
        <w:rPr>
          <w:rFonts w:eastAsia="楷体"/>
        </w:rPr>
      </w:pPr>
      <w:r>
        <w:rPr>
          <w:rFonts w:hint="eastAsia" w:eastAsia="仿宋_GB2312"/>
        </w:rPr>
        <w:t>根据上述职责，长春市统计局宽城区分局内设2个机构，分别为综合科、社会经济统计科。本单位无下设预算单位。</w:t>
      </w:r>
    </w:p>
    <w:p>
      <w:pPr>
        <w:pStyle w:val="48"/>
        <w:ind w:firstLine="640" w:firstLineChars="200"/>
        <w:rPr>
          <w:rFonts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int="eastAsia" w:hAnsi="楷体" w:eastAsia="楷体"/>
        </w:rPr>
      </w:pPr>
    </w:p>
    <w:p>
      <w:pPr>
        <w:pStyle w:val="48"/>
        <w:ind w:firstLine="640" w:firstLineChars="200"/>
        <w:rPr>
          <w:rFonts w:eastAsia="黑体"/>
        </w:rPr>
      </w:pPr>
      <w:r>
        <w:rPr>
          <w:rFonts w:hint="eastAsia" w:hAnsi="楷体" w:eastAsia="楷体"/>
        </w:rPr>
        <w:br w:type="page"/>
      </w: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0" w:type="auto"/>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gridSpan w:val="2"/>
            <w:tcBorders>
              <w:top w:val="nil"/>
              <w:left w:val="nil"/>
              <w:bottom w:val="nil"/>
              <w:right w:val="nil"/>
            </w:tcBorders>
            <w:noWrap w:val="0"/>
            <w:vAlign w:val="center"/>
          </w:tcPr>
          <w:p>
            <w:pPr>
              <w:widowControl/>
              <w:jc w:val="center"/>
              <w:rPr>
                <w:rFonts w:eastAsia="宋体"/>
                <w:kern w:val="0"/>
                <w:sz w:val="20"/>
              </w:rPr>
            </w:pPr>
          </w:p>
        </w:tc>
        <w:tc>
          <w:tcPr>
            <w:tcW w:w="2498" w:type="dxa"/>
            <w:gridSpan w:val="2"/>
            <w:tcBorders>
              <w:top w:val="nil"/>
              <w:left w:val="nil"/>
              <w:bottom w:val="nil"/>
              <w:right w:val="nil"/>
            </w:tcBorders>
            <w:noWrap w:val="0"/>
            <w:vAlign w:val="center"/>
          </w:tcPr>
          <w:p>
            <w:pPr>
              <w:widowControl/>
              <w:jc w:val="center"/>
              <w:rPr>
                <w:rFonts w:eastAsia="宋体"/>
                <w:kern w:val="0"/>
                <w:sz w:val="20"/>
              </w:rPr>
            </w:pPr>
          </w:p>
        </w:tc>
        <w:tc>
          <w:tcPr>
            <w:tcW w:w="2340" w:type="dxa"/>
            <w:gridSpan w:val="3"/>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302.6</w:t>
            </w:r>
            <w:r>
              <w:rPr>
                <w:rFonts w:hint="eastAsia" w:eastAsia="宋体" w:cs="Times New Roman"/>
                <w:i w:val="0"/>
                <w:color w:val="000000"/>
                <w:kern w:val="0"/>
                <w:sz w:val="20"/>
                <w:szCs w:val="20"/>
                <w:u w:val="none"/>
                <w:lang w:val="en-US" w:eastAsia="zh-CN" w:bidi="ar"/>
              </w:rPr>
              <w:t>3</w:t>
            </w:r>
          </w:p>
        </w:tc>
        <w:tc>
          <w:tcPr>
            <w:tcW w:w="9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284.68</w:t>
            </w:r>
          </w:p>
        </w:tc>
        <w:tc>
          <w:tcPr>
            <w:tcW w:w="1134" w:type="dxa"/>
            <w:tcBorders>
              <w:top w:val="nil"/>
              <w:left w:val="single" w:color="auto" w:sz="4" w:space="0"/>
              <w:bottom w:val="single" w:color="auto" w:sz="4" w:space="0"/>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17.9</w:t>
            </w:r>
            <w:r>
              <w:rPr>
                <w:rFonts w:hint="eastAsia" w:eastAsia="宋体" w:cs="Times New Roman"/>
                <w:i w:val="0"/>
                <w:color w:val="000000"/>
                <w:kern w:val="0"/>
                <w:sz w:val="20"/>
                <w:szCs w:val="20"/>
                <w:u w:val="none"/>
                <w:lang w:val="en-US" w:eastAsia="zh-CN" w:bidi="ar"/>
              </w:rPr>
              <w:t>5</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256.19</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243.17</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13.02</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302.6</w:t>
            </w:r>
            <w:r>
              <w:rPr>
                <w:rFonts w:hint="eastAsia" w:eastAsia="宋体" w:cs="Times New Roman"/>
                <w:i w:val="0"/>
                <w:color w:val="000000"/>
                <w:kern w:val="0"/>
                <w:sz w:val="20"/>
                <w:szCs w:val="20"/>
                <w:u w:val="none"/>
                <w:lang w:val="en-US" w:eastAsia="zh-CN" w:bidi="ar"/>
              </w:rPr>
              <w:t>3</w:t>
            </w:r>
          </w:p>
        </w:tc>
        <w:tc>
          <w:tcPr>
            <w:tcW w:w="9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284.68</w:t>
            </w:r>
          </w:p>
        </w:tc>
        <w:tc>
          <w:tcPr>
            <w:tcW w:w="1134" w:type="dxa"/>
            <w:tcBorders>
              <w:top w:val="nil"/>
              <w:left w:val="single" w:color="auto" w:sz="4" w:space="0"/>
              <w:bottom w:val="single" w:color="auto" w:sz="4" w:space="0"/>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17.9</w:t>
            </w:r>
            <w:r>
              <w:rPr>
                <w:rFonts w:hint="eastAsia" w:eastAsia="宋体" w:cs="Times New Roman"/>
                <w:i w:val="0"/>
                <w:color w:val="000000"/>
                <w:kern w:val="0"/>
                <w:sz w:val="20"/>
                <w:szCs w:val="20"/>
                <w:u w:val="none"/>
                <w:lang w:val="en-US" w:eastAsia="zh-CN" w:bidi="ar"/>
              </w:rPr>
              <w:t>5</w:t>
            </w: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24.78</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21.95</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2.83</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default" w:ascii="Times New Roman" w:hAnsi="Times New Roman" w:eastAsia="宋体" w:cs="Times New Roman"/>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rPr>
              <w:t>卫生健康支出</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9.93</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7.84</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2.09</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default" w:ascii="Times New Roman" w:hAnsi="Times New Roman" w:eastAsia="宋体" w:cs="Times New Roman"/>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hint="eastAsia" w:ascii="宋体" w:eastAsia="宋体"/>
                <w:sz w:val="20"/>
              </w:rPr>
              <w:t>四、住房保障支出</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11.72</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11.72</w:t>
            </w:r>
          </w:p>
        </w:tc>
        <w:tc>
          <w:tcPr>
            <w:tcW w:w="115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hint="default" w:ascii="Times New Roman" w:hAnsi="Times New Roman" w:eastAsia="宋体" w:cs="Times New Roman"/>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hint="default" w:ascii="Times New Roman" w:hAnsi="Times New Roman" w:eastAsia="宋体" w:cs="Times New Roman"/>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hint="default" w:ascii="Times New Roman" w:hAnsi="Times New Roman" w:eastAsia="宋体" w:cs="Times New Roman"/>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default" w:ascii="Times New Roman" w:hAnsi="Times New Roman" w:eastAsia="宋体" w:cs="Times New Roman"/>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default" w:ascii="Times New Roman" w:hAnsi="Times New Roman" w:eastAsia="宋体" w:cs="Times New Roman"/>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default" w:ascii="Times New Roman" w:hAnsi="Times New Roman" w:eastAsia="宋体" w:cs="Times New Roman"/>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default" w:ascii="Times New Roman" w:hAnsi="Times New Roman" w:eastAsia="宋体" w:cs="Times New Roman"/>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szCs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0"/>
                <w:szCs w:val="20"/>
              </w:rPr>
            </w:pPr>
          </w:p>
        </w:tc>
        <w:tc>
          <w:tcPr>
            <w:tcW w:w="115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302.6</w:t>
            </w:r>
            <w:r>
              <w:rPr>
                <w:rFonts w:hint="eastAsia" w:eastAsia="宋体" w:cs="Times New Roman"/>
                <w:i w:val="0"/>
                <w:color w:val="000000"/>
                <w:kern w:val="0"/>
                <w:sz w:val="20"/>
                <w:szCs w:val="20"/>
                <w:u w:val="none"/>
                <w:lang w:val="en-US" w:eastAsia="zh-CN" w:bidi="ar"/>
              </w:rPr>
              <w:t>3</w:t>
            </w:r>
          </w:p>
        </w:tc>
        <w:tc>
          <w:tcPr>
            <w:tcW w:w="9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284.68</w:t>
            </w:r>
          </w:p>
        </w:tc>
        <w:tc>
          <w:tcPr>
            <w:tcW w:w="1134" w:type="dxa"/>
            <w:tcBorders>
              <w:top w:val="nil"/>
              <w:left w:val="single" w:color="auto" w:sz="4" w:space="0"/>
              <w:bottom w:val="single" w:color="auto" w:sz="4" w:space="0"/>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17.9</w:t>
            </w:r>
            <w:r>
              <w:rPr>
                <w:rFonts w:hint="eastAsia" w:eastAsia="宋体" w:cs="Times New Roman"/>
                <w:i w:val="0"/>
                <w:color w:val="000000"/>
                <w:kern w:val="0"/>
                <w:sz w:val="20"/>
                <w:szCs w:val="20"/>
                <w:u w:val="none"/>
                <w:lang w:val="en-US" w:eastAsia="zh-CN" w:bidi="ar"/>
              </w:rPr>
              <w:t>5</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i w:val="0"/>
                <w:color w:val="000000"/>
                <w:kern w:val="0"/>
                <w:sz w:val="20"/>
                <w:szCs w:val="20"/>
                <w:u w:val="none"/>
                <w:lang w:val="en-US" w:eastAsia="zh-CN" w:bidi="ar"/>
              </w:rPr>
              <w:t>302.6</w:t>
            </w:r>
            <w:r>
              <w:rPr>
                <w:rFonts w:hint="eastAsia" w:eastAsia="宋体" w:cs="Times New Roman"/>
                <w:i w:val="0"/>
                <w:color w:val="000000"/>
                <w:kern w:val="0"/>
                <w:sz w:val="20"/>
                <w:szCs w:val="20"/>
                <w:u w:val="none"/>
                <w:lang w:val="en-US" w:eastAsia="zh-CN" w:bidi="ar"/>
              </w:rPr>
              <w:t>3</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284.68</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17.9</w:t>
            </w:r>
            <w:r>
              <w:rPr>
                <w:rFonts w:hint="eastAsia" w:eastAsia="宋体" w:cs="Times New Roman"/>
                <w:i w:val="0"/>
                <w:color w:val="000000"/>
                <w:kern w:val="0"/>
                <w:sz w:val="20"/>
                <w:szCs w:val="20"/>
                <w:u w:val="none"/>
                <w:lang w:val="en-US" w:eastAsia="zh-CN" w:bidi="ar"/>
              </w:rPr>
              <w:t>5</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default" w:ascii="Times New Roman" w:hAnsi="Times New Roman" w:eastAsia="宋体" w:cs="Times New Roman"/>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hint="default" w:ascii="Times New Roman" w:hAnsi="Times New Roman" w:eastAsia="宋体" w:cs="Times New Roman"/>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302.6</w:t>
            </w:r>
            <w:r>
              <w:rPr>
                <w:rFonts w:hint="eastAsia" w:eastAsia="宋体" w:cs="Times New Roman"/>
                <w:i w:val="0"/>
                <w:color w:val="000000"/>
                <w:kern w:val="0"/>
                <w:sz w:val="20"/>
                <w:szCs w:val="20"/>
                <w:u w:val="none"/>
                <w:lang w:val="en-US" w:eastAsia="zh-CN" w:bidi="ar"/>
              </w:rPr>
              <w:t>3</w:t>
            </w:r>
          </w:p>
        </w:tc>
        <w:tc>
          <w:tcPr>
            <w:tcW w:w="9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284.68</w:t>
            </w:r>
          </w:p>
        </w:tc>
        <w:tc>
          <w:tcPr>
            <w:tcW w:w="1134" w:type="dxa"/>
            <w:tcBorders>
              <w:top w:val="nil"/>
              <w:left w:val="single" w:color="auto" w:sz="4" w:space="0"/>
              <w:bottom w:val="single" w:color="auto" w:sz="4" w:space="0"/>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17.9</w:t>
            </w:r>
            <w:r>
              <w:rPr>
                <w:rFonts w:hint="eastAsia" w:eastAsia="宋体" w:cs="Times New Roman"/>
                <w:i w:val="0"/>
                <w:color w:val="000000"/>
                <w:kern w:val="0"/>
                <w:sz w:val="20"/>
                <w:szCs w:val="20"/>
                <w:u w:val="none"/>
                <w:lang w:val="en-US" w:eastAsia="zh-CN" w:bidi="ar"/>
              </w:rPr>
              <w:t>5</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302.6</w:t>
            </w:r>
            <w:r>
              <w:rPr>
                <w:rFonts w:hint="eastAsia" w:eastAsia="宋体" w:cs="Times New Roman"/>
                <w:i w:val="0"/>
                <w:color w:val="000000"/>
                <w:kern w:val="0"/>
                <w:sz w:val="20"/>
                <w:szCs w:val="20"/>
                <w:u w:val="none"/>
                <w:lang w:val="en-US" w:eastAsia="zh-CN" w:bidi="ar"/>
              </w:rPr>
              <w:t>3</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284.68</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17.9</w:t>
            </w:r>
            <w:r>
              <w:rPr>
                <w:rFonts w:hint="eastAsia" w:eastAsia="宋体" w:cs="Times New Roman"/>
                <w:i w:val="0"/>
                <w:color w:val="000000"/>
                <w:kern w:val="0"/>
                <w:sz w:val="20"/>
                <w:szCs w:val="20"/>
                <w:u w:val="none"/>
                <w:lang w:val="en-US" w:eastAsia="zh-CN" w:bidi="ar"/>
              </w:rPr>
              <w:t>5</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9742" w:type="dxa"/>
        <w:jc w:val="center"/>
        <w:tblLayout w:type="fixed"/>
        <w:tblCellMar>
          <w:top w:w="0" w:type="dxa"/>
          <w:left w:w="108" w:type="dxa"/>
          <w:bottom w:w="0" w:type="dxa"/>
          <w:right w:w="108" w:type="dxa"/>
        </w:tblCellMar>
      </w:tblPr>
      <w:tblGrid>
        <w:gridCol w:w="1382"/>
        <w:gridCol w:w="826"/>
        <w:gridCol w:w="802"/>
        <w:gridCol w:w="816"/>
        <w:gridCol w:w="360"/>
        <w:gridCol w:w="384"/>
        <w:gridCol w:w="348"/>
        <w:gridCol w:w="335"/>
        <w:gridCol w:w="349"/>
        <w:gridCol w:w="360"/>
        <w:gridCol w:w="348"/>
        <w:gridCol w:w="360"/>
        <w:gridCol w:w="720"/>
        <w:gridCol w:w="708"/>
        <w:gridCol w:w="316"/>
        <w:gridCol w:w="112"/>
        <w:gridCol w:w="384"/>
        <w:gridCol w:w="432"/>
        <w:gridCol w:w="400"/>
      </w:tblGrid>
      <w:tr>
        <w:tblPrEx>
          <w:tblCellMar>
            <w:top w:w="0" w:type="dxa"/>
            <w:left w:w="108" w:type="dxa"/>
            <w:bottom w:w="0" w:type="dxa"/>
            <w:right w:w="108" w:type="dxa"/>
          </w:tblCellMar>
        </w:tblPrEx>
        <w:trPr>
          <w:trHeight w:val="335" w:hRule="atLeast"/>
          <w:jc w:val="center"/>
        </w:trPr>
        <w:tc>
          <w:tcPr>
            <w:tcW w:w="1382" w:type="dxa"/>
            <w:tcBorders>
              <w:bottom w:val="single" w:color="000000" w:sz="4" w:space="0"/>
            </w:tcBorders>
            <w:noWrap w:val="0"/>
            <w:vAlign w:val="top"/>
          </w:tcPr>
          <w:p>
            <w:pPr>
              <w:autoSpaceDN w:val="0"/>
              <w:jc w:val="left"/>
              <w:textAlignment w:val="center"/>
              <w:rPr>
                <w:rFonts w:eastAsia="华文细黑"/>
                <w:color w:val="000000"/>
                <w:sz w:val="20"/>
              </w:rPr>
            </w:pPr>
          </w:p>
        </w:tc>
        <w:tc>
          <w:tcPr>
            <w:tcW w:w="3871" w:type="dxa"/>
            <w:gridSpan w:val="7"/>
            <w:tcBorders>
              <w:bottom w:val="single" w:color="000000" w:sz="4" w:space="0"/>
            </w:tcBorders>
            <w:noWrap w:val="0"/>
            <w:vAlign w:val="center"/>
          </w:tcPr>
          <w:p>
            <w:pPr>
              <w:autoSpaceDN w:val="0"/>
              <w:jc w:val="left"/>
              <w:textAlignment w:val="center"/>
              <w:rPr>
                <w:rFonts w:eastAsia="华文细黑"/>
                <w:color w:val="000000"/>
                <w:sz w:val="20"/>
              </w:rPr>
            </w:pPr>
          </w:p>
        </w:tc>
        <w:tc>
          <w:tcPr>
            <w:tcW w:w="1057" w:type="dxa"/>
            <w:gridSpan w:val="3"/>
            <w:noWrap w:val="0"/>
            <w:vAlign w:val="center"/>
          </w:tcPr>
          <w:p>
            <w:pPr>
              <w:autoSpaceDN w:val="0"/>
              <w:jc w:val="left"/>
              <w:textAlignment w:val="center"/>
              <w:rPr>
                <w:rFonts w:eastAsia="华文细黑"/>
                <w:color w:val="000000"/>
                <w:sz w:val="20"/>
              </w:rPr>
            </w:pPr>
          </w:p>
        </w:tc>
        <w:tc>
          <w:tcPr>
            <w:tcW w:w="360" w:type="dxa"/>
            <w:noWrap w:val="0"/>
            <w:vAlign w:val="center"/>
          </w:tcPr>
          <w:p>
            <w:pPr>
              <w:autoSpaceDN w:val="0"/>
              <w:jc w:val="left"/>
              <w:textAlignment w:val="center"/>
              <w:rPr>
                <w:rFonts w:eastAsia="华文细黑"/>
                <w:color w:val="000000"/>
                <w:sz w:val="20"/>
              </w:rPr>
            </w:pPr>
          </w:p>
        </w:tc>
        <w:tc>
          <w:tcPr>
            <w:tcW w:w="1428" w:type="dxa"/>
            <w:gridSpan w:val="2"/>
            <w:noWrap w:val="0"/>
            <w:vAlign w:val="center"/>
          </w:tcPr>
          <w:p>
            <w:pPr>
              <w:autoSpaceDN w:val="0"/>
              <w:jc w:val="left"/>
              <w:textAlignment w:val="center"/>
              <w:rPr>
                <w:rFonts w:eastAsia="华文细黑"/>
                <w:color w:val="000000"/>
                <w:sz w:val="20"/>
              </w:rPr>
            </w:pPr>
          </w:p>
        </w:tc>
        <w:tc>
          <w:tcPr>
            <w:tcW w:w="316" w:type="dxa"/>
            <w:noWrap w:val="0"/>
            <w:vAlign w:val="bottom"/>
          </w:tcPr>
          <w:p>
            <w:pPr>
              <w:autoSpaceDN w:val="0"/>
              <w:jc w:val="right"/>
              <w:textAlignment w:val="bottom"/>
              <w:rPr>
                <w:rFonts w:eastAsia="宋体"/>
                <w:color w:val="000000"/>
                <w:sz w:val="20"/>
              </w:rPr>
            </w:pPr>
          </w:p>
        </w:tc>
        <w:tc>
          <w:tcPr>
            <w:tcW w:w="1328" w:type="dxa"/>
            <w:gridSpan w:val="4"/>
            <w:noWrap w:val="0"/>
            <w:vAlign w:val="bottom"/>
          </w:tcPr>
          <w:p>
            <w:pPr>
              <w:wordWrap/>
              <w:autoSpaceDN w:val="0"/>
              <w:jc w:val="both"/>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trHeight w:val="517" w:hRule="atLeast"/>
          <w:jc w:val="center"/>
        </w:trPr>
        <w:tc>
          <w:tcPr>
            <w:tcW w:w="1382"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部门（单位）名称</w:t>
            </w:r>
          </w:p>
        </w:tc>
        <w:tc>
          <w:tcPr>
            <w:tcW w:w="826"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462" w:type="dxa"/>
            <w:gridSpan w:val="10"/>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3072" w:type="dxa"/>
            <w:gridSpan w:val="7"/>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tblPrEx>
          <w:tblCellMar>
            <w:top w:w="0" w:type="dxa"/>
            <w:left w:w="108" w:type="dxa"/>
            <w:bottom w:w="0" w:type="dxa"/>
            <w:right w:w="108" w:type="dxa"/>
          </w:tblCellMar>
        </w:tblPrEx>
        <w:trPr>
          <w:trHeight w:val="517" w:hRule="atLeast"/>
          <w:jc w:val="center"/>
        </w:trPr>
        <w:tc>
          <w:tcPr>
            <w:tcW w:w="1382"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000000"/>
                <w:sz w:val="20"/>
                <w:lang w:eastAsia="zh-CN"/>
              </w:rPr>
            </w:pPr>
          </w:p>
        </w:tc>
        <w:tc>
          <w:tcPr>
            <w:tcW w:w="826" w:type="dxa"/>
            <w:vMerge w:val="continue"/>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p>
        </w:tc>
        <w:tc>
          <w:tcPr>
            <w:tcW w:w="802"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560"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val="en-US" w:eastAsia="zh-CN"/>
              </w:rPr>
            </w:pPr>
            <w:r>
              <w:rPr>
                <w:rFonts w:hint="eastAsia" w:ascii="宋体" w:hAnsi="宋体" w:eastAsia="宋体" w:cs="宋体"/>
                <w:color w:val="000000"/>
                <w:sz w:val="20"/>
                <w:lang w:eastAsia="zh-CN"/>
              </w:rPr>
              <w:t>财政拨</w:t>
            </w:r>
            <w:r>
              <w:rPr>
                <w:rFonts w:hint="eastAsia" w:ascii="宋体" w:hAnsi="宋体" w:eastAsia="宋体" w:cs="宋体"/>
                <w:color w:val="000000"/>
                <w:sz w:val="20"/>
                <w:lang w:val="en-US" w:eastAsia="zh-CN"/>
              </w:rPr>
              <w:t xml:space="preserve">    </w:t>
            </w:r>
          </w:p>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款收入</w:t>
            </w:r>
          </w:p>
        </w:tc>
        <w:tc>
          <w:tcPr>
            <w:tcW w:w="348"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1752" w:type="dxa"/>
            <w:gridSpan w:val="5"/>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720"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520" w:type="dxa"/>
            <w:gridSpan w:val="4"/>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val="en-US" w:eastAsia="zh-CN"/>
              </w:rPr>
            </w:pPr>
            <w:r>
              <w:rPr>
                <w:rFonts w:hint="eastAsia" w:ascii="宋体" w:hAnsi="宋体" w:eastAsia="宋体" w:cs="宋体"/>
                <w:color w:val="000000"/>
                <w:sz w:val="20"/>
                <w:lang w:eastAsia="zh-CN"/>
              </w:rPr>
              <w:t>财政拨</w:t>
            </w:r>
            <w:r>
              <w:rPr>
                <w:rFonts w:hint="eastAsia" w:ascii="宋体" w:hAnsi="宋体" w:eastAsia="宋体" w:cs="宋体"/>
                <w:color w:val="000000"/>
                <w:sz w:val="20"/>
                <w:lang w:val="en-US" w:eastAsia="zh-CN"/>
              </w:rPr>
              <w:t xml:space="preserve">   </w:t>
            </w:r>
          </w:p>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款结转</w:t>
            </w:r>
          </w:p>
        </w:tc>
        <w:tc>
          <w:tcPr>
            <w:tcW w:w="832" w:type="dxa"/>
            <w:gridSpan w:val="2"/>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tblPrEx>
          <w:tblCellMar>
            <w:top w:w="0" w:type="dxa"/>
            <w:left w:w="108" w:type="dxa"/>
            <w:bottom w:w="0" w:type="dxa"/>
            <w:right w:w="108" w:type="dxa"/>
          </w:tblCellMar>
        </w:tblPrEx>
        <w:trPr>
          <w:trHeight w:val="2818" w:hRule="atLeast"/>
          <w:jc w:val="center"/>
        </w:trPr>
        <w:tc>
          <w:tcPr>
            <w:tcW w:w="1382"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826"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02"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816"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360"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38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348"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33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349"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34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720"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70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428"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384"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432"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40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tblPrEx>
          <w:tblCellMar>
            <w:top w:w="0" w:type="dxa"/>
            <w:left w:w="108" w:type="dxa"/>
            <w:bottom w:w="0" w:type="dxa"/>
            <w:right w:w="108" w:type="dxa"/>
          </w:tblCellMar>
        </w:tblPrEx>
        <w:trPr>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r>
              <w:rPr>
                <w:rFonts w:hint="eastAsia" w:ascii="宋体" w:hAnsi="宋体" w:eastAsia="宋体" w:cs="宋体"/>
                <w:color w:val="000000"/>
                <w:kern w:val="0"/>
                <w:sz w:val="20"/>
                <w:lang w:bidi="ar"/>
              </w:rPr>
              <w:t>长春市统计局宽城区分局</w:t>
            </w: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302.6</w:t>
            </w:r>
            <w:r>
              <w:rPr>
                <w:rFonts w:hint="eastAsia" w:eastAsia="宋体" w:cs="Times New Roman"/>
                <w:i w:val="0"/>
                <w:color w:val="000000"/>
                <w:kern w:val="0"/>
                <w:sz w:val="20"/>
                <w:szCs w:val="20"/>
                <w:u w:val="none"/>
                <w:lang w:val="en-US" w:eastAsia="zh-CN" w:bidi="ar"/>
              </w:rPr>
              <w:t>3</w:t>
            </w:r>
          </w:p>
        </w:tc>
        <w:tc>
          <w:tcPr>
            <w:tcW w:w="80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shd w:val="clear" w:color="auto" w:fill="FFFFFF"/>
              </w:rPr>
            </w:pPr>
            <w:r>
              <w:rPr>
                <w:rFonts w:hint="default" w:ascii="Times New Roman" w:hAnsi="Times New Roman" w:eastAsia="宋体" w:cs="Times New Roman"/>
                <w:i w:val="0"/>
                <w:color w:val="000000"/>
                <w:kern w:val="0"/>
                <w:sz w:val="20"/>
                <w:szCs w:val="20"/>
                <w:u w:val="none"/>
                <w:lang w:val="en-US" w:eastAsia="zh-CN" w:bidi="ar"/>
              </w:rPr>
              <w:t>284.68</w:t>
            </w:r>
          </w:p>
        </w:tc>
        <w:tc>
          <w:tcPr>
            <w:tcW w:w="8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shd w:val="clear" w:color="auto" w:fill="FFFFFF"/>
              </w:rPr>
            </w:pPr>
            <w:r>
              <w:rPr>
                <w:rFonts w:hint="default" w:ascii="Times New Roman" w:hAnsi="Times New Roman" w:eastAsia="宋体" w:cs="Times New Roman"/>
                <w:i w:val="0"/>
                <w:color w:val="000000"/>
                <w:kern w:val="0"/>
                <w:sz w:val="20"/>
                <w:szCs w:val="20"/>
                <w:u w:val="none"/>
                <w:lang w:val="en-US" w:eastAsia="zh-CN" w:bidi="ar"/>
              </w:rPr>
              <w:t>284.68</w:t>
            </w:r>
          </w:p>
        </w:tc>
        <w:tc>
          <w:tcPr>
            <w:tcW w:w="36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8"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shd w:val="clear" w:color="auto" w:fill="FFFFFF"/>
              </w:rPr>
            </w:pPr>
            <w:r>
              <w:rPr>
                <w:rFonts w:hint="default" w:ascii="Times New Roman" w:hAnsi="Times New Roman" w:eastAsia="宋体" w:cs="Times New Roman"/>
                <w:i w:val="0"/>
                <w:color w:val="000000"/>
                <w:kern w:val="0"/>
                <w:sz w:val="20"/>
                <w:szCs w:val="20"/>
                <w:u w:val="none"/>
                <w:lang w:val="en-US" w:eastAsia="zh-CN" w:bidi="ar"/>
              </w:rPr>
              <w:t>17.9</w:t>
            </w:r>
            <w:r>
              <w:rPr>
                <w:rFonts w:hint="eastAsia" w:eastAsia="宋体" w:cs="Times New Roman"/>
                <w:i w:val="0"/>
                <w:color w:val="000000"/>
                <w:kern w:val="0"/>
                <w:sz w:val="20"/>
                <w:szCs w:val="20"/>
                <w:u w:val="none"/>
                <w:lang w:val="en-US" w:eastAsia="zh-CN" w:bidi="ar"/>
              </w:rPr>
              <w:t>5</w:t>
            </w:r>
          </w:p>
        </w:tc>
        <w:tc>
          <w:tcPr>
            <w:tcW w:w="70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shd w:val="clear" w:color="auto" w:fill="FFFFFF"/>
                <w:lang w:val="en-US"/>
              </w:rPr>
            </w:pPr>
            <w:r>
              <w:rPr>
                <w:rFonts w:hint="default" w:ascii="Times New Roman" w:hAnsi="Times New Roman" w:eastAsia="宋体" w:cs="Times New Roman"/>
                <w:i w:val="0"/>
                <w:color w:val="000000"/>
                <w:kern w:val="0"/>
                <w:sz w:val="20"/>
                <w:szCs w:val="20"/>
                <w:u w:val="none"/>
                <w:lang w:val="en-US" w:eastAsia="zh-CN" w:bidi="ar"/>
              </w:rPr>
              <w:t>17.9</w:t>
            </w:r>
            <w:r>
              <w:rPr>
                <w:rFonts w:hint="eastAsia" w:eastAsia="宋体" w:cs="Times New Roman"/>
                <w:i w:val="0"/>
                <w:color w:val="000000"/>
                <w:kern w:val="0"/>
                <w:sz w:val="20"/>
                <w:szCs w:val="20"/>
                <w:u w:val="none"/>
                <w:lang w:val="en-US" w:eastAsia="zh-CN" w:bidi="ar"/>
              </w:rPr>
              <w:t>5</w:t>
            </w:r>
          </w:p>
        </w:tc>
        <w:tc>
          <w:tcPr>
            <w:tcW w:w="42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3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r>
      <w:tr>
        <w:tblPrEx>
          <w:tblCellMar>
            <w:top w:w="0" w:type="dxa"/>
            <w:left w:w="108" w:type="dxa"/>
            <w:bottom w:w="0" w:type="dxa"/>
            <w:right w:w="108" w:type="dxa"/>
          </w:tblCellMar>
        </w:tblPrEx>
        <w:trPr>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0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48"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4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4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0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0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48"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4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4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0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0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48"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4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4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0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3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30"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302.6</w:t>
            </w:r>
            <w:r>
              <w:rPr>
                <w:rFonts w:hint="eastAsia" w:eastAsia="宋体" w:cs="Times New Roman"/>
                <w:i w:val="0"/>
                <w:color w:val="000000"/>
                <w:kern w:val="0"/>
                <w:sz w:val="20"/>
                <w:szCs w:val="20"/>
                <w:u w:val="none"/>
                <w:lang w:val="en-US" w:eastAsia="zh-CN" w:bidi="ar"/>
              </w:rPr>
              <w:t>3</w:t>
            </w:r>
          </w:p>
        </w:tc>
        <w:tc>
          <w:tcPr>
            <w:tcW w:w="80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r>
              <w:rPr>
                <w:rFonts w:hint="default" w:ascii="Times New Roman" w:hAnsi="Times New Roman" w:eastAsia="宋体" w:cs="Times New Roman"/>
                <w:i w:val="0"/>
                <w:color w:val="000000"/>
                <w:kern w:val="0"/>
                <w:sz w:val="20"/>
                <w:szCs w:val="20"/>
                <w:u w:val="none"/>
                <w:lang w:val="en-US" w:eastAsia="zh-CN" w:bidi="ar"/>
              </w:rPr>
              <w:t>284.68</w:t>
            </w:r>
          </w:p>
        </w:tc>
        <w:tc>
          <w:tcPr>
            <w:tcW w:w="8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r>
              <w:rPr>
                <w:rFonts w:hint="default" w:ascii="Times New Roman" w:hAnsi="Times New Roman" w:eastAsia="宋体" w:cs="Times New Roman"/>
                <w:i w:val="0"/>
                <w:color w:val="000000"/>
                <w:kern w:val="0"/>
                <w:sz w:val="20"/>
                <w:szCs w:val="20"/>
                <w:u w:val="none"/>
                <w:lang w:val="en-US" w:eastAsia="zh-CN" w:bidi="ar"/>
              </w:rPr>
              <w:t>284.68</w:t>
            </w:r>
          </w:p>
        </w:tc>
        <w:tc>
          <w:tcPr>
            <w:tcW w:w="36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48"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4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4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r>
              <w:rPr>
                <w:rFonts w:hint="default" w:ascii="Times New Roman" w:hAnsi="Times New Roman" w:eastAsia="宋体" w:cs="Times New Roman"/>
                <w:i w:val="0"/>
                <w:color w:val="000000"/>
                <w:kern w:val="0"/>
                <w:sz w:val="20"/>
                <w:szCs w:val="20"/>
                <w:u w:val="none"/>
                <w:lang w:val="en-US" w:eastAsia="zh-CN" w:bidi="ar"/>
              </w:rPr>
              <w:t>17.9</w:t>
            </w:r>
            <w:r>
              <w:rPr>
                <w:rFonts w:hint="eastAsia" w:eastAsia="宋体" w:cs="Times New Roman"/>
                <w:i w:val="0"/>
                <w:color w:val="000000"/>
                <w:kern w:val="0"/>
                <w:sz w:val="20"/>
                <w:szCs w:val="20"/>
                <w:u w:val="none"/>
                <w:lang w:val="en-US" w:eastAsia="zh-CN" w:bidi="ar"/>
              </w:rPr>
              <w:t>5</w:t>
            </w:r>
          </w:p>
        </w:tc>
        <w:tc>
          <w:tcPr>
            <w:tcW w:w="70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r>
              <w:rPr>
                <w:rFonts w:hint="default" w:ascii="Times New Roman" w:hAnsi="Times New Roman" w:eastAsia="宋体" w:cs="Times New Roman"/>
                <w:i w:val="0"/>
                <w:color w:val="000000"/>
                <w:kern w:val="0"/>
                <w:sz w:val="20"/>
                <w:szCs w:val="20"/>
                <w:u w:val="none"/>
                <w:lang w:val="en-US" w:eastAsia="zh-CN" w:bidi="ar"/>
              </w:rPr>
              <w:t>17.9</w:t>
            </w:r>
            <w:r>
              <w:rPr>
                <w:rFonts w:hint="eastAsia" w:eastAsia="宋体" w:cs="Times New Roman"/>
                <w:i w:val="0"/>
                <w:color w:val="000000"/>
                <w:kern w:val="0"/>
                <w:sz w:val="20"/>
                <w:szCs w:val="20"/>
                <w:u w:val="none"/>
                <w:lang w:val="en-US" w:eastAsia="zh-CN" w:bidi="ar"/>
              </w:rPr>
              <w:t>5</w:t>
            </w:r>
          </w:p>
        </w:tc>
        <w:tc>
          <w:tcPr>
            <w:tcW w:w="42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3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3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2" w:type="dxa"/>
              <w:tblLayout w:type="fixed"/>
              <w:tblCellMar>
                <w:top w:w="15" w:type="dxa"/>
                <w:left w:w="15" w:type="dxa"/>
                <w:bottom w:w="15" w:type="dxa"/>
                <w:right w:w="15" w:type="dxa"/>
              </w:tblCellMar>
            </w:tblPr>
            <w:tblGrid>
              <w:gridCol w:w="3999"/>
              <w:gridCol w:w="1284"/>
              <w:gridCol w:w="984"/>
              <w:gridCol w:w="864"/>
              <w:gridCol w:w="1044"/>
              <w:gridCol w:w="320"/>
              <w:gridCol w:w="544"/>
              <w:gridCol w:w="753"/>
              <w:gridCol w:w="48"/>
            </w:tblGrid>
            <w:tr>
              <w:tblPrEx>
                <w:tblCellMar>
                  <w:top w:w="15" w:type="dxa"/>
                  <w:left w:w="15" w:type="dxa"/>
                  <w:bottom w:w="15" w:type="dxa"/>
                  <w:right w:w="15" w:type="dxa"/>
                </w:tblCellMar>
              </w:tblPrEx>
              <w:trPr>
                <w:gridAfter w:val="1"/>
                <w:wAfter w:w="48" w:type="dxa"/>
                <w:trHeight w:val="636" w:hRule="atLeast"/>
              </w:trPr>
              <w:tc>
                <w:tcPr>
                  <w:tcW w:w="7131" w:type="dxa"/>
                  <w:gridSpan w:val="4"/>
                  <w:tcBorders>
                    <w:bottom w:val="single" w:color="000000" w:sz="4" w:space="0"/>
                  </w:tcBorders>
                  <w:noWrap w:val="0"/>
                  <w:vAlign w:val="center"/>
                </w:tcPr>
                <w:p>
                  <w:pPr>
                    <w:widowControl/>
                    <w:jc w:val="left"/>
                    <w:rPr>
                      <w:rFonts w:eastAsia="华文细黑"/>
                      <w:color w:val="000000"/>
                      <w:kern w:val="0"/>
                      <w:sz w:val="20"/>
                    </w:rPr>
                  </w:pPr>
                </w:p>
              </w:tc>
              <w:tc>
                <w:tcPr>
                  <w:tcW w:w="1044" w:type="dxa"/>
                  <w:tcBorders>
                    <w:bottom w:val="single" w:color="000000" w:sz="4" w:space="0"/>
                  </w:tcBorders>
                  <w:noWrap w:val="0"/>
                  <w:vAlign w:val="center"/>
                </w:tcPr>
                <w:p>
                  <w:pPr>
                    <w:widowControl/>
                    <w:jc w:val="right"/>
                    <w:rPr>
                      <w:rFonts w:eastAsia="华文细黑"/>
                      <w:color w:val="000000"/>
                      <w:kern w:val="0"/>
                      <w:sz w:val="20"/>
                    </w:rPr>
                  </w:pPr>
                </w:p>
              </w:tc>
              <w:tc>
                <w:tcPr>
                  <w:tcW w:w="320" w:type="dxa"/>
                  <w:tcBorders>
                    <w:bottom w:val="single" w:color="000000" w:sz="4" w:space="0"/>
                  </w:tcBorders>
                  <w:noWrap w:val="0"/>
                  <w:vAlign w:val="center"/>
                </w:tcPr>
                <w:p>
                  <w:pPr>
                    <w:widowControl/>
                    <w:jc w:val="right"/>
                    <w:rPr>
                      <w:rFonts w:eastAsia="华文细黑"/>
                      <w:color w:val="000000"/>
                      <w:kern w:val="0"/>
                      <w:sz w:val="20"/>
                    </w:rPr>
                  </w:pPr>
                </w:p>
              </w:tc>
              <w:tc>
                <w:tcPr>
                  <w:tcW w:w="1297" w:type="dxa"/>
                  <w:gridSpan w:val="2"/>
                  <w:tcBorders>
                    <w:bottom w:val="single" w:color="000000" w:sz="4" w:space="0"/>
                  </w:tcBorders>
                  <w:noWrap w:val="0"/>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2211" w:hRule="atLeast"/>
              </w:trPr>
              <w:tc>
                <w:tcPr>
                  <w:tcW w:w="3999"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284" w:type="dxa"/>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事业单位</w:t>
                  </w:r>
                </w:p>
                <w:p>
                  <w:pPr>
                    <w:widowControl/>
                    <w:jc w:val="center"/>
                    <w:rPr>
                      <w:rFonts w:hint="eastAsia" w:eastAsia="华文细黑"/>
                      <w:color w:val="000000"/>
                      <w:kern w:val="0"/>
                      <w:sz w:val="20"/>
                    </w:rPr>
                  </w:pPr>
                  <w:r>
                    <w:rPr>
                      <w:rFonts w:hint="eastAsia" w:eastAsia="华文细黑"/>
                      <w:color w:val="000000"/>
                      <w:kern w:val="0"/>
                      <w:sz w:val="20"/>
                    </w:rPr>
                    <w:t>经营支出</w:t>
                  </w:r>
                </w:p>
              </w:tc>
              <w:tc>
                <w:tcPr>
                  <w:tcW w:w="86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8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CellMar>
                  <w:top w:w="15" w:type="dxa"/>
                  <w:left w:w="15" w:type="dxa"/>
                  <w:bottom w:w="15" w:type="dxa"/>
                  <w:right w:w="15" w:type="dxa"/>
                </w:tblCellMar>
              </w:tblPrEx>
              <w:trPr>
                <w:trHeight w:val="454" w:hRule="exact"/>
              </w:trPr>
              <w:tc>
                <w:tcPr>
                  <w:tcW w:w="3999" w:type="dxa"/>
                  <w:tcBorders>
                    <w:top w:val="single" w:color="000000" w:sz="4" w:space="0"/>
                    <w:left w:val="single" w:color="000000" w:sz="4" w:space="0"/>
                    <w:bottom w:val="single" w:color="000000" w:sz="4" w:space="0"/>
                  </w:tcBorders>
                  <w:shd w:val="clear" w:color="000000" w:fill="FFFFFF"/>
                  <w:noWrap w:val="0"/>
                  <w:vAlign w:val="center"/>
                </w:tcPr>
                <w:p>
                  <w:pPr>
                    <w:ind w:firstLine="200" w:firstLineChars="100"/>
                    <w:rPr>
                      <w:rFonts w:hint="eastAsia" w:eastAsia="宋体"/>
                      <w:color w:val="000000"/>
                      <w:kern w:val="0"/>
                      <w:sz w:val="20"/>
                      <w:lang w:val="en-US" w:eastAsia="zh-CN"/>
                    </w:rPr>
                  </w:pPr>
                  <w:r>
                    <w:rPr>
                      <w:rFonts w:hint="eastAsia" w:ascii="宋体" w:eastAsia="宋体"/>
                      <w:sz w:val="20"/>
                    </w:rPr>
                    <w:t>一、一般公共服务</w:t>
                  </w:r>
                  <w:r>
                    <w:rPr>
                      <w:rFonts w:hint="eastAsia" w:ascii="宋体" w:eastAsia="宋体"/>
                      <w:sz w:val="20"/>
                      <w:lang w:val="en-US" w:eastAsia="zh-CN"/>
                    </w:rPr>
                    <w:t>支出</w:t>
                  </w:r>
                </w:p>
              </w:tc>
              <w:tc>
                <w:tcPr>
                  <w:tcW w:w="12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256.19</w:t>
                  </w:r>
                </w:p>
              </w:tc>
              <w:tc>
                <w:tcPr>
                  <w:tcW w:w="9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119.18</w:t>
                  </w:r>
                </w:p>
              </w:tc>
              <w:tc>
                <w:tcPr>
                  <w:tcW w:w="8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137.01</w:t>
                  </w:r>
                </w:p>
              </w:tc>
              <w:tc>
                <w:tcPr>
                  <w:tcW w:w="10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80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54" w:hRule="exact"/>
              </w:trPr>
              <w:tc>
                <w:tcPr>
                  <w:tcW w:w="3999" w:type="dxa"/>
                  <w:tcBorders>
                    <w:top w:val="single" w:color="000000" w:sz="4" w:space="0"/>
                    <w:left w:val="single" w:color="000000" w:sz="4" w:space="0"/>
                    <w:bottom w:val="single" w:color="000000" w:sz="4" w:space="0"/>
                  </w:tcBorders>
                  <w:shd w:val="clear" w:color="000000" w:fill="FFFFFF"/>
                  <w:noWrap w:val="0"/>
                  <w:vAlign w:val="center"/>
                </w:tcPr>
                <w:p>
                  <w:pPr>
                    <w:rPr>
                      <w:rFonts w:eastAsia="宋体"/>
                      <w:color w:val="000000"/>
                      <w:kern w:val="0"/>
                      <w:sz w:val="20"/>
                    </w:rPr>
                  </w:pPr>
                  <w:r>
                    <w:rPr>
                      <w:rFonts w:hint="eastAsia" w:ascii="宋体" w:eastAsia="宋体"/>
                      <w:sz w:val="20"/>
                    </w:rPr>
                    <w:t>　  统计信息事务</w:t>
                  </w:r>
                </w:p>
              </w:tc>
              <w:tc>
                <w:tcPr>
                  <w:tcW w:w="12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256.19</w:t>
                  </w:r>
                </w:p>
              </w:tc>
              <w:tc>
                <w:tcPr>
                  <w:tcW w:w="9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119.18</w:t>
                  </w:r>
                </w:p>
              </w:tc>
              <w:tc>
                <w:tcPr>
                  <w:tcW w:w="8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137.01</w:t>
                  </w:r>
                </w:p>
              </w:tc>
              <w:tc>
                <w:tcPr>
                  <w:tcW w:w="10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80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54" w:hRule="exact"/>
              </w:trPr>
              <w:tc>
                <w:tcPr>
                  <w:tcW w:w="3999" w:type="dxa"/>
                  <w:tcBorders>
                    <w:top w:val="single" w:color="000000" w:sz="4" w:space="0"/>
                    <w:left w:val="single" w:color="000000" w:sz="4" w:space="0"/>
                    <w:bottom w:val="single" w:color="000000" w:sz="4" w:space="0"/>
                  </w:tcBorders>
                  <w:shd w:val="clear" w:color="000000" w:fill="FFFFFF"/>
                  <w:noWrap w:val="0"/>
                  <w:vAlign w:val="center"/>
                </w:tcPr>
                <w:p>
                  <w:pPr>
                    <w:rPr>
                      <w:rFonts w:eastAsia="宋体"/>
                      <w:color w:val="000000"/>
                      <w:kern w:val="0"/>
                      <w:sz w:val="20"/>
                    </w:rPr>
                  </w:pPr>
                  <w:r>
                    <w:rPr>
                      <w:rFonts w:hint="eastAsia" w:ascii="宋体" w:eastAsia="宋体"/>
                      <w:sz w:val="20"/>
                    </w:rPr>
                    <w:t>　　  行政运行</w:t>
                  </w:r>
                </w:p>
              </w:tc>
              <w:tc>
                <w:tcPr>
                  <w:tcW w:w="12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119.18</w:t>
                  </w:r>
                </w:p>
              </w:tc>
              <w:tc>
                <w:tcPr>
                  <w:tcW w:w="9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119.18</w:t>
                  </w:r>
                </w:p>
              </w:tc>
              <w:tc>
                <w:tcPr>
                  <w:tcW w:w="8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80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54" w:hRule="exact"/>
              </w:trPr>
              <w:tc>
                <w:tcPr>
                  <w:tcW w:w="3999" w:type="dxa"/>
                  <w:tcBorders>
                    <w:top w:val="single" w:color="000000" w:sz="4" w:space="0"/>
                    <w:left w:val="single" w:color="000000" w:sz="4" w:space="0"/>
                    <w:bottom w:val="single" w:color="000000" w:sz="4" w:space="0"/>
                  </w:tcBorders>
                  <w:shd w:val="clear" w:color="000000" w:fill="FFFFFF"/>
                  <w:noWrap w:val="0"/>
                  <w:vAlign w:val="center"/>
                </w:tcPr>
                <w:p>
                  <w:pPr>
                    <w:rPr>
                      <w:rFonts w:eastAsia="宋体"/>
                      <w:color w:val="000000"/>
                      <w:kern w:val="0"/>
                      <w:sz w:val="20"/>
                    </w:rPr>
                  </w:pPr>
                  <w:r>
                    <w:rPr>
                      <w:rFonts w:hint="eastAsia" w:ascii="宋体" w:eastAsia="宋体"/>
                      <w:sz w:val="20"/>
                    </w:rPr>
                    <w:t>　　  一般行政管理事务</w:t>
                  </w:r>
                </w:p>
              </w:tc>
              <w:tc>
                <w:tcPr>
                  <w:tcW w:w="12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20.59</w:t>
                  </w:r>
                </w:p>
              </w:tc>
              <w:tc>
                <w:tcPr>
                  <w:tcW w:w="9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20.59</w:t>
                  </w:r>
                </w:p>
              </w:tc>
              <w:tc>
                <w:tcPr>
                  <w:tcW w:w="10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80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54" w:hRule="exact"/>
              </w:trPr>
              <w:tc>
                <w:tcPr>
                  <w:tcW w:w="399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华文细黑" w:hAnsi="华文细黑" w:eastAsia="华文细黑" w:cs="华文细黑"/>
                      <w:i w:val="0"/>
                      <w:color w:val="000000"/>
                      <w:kern w:val="2"/>
                      <w:sz w:val="16"/>
                      <w:szCs w:val="16"/>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　　  专项普查活动</w:t>
                  </w:r>
                </w:p>
              </w:tc>
              <w:tc>
                <w:tcPr>
                  <w:tcW w:w="12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116.42</w:t>
                  </w:r>
                </w:p>
              </w:tc>
              <w:tc>
                <w:tcPr>
                  <w:tcW w:w="9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116.42</w:t>
                  </w:r>
                </w:p>
              </w:tc>
              <w:tc>
                <w:tcPr>
                  <w:tcW w:w="10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80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54" w:hRule="exact"/>
              </w:trPr>
              <w:tc>
                <w:tcPr>
                  <w:tcW w:w="3999" w:type="dxa"/>
                  <w:tcBorders>
                    <w:top w:val="single" w:color="000000" w:sz="4" w:space="0"/>
                    <w:left w:val="single" w:color="000000" w:sz="4" w:space="0"/>
                    <w:bottom w:val="single" w:color="000000" w:sz="4" w:space="0"/>
                  </w:tcBorders>
                  <w:shd w:val="clear" w:color="000000" w:fill="FFFFFF"/>
                  <w:noWrap w:val="0"/>
                  <w:vAlign w:val="center"/>
                </w:tcPr>
                <w:p>
                  <w:pPr>
                    <w:ind w:firstLine="200" w:firstLineChars="100"/>
                    <w:rPr>
                      <w:rFonts w:eastAsia="宋体"/>
                      <w:color w:val="000000"/>
                      <w:kern w:val="0"/>
                      <w:sz w:val="20"/>
                    </w:rPr>
                  </w:pPr>
                  <w:r>
                    <w:rPr>
                      <w:rFonts w:hint="eastAsia" w:ascii="宋体" w:eastAsia="宋体"/>
                      <w:sz w:val="20"/>
                    </w:rPr>
                    <w:t>二、社会保障和就业支出</w:t>
                  </w:r>
                </w:p>
              </w:tc>
              <w:tc>
                <w:tcPr>
                  <w:tcW w:w="12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24.78</w:t>
                  </w:r>
                </w:p>
              </w:tc>
              <w:tc>
                <w:tcPr>
                  <w:tcW w:w="9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24.78</w:t>
                  </w:r>
                </w:p>
              </w:tc>
              <w:tc>
                <w:tcPr>
                  <w:tcW w:w="8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80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54" w:hRule="exact"/>
              </w:trPr>
              <w:tc>
                <w:tcPr>
                  <w:tcW w:w="3999" w:type="dxa"/>
                  <w:tcBorders>
                    <w:top w:val="single" w:color="000000" w:sz="4" w:space="0"/>
                    <w:left w:val="single" w:color="000000" w:sz="4" w:space="0"/>
                    <w:bottom w:val="single" w:color="000000" w:sz="4" w:space="0"/>
                  </w:tcBorders>
                  <w:shd w:val="clear" w:color="000000" w:fill="FFFFFF"/>
                  <w:noWrap w:val="0"/>
                  <w:vAlign w:val="center"/>
                </w:tcPr>
                <w:p>
                  <w:pPr>
                    <w:rPr>
                      <w:rFonts w:eastAsia="宋体"/>
                      <w:color w:val="000000"/>
                      <w:kern w:val="0"/>
                      <w:sz w:val="20"/>
                    </w:rPr>
                  </w:pPr>
                  <w:r>
                    <w:rPr>
                      <w:rFonts w:hint="eastAsia" w:ascii="宋体" w:eastAsia="宋体"/>
                      <w:sz w:val="20"/>
                    </w:rPr>
                    <w:t>　  行政事业单位养老支出</w:t>
                  </w:r>
                </w:p>
              </w:tc>
              <w:tc>
                <w:tcPr>
                  <w:tcW w:w="12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24.78</w:t>
                  </w:r>
                </w:p>
              </w:tc>
              <w:tc>
                <w:tcPr>
                  <w:tcW w:w="9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24.78</w:t>
                  </w:r>
                </w:p>
              </w:tc>
              <w:tc>
                <w:tcPr>
                  <w:tcW w:w="8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80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54" w:hRule="exact"/>
              </w:trPr>
              <w:tc>
                <w:tcPr>
                  <w:tcW w:w="3999" w:type="dxa"/>
                  <w:tcBorders>
                    <w:top w:val="single" w:color="000000" w:sz="4" w:space="0"/>
                    <w:left w:val="single" w:color="000000" w:sz="4" w:space="0"/>
                    <w:bottom w:val="single" w:color="000000" w:sz="4" w:space="0"/>
                  </w:tcBorders>
                  <w:shd w:val="clear" w:color="000000" w:fill="FFFFFF"/>
                  <w:noWrap w:val="0"/>
                  <w:vAlign w:val="center"/>
                </w:tcPr>
                <w:p>
                  <w:pPr>
                    <w:rPr>
                      <w:rFonts w:eastAsia="宋体"/>
                      <w:color w:val="000000"/>
                      <w:kern w:val="0"/>
                      <w:sz w:val="20"/>
                    </w:rPr>
                  </w:pPr>
                  <w:r>
                    <w:rPr>
                      <w:rFonts w:hint="eastAsia" w:ascii="宋体" w:eastAsia="宋体"/>
                      <w:sz w:val="20"/>
                    </w:rPr>
                    <w:t>　　  行政单位离退休</w:t>
                  </w:r>
                </w:p>
              </w:tc>
              <w:tc>
                <w:tcPr>
                  <w:tcW w:w="12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9.01</w:t>
                  </w:r>
                </w:p>
              </w:tc>
              <w:tc>
                <w:tcPr>
                  <w:tcW w:w="9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9.01</w:t>
                  </w:r>
                </w:p>
              </w:tc>
              <w:tc>
                <w:tcPr>
                  <w:tcW w:w="8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80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54" w:hRule="exact"/>
              </w:trPr>
              <w:tc>
                <w:tcPr>
                  <w:tcW w:w="3999" w:type="dxa"/>
                  <w:tcBorders>
                    <w:top w:val="single" w:color="000000" w:sz="4" w:space="0"/>
                    <w:left w:val="single" w:color="000000" w:sz="4" w:space="0"/>
                    <w:bottom w:val="single" w:color="000000" w:sz="4" w:space="0"/>
                  </w:tcBorders>
                  <w:shd w:val="clear" w:color="000000" w:fill="FFFFFF"/>
                  <w:noWrap w:val="0"/>
                  <w:vAlign w:val="center"/>
                </w:tcPr>
                <w:p>
                  <w:pPr>
                    <w:ind w:firstLine="600" w:firstLineChars="300"/>
                    <w:rPr>
                      <w:rFonts w:eastAsia="宋体"/>
                      <w:color w:val="000000"/>
                      <w:kern w:val="0"/>
                      <w:sz w:val="20"/>
                    </w:rPr>
                  </w:pPr>
                  <w:r>
                    <w:rPr>
                      <w:rFonts w:hint="eastAsia" w:ascii="宋体" w:eastAsia="宋体"/>
                      <w:sz w:val="20"/>
                    </w:rPr>
                    <w:t>机关事业单位基本养老保险缴费支出</w:t>
                  </w:r>
                </w:p>
              </w:tc>
              <w:tc>
                <w:tcPr>
                  <w:tcW w:w="12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15.77</w:t>
                  </w:r>
                </w:p>
              </w:tc>
              <w:tc>
                <w:tcPr>
                  <w:tcW w:w="9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15.77</w:t>
                  </w:r>
                </w:p>
              </w:tc>
              <w:tc>
                <w:tcPr>
                  <w:tcW w:w="8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80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54" w:hRule="exact"/>
              </w:trPr>
              <w:tc>
                <w:tcPr>
                  <w:tcW w:w="3999" w:type="dxa"/>
                  <w:tcBorders>
                    <w:top w:val="single" w:color="000000" w:sz="4" w:space="0"/>
                    <w:left w:val="single" w:color="000000" w:sz="4" w:space="0"/>
                    <w:bottom w:val="single" w:color="000000" w:sz="4" w:space="0"/>
                  </w:tcBorders>
                  <w:shd w:val="clear" w:color="000000" w:fill="FFFFFF"/>
                  <w:noWrap w:val="0"/>
                  <w:vAlign w:val="center"/>
                </w:tcPr>
                <w:p>
                  <w:pPr>
                    <w:ind w:firstLine="200" w:firstLineChars="100"/>
                    <w:rPr>
                      <w:rFonts w:eastAsia="华文细黑"/>
                      <w:color w:val="000000"/>
                      <w:kern w:val="0"/>
                      <w:sz w:val="20"/>
                    </w:rPr>
                  </w:pPr>
                  <w:r>
                    <w:rPr>
                      <w:rFonts w:hint="eastAsia" w:ascii="宋体" w:eastAsia="宋体"/>
                      <w:sz w:val="20"/>
                    </w:rPr>
                    <w:t>三、卫生健康支出</w:t>
                  </w:r>
                </w:p>
              </w:tc>
              <w:tc>
                <w:tcPr>
                  <w:tcW w:w="12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9.93</w:t>
                  </w:r>
                </w:p>
              </w:tc>
              <w:tc>
                <w:tcPr>
                  <w:tcW w:w="9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9.93</w:t>
                  </w:r>
                </w:p>
              </w:tc>
              <w:tc>
                <w:tcPr>
                  <w:tcW w:w="8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0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exact"/>
              </w:trPr>
              <w:tc>
                <w:tcPr>
                  <w:tcW w:w="3999" w:type="dxa"/>
                  <w:tcBorders>
                    <w:top w:val="single" w:color="000000" w:sz="4" w:space="0"/>
                    <w:left w:val="single" w:color="000000" w:sz="4" w:space="0"/>
                    <w:bottom w:val="single" w:color="000000" w:sz="4" w:space="0"/>
                  </w:tcBorders>
                  <w:shd w:val="clear" w:color="000000" w:fill="FFFFFF"/>
                  <w:noWrap w:val="0"/>
                  <w:vAlign w:val="center"/>
                </w:tcPr>
                <w:p>
                  <w:pPr>
                    <w:rPr>
                      <w:rFonts w:eastAsia="宋体"/>
                      <w:color w:val="000000"/>
                      <w:kern w:val="0"/>
                      <w:sz w:val="20"/>
                    </w:rPr>
                  </w:pPr>
                  <w:r>
                    <w:rPr>
                      <w:rFonts w:hint="eastAsia" w:ascii="宋体" w:eastAsia="宋体"/>
                      <w:sz w:val="20"/>
                    </w:rPr>
                    <w:t>　  行政事业单位医疗</w:t>
                  </w:r>
                </w:p>
              </w:tc>
              <w:tc>
                <w:tcPr>
                  <w:tcW w:w="12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9.93</w:t>
                  </w:r>
                </w:p>
              </w:tc>
              <w:tc>
                <w:tcPr>
                  <w:tcW w:w="9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9.93</w:t>
                  </w:r>
                </w:p>
              </w:tc>
              <w:tc>
                <w:tcPr>
                  <w:tcW w:w="8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0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exact"/>
              </w:trPr>
              <w:tc>
                <w:tcPr>
                  <w:tcW w:w="3999" w:type="dxa"/>
                  <w:tcBorders>
                    <w:top w:val="single" w:color="000000" w:sz="4" w:space="0"/>
                    <w:left w:val="single" w:color="000000" w:sz="4" w:space="0"/>
                    <w:bottom w:val="single" w:color="000000" w:sz="4" w:space="0"/>
                  </w:tcBorders>
                  <w:shd w:val="clear" w:color="000000" w:fill="FFFFFF"/>
                  <w:noWrap w:val="0"/>
                  <w:vAlign w:val="center"/>
                </w:tcPr>
                <w:p>
                  <w:pPr>
                    <w:rPr>
                      <w:rFonts w:eastAsia="宋体"/>
                      <w:color w:val="000000"/>
                      <w:kern w:val="0"/>
                      <w:sz w:val="20"/>
                    </w:rPr>
                  </w:pPr>
                  <w:r>
                    <w:rPr>
                      <w:rFonts w:hint="eastAsia" w:ascii="宋体" w:eastAsia="宋体"/>
                      <w:sz w:val="20"/>
                    </w:rPr>
                    <w:t>　　  行政单位医疗</w:t>
                  </w:r>
                </w:p>
              </w:tc>
              <w:tc>
                <w:tcPr>
                  <w:tcW w:w="12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9.93</w:t>
                  </w:r>
                </w:p>
              </w:tc>
              <w:tc>
                <w:tcPr>
                  <w:tcW w:w="9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9.93</w:t>
                  </w:r>
                </w:p>
              </w:tc>
              <w:tc>
                <w:tcPr>
                  <w:tcW w:w="8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0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exact"/>
              </w:trPr>
              <w:tc>
                <w:tcPr>
                  <w:tcW w:w="3999" w:type="dxa"/>
                  <w:tcBorders>
                    <w:top w:val="single" w:color="000000" w:sz="4" w:space="0"/>
                    <w:left w:val="single" w:color="000000" w:sz="4" w:space="0"/>
                    <w:bottom w:val="single" w:color="000000" w:sz="4" w:space="0"/>
                  </w:tcBorders>
                  <w:shd w:val="clear" w:color="000000" w:fill="FFFFFF"/>
                  <w:noWrap w:val="0"/>
                  <w:vAlign w:val="center"/>
                </w:tcPr>
                <w:p>
                  <w:pPr>
                    <w:ind w:firstLine="200" w:firstLineChars="100"/>
                    <w:rPr>
                      <w:rFonts w:eastAsia="宋体"/>
                      <w:color w:val="000000"/>
                      <w:kern w:val="0"/>
                      <w:sz w:val="20"/>
                    </w:rPr>
                  </w:pPr>
                  <w:r>
                    <w:rPr>
                      <w:rFonts w:hint="eastAsia" w:ascii="宋体" w:eastAsia="宋体"/>
                      <w:sz w:val="20"/>
                    </w:rPr>
                    <w:t>四、住房保障支出</w:t>
                  </w:r>
                </w:p>
              </w:tc>
              <w:tc>
                <w:tcPr>
                  <w:tcW w:w="12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11.72</w:t>
                  </w:r>
                </w:p>
              </w:tc>
              <w:tc>
                <w:tcPr>
                  <w:tcW w:w="9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11.72</w:t>
                  </w:r>
                </w:p>
              </w:tc>
              <w:tc>
                <w:tcPr>
                  <w:tcW w:w="8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0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exact"/>
              </w:trPr>
              <w:tc>
                <w:tcPr>
                  <w:tcW w:w="3999" w:type="dxa"/>
                  <w:tcBorders>
                    <w:top w:val="single" w:color="000000" w:sz="4" w:space="0"/>
                    <w:left w:val="single" w:color="000000" w:sz="4" w:space="0"/>
                    <w:bottom w:val="single" w:color="000000" w:sz="4" w:space="0"/>
                  </w:tcBorders>
                  <w:shd w:val="clear" w:color="000000" w:fill="FFFFFF"/>
                  <w:noWrap w:val="0"/>
                  <w:vAlign w:val="center"/>
                </w:tcPr>
                <w:p>
                  <w:pPr>
                    <w:rPr>
                      <w:rFonts w:eastAsia="宋体"/>
                      <w:color w:val="000000"/>
                      <w:kern w:val="0"/>
                      <w:sz w:val="20"/>
                    </w:rPr>
                  </w:pPr>
                  <w:r>
                    <w:rPr>
                      <w:rFonts w:hint="eastAsia" w:ascii="宋体" w:eastAsia="宋体"/>
                      <w:sz w:val="20"/>
                    </w:rPr>
                    <w:t>　  住房改革支出</w:t>
                  </w:r>
                </w:p>
              </w:tc>
              <w:tc>
                <w:tcPr>
                  <w:tcW w:w="12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11.72</w:t>
                  </w:r>
                </w:p>
              </w:tc>
              <w:tc>
                <w:tcPr>
                  <w:tcW w:w="9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11.72</w:t>
                  </w:r>
                </w:p>
              </w:tc>
              <w:tc>
                <w:tcPr>
                  <w:tcW w:w="8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0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exact"/>
              </w:trPr>
              <w:tc>
                <w:tcPr>
                  <w:tcW w:w="3999" w:type="dxa"/>
                  <w:tcBorders>
                    <w:top w:val="single" w:color="000000" w:sz="4" w:space="0"/>
                    <w:left w:val="single" w:color="000000" w:sz="4" w:space="0"/>
                    <w:bottom w:val="single" w:color="000000" w:sz="4" w:space="0"/>
                  </w:tcBorders>
                  <w:shd w:val="clear" w:color="000000" w:fill="FFFFFF"/>
                  <w:noWrap w:val="0"/>
                  <w:vAlign w:val="center"/>
                </w:tcPr>
                <w:p>
                  <w:pPr>
                    <w:rPr>
                      <w:rFonts w:eastAsia="宋体"/>
                      <w:color w:val="000000"/>
                      <w:kern w:val="0"/>
                      <w:sz w:val="20"/>
                    </w:rPr>
                  </w:pPr>
                  <w:r>
                    <w:rPr>
                      <w:rFonts w:hint="eastAsia" w:ascii="宋体" w:eastAsia="宋体"/>
                      <w:sz w:val="20"/>
                    </w:rPr>
                    <w:t>　　  住房公积金</w:t>
                  </w:r>
                </w:p>
              </w:tc>
              <w:tc>
                <w:tcPr>
                  <w:tcW w:w="12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11.72</w:t>
                  </w:r>
                </w:p>
              </w:tc>
              <w:tc>
                <w:tcPr>
                  <w:tcW w:w="9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11.72</w:t>
                  </w:r>
                </w:p>
              </w:tc>
              <w:tc>
                <w:tcPr>
                  <w:tcW w:w="8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0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exact"/>
              </w:trPr>
              <w:tc>
                <w:tcPr>
                  <w:tcW w:w="3999"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12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302.62</w:t>
                  </w:r>
                </w:p>
              </w:tc>
              <w:tc>
                <w:tcPr>
                  <w:tcW w:w="9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165.61</w:t>
                  </w:r>
                </w:p>
              </w:tc>
              <w:tc>
                <w:tcPr>
                  <w:tcW w:w="8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137.01</w:t>
                  </w:r>
                </w:p>
              </w:tc>
              <w:tc>
                <w:tcPr>
                  <w:tcW w:w="10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6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0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pPr>
        <w:ind w:firstLine="640" w:firstLineChars="200"/>
      </w:pPr>
    </w:p>
    <w:p>
      <w:pPr>
        <w:ind w:firstLine="640" w:firstLineChars="200"/>
      </w:pPr>
    </w:p>
    <w:p>
      <w:pPr>
        <w:ind w:firstLine="640" w:firstLineChars="200"/>
      </w:pPr>
    </w:p>
    <w:tbl>
      <w:tblPr>
        <w:tblStyle w:val="9"/>
        <w:tblW w:w="0" w:type="auto"/>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302.6</w:t>
                  </w:r>
                  <w:r>
                    <w:rPr>
                      <w:rFonts w:hint="eastAsia" w:eastAsia="宋体" w:cs="Times New Roman"/>
                      <w:i w:val="0"/>
                      <w:color w:val="000000"/>
                      <w:kern w:val="0"/>
                      <w:sz w:val="20"/>
                      <w:szCs w:val="20"/>
                      <w:u w:val="none"/>
                      <w:lang w:val="en-US" w:eastAsia="zh-CN" w:bidi="ar"/>
                    </w:rPr>
                    <w:t>3</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284.68</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17.9</w:t>
                  </w:r>
                  <w:r>
                    <w:rPr>
                      <w:rFonts w:hint="eastAsia" w:eastAsia="宋体" w:cs="Times New Roman"/>
                      <w:i w:val="0"/>
                      <w:color w:val="000000"/>
                      <w:kern w:val="0"/>
                      <w:sz w:val="20"/>
                      <w:szCs w:val="20"/>
                      <w:u w:val="none"/>
                      <w:lang w:val="en-US" w:eastAsia="zh-CN" w:bidi="ar"/>
                    </w:rPr>
                    <w:t>5</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302.6</w:t>
                  </w:r>
                  <w:r>
                    <w:rPr>
                      <w:rFonts w:hint="eastAsia" w:eastAsia="宋体" w:cs="Times New Roman"/>
                      <w:i w:val="0"/>
                      <w:color w:val="000000"/>
                      <w:kern w:val="0"/>
                      <w:sz w:val="20"/>
                      <w:szCs w:val="20"/>
                      <w:u w:val="none"/>
                      <w:lang w:val="en-US" w:eastAsia="zh-CN" w:bidi="ar"/>
                    </w:rPr>
                    <w:t>3</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284.68</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17.9</w:t>
                  </w:r>
                  <w:r>
                    <w:rPr>
                      <w:rFonts w:hint="eastAsia" w:eastAsia="宋体" w:cs="Times New Roman"/>
                      <w:i w:val="0"/>
                      <w:color w:val="000000"/>
                      <w:kern w:val="0"/>
                      <w:sz w:val="20"/>
                      <w:szCs w:val="20"/>
                      <w:u w:val="none"/>
                      <w:lang w:val="en-US" w:eastAsia="zh-CN" w:bidi="ar"/>
                    </w:rPr>
                    <w:t>5</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302.6</w:t>
                  </w:r>
                  <w:r>
                    <w:rPr>
                      <w:rFonts w:hint="eastAsia" w:eastAsia="宋体" w:cs="Times New Roman"/>
                      <w:i w:val="0"/>
                      <w:color w:val="000000"/>
                      <w:kern w:val="0"/>
                      <w:sz w:val="20"/>
                      <w:szCs w:val="20"/>
                      <w:u w:val="none"/>
                      <w:lang w:val="en-US" w:eastAsia="zh-CN" w:bidi="ar"/>
                    </w:rPr>
                    <w:t>3</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284.68</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17.9</w:t>
                  </w:r>
                  <w:r>
                    <w:rPr>
                      <w:rFonts w:hint="eastAsia" w:eastAsia="宋体" w:cs="Times New Roman"/>
                      <w:i w:val="0"/>
                      <w:color w:val="000000"/>
                      <w:kern w:val="0"/>
                      <w:sz w:val="20"/>
                      <w:szCs w:val="20"/>
                      <w:u w:val="none"/>
                      <w:lang w:val="en-US" w:eastAsia="zh-CN" w:bidi="ar"/>
                    </w:rPr>
                    <w:t>5</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val="en-US" w:eastAsia="zh-CN"/>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val="en-US"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256.19</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243.17</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13.02</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rPr>
                      <w:rFonts w:eastAsia="宋体"/>
                      <w:color w:val="000000"/>
                      <w:kern w:val="0"/>
                      <w:sz w:val="20"/>
                    </w:rPr>
                  </w:pPr>
                  <w:r>
                    <w:rPr>
                      <w:rFonts w:hint="eastAsia" w:ascii="宋体" w:eastAsia="宋体"/>
                      <w:sz w:val="20"/>
                    </w:rPr>
                    <w:t>（二）社会保障和就业支出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24.78</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21.95</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2.83</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rPr>
                      <w:rFonts w:eastAsia="宋体"/>
                      <w:color w:val="000000"/>
                      <w:kern w:val="0"/>
                      <w:sz w:val="20"/>
                    </w:rPr>
                  </w:pPr>
                  <w:r>
                    <w:rPr>
                      <w:rFonts w:hint="eastAsia" w:ascii="宋体" w:eastAsia="宋体"/>
                      <w:sz w:val="20"/>
                    </w:rPr>
                    <w:t>（三）卫生健康支出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9.93</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7.84</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2.09</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rPr>
                      <w:rFonts w:eastAsia="宋体"/>
                      <w:color w:val="000000"/>
                      <w:kern w:val="0"/>
                      <w:sz w:val="20"/>
                    </w:rPr>
                  </w:pPr>
                  <w:r>
                    <w:rPr>
                      <w:rFonts w:hint="eastAsia" w:ascii="宋体" w:eastAsia="宋体"/>
                      <w:sz w:val="20"/>
                    </w:rPr>
                    <w:t>（四）住房保障支出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11.72</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11.72</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default" w:ascii="Times New Roman" w:hAnsi="Times New Roman" w:eastAsia="宋体" w:cs="Times New Roman"/>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default" w:ascii="Times New Roman" w:hAnsi="Times New Roman" w:eastAsia="宋体" w:cs="Times New Roman"/>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default" w:ascii="Times New Roman" w:hAnsi="Times New Roman" w:eastAsia="宋体" w:cs="Times New Roman"/>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default" w:ascii="Times New Roman" w:hAnsi="Times New Roman" w:eastAsia="宋体" w:cs="Times New Roman"/>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hint="default" w:ascii="Times New Roman" w:hAnsi="Times New Roman" w:eastAsia="宋体" w:cs="Times New Roman"/>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hint="default" w:ascii="Times New Roman" w:hAnsi="Times New Roman" w:eastAsia="宋体" w:cs="Times New Roman"/>
                      <w:sz w:val="20"/>
                      <w:szCs w:val="20"/>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黑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302.6</w:t>
                  </w:r>
                  <w:r>
                    <w:rPr>
                      <w:rFonts w:hint="eastAsia" w:eastAsia="宋体" w:cs="Times New Roman"/>
                      <w:i w:val="0"/>
                      <w:color w:val="000000"/>
                      <w:kern w:val="0"/>
                      <w:sz w:val="20"/>
                      <w:szCs w:val="20"/>
                      <w:u w:val="none"/>
                      <w:lang w:val="en-US" w:eastAsia="zh-CN" w:bidi="ar"/>
                    </w:rPr>
                    <w:t>3</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黑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284.68</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黑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17.9</w:t>
                  </w:r>
                  <w:r>
                    <w:rPr>
                      <w:rFonts w:hint="eastAsia" w:eastAsia="宋体" w:cs="Times New Roman"/>
                      <w:i w:val="0"/>
                      <w:color w:val="000000"/>
                      <w:kern w:val="0"/>
                      <w:sz w:val="20"/>
                      <w:szCs w:val="20"/>
                      <w:u w:val="none"/>
                      <w:lang w:val="en-US" w:eastAsia="zh-CN" w:bidi="ar"/>
                    </w:rPr>
                    <w:t>5</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302.6</w:t>
                  </w:r>
                  <w:r>
                    <w:rPr>
                      <w:rFonts w:hint="eastAsia" w:eastAsia="宋体" w:cs="Times New Roman"/>
                      <w:i w:val="0"/>
                      <w:color w:val="000000"/>
                      <w:kern w:val="0"/>
                      <w:sz w:val="20"/>
                      <w:szCs w:val="20"/>
                      <w:u w:val="none"/>
                      <w:lang w:val="en-US" w:eastAsia="zh-CN" w:bidi="ar"/>
                    </w:rPr>
                    <w:t>3</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284.68</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17.9</w:t>
                  </w:r>
                  <w:r>
                    <w:rPr>
                      <w:rFonts w:hint="eastAsia" w:eastAsia="宋体" w:cs="Times New Roman"/>
                      <w:i w:val="0"/>
                      <w:color w:val="000000"/>
                      <w:kern w:val="0"/>
                      <w:sz w:val="20"/>
                      <w:szCs w:val="20"/>
                      <w:u w:val="none"/>
                      <w:lang w:val="en-US" w:eastAsia="zh-CN" w:bidi="ar"/>
                    </w:rPr>
                    <w:t>5</w:t>
                  </w:r>
                </w:p>
              </w:tc>
            </w:tr>
          </w:tbl>
          <w:p>
            <w:pPr>
              <w:widowControl/>
              <w:rPr>
                <w:rFonts w:eastAsia="方正小标宋简体"/>
                <w:kern w:val="0"/>
                <w:sz w:val="44"/>
                <w:szCs w:val="44"/>
              </w:rPr>
            </w:pPr>
          </w:p>
        </w:tc>
      </w:tr>
    </w:tbl>
    <w:p>
      <w:pPr>
        <w:ind w:firstLine="640" w:firstLineChars="200"/>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3919"/>
              <w:gridCol w:w="972"/>
              <w:gridCol w:w="840"/>
              <w:gridCol w:w="1116"/>
              <w:gridCol w:w="1008"/>
              <w:gridCol w:w="934"/>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3919"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972"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2964"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93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3919"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97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964"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9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3919"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97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合计</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人员经费</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公用经费</w:t>
                  </w:r>
                </w:p>
              </w:tc>
              <w:tc>
                <w:tcPr>
                  <w:tcW w:w="9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3919" w:type="dxa"/>
                  <w:tcBorders>
                    <w:top w:val="single" w:color="000000" w:sz="4" w:space="0"/>
                    <w:left w:val="single" w:color="000000" w:sz="4" w:space="0"/>
                    <w:bottom w:val="single" w:color="000000" w:sz="4" w:space="0"/>
                  </w:tcBorders>
                  <w:shd w:val="clear" w:color="000000" w:fill="FFFFFF"/>
                  <w:noWrap w:val="0"/>
                  <w:vAlign w:val="center"/>
                </w:tcPr>
                <w:p>
                  <w:pPr>
                    <w:widowControl/>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97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256.19</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119.18</w:t>
                  </w:r>
                </w:p>
              </w:tc>
              <w:tc>
                <w:tcPr>
                  <w:tcW w:w="111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97.77</w:t>
                  </w:r>
                </w:p>
              </w:tc>
              <w:tc>
                <w:tcPr>
                  <w:tcW w:w="10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21.41</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137.01</w:t>
                  </w:r>
                </w:p>
              </w:tc>
            </w:tr>
            <w:tr>
              <w:tblPrEx>
                <w:tblCellMar>
                  <w:top w:w="15" w:type="dxa"/>
                  <w:left w:w="15" w:type="dxa"/>
                  <w:bottom w:w="15" w:type="dxa"/>
                  <w:right w:w="15" w:type="dxa"/>
                </w:tblCellMar>
              </w:tblPrEx>
              <w:trPr>
                <w:trHeight w:val="390" w:hRule="atLeast"/>
              </w:trPr>
              <w:tc>
                <w:tcPr>
                  <w:tcW w:w="3919" w:type="dxa"/>
                  <w:tcBorders>
                    <w:top w:val="single" w:color="000000" w:sz="4" w:space="0"/>
                    <w:left w:val="single" w:color="000000" w:sz="4" w:space="0"/>
                    <w:bottom w:val="single" w:color="000000" w:sz="4" w:space="0"/>
                  </w:tcBorders>
                  <w:shd w:val="clear" w:color="000000" w:fill="FFFFFF"/>
                  <w:noWrap w:val="0"/>
                  <w:vAlign w:val="center"/>
                </w:tcPr>
                <w:p>
                  <w:pPr>
                    <w:rPr>
                      <w:rFonts w:eastAsia="宋体"/>
                      <w:color w:val="000000"/>
                      <w:kern w:val="0"/>
                      <w:sz w:val="20"/>
                    </w:rPr>
                  </w:pPr>
                  <w:r>
                    <w:rPr>
                      <w:rFonts w:hint="eastAsia" w:ascii="宋体" w:eastAsia="宋体"/>
                      <w:sz w:val="20"/>
                    </w:rPr>
                    <w:t>　  统计信息事务</w:t>
                  </w:r>
                </w:p>
              </w:tc>
              <w:tc>
                <w:tcPr>
                  <w:tcW w:w="97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256.19</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119.18</w:t>
                  </w:r>
                </w:p>
              </w:tc>
              <w:tc>
                <w:tcPr>
                  <w:tcW w:w="111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97.77</w:t>
                  </w:r>
                </w:p>
              </w:tc>
              <w:tc>
                <w:tcPr>
                  <w:tcW w:w="10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21.41</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137.01</w:t>
                  </w:r>
                </w:p>
              </w:tc>
            </w:tr>
            <w:tr>
              <w:tblPrEx>
                <w:tblCellMar>
                  <w:top w:w="15" w:type="dxa"/>
                  <w:left w:w="15" w:type="dxa"/>
                  <w:bottom w:w="15" w:type="dxa"/>
                  <w:right w:w="15" w:type="dxa"/>
                </w:tblCellMar>
              </w:tblPrEx>
              <w:trPr>
                <w:trHeight w:val="390" w:hRule="atLeast"/>
              </w:trPr>
              <w:tc>
                <w:tcPr>
                  <w:tcW w:w="3919" w:type="dxa"/>
                  <w:tcBorders>
                    <w:top w:val="single" w:color="000000" w:sz="4" w:space="0"/>
                    <w:left w:val="single" w:color="000000" w:sz="4" w:space="0"/>
                    <w:bottom w:val="single" w:color="000000" w:sz="4" w:space="0"/>
                  </w:tcBorders>
                  <w:shd w:val="clear" w:color="000000" w:fill="FFFFFF"/>
                  <w:noWrap w:val="0"/>
                  <w:vAlign w:val="center"/>
                </w:tcPr>
                <w:p>
                  <w:pPr>
                    <w:rPr>
                      <w:rFonts w:eastAsia="宋体"/>
                      <w:color w:val="000000"/>
                      <w:kern w:val="0"/>
                      <w:sz w:val="20"/>
                    </w:rPr>
                  </w:pPr>
                  <w:r>
                    <w:rPr>
                      <w:rFonts w:hint="eastAsia" w:ascii="宋体" w:eastAsia="宋体"/>
                      <w:sz w:val="20"/>
                    </w:rPr>
                    <w:t>　　  行政运行</w:t>
                  </w:r>
                </w:p>
              </w:tc>
              <w:tc>
                <w:tcPr>
                  <w:tcW w:w="97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119.18</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119.18</w:t>
                  </w:r>
                </w:p>
              </w:tc>
              <w:tc>
                <w:tcPr>
                  <w:tcW w:w="111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97.77</w:t>
                  </w:r>
                </w:p>
              </w:tc>
              <w:tc>
                <w:tcPr>
                  <w:tcW w:w="10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21.41</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90" w:hRule="atLeast"/>
              </w:trPr>
              <w:tc>
                <w:tcPr>
                  <w:tcW w:w="3919" w:type="dxa"/>
                  <w:tcBorders>
                    <w:top w:val="single" w:color="000000" w:sz="4" w:space="0"/>
                    <w:left w:val="single" w:color="000000" w:sz="4" w:space="0"/>
                    <w:bottom w:val="single" w:color="000000" w:sz="4" w:space="0"/>
                  </w:tcBorders>
                  <w:shd w:val="clear" w:color="000000" w:fill="FFFFFF"/>
                  <w:noWrap w:val="0"/>
                  <w:vAlign w:val="center"/>
                </w:tcPr>
                <w:p>
                  <w:pPr>
                    <w:rPr>
                      <w:rFonts w:eastAsia="宋体"/>
                      <w:color w:val="000000"/>
                      <w:kern w:val="0"/>
                      <w:sz w:val="20"/>
                    </w:rPr>
                  </w:pPr>
                  <w:r>
                    <w:rPr>
                      <w:rFonts w:hint="eastAsia" w:ascii="宋体" w:eastAsia="宋体"/>
                      <w:sz w:val="20"/>
                    </w:rPr>
                    <w:t>　　  一般行政管理事务</w:t>
                  </w:r>
                </w:p>
              </w:tc>
              <w:tc>
                <w:tcPr>
                  <w:tcW w:w="97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20.59</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11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0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20.59</w:t>
                  </w:r>
                </w:p>
              </w:tc>
            </w:tr>
            <w:tr>
              <w:tblPrEx>
                <w:tblCellMar>
                  <w:top w:w="15" w:type="dxa"/>
                  <w:left w:w="15" w:type="dxa"/>
                  <w:bottom w:w="15" w:type="dxa"/>
                  <w:right w:w="15" w:type="dxa"/>
                </w:tblCellMar>
              </w:tblPrEx>
              <w:trPr>
                <w:trHeight w:val="390" w:hRule="atLeast"/>
              </w:trPr>
              <w:tc>
                <w:tcPr>
                  <w:tcW w:w="3919" w:type="dxa"/>
                  <w:tcBorders>
                    <w:top w:val="single" w:color="000000" w:sz="4" w:space="0"/>
                    <w:left w:val="single" w:color="000000" w:sz="4" w:space="0"/>
                    <w:bottom w:val="single" w:color="000000" w:sz="4" w:space="0"/>
                  </w:tcBorders>
                  <w:shd w:val="clear" w:color="000000" w:fill="FFFFFF"/>
                  <w:noWrap w:val="0"/>
                  <w:vAlign w:val="center"/>
                </w:tcPr>
                <w:p>
                  <w:pPr>
                    <w:ind w:firstLine="600" w:firstLineChars="300"/>
                    <w:rPr>
                      <w:rFonts w:hint="default" w:ascii="宋体" w:eastAsia="宋体"/>
                      <w:sz w:val="20"/>
                      <w:lang w:val="en-US" w:eastAsia="zh-CN"/>
                    </w:rPr>
                  </w:pPr>
                  <w:r>
                    <w:rPr>
                      <w:rFonts w:hint="eastAsia" w:ascii="宋体" w:eastAsia="宋体"/>
                      <w:sz w:val="20"/>
                      <w:lang w:val="en-US" w:eastAsia="zh-CN"/>
                    </w:rPr>
                    <w:t>专项普查活动</w:t>
                  </w:r>
                </w:p>
              </w:tc>
              <w:tc>
                <w:tcPr>
                  <w:tcW w:w="97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116.42</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11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0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116.42</w:t>
                  </w:r>
                </w:p>
              </w:tc>
            </w:tr>
            <w:tr>
              <w:tblPrEx>
                <w:tblCellMar>
                  <w:top w:w="15" w:type="dxa"/>
                  <w:left w:w="15" w:type="dxa"/>
                  <w:bottom w:w="15" w:type="dxa"/>
                  <w:right w:w="15" w:type="dxa"/>
                </w:tblCellMar>
              </w:tblPrEx>
              <w:trPr>
                <w:trHeight w:val="390" w:hRule="atLeast"/>
              </w:trPr>
              <w:tc>
                <w:tcPr>
                  <w:tcW w:w="3919" w:type="dxa"/>
                  <w:tcBorders>
                    <w:top w:val="single" w:color="000000" w:sz="4" w:space="0"/>
                    <w:left w:val="single" w:color="000000" w:sz="4" w:space="0"/>
                    <w:bottom w:val="single" w:color="000000" w:sz="4" w:space="0"/>
                  </w:tcBorders>
                  <w:shd w:val="clear" w:color="000000" w:fill="FFFFFF"/>
                  <w:noWrap w:val="0"/>
                  <w:vAlign w:val="center"/>
                </w:tcPr>
                <w:p>
                  <w:pPr>
                    <w:ind w:firstLine="200" w:firstLineChars="100"/>
                    <w:rPr>
                      <w:rFonts w:eastAsia="宋体"/>
                      <w:color w:val="000000"/>
                      <w:kern w:val="0"/>
                      <w:sz w:val="20"/>
                    </w:rPr>
                  </w:pPr>
                  <w:r>
                    <w:rPr>
                      <w:rFonts w:hint="eastAsia" w:ascii="宋体" w:eastAsia="宋体"/>
                      <w:sz w:val="20"/>
                    </w:rPr>
                    <w:t>二、社会保障和就业支出</w:t>
                  </w:r>
                </w:p>
              </w:tc>
              <w:tc>
                <w:tcPr>
                  <w:tcW w:w="97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24.78</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24.78</w:t>
                  </w:r>
                </w:p>
              </w:tc>
              <w:tc>
                <w:tcPr>
                  <w:tcW w:w="111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24.78</w:t>
                  </w:r>
                </w:p>
              </w:tc>
              <w:tc>
                <w:tcPr>
                  <w:tcW w:w="10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90" w:hRule="atLeast"/>
              </w:trPr>
              <w:tc>
                <w:tcPr>
                  <w:tcW w:w="3919" w:type="dxa"/>
                  <w:tcBorders>
                    <w:top w:val="single" w:color="000000" w:sz="4" w:space="0"/>
                    <w:left w:val="single" w:color="000000" w:sz="4" w:space="0"/>
                    <w:bottom w:val="single" w:color="000000" w:sz="4" w:space="0"/>
                  </w:tcBorders>
                  <w:shd w:val="clear" w:color="000000" w:fill="FFFFFF"/>
                  <w:noWrap w:val="0"/>
                  <w:vAlign w:val="center"/>
                </w:tcPr>
                <w:p>
                  <w:pPr>
                    <w:rPr>
                      <w:rFonts w:eastAsia="宋体"/>
                      <w:color w:val="000000"/>
                      <w:kern w:val="0"/>
                      <w:sz w:val="20"/>
                    </w:rPr>
                  </w:pPr>
                  <w:r>
                    <w:rPr>
                      <w:rFonts w:hint="eastAsia" w:ascii="宋体" w:eastAsia="宋体"/>
                      <w:sz w:val="20"/>
                    </w:rPr>
                    <w:t>　  行政事业单位养老支出</w:t>
                  </w:r>
                </w:p>
              </w:tc>
              <w:tc>
                <w:tcPr>
                  <w:tcW w:w="97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24.78</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24.78</w:t>
                  </w:r>
                </w:p>
              </w:tc>
              <w:tc>
                <w:tcPr>
                  <w:tcW w:w="111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24.78</w:t>
                  </w:r>
                </w:p>
              </w:tc>
              <w:tc>
                <w:tcPr>
                  <w:tcW w:w="10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90" w:hRule="atLeast"/>
              </w:trPr>
              <w:tc>
                <w:tcPr>
                  <w:tcW w:w="3919" w:type="dxa"/>
                  <w:tcBorders>
                    <w:top w:val="single" w:color="000000" w:sz="4" w:space="0"/>
                    <w:left w:val="single" w:color="000000" w:sz="4" w:space="0"/>
                    <w:bottom w:val="single" w:color="000000" w:sz="4" w:space="0"/>
                  </w:tcBorders>
                  <w:shd w:val="clear" w:color="000000" w:fill="FFFFFF"/>
                  <w:noWrap w:val="0"/>
                  <w:vAlign w:val="center"/>
                </w:tcPr>
                <w:p>
                  <w:pPr>
                    <w:ind w:firstLine="600" w:firstLineChars="300"/>
                    <w:rPr>
                      <w:rFonts w:eastAsia="宋体"/>
                      <w:color w:val="000000"/>
                      <w:kern w:val="0"/>
                      <w:sz w:val="20"/>
                    </w:rPr>
                  </w:pPr>
                  <w:r>
                    <w:rPr>
                      <w:rFonts w:hint="eastAsia" w:ascii="宋体" w:eastAsia="宋体"/>
                      <w:sz w:val="20"/>
                    </w:rPr>
                    <w:t>行政单位离退休</w:t>
                  </w:r>
                </w:p>
              </w:tc>
              <w:tc>
                <w:tcPr>
                  <w:tcW w:w="97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9.01</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9.01</w:t>
                  </w:r>
                </w:p>
              </w:tc>
              <w:tc>
                <w:tcPr>
                  <w:tcW w:w="111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9.01</w:t>
                  </w:r>
                </w:p>
              </w:tc>
              <w:tc>
                <w:tcPr>
                  <w:tcW w:w="10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90" w:hRule="atLeast"/>
              </w:trPr>
              <w:tc>
                <w:tcPr>
                  <w:tcW w:w="3919" w:type="dxa"/>
                  <w:tcBorders>
                    <w:top w:val="single" w:color="000000" w:sz="4" w:space="0"/>
                    <w:left w:val="single" w:color="000000" w:sz="4" w:space="0"/>
                    <w:bottom w:val="single" w:color="000000" w:sz="4" w:space="0"/>
                  </w:tcBorders>
                  <w:shd w:val="clear" w:color="000000" w:fill="FFFFFF"/>
                  <w:noWrap w:val="0"/>
                  <w:vAlign w:val="center"/>
                </w:tcPr>
                <w:p>
                  <w:pPr>
                    <w:ind w:firstLine="600" w:firstLineChars="300"/>
                    <w:rPr>
                      <w:rFonts w:eastAsia="宋体"/>
                      <w:color w:val="000000"/>
                      <w:kern w:val="0"/>
                      <w:sz w:val="20"/>
                    </w:rPr>
                  </w:pPr>
                  <w:r>
                    <w:rPr>
                      <w:rFonts w:hint="eastAsia" w:ascii="宋体" w:eastAsia="宋体"/>
                      <w:sz w:val="20"/>
                    </w:rPr>
                    <w:t>机关事业单位基本养老保险缴费支出</w:t>
                  </w:r>
                </w:p>
              </w:tc>
              <w:tc>
                <w:tcPr>
                  <w:tcW w:w="97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15.77</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15.77</w:t>
                  </w:r>
                </w:p>
              </w:tc>
              <w:tc>
                <w:tcPr>
                  <w:tcW w:w="111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15.77</w:t>
                  </w:r>
                </w:p>
              </w:tc>
              <w:tc>
                <w:tcPr>
                  <w:tcW w:w="10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90" w:hRule="atLeast"/>
              </w:trPr>
              <w:tc>
                <w:tcPr>
                  <w:tcW w:w="3919" w:type="dxa"/>
                  <w:tcBorders>
                    <w:top w:val="single" w:color="000000" w:sz="4" w:space="0"/>
                    <w:left w:val="single" w:color="000000" w:sz="4" w:space="0"/>
                    <w:bottom w:val="single" w:color="000000" w:sz="4" w:space="0"/>
                  </w:tcBorders>
                  <w:shd w:val="clear" w:color="000000" w:fill="FFFFFF"/>
                  <w:noWrap w:val="0"/>
                  <w:vAlign w:val="center"/>
                </w:tcPr>
                <w:p>
                  <w:pPr>
                    <w:ind w:firstLine="200" w:firstLineChars="100"/>
                    <w:rPr>
                      <w:rFonts w:eastAsia="宋体"/>
                      <w:color w:val="000000"/>
                      <w:kern w:val="0"/>
                      <w:sz w:val="20"/>
                    </w:rPr>
                  </w:pPr>
                  <w:r>
                    <w:rPr>
                      <w:rFonts w:hint="eastAsia" w:ascii="宋体" w:eastAsia="宋体"/>
                      <w:sz w:val="20"/>
                    </w:rPr>
                    <w:t>三、卫生健康支出</w:t>
                  </w:r>
                </w:p>
              </w:tc>
              <w:tc>
                <w:tcPr>
                  <w:tcW w:w="97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9.93</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9.93</w:t>
                  </w:r>
                </w:p>
              </w:tc>
              <w:tc>
                <w:tcPr>
                  <w:tcW w:w="111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9.93</w:t>
                  </w:r>
                </w:p>
              </w:tc>
              <w:tc>
                <w:tcPr>
                  <w:tcW w:w="10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90" w:hRule="atLeast"/>
              </w:trPr>
              <w:tc>
                <w:tcPr>
                  <w:tcW w:w="3919" w:type="dxa"/>
                  <w:tcBorders>
                    <w:top w:val="single" w:color="000000" w:sz="4" w:space="0"/>
                    <w:left w:val="single" w:color="000000" w:sz="4" w:space="0"/>
                    <w:bottom w:val="single" w:color="000000" w:sz="4" w:space="0"/>
                  </w:tcBorders>
                  <w:shd w:val="clear" w:color="000000" w:fill="FFFFFF"/>
                  <w:noWrap w:val="0"/>
                  <w:vAlign w:val="center"/>
                </w:tcPr>
                <w:p>
                  <w:pPr>
                    <w:rPr>
                      <w:rFonts w:eastAsia="宋体"/>
                      <w:color w:val="000000"/>
                      <w:kern w:val="0"/>
                      <w:sz w:val="20"/>
                    </w:rPr>
                  </w:pPr>
                  <w:r>
                    <w:rPr>
                      <w:rFonts w:hint="eastAsia" w:ascii="宋体" w:eastAsia="宋体"/>
                      <w:sz w:val="20"/>
                    </w:rPr>
                    <w:t>　  行政事业单位医疗</w:t>
                  </w:r>
                </w:p>
              </w:tc>
              <w:tc>
                <w:tcPr>
                  <w:tcW w:w="97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9.93</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9.93</w:t>
                  </w:r>
                </w:p>
              </w:tc>
              <w:tc>
                <w:tcPr>
                  <w:tcW w:w="111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9.93</w:t>
                  </w:r>
                </w:p>
              </w:tc>
              <w:tc>
                <w:tcPr>
                  <w:tcW w:w="10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3919" w:type="dxa"/>
                  <w:tcBorders>
                    <w:top w:val="single" w:color="000000" w:sz="4" w:space="0"/>
                    <w:left w:val="single" w:color="000000" w:sz="4" w:space="0"/>
                    <w:bottom w:val="single" w:color="000000" w:sz="4" w:space="0"/>
                  </w:tcBorders>
                  <w:shd w:val="clear" w:color="000000" w:fill="FFFFFF"/>
                  <w:noWrap w:val="0"/>
                  <w:vAlign w:val="center"/>
                </w:tcPr>
                <w:p>
                  <w:pPr>
                    <w:rPr>
                      <w:rFonts w:eastAsia="华文细黑"/>
                      <w:color w:val="000000"/>
                      <w:kern w:val="0"/>
                      <w:sz w:val="20"/>
                    </w:rPr>
                  </w:pPr>
                  <w:r>
                    <w:rPr>
                      <w:rFonts w:hint="eastAsia" w:ascii="宋体" w:eastAsia="宋体"/>
                      <w:sz w:val="20"/>
                    </w:rPr>
                    <w:t>　　  行政单位医疗</w:t>
                  </w:r>
                </w:p>
              </w:tc>
              <w:tc>
                <w:tcPr>
                  <w:tcW w:w="97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9.93</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9.93</w:t>
                  </w:r>
                </w:p>
              </w:tc>
              <w:tc>
                <w:tcPr>
                  <w:tcW w:w="111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9.93</w:t>
                  </w:r>
                </w:p>
              </w:tc>
              <w:tc>
                <w:tcPr>
                  <w:tcW w:w="10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3919" w:type="dxa"/>
                  <w:tcBorders>
                    <w:top w:val="single" w:color="000000" w:sz="4" w:space="0"/>
                    <w:left w:val="single" w:color="000000" w:sz="4" w:space="0"/>
                    <w:bottom w:val="single" w:color="000000" w:sz="4" w:space="0"/>
                  </w:tcBorders>
                  <w:shd w:val="clear" w:color="000000" w:fill="FFFFFF"/>
                  <w:noWrap w:val="0"/>
                  <w:vAlign w:val="center"/>
                </w:tcPr>
                <w:p>
                  <w:pPr>
                    <w:ind w:firstLine="200" w:firstLineChars="100"/>
                    <w:rPr>
                      <w:rFonts w:eastAsia="宋体"/>
                      <w:color w:val="000000"/>
                      <w:kern w:val="0"/>
                      <w:sz w:val="20"/>
                    </w:rPr>
                  </w:pPr>
                  <w:r>
                    <w:rPr>
                      <w:rFonts w:hint="eastAsia" w:ascii="宋体" w:eastAsia="宋体"/>
                      <w:sz w:val="20"/>
                    </w:rPr>
                    <w:t>四、住房保障支出</w:t>
                  </w:r>
                </w:p>
              </w:tc>
              <w:tc>
                <w:tcPr>
                  <w:tcW w:w="97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11.72</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11.72</w:t>
                  </w:r>
                </w:p>
              </w:tc>
              <w:tc>
                <w:tcPr>
                  <w:tcW w:w="111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11.72</w:t>
                  </w:r>
                </w:p>
              </w:tc>
              <w:tc>
                <w:tcPr>
                  <w:tcW w:w="10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3919" w:type="dxa"/>
                  <w:tcBorders>
                    <w:top w:val="single" w:color="000000" w:sz="4" w:space="0"/>
                    <w:left w:val="single" w:color="000000" w:sz="4" w:space="0"/>
                    <w:bottom w:val="single" w:color="000000" w:sz="4" w:space="0"/>
                  </w:tcBorders>
                  <w:shd w:val="clear" w:color="000000" w:fill="FFFFFF"/>
                  <w:noWrap w:val="0"/>
                  <w:vAlign w:val="center"/>
                </w:tcPr>
                <w:p>
                  <w:pPr>
                    <w:rPr>
                      <w:rFonts w:eastAsia="宋体"/>
                      <w:color w:val="000000"/>
                      <w:kern w:val="0"/>
                      <w:sz w:val="20"/>
                    </w:rPr>
                  </w:pPr>
                  <w:r>
                    <w:rPr>
                      <w:rFonts w:hint="eastAsia" w:ascii="宋体" w:eastAsia="宋体"/>
                      <w:sz w:val="20"/>
                    </w:rPr>
                    <w:t>　  住房改革支出</w:t>
                  </w:r>
                </w:p>
              </w:tc>
              <w:tc>
                <w:tcPr>
                  <w:tcW w:w="97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11.72</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11.72</w:t>
                  </w:r>
                </w:p>
              </w:tc>
              <w:tc>
                <w:tcPr>
                  <w:tcW w:w="111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11.72</w:t>
                  </w:r>
                </w:p>
              </w:tc>
              <w:tc>
                <w:tcPr>
                  <w:tcW w:w="10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3919" w:type="dxa"/>
                  <w:tcBorders>
                    <w:top w:val="single" w:color="000000" w:sz="4" w:space="0"/>
                    <w:left w:val="single" w:color="000000" w:sz="4" w:space="0"/>
                    <w:bottom w:val="single" w:color="000000" w:sz="4" w:space="0"/>
                  </w:tcBorders>
                  <w:shd w:val="clear" w:color="000000" w:fill="FFFFFF"/>
                  <w:noWrap w:val="0"/>
                  <w:vAlign w:val="center"/>
                </w:tcPr>
                <w:p>
                  <w:pPr>
                    <w:rPr>
                      <w:rFonts w:eastAsia="宋体"/>
                      <w:color w:val="000000"/>
                      <w:kern w:val="0"/>
                      <w:sz w:val="20"/>
                    </w:rPr>
                  </w:pPr>
                  <w:r>
                    <w:rPr>
                      <w:rFonts w:hint="eastAsia" w:ascii="宋体" w:eastAsia="宋体"/>
                      <w:sz w:val="20"/>
                    </w:rPr>
                    <w:t>　　  住房公积金</w:t>
                  </w:r>
                </w:p>
              </w:tc>
              <w:tc>
                <w:tcPr>
                  <w:tcW w:w="97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11.72</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11.72</w:t>
                  </w:r>
                </w:p>
              </w:tc>
              <w:tc>
                <w:tcPr>
                  <w:tcW w:w="111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11.72</w:t>
                  </w:r>
                </w:p>
              </w:tc>
              <w:tc>
                <w:tcPr>
                  <w:tcW w:w="10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3919"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97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302.62</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165.61</w:t>
                  </w:r>
                </w:p>
              </w:tc>
              <w:tc>
                <w:tcPr>
                  <w:tcW w:w="111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144.20</w:t>
                  </w:r>
                </w:p>
              </w:tc>
              <w:tc>
                <w:tcPr>
                  <w:tcW w:w="10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21.41</w:t>
                  </w:r>
                </w:p>
              </w:tc>
              <w:tc>
                <w:tcPr>
                  <w:tcW w:w="9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137.01</w:t>
                  </w: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477"/>
        <w:gridCol w:w="1919"/>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477"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1919"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812" w:hRule="atLeast"/>
          <w:jc w:val="center"/>
        </w:trPr>
        <w:tc>
          <w:tcPr>
            <w:tcW w:w="3477" w:type="dxa"/>
            <w:tcBorders>
              <w:top w:val="single" w:color="auto" w:sz="4" w:space="0"/>
              <w:left w:val="single" w:color="auto" w:sz="4" w:space="0"/>
              <w:right w:val="single" w:color="auto" w:sz="4" w:space="0"/>
            </w:tcBorders>
            <w:noWrap w:val="0"/>
            <w:vAlign w:val="center"/>
          </w:tcPr>
          <w:p>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1919" w:type="dxa"/>
            <w:tcBorders>
              <w:top w:val="single" w:color="auto" w:sz="4" w:space="0"/>
              <w:left w:val="single" w:color="auto" w:sz="4" w:space="0"/>
              <w:right w:val="single" w:color="auto" w:sz="4" w:space="0"/>
            </w:tcBorders>
            <w:noWrap w:val="0"/>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trHeight w:val="614" w:hRule="atLeast"/>
          <w:jc w:val="center"/>
        </w:trPr>
        <w:tc>
          <w:tcPr>
            <w:tcW w:w="34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color w:val="000000"/>
                <w:kern w:val="0"/>
                <w:sz w:val="20"/>
              </w:rPr>
            </w:pPr>
            <w:r>
              <w:rPr>
                <w:rFonts w:eastAsia="宋体"/>
                <w:color w:val="000000"/>
                <w:sz w:val="20"/>
              </w:rPr>
              <w:t>一、工资福利支出</w:t>
            </w:r>
          </w:p>
        </w:tc>
        <w:tc>
          <w:tcPr>
            <w:tcW w:w="191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134.74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134.74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sz w:val="20"/>
                <w:szCs w:val="20"/>
              </w:rPr>
            </w:pPr>
          </w:p>
        </w:tc>
      </w:tr>
      <w:tr>
        <w:tblPrEx>
          <w:tblCellMar>
            <w:top w:w="0" w:type="dxa"/>
            <w:left w:w="108" w:type="dxa"/>
            <w:bottom w:w="0" w:type="dxa"/>
            <w:right w:w="108" w:type="dxa"/>
          </w:tblCellMar>
        </w:tblPrEx>
        <w:trPr>
          <w:trHeight w:val="600" w:hRule="atLeast"/>
          <w:jc w:val="center"/>
        </w:trPr>
        <w:tc>
          <w:tcPr>
            <w:tcW w:w="34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基本工资</w:t>
            </w:r>
          </w:p>
        </w:tc>
        <w:tc>
          <w:tcPr>
            <w:tcW w:w="191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40.84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40.84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sz w:val="20"/>
                <w:szCs w:val="20"/>
              </w:rPr>
            </w:pPr>
          </w:p>
        </w:tc>
      </w:tr>
      <w:tr>
        <w:tblPrEx>
          <w:tblCellMar>
            <w:top w:w="0" w:type="dxa"/>
            <w:left w:w="108" w:type="dxa"/>
            <w:bottom w:w="0" w:type="dxa"/>
            <w:right w:w="108" w:type="dxa"/>
          </w:tblCellMar>
        </w:tblPrEx>
        <w:trPr>
          <w:trHeight w:val="600" w:hRule="atLeast"/>
          <w:jc w:val="center"/>
        </w:trPr>
        <w:tc>
          <w:tcPr>
            <w:tcW w:w="34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津贴补贴</w:t>
            </w:r>
          </w:p>
        </w:tc>
        <w:tc>
          <w:tcPr>
            <w:tcW w:w="191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22.23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22.23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sz w:val="20"/>
                <w:szCs w:val="20"/>
              </w:rPr>
            </w:pPr>
          </w:p>
        </w:tc>
      </w:tr>
      <w:tr>
        <w:tblPrEx>
          <w:tblCellMar>
            <w:top w:w="0" w:type="dxa"/>
            <w:left w:w="108" w:type="dxa"/>
            <w:bottom w:w="0" w:type="dxa"/>
            <w:right w:w="108" w:type="dxa"/>
          </w:tblCellMar>
        </w:tblPrEx>
        <w:trPr>
          <w:trHeight w:val="600" w:hRule="atLeast"/>
          <w:jc w:val="center"/>
        </w:trPr>
        <w:tc>
          <w:tcPr>
            <w:tcW w:w="34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奖金</w:t>
            </w:r>
          </w:p>
        </w:tc>
        <w:tc>
          <w:tcPr>
            <w:tcW w:w="191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30.63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30.63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sz w:val="20"/>
                <w:szCs w:val="20"/>
              </w:rPr>
            </w:pPr>
          </w:p>
        </w:tc>
      </w:tr>
      <w:tr>
        <w:tblPrEx>
          <w:tblCellMar>
            <w:top w:w="0" w:type="dxa"/>
            <w:left w:w="108" w:type="dxa"/>
            <w:bottom w:w="0" w:type="dxa"/>
            <w:right w:w="108" w:type="dxa"/>
          </w:tblCellMar>
        </w:tblPrEx>
        <w:trPr>
          <w:trHeight w:val="600" w:hRule="atLeast"/>
          <w:jc w:val="center"/>
        </w:trPr>
        <w:tc>
          <w:tcPr>
            <w:tcW w:w="34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机关事业单位基本养老保险缴费</w:t>
            </w:r>
          </w:p>
        </w:tc>
        <w:tc>
          <w:tcPr>
            <w:tcW w:w="191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15.77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15.77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sz w:val="20"/>
                <w:szCs w:val="20"/>
              </w:rPr>
            </w:pPr>
          </w:p>
        </w:tc>
      </w:tr>
      <w:tr>
        <w:tblPrEx>
          <w:tblCellMar>
            <w:top w:w="0" w:type="dxa"/>
            <w:left w:w="108" w:type="dxa"/>
            <w:bottom w:w="0" w:type="dxa"/>
            <w:right w:w="108" w:type="dxa"/>
          </w:tblCellMar>
        </w:tblPrEx>
        <w:trPr>
          <w:trHeight w:val="600" w:hRule="atLeast"/>
          <w:jc w:val="center"/>
        </w:trPr>
        <w:tc>
          <w:tcPr>
            <w:tcW w:w="34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职工基本医疗保险缴费</w:t>
            </w:r>
          </w:p>
        </w:tc>
        <w:tc>
          <w:tcPr>
            <w:tcW w:w="191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4.29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4.29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sz w:val="20"/>
                <w:szCs w:val="20"/>
              </w:rPr>
            </w:pPr>
          </w:p>
        </w:tc>
      </w:tr>
      <w:tr>
        <w:tblPrEx>
          <w:tblCellMar>
            <w:top w:w="0" w:type="dxa"/>
            <w:left w:w="108" w:type="dxa"/>
            <w:bottom w:w="0" w:type="dxa"/>
            <w:right w:w="108" w:type="dxa"/>
          </w:tblCellMar>
        </w:tblPrEx>
        <w:trPr>
          <w:trHeight w:val="600" w:hRule="atLeast"/>
          <w:jc w:val="center"/>
        </w:trPr>
        <w:tc>
          <w:tcPr>
            <w:tcW w:w="34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公务员医疗补助缴费</w:t>
            </w:r>
          </w:p>
        </w:tc>
        <w:tc>
          <w:tcPr>
            <w:tcW w:w="191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5.45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5.45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sz w:val="20"/>
                <w:szCs w:val="20"/>
              </w:rPr>
            </w:pPr>
          </w:p>
        </w:tc>
      </w:tr>
      <w:tr>
        <w:tblPrEx>
          <w:tblCellMar>
            <w:top w:w="0" w:type="dxa"/>
            <w:left w:w="108" w:type="dxa"/>
            <w:bottom w:w="0" w:type="dxa"/>
            <w:right w:w="108" w:type="dxa"/>
          </w:tblCellMar>
        </w:tblPrEx>
        <w:trPr>
          <w:trHeight w:val="600" w:hRule="atLeast"/>
          <w:jc w:val="center"/>
        </w:trPr>
        <w:tc>
          <w:tcPr>
            <w:tcW w:w="34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其他社会保障缴费</w:t>
            </w:r>
          </w:p>
        </w:tc>
        <w:tc>
          <w:tcPr>
            <w:tcW w:w="191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1.11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1.11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sz w:val="20"/>
                <w:szCs w:val="20"/>
              </w:rPr>
            </w:pPr>
          </w:p>
        </w:tc>
      </w:tr>
      <w:tr>
        <w:tblPrEx>
          <w:tblCellMar>
            <w:top w:w="0" w:type="dxa"/>
            <w:left w:w="108" w:type="dxa"/>
            <w:bottom w:w="0" w:type="dxa"/>
            <w:right w:w="108" w:type="dxa"/>
          </w:tblCellMar>
        </w:tblPrEx>
        <w:trPr>
          <w:trHeight w:val="600" w:hRule="atLeast"/>
          <w:jc w:val="center"/>
        </w:trPr>
        <w:tc>
          <w:tcPr>
            <w:tcW w:w="34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住房公积金</w:t>
            </w:r>
          </w:p>
        </w:tc>
        <w:tc>
          <w:tcPr>
            <w:tcW w:w="191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11.72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11.72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sz w:val="20"/>
                <w:szCs w:val="20"/>
              </w:rPr>
            </w:pPr>
          </w:p>
        </w:tc>
      </w:tr>
      <w:tr>
        <w:tblPrEx>
          <w:tblCellMar>
            <w:top w:w="0" w:type="dxa"/>
            <w:left w:w="108" w:type="dxa"/>
            <w:bottom w:w="0" w:type="dxa"/>
            <w:right w:w="108" w:type="dxa"/>
          </w:tblCellMar>
        </w:tblPrEx>
        <w:trPr>
          <w:trHeight w:val="600" w:hRule="atLeast"/>
          <w:jc w:val="center"/>
        </w:trPr>
        <w:tc>
          <w:tcPr>
            <w:tcW w:w="34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医疗费</w:t>
            </w:r>
          </w:p>
        </w:tc>
        <w:tc>
          <w:tcPr>
            <w:tcW w:w="191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1.00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1.00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sz w:val="20"/>
                <w:szCs w:val="20"/>
              </w:rPr>
            </w:pPr>
          </w:p>
        </w:tc>
      </w:tr>
      <w:tr>
        <w:tblPrEx>
          <w:tblCellMar>
            <w:top w:w="0" w:type="dxa"/>
            <w:left w:w="108" w:type="dxa"/>
            <w:bottom w:w="0" w:type="dxa"/>
            <w:right w:w="108" w:type="dxa"/>
          </w:tblCellMar>
        </w:tblPrEx>
        <w:trPr>
          <w:trHeight w:val="600" w:hRule="atLeast"/>
          <w:jc w:val="center"/>
        </w:trPr>
        <w:tc>
          <w:tcPr>
            <w:tcW w:w="34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其他工资福利支出</w:t>
            </w:r>
          </w:p>
        </w:tc>
        <w:tc>
          <w:tcPr>
            <w:tcW w:w="191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1.70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1.70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sz w:val="20"/>
                <w:szCs w:val="20"/>
              </w:rPr>
            </w:pPr>
          </w:p>
        </w:tc>
      </w:tr>
      <w:tr>
        <w:tblPrEx>
          <w:tblCellMar>
            <w:top w:w="0" w:type="dxa"/>
            <w:left w:w="108" w:type="dxa"/>
            <w:bottom w:w="0" w:type="dxa"/>
            <w:right w:w="108" w:type="dxa"/>
          </w:tblCellMar>
        </w:tblPrEx>
        <w:trPr>
          <w:trHeight w:val="600" w:hRule="atLeast"/>
          <w:jc w:val="center"/>
        </w:trPr>
        <w:tc>
          <w:tcPr>
            <w:tcW w:w="34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kern w:val="0"/>
                <w:sz w:val="20"/>
              </w:rPr>
            </w:pPr>
            <w:r>
              <w:rPr>
                <w:rFonts w:eastAsia="宋体"/>
                <w:color w:val="000000"/>
                <w:sz w:val="20"/>
              </w:rPr>
              <w:t>二、商品和服务支出</w:t>
            </w:r>
          </w:p>
        </w:tc>
        <w:tc>
          <w:tcPr>
            <w:tcW w:w="191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20.21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20.21</w:t>
            </w:r>
          </w:p>
        </w:tc>
      </w:tr>
      <w:tr>
        <w:tblPrEx>
          <w:tblCellMar>
            <w:top w:w="0" w:type="dxa"/>
            <w:left w:w="108" w:type="dxa"/>
            <w:bottom w:w="0" w:type="dxa"/>
            <w:right w:w="108" w:type="dxa"/>
          </w:tblCellMar>
        </w:tblPrEx>
        <w:trPr>
          <w:trHeight w:val="600" w:hRule="atLeast"/>
          <w:jc w:val="center"/>
        </w:trPr>
        <w:tc>
          <w:tcPr>
            <w:tcW w:w="34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办公费</w:t>
            </w:r>
          </w:p>
        </w:tc>
        <w:tc>
          <w:tcPr>
            <w:tcW w:w="191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0.97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0.97</w:t>
            </w:r>
          </w:p>
        </w:tc>
      </w:tr>
      <w:tr>
        <w:tblPrEx>
          <w:tblCellMar>
            <w:top w:w="0" w:type="dxa"/>
            <w:left w:w="108" w:type="dxa"/>
            <w:bottom w:w="0" w:type="dxa"/>
            <w:right w:w="108" w:type="dxa"/>
          </w:tblCellMar>
        </w:tblPrEx>
        <w:trPr>
          <w:trHeight w:val="600" w:hRule="atLeast"/>
          <w:jc w:val="center"/>
        </w:trPr>
        <w:tc>
          <w:tcPr>
            <w:tcW w:w="34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咨询费</w:t>
            </w:r>
          </w:p>
        </w:tc>
        <w:tc>
          <w:tcPr>
            <w:tcW w:w="191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0.20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0.20</w:t>
            </w:r>
          </w:p>
        </w:tc>
      </w:tr>
      <w:tr>
        <w:tblPrEx>
          <w:tblCellMar>
            <w:top w:w="0" w:type="dxa"/>
            <w:left w:w="108" w:type="dxa"/>
            <w:bottom w:w="0" w:type="dxa"/>
            <w:right w:w="108" w:type="dxa"/>
          </w:tblCellMar>
        </w:tblPrEx>
        <w:trPr>
          <w:trHeight w:val="600" w:hRule="atLeast"/>
          <w:jc w:val="center"/>
        </w:trPr>
        <w:tc>
          <w:tcPr>
            <w:tcW w:w="34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手续费</w:t>
            </w:r>
          </w:p>
        </w:tc>
        <w:tc>
          <w:tcPr>
            <w:tcW w:w="191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0.03</w:t>
            </w:r>
          </w:p>
        </w:tc>
      </w:tr>
      <w:tr>
        <w:tblPrEx>
          <w:tblCellMar>
            <w:top w:w="0" w:type="dxa"/>
            <w:left w:w="108" w:type="dxa"/>
            <w:bottom w:w="0" w:type="dxa"/>
            <w:right w:w="108" w:type="dxa"/>
          </w:tblCellMar>
        </w:tblPrEx>
        <w:trPr>
          <w:trHeight w:val="600" w:hRule="atLeast"/>
          <w:jc w:val="center"/>
        </w:trPr>
        <w:tc>
          <w:tcPr>
            <w:tcW w:w="3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邮电费</w:t>
            </w:r>
          </w:p>
        </w:tc>
        <w:tc>
          <w:tcPr>
            <w:tcW w:w="1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0.54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0.54</w:t>
            </w:r>
          </w:p>
        </w:tc>
      </w:tr>
    </w:tbl>
    <w:p>
      <w:pPr>
        <w:rPr>
          <w:sz w:val="16"/>
          <w:szCs w:val="16"/>
        </w:rPr>
      </w:pPr>
    </w:p>
    <w:tbl>
      <w:tblPr>
        <w:tblStyle w:val="9"/>
        <w:tblW w:w="0" w:type="auto"/>
        <w:jc w:val="center"/>
        <w:tblLayout w:type="fixed"/>
        <w:tblCellMar>
          <w:top w:w="0" w:type="dxa"/>
          <w:left w:w="108" w:type="dxa"/>
          <w:bottom w:w="0" w:type="dxa"/>
          <w:right w:w="108" w:type="dxa"/>
        </w:tblCellMar>
      </w:tblPr>
      <w:tblGrid>
        <w:gridCol w:w="3477"/>
        <w:gridCol w:w="1919"/>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hint="eastAsia" w:eastAsia="方正小标宋简体"/>
                <w:kern w:val="0"/>
                <w:sz w:val="44"/>
                <w:szCs w:val="44"/>
                <w:lang w:val="en-US" w:eastAsia="zh-CN"/>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r>
              <w:rPr>
                <w:rFonts w:hint="eastAsia" w:eastAsia="方正小标宋简体"/>
                <w:kern w:val="0"/>
                <w:sz w:val="44"/>
                <w:szCs w:val="44"/>
                <w:lang w:val="en-US" w:eastAsia="zh-CN"/>
              </w:rPr>
              <w:t>续表</w:t>
            </w:r>
          </w:p>
        </w:tc>
      </w:tr>
      <w:tr>
        <w:tblPrEx>
          <w:tblCellMar>
            <w:top w:w="0" w:type="dxa"/>
            <w:left w:w="108" w:type="dxa"/>
            <w:bottom w:w="0" w:type="dxa"/>
            <w:right w:w="108" w:type="dxa"/>
          </w:tblCellMar>
        </w:tblPrEx>
        <w:trPr>
          <w:trHeight w:val="390" w:hRule="atLeast"/>
          <w:jc w:val="center"/>
        </w:trPr>
        <w:tc>
          <w:tcPr>
            <w:tcW w:w="3477"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1919"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812" w:hRule="atLeast"/>
          <w:jc w:val="center"/>
        </w:trPr>
        <w:tc>
          <w:tcPr>
            <w:tcW w:w="3477" w:type="dxa"/>
            <w:tcBorders>
              <w:top w:val="single" w:color="auto" w:sz="4" w:space="0"/>
              <w:left w:val="single" w:color="auto" w:sz="4" w:space="0"/>
              <w:right w:val="single" w:color="auto" w:sz="4" w:space="0"/>
            </w:tcBorders>
            <w:noWrap w:val="0"/>
            <w:vAlign w:val="center"/>
          </w:tcPr>
          <w:p>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1919" w:type="dxa"/>
            <w:tcBorders>
              <w:top w:val="single" w:color="auto" w:sz="4" w:space="0"/>
              <w:left w:val="single" w:color="auto" w:sz="4" w:space="0"/>
              <w:right w:val="single" w:color="auto" w:sz="4" w:space="0"/>
            </w:tcBorders>
            <w:noWrap w:val="0"/>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trHeight w:val="614" w:hRule="atLeast"/>
          <w:jc w:val="center"/>
        </w:trPr>
        <w:tc>
          <w:tcPr>
            <w:tcW w:w="34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维修（护）费</w:t>
            </w:r>
          </w:p>
        </w:tc>
        <w:tc>
          <w:tcPr>
            <w:tcW w:w="191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3.60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3.60</w:t>
            </w:r>
          </w:p>
        </w:tc>
      </w:tr>
      <w:tr>
        <w:tblPrEx>
          <w:tblCellMar>
            <w:top w:w="0" w:type="dxa"/>
            <w:left w:w="108" w:type="dxa"/>
            <w:bottom w:w="0" w:type="dxa"/>
            <w:right w:w="108" w:type="dxa"/>
          </w:tblCellMar>
        </w:tblPrEx>
        <w:trPr>
          <w:trHeight w:val="600" w:hRule="atLeast"/>
          <w:jc w:val="center"/>
        </w:trPr>
        <w:tc>
          <w:tcPr>
            <w:tcW w:w="34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工会经费</w:t>
            </w:r>
          </w:p>
        </w:tc>
        <w:tc>
          <w:tcPr>
            <w:tcW w:w="191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1.32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1.32</w:t>
            </w:r>
          </w:p>
        </w:tc>
      </w:tr>
      <w:tr>
        <w:tblPrEx>
          <w:tblCellMar>
            <w:top w:w="0" w:type="dxa"/>
            <w:left w:w="108" w:type="dxa"/>
            <w:bottom w:w="0" w:type="dxa"/>
            <w:right w:w="108" w:type="dxa"/>
          </w:tblCellMar>
        </w:tblPrEx>
        <w:trPr>
          <w:trHeight w:val="600" w:hRule="atLeast"/>
          <w:jc w:val="center"/>
        </w:trPr>
        <w:tc>
          <w:tcPr>
            <w:tcW w:w="34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福利费</w:t>
            </w:r>
          </w:p>
        </w:tc>
        <w:tc>
          <w:tcPr>
            <w:tcW w:w="191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4.50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4.50</w:t>
            </w:r>
          </w:p>
        </w:tc>
      </w:tr>
      <w:tr>
        <w:tblPrEx>
          <w:tblCellMar>
            <w:top w:w="0" w:type="dxa"/>
            <w:left w:w="108" w:type="dxa"/>
            <w:bottom w:w="0" w:type="dxa"/>
            <w:right w:w="108" w:type="dxa"/>
          </w:tblCellMar>
        </w:tblPrEx>
        <w:trPr>
          <w:trHeight w:val="600" w:hRule="atLeast"/>
          <w:jc w:val="center"/>
        </w:trPr>
        <w:tc>
          <w:tcPr>
            <w:tcW w:w="34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其他交通费用</w:t>
            </w:r>
          </w:p>
        </w:tc>
        <w:tc>
          <w:tcPr>
            <w:tcW w:w="191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6.35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6.35</w:t>
            </w:r>
          </w:p>
        </w:tc>
      </w:tr>
      <w:tr>
        <w:tblPrEx>
          <w:tblCellMar>
            <w:top w:w="0" w:type="dxa"/>
            <w:left w:w="108" w:type="dxa"/>
            <w:bottom w:w="0" w:type="dxa"/>
            <w:right w:w="108" w:type="dxa"/>
          </w:tblCellMar>
        </w:tblPrEx>
        <w:trPr>
          <w:trHeight w:val="600" w:hRule="atLeast"/>
          <w:jc w:val="center"/>
        </w:trPr>
        <w:tc>
          <w:tcPr>
            <w:tcW w:w="34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其他商品和服务支出</w:t>
            </w:r>
          </w:p>
        </w:tc>
        <w:tc>
          <w:tcPr>
            <w:tcW w:w="191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2.70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2.70</w:t>
            </w:r>
          </w:p>
        </w:tc>
      </w:tr>
      <w:tr>
        <w:tblPrEx>
          <w:tblCellMar>
            <w:top w:w="0" w:type="dxa"/>
            <w:left w:w="108" w:type="dxa"/>
            <w:bottom w:w="0" w:type="dxa"/>
            <w:right w:w="108" w:type="dxa"/>
          </w:tblCellMar>
        </w:tblPrEx>
        <w:trPr>
          <w:trHeight w:val="600" w:hRule="atLeast"/>
          <w:jc w:val="center"/>
        </w:trPr>
        <w:tc>
          <w:tcPr>
            <w:tcW w:w="34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eastAsia="宋体"/>
                <w:color w:val="000000"/>
                <w:sz w:val="20"/>
                <w:lang w:val="en-US" w:eastAsia="zh-CN"/>
              </w:rPr>
              <w:t>三</w:t>
            </w:r>
            <w:r>
              <w:rPr>
                <w:rFonts w:eastAsia="宋体"/>
                <w:color w:val="000000"/>
                <w:sz w:val="20"/>
              </w:rPr>
              <w:t>、</w:t>
            </w:r>
            <w:r>
              <w:rPr>
                <w:rFonts w:hint="eastAsia" w:eastAsia="宋体"/>
                <w:color w:val="000000"/>
                <w:sz w:val="20"/>
              </w:rPr>
              <w:t>对个人和家庭的补助</w:t>
            </w:r>
          </w:p>
        </w:tc>
        <w:tc>
          <w:tcPr>
            <w:tcW w:w="191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9.47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9.47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eastAsia="宋体" w:cs="Times New Roman"/>
                <w:sz w:val="20"/>
                <w:szCs w:val="20"/>
              </w:rPr>
            </w:pPr>
          </w:p>
        </w:tc>
      </w:tr>
      <w:tr>
        <w:tblPrEx>
          <w:tblCellMar>
            <w:top w:w="0" w:type="dxa"/>
            <w:left w:w="108" w:type="dxa"/>
            <w:bottom w:w="0" w:type="dxa"/>
            <w:right w:w="108" w:type="dxa"/>
          </w:tblCellMar>
        </w:tblPrEx>
        <w:trPr>
          <w:trHeight w:val="600" w:hRule="atLeast"/>
          <w:jc w:val="center"/>
        </w:trPr>
        <w:tc>
          <w:tcPr>
            <w:tcW w:w="34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退休费</w:t>
            </w:r>
          </w:p>
        </w:tc>
        <w:tc>
          <w:tcPr>
            <w:tcW w:w="191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9.01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9.01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eastAsia="宋体" w:cs="Times New Roman"/>
                <w:sz w:val="20"/>
                <w:szCs w:val="20"/>
              </w:rPr>
            </w:pPr>
          </w:p>
        </w:tc>
      </w:tr>
      <w:tr>
        <w:tblPrEx>
          <w:tblCellMar>
            <w:top w:w="0" w:type="dxa"/>
            <w:left w:w="108" w:type="dxa"/>
            <w:bottom w:w="0" w:type="dxa"/>
            <w:right w:w="108" w:type="dxa"/>
          </w:tblCellMar>
        </w:tblPrEx>
        <w:trPr>
          <w:trHeight w:val="600" w:hRule="atLeast"/>
          <w:jc w:val="center"/>
        </w:trPr>
        <w:tc>
          <w:tcPr>
            <w:tcW w:w="34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其他对个人和家庭的补助</w:t>
            </w:r>
          </w:p>
        </w:tc>
        <w:tc>
          <w:tcPr>
            <w:tcW w:w="191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0.46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0.46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eastAsia="宋体" w:cs="Times New Roman"/>
                <w:sz w:val="20"/>
                <w:szCs w:val="20"/>
              </w:rPr>
            </w:pPr>
          </w:p>
        </w:tc>
      </w:tr>
      <w:tr>
        <w:tblPrEx>
          <w:tblCellMar>
            <w:top w:w="0" w:type="dxa"/>
            <w:left w:w="108" w:type="dxa"/>
            <w:bottom w:w="0" w:type="dxa"/>
            <w:right w:w="108" w:type="dxa"/>
          </w:tblCellMar>
        </w:tblPrEx>
        <w:trPr>
          <w:trHeight w:val="600" w:hRule="atLeast"/>
          <w:jc w:val="center"/>
        </w:trPr>
        <w:tc>
          <w:tcPr>
            <w:tcW w:w="34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hint="eastAsia" w:ascii="宋体" w:hAnsi="宋体" w:eastAsia="宋体" w:cs="宋体"/>
                <w:color w:val="000000"/>
                <w:kern w:val="0"/>
                <w:sz w:val="20"/>
                <w:szCs w:val="20"/>
              </w:rPr>
            </w:pPr>
            <w:r>
              <w:rPr>
                <w:rFonts w:hint="eastAsia" w:ascii="宋体" w:eastAsia="宋体"/>
                <w:color w:val="000000"/>
                <w:kern w:val="0"/>
                <w:sz w:val="20"/>
              </w:rPr>
              <w:t>四、资本性支出</w:t>
            </w:r>
          </w:p>
        </w:tc>
        <w:tc>
          <w:tcPr>
            <w:tcW w:w="191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1.20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1.20</w:t>
            </w:r>
          </w:p>
        </w:tc>
      </w:tr>
      <w:tr>
        <w:tblPrEx>
          <w:tblCellMar>
            <w:top w:w="0" w:type="dxa"/>
            <w:left w:w="108" w:type="dxa"/>
            <w:bottom w:w="0" w:type="dxa"/>
            <w:right w:w="108" w:type="dxa"/>
          </w:tblCellMar>
        </w:tblPrEx>
        <w:trPr>
          <w:trHeight w:val="600" w:hRule="atLeast"/>
          <w:jc w:val="center"/>
        </w:trPr>
        <w:tc>
          <w:tcPr>
            <w:tcW w:w="34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kern w:val="0"/>
                <w:sz w:val="20"/>
                <w:szCs w:val="20"/>
              </w:rPr>
            </w:pPr>
            <w:r>
              <w:rPr>
                <w:rFonts w:hint="eastAsia" w:ascii="宋体" w:eastAsia="宋体"/>
                <w:color w:val="000000"/>
                <w:kern w:val="0"/>
                <w:sz w:val="20"/>
              </w:rPr>
              <w:t>办公设备购置</w:t>
            </w:r>
          </w:p>
        </w:tc>
        <w:tc>
          <w:tcPr>
            <w:tcW w:w="191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1.20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1.20</w:t>
            </w:r>
          </w:p>
        </w:tc>
      </w:tr>
    </w:tbl>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4</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pPr>
              <w:widowControl/>
              <w:jc w:val="both"/>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说明：</w:t>
            </w:r>
          </w:p>
          <w:p>
            <w:pPr>
              <w:widowControl/>
              <w:numPr>
                <w:ilvl w:val="0"/>
                <w:numId w:val="1"/>
              </w:numPr>
              <w:ind w:left="420" w:leftChars="0" w:firstLine="0" w:firstLineChars="0"/>
              <w:jc w:val="both"/>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“2024年预算数”的单位范围包括本单位1个预算单位。</w:t>
            </w:r>
          </w:p>
          <w:p>
            <w:pPr>
              <w:widowControl/>
              <w:numPr>
                <w:ilvl w:val="0"/>
                <w:numId w:val="1"/>
              </w:numPr>
              <w:ind w:left="420" w:leftChars="0" w:firstLine="0" w:firstLineChars="0"/>
              <w:jc w:val="both"/>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“2024年预算数”的实有人员10人，其中：在职人员7人，退休人</w:t>
            </w:r>
          </w:p>
          <w:p>
            <w:pPr>
              <w:widowControl/>
              <w:jc w:val="both"/>
              <w:rPr>
                <w:rFonts w:hint="eastAsia" w:eastAsia="仿宋_GB2312"/>
                <w:color w:val="000000"/>
                <w:kern w:val="0"/>
                <w:sz w:val="28"/>
                <w:szCs w:val="28"/>
                <w:lang w:val="en-US" w:eastAsia="zh-CN"/>
              </w:rPr>
            </w:pPr>
            <w:r>
              <w:rPr>
                <w:rFonts w:hint="eastAsia" w:ascii="宋体" w:hAnsi="宋体" w:eastAsia="宋体" w:cs="宋体"/>
                <w:color w:val="000000"/>
                <w:kern w:val="0"/>
                <w:sz w:val="21"/>
                <w:szCs w:val="21"/>
                <w:lang w:val="en-US" w:eastAsia="zh-CN"/>
              </w:rPr>
              <w:t>员3人。</w:t>
            </w:r>
          </w:p>
        </w:tc>
      </w:tr>
    </w:tbl>
    <w:p>
      <w:pPr>
        <w:rPr>
          <w:rFonts w:hAnsi="楷体" w:eastAsia="楷体"/>
        </w:rPr>
      </w:pPr>
    </w:p>
    <w:p>
      <w:pPr>
        <w:ind w:firstLine="640" w:firstLineChars="200"/>
        <w:rPr>
          <w:rFonts w:eastAsia="楷体"/>
          <w:kern w:val="0"/>
          <w:szCs w:val="32"/>
        </w:rPr>
      </w:pPr>
      <w:r>
        <w:rPr>
          <w:rFonts w:eastAsia="楷体"/>
          <w:kern w:val="0"/>
          <w:szCs w:val="32"/>
        </w:rPr>
        <w:t xml:space="preserve">    </w:t>
      </w:r>
      <w:bookmarkStart w:id="0" w:name="_GoBack"/>
      <w:bookmarkEnd w:id="0"/>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hint="eastAsia" w:eastAsia="楷体"/>
          <w:kern w:val="0"/>
          <w:szCs w:val="32"/>
          <w:lang w:eastAsia="zh-CN"/>
        </w:rPr>
        <w:sectPr>
          <w:footerReference r:id="rId9" w:type="first"/>
          <w:footerReference r:id="rId8"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bl>
    <w:p>
      <w:pPr>
        <w:spacing w:line="700" w:lineRule="exact"/>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626"/>
        <w:gridCol w:w="587"/>
        <w:gridCol w:w="431"/>
        <w:gridCol w:w="1068"/>
        <w:gridCol w:w="792"/>
        <w:gridCol w:w="804"/>
        <w:gridCol w:w="396"/>
        <w:gridCol w:w="384"/>
        <w:gridCol w:w="360"/>
        <w:gridCol w:w="360"/>
        <w:gridCol w:w="636"/>
        <w:gridCol w:w="384"/>
        <w:gridCol w:w="360"/>
        <w:gridCol w:w="504"/>
        <w:gridCol w:w="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26"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213" w:type="dxa"/>
            <w:gridSpan w:val="2"/>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431"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068"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792"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304"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242"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26"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1644"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1068" w:type="dxa"/>
            <w:vMerge w:val="restart"/>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部门（单位）名称</w:t>
            </w:r>
          </w:p>
        </w:tc>
        <w:tc>
          <w:tcPr>
            <w:tcW w:w="792"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2304" w:type="dxa"/>
            <w:gridSpan w:val="5"/>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2242" w:type="dxa"/>
            <w:gridSpan w:val="5"/>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26"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626" w:type="dxa"/>
            <w:vMerge w:val="restart"/>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1018" w:type="dxa"/>
            <w:gridSpan w:val="2"/>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w:t>
            </w:r>
            <w:r>
              <w:rPr>
                <w:rFonts w:hint="eastAsia" w:ascii="Calibri" w:hAnsi="Calibri" w:eastAsia="华文细黑"/>
                <w:color w:val="000000"/>
                <w:sz w:val="20"/>
                <w:szCs w:val="22"/>
                <w:lang w:val="en-US" w:eastAsia="zh-CN"/>
              </w:rPr>
              <w:t xml:space="preserve">  </w:t>
            </w:r>
            <w:r>
              <w:rPr>
                <w:rFonts w:hint="eastAsia" w:ascii="Calibri" w:hAnsi="Calibri" w:eastAsia="华文细黑"/>
                <w:color w:val="000000"/>
                <w:sz w:val="20"/>
                <w:szCs w:val="22"/>
              </w:rPr>
              <w:t>项目</w:t>
            </w:r>
          </w:p>
        </w:tc>
        <w:tc>
          <w:tcPr>
            <w:tcW w:w="1068"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792"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1584" w:type="dxa"/>
            <w:gridSpan w:val="3"/>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360" w:type="dxa"/>
            <w:vMerge w:val="restart"/>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360" w:type="dxa"/>
            <w:vMerge w:val="restart"/>
            <w:noWrap w:val="0"/>
            <w:textDirection w:val="tbLrV"/>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1380"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862" w:type="dxa"/>
            <w:gridSpan w:val="2"/>
            <w:noWrap w:val="0"/>
            <w:vAlign w:val="center"/>
          </w:tcPr>
          <w:p>
            <w:pPr>
              <w:tabs>
                <w:tab w:val="left" w:pos="492"/>
              </w:tabs>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626" w:type="dxa"/>
            <w:vMerge w:val="continue"/>
            <w:noWrap w:val="0"/>
            <w:vAlign w:val="center"/>
          </w:tcPr>
          <w:p>
            <w:pPr>
              <w:autoSpaceDN w:val="0"/>
              <w:jc w:val="center"/>
              <w:textAlignment w:val="center"/>
              <w:rPr>
                <w:rFonts w:ascii="Calibri" w:hAnsi="Calibri" w:eastAsia="华文细黑"/>
                <w:color w:val="000000"/>
                <w:sz w:val="20"/>
                <w:szCs w:val="22"/>
              </w:rPr>
            </w:pPr>
          </w:p>
        </w:tc>
        <w:tc>
          <w:tcPr>
            <w:tcW w:w="626" w:type="dxa"/>
            <w:vMerge w:val="continue"/>
            <w:noWrap w:val="0"/>
            <w:vAlign w:val="center"/>
          </w:tcPr>
          <w:p>
            <w:pPr>
              <w:autoSpaceDN w:val="0"/>
              <w:jc w:val="center"/>
              <w:textAlignment w:val="center"/>
              <w:rPr>
                <w:rFonts w:ascii="Calibri" w:hAnsi="Calibri" w:eastAsia="华文细黑"/>
                <w:color w:val="000000"/>
                <w:sz w:val="20"/>
                <w:szCs w:val="22"/>
              </w:rPr>
            </w:pPr>
          </w:p>
        </w:tc>
        <w:tc>
          <w:tcPr>
            <w:tcW w:w="1018" w:type="dxa"/>
            <w:gridSpan w:val="2"/>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1068" w:type="dxa"/>
            <w:vMerge w:val="continue"/>
            <w:noWrap w:val="0"/>
            <w:vAlign w:val="center"/>
          </w:tcPr>
          <w:p>
            <w:pPr>
              <w:autoSpaceDN w:val="0"/>
              <w:jc w:val="center"/>
              <w:textAlignment w:val="center"/>
              <w:rPr>
                <w:rFonts w:ascii="Calibri" w:hAnsi="Calibri" w:eastAsia="华文细黑"/>
                <w:color w:val="000000"/>
                <w:sz w:val="20"/>
                <w:szCs w:val="22"/>
              </w:rPr>
            </w:pPr>
          </w:p>
        </w:tc>
        <w:tc>
          <w:tcPr>
            <w:tcW w:w="792" w:type="dxa"/>
            <w:vMerge w:val="continue"/>
            <w:noWrap w:val="0"/>
            <w:vAlign w:val="center"/>
          </w:tcPr>
          <w:p>
            <w:pPr>
              <w:autoSpaceDN w:val="0"/>
              <w:jc w:val="center"/>
              <w:textAlignment w:val="center"/>
              <w:rPr>
                <w:rFonts w:ascii="Calibri" w:hAnsi="Calibri" w:eastAsia="华文细黑"/>
                <w:color w:val="000000"/>
                <w:sz w:val="20"/>
                <w:szCs w:val="22"/>
              </w:rPr>
            </w:pPr>
          </w:p>
        </w:tc>
        <w:tc>
          <w:tcPr>
            <w:tcW w:w="804"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396"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384"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360"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360"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rPr>
            </w:pPr>
          </w:p>
        </w:tc>
        <w:tc>
          <w:tcPr>
            <w:tcW w:w="636"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公共</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384"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政府性</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基金</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360"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国有资本经营</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504" w:type="dxa"/>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358" w:type="dxa"/>
            <w:noWrap w:val="0"/>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专项业务支出</w:t>
            </w:r>
          </w:p>
        </w:tc>
        <w:tc>
          <w:tcPr>
            <w:tcW w:w="626" w:type="dxa"/>
            <w:noWrap w:val="0"/>
            <w:vAlign w:val="center"/>
          </w:tcPr>
          <w:p>
            <w:pPr>
              <w:jc w:val="left"/>
              <w:rPr>
                <w:rFonts w:hint="eastAsia" w:asciiTheme="minorEastAsia" w:hAnsiTheme="minorEastAsia" w:eastAsiaTheme="minorEastAsia" w:cstheme="minorEastAsia"/>
                <w:kern w:val="0"/>
                <w:sz w:val="20"/>
                <w:szCs w:val="20"/>
              </w:rPr>
            </w:pPr>
          </w:p>
        </w:tc>
        <w:tc>
          <w:tcPr>
            <w:tcW w:w="1018" w:type="dxa"/>
            <w:gridSpan w:val="2"/>
            <w:noWrap w:val="0"/>
            <w:vAlign w:val="center"/>
          </w:tcPr>
          <w:p>
            <w:pPr>
              <w:jc w:val="left"/>
              <w:rPr>
                <w:rFonts w:hint="eastAsia" w:asciiTheme="minorEastAsia" w:hAnsiTheme="minorEastAsia" w:eastAsiaTheme="minorEastAsia" w:cstheme="minorEastAsia"/>
                <w:kern w:val="0"/>
                <w:sz w:val="20"/>
                <w:szCs w:val="20"/>
              </w:rPr>
            </w:pPr>
          </w:p>
        </w:tc>
        <w:tc>
          <w:tcPr>
            <w:tcW w:w="1068" w:type="dxa"/>
            <w:noWrap w:val="0"/>
            <w:vAlign w:val="center"/>
          </w:tcPr>
          <w:p>
            <w:pPr>
              <w:jc w:val="left"/>
              <w:rPr>
                <w:rFonts w:hint="eastAsia" w:asciiTheme="minorEastAsia" w:hAnsiTheme="minorEastAsia" w:eastAsiaTheme="minorEastAsia" w:cstheme="minorEastAsia"/>
                <w:kern w:val="0"/>
                <w:sz w:val="20"/>
                <w:szCs w:val="20"/>
              </w:rPr>
            </w:pPr>
          </w:p>
        </w:tc>
        <w:tc>
          <w:tcPr>
            <w:tcW w:w="792" w:type="dxa"/>
            <w:noWrap w:val="0"/>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137.01</w:t>
            </w:r>
          </w:p>
        </w:tc>
        <w:tc>
          <w:tcPr>
            <w:tcW w:w="804" w:type="dxa"/>
            <w:noWrap w:val="0"/>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136.92</w:t>
            </w:r>
          </w:p>
        </w:tc>
        <w:tc>
          <w:tcPr>
            <w:tcW w:w="396"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384"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360"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360"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636" w:type="dxa"/>
            <w:noWrap w:val="0"/>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0.09</w:t>
            </w:r>
          </w:p>
        </w:tc>
        <w:tc>
          <w:tcPr>
            <w:tcW w:w="384" w:type="dxa"/>
            <w:noWrap w:val="0"/>
            <w:vAlign w:val="center"/>
          </w:tcPr>
          <w:p>
            <w:pPr>
              <w:spacing w:line="700" w:lineRule="exact"/>
              <w:jc w:val="center"/>
              <w:rPr>
                <w:rFonts w:ascii="Calibri" w:hAnsi="Calibri" w:eastAsia="楷体"/>
                <w:kern w:val="0"/>
                <w:szCs w:val="32"/>
              </w:rPr>
            </w:pPr>
          </w:p>
        </w:tc>
        <w:tc>
          <w:tcPr>
            <w:tcW w:w="360" w:type="dxa"/>
            <w:noWrap w:val="0"/>
            <w:vAlign w:val="center"/>
          </w:tcPr>
          <w:p>
            <w:pPr>
              <w:spacing w:line="700" w:lineRule="exact"/>
              <w:jc w:val="center"/>
              <w:rPr>
                <w:rFonts w:ascii="Calibri" w:hAnsi="Calibri" w:eastAsia="楷体"/>
                <w:kern w:val="0"/>
                <w:szCs w:val="32"/>
              </w:rPr>
            </w:pPr>
          </w:p>
        </w:tc>
        <w:tc>
          <w:tcPr>
            <w:tcW w:w="504" w:type="dxa"/>
            <w:noWrap w:val="0"/>
            <w:vAlign w:val="center"/>
          </w:tcPr>
          <w:p>
            <w:pPr>
              <w:spacing w:line="700" w:lineRule="exact"/>
              <w:jc w:val="center"/>
              <w:rPr>
                <w:rFonts w:ascii="Calibri" w:hAnsi="Calibri" w:eastAsia="楷体"/>
                <w:kern w:val="0"/>
                <w:szCs w:val="32"/>
              </w:rPr>
            </w:pPr>
          </w:p>
        </w:tc>
        <w:tc>
          <w:tcPr>
            <w:tcW w:w="358"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26" w:type="dxa"/>
            <w:noWrap w:val="0"/>
            <w:vAlign w:val="center"/>
          </w:tcPr>
          <w:p>
            <w:pPr>
              <w:jc w:val="left"/>
              <w:rPr>
                <w:rFonts w:hint="eastAsia" w:asciiTheme="minorEastAsia" w:hAnsiTheme="minorEastAsia" w:eastAsiaTheme="minorEastAsia" w:cstheme="minorEastAsia"/>
                <w:kern w:val="0"/>
                <w:sz w:val="20"/>
                <w:szCs w:val="20"/>
              </w:rPr>
            </w:pPr>
          </w:p>
        </w:tc>
        <w:tc>
          <w:tcPr>
            <w:tcW w:w="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专项普查活动</w:t>
            </w:r>
          </w:p>
        </w:tc>
        <w:tc>
          <w:tcPr>
            <w:tcW w:w="1018" w:type="dxa"/>
            <w:gridSpan w:val="2"/>
            <w:noWrap w:val="0"/>
            <w:vAlign w:val="center"/>
          </w:tcPr>
          <w:p>
            <w:pPr>
              <w:jc w:val="left"/>
              <w:rPr>
                <w:rFonts w:hint="eastAsia" w:asciiTheme="minorEastAsia" w:hAnsiTheme="minorEastAsia" w:eastAsiaTheme="minorEastAsia" w:cstheme="minorEastAsia"/>
                <w:kern w:val="0"/>
                <w:sz w:val="20"/>
                <w:szCs w:val="20"/>
              </w:rPr>
            </w:pPr>
          </w:p>
        </w:tc>
        <w:tc>
          <w:tcPr>
            <w:tcW w:w="1068" w:type="dxa"/>
            <w:noWrap w:val="0"/>
            <w:vAlign w:val="center"/>
          </w:tcPr>
          <w:p>
            <w:pPr>
              <w:jc w:val="left"/>
              <w:rPr>
                <w:rFonts w:hint="eastAsia" w:asciiTheme="minorEastAsia" w:hAnsiTheme="minorEastAsia" w:eastAsiaTheme="minorEastAsia" w:cstheme="minorEastAsia"/>
                <w:kern w:val="0"/>
                <w:sz w:val="20"/>
                <w:szCs w:val="20"/>
              </w:rPr>
            </w:pPr>
          </w:p>
        </w:tc>
        <w:tc>
          <w:tcPr>
            <w:tcW w:w="792" w:type="dxa"/>
            <w:noWrap w:val="0"/>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116.42</w:t>
            </w:r>
          </w:p>
        </w:tc>
        <w:tc>
          <w:tcPr>
            <w:tcW w:w="804" w:type="dxa"/>
            <w:noWrap w:val="0"/>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116.42</w:t>
            </w:r>
          </w:p>
        </w:tc>
        <w:tc>
          <w:tcPr>
            <w:tcW w:w="396"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384"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360"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360"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636" w:type="dxa"/>
            <w:noWrap w:val="0"/>
            <w:vAlign w:val="center"/>
          </w:tcPr>
          <w:p>
            <w:pPr>
              <w:jc w:val="right"/>
              <w:rPr>
                <w:rFonts w:hint="default" w:ascii="Times New Roman" w:hAnsi="Times New Roman" w:eastAsia="楷体" w:cs="Times New Roman"/>
                <w:kern w:val="0"/>
                <w:sz w:val="20"/>
                <w:szCs w:val="20"/>
              </w:rPr>
            </w:pPr>
          </w:p>
        </w:tc>
        <w:tc>
          <w:tcPr>
            <w:tcW w:w="384" w:type="dxa"/>
            <w:noWrap w:val="0"/>
            <w:vAlign w:val="center"/>
          </w:tcPr>
          <w:p>
            <w:pPr>
              <w:spacing w:line="700" w:lineRule="exact"/>
              <w:jc w:val="center"/>
              <w:rPr>
                <w:rFonts w:ascii="Calibri" w:hAnsi="Calibri" w:eastAsia="楷体"/>
                <w:kern w:val="0"/>
                <w:szCs w:val="32"/>
              </w:rPr>
            </w:pPr>
          </w:p>
        </w:tc>
        <w:tc>
          <w:tcPr>
            <w:tcW w:w="360" w:type="dxa"/>
            <w:noWrap w:val="0"/>
            <w:vAlign w:val="center"/>
          </w:tcPr>
          <w:p>
            <w:pPr>
              <w:spacing w:line="700" w:lineRule="exact"/>
              <w:jc w:val="center"/>
              <w:rPr>
                <w:rFonts w:ascii="Calibri" w:hAnsi="Calibri" w:eastAsia="楷体"/>
                <w:kern w:val="0"/>
                <w:szCs w:val="32"/>
              </w:rPr>
            </w:pPr>
          </w:p>
        </w:tc>
        <w:tc>
          <w:tcPr>
            <w:tcW w:w="504" w:type="dxa"/>
            <w:noWrap w:val="0"/>
            <w:vAlign w:val="center"/>
          </w:tcPr>
          <w:p>
            <w:pPr>
              <w:spacing w:line="700" w:lineRule="exact"/>
              <w:jc w:val="center"/>
              <w:rPr>
                <w:rFonts w:ascii="Calibri" w:hAnsi="Calibri" w:eastAsia="楷体"/>
                <w:kern w:val="0"/>
                <w:szCs w:val="32"/>
              </w:rPr>
            </w:pPr>
          </w:p>
        </w:tc>
        <w:tc>
          <w:tcPr>
            <w:tcW w:w="358"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26" w:type="dxa"/>
            <w:noWrap w:val="0"/>
            <w:vAlign w:val="center"/>
          </w:tcPr>
          <w:p>
            <w:pPr>
              <w:jc w:val="left"/>
              <w:rPr>
                <w:rFonts w:hint="eastAsia" w:asciiTheme="minorEastAsia" w:hAnsiTheme="minorEastAsia" w:eastAsiaTheme="minorEastAsia" w:cstheme="minorEastAsia"/>
                <w:kern w:val="0"/>
                <w:sz w:val="20"/>
                <w:szCs w:val="20"/>
              </w:rPr>
            </w:pPr>
          </w:p>
        </w:tc>
        <w:tc>
          <w:tcPr>
            <w:tcW w:w="626" w:type="dxa"/>
            <w:noWrap w:val="0"/>
            <w:vAlign w:val="center"/>
          </w:tcPr>
          <w:p>
            <w:pPr>
              <w:jc w:val="left"/>
              <w:rPr>
                <w:rFonts w:hint="eastAsia" w:asciiTheme="minorEastAsia" w:hAnsiTheme="minorEastAsia" w:eastAsiaTheme="minorEastAsia" w:cstheme="minorEastAsia"/>
                <w:kern w:val="0"/>
                <w:sz w:val="20"/>
                <w:szCs w:val="20"/>
              </w:rPr>
            </w:pPr>
          </w:p>
        </w:tc>
        <w:tc>
          <w:tcPr>
            <w:tcW w:w="1018" w:type="dxa"/>
            <w:gridSpan w:val="2"/>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第五次全国经济普查经费</w:t>
            </w:r>
          </w:p>
        </w:tc>
        <w:tc>
          <w:tcPr>
            <w:tcW w:w="1068"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长春市统计局宽城区分局</w:t>
            </w:r>
          </w:p>
        </w:tc>
        <w:tc>
          <w:tcPr>
            <w:tcW w:w="792" w:type="dxa"/>
            <w:noWrap w:val="0"/>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116.42</w:t>
            </w:r>
          </w:p>
        </w:tc>
        <w:tc>
          <w:tcPr>
            <w:tcW w:w="804" w:type="dxa"/>
            <w:noWrap w:val="0"/>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116.42</w:t>
            </w:r>
          </w:p>
        </w:tc>
        <w:tc>
          <w:tcPr>
            <w:tcW w:w="396"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384"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360"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360"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636" w:type="dxa"/>
            <w:noWrap w:val="0"/>
            <w:vAlign w:val="center"/>
          </w:tcPr>
          <w:p>
            <w:pPr>
              <w:jc w:val="right"/>
              <w:rPr>
                <w:rFonts w:hint="default" w:ascii="Times New Roman" w:hAnsi="Times New Roman" w:eastAsia="楷体" w:cs="Times New Roman"/>
                <w:kern w:val="0"/>
                <w:sz w:val="20"/>
                <w:szCs w:val="20"/>
              </w:rPr>
            </w:pPr>
          </w:p>
        </w:tc>
        <w:tc>
          <w:tcPr>
            <w:tcW w:w="384" w:type="dxa"/>
            <w:noWrap w:val="0"/>
            <w:vAlign w:val="center"/>
          </w:tcPr>
          <w:p>
            <w:pPr>
              <w:spacing w:line="700" w:lineRule="exact"/>
              <w:jc w:val="center"/>
              <w:rPr>
                <w:rFonts w:ascii="Calibri" w:hAnsi="Calibri" w:eastAsia="楷体"/>
                <w:kern w:val="0"/>
                <w:szCs w:val="32"/>
              </w:rPr>
            </w:pPr>
          </w:p>
        </w:tc>
        <w:tc>
          <w:tcPr>
            <w:tcW w:w="360" w:type="dxa"/>
            <w:noWrap w:val="0"/>
            <w:vAlign w:val="center"/>
          </w:tcPr>
          <w:p>
            <w:pPr>
              <w:spacing w:line="700" w:lineRule="exact"/>
              <w:jc w:val="center"/>
              <w:rPr>
                <w:rFonts w:ascii="Calibri" w:hAnsi="Calibri" w:eastAsia="楷体"/>
                <w:kern w:val="0"/>
                <w:szCs w:val="32"/>
              </w:rPr>
            </w:pPr>
          </w:p>
        </w:tc>
        <w:tc>
          <w:tcPr>
            <w:tcW w:w="504" w:type="dxa"/>
            <w:noWrap w:val="0"/>
            <w:vAlign w:val="center"/>
          </w:tcPr>
          <w:p>
            <w:pPr>
              <w:spacing w:line="700" w:lineRule="exact"/>
              <w:jc w:val="center"/>
              <w:rPr>
                <w:rFonts w:ascii="Calibri" w:hAnsi="Calibri" w:eastAsia="楷体"/>
                <w:kern w:val="0"/>
                <w:szCs w:val="32"/>
              </w:rPr>
            </w:pPr>
          </w:p>
        </w:tc>
        <w:tc>
          <w:tcPr>
            <w:tcW w:w="358"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26" w:type="dxa"/>
            <w:noWrap w:val="0"/>
            <w:vAlign w:val="center"/>
          </w:tcPr>
          <w:p>
            <w:pPr>
              <w:jc w:val="left"/>
              <w:rPr>
                <w:rFonts w:hint="eastAsia" w:asciiTheme="minorEastAsia" w:hAnsiTheme="minorEastAsia" w:eastAsiaTheme="minorEastAsia" w:cstheme="minorEastAsia"/>
                <w:kern w:val="0"/>
                <w:sz w:val="20"/>
                <w:szCs w:val="20"/>
              </w:rPr>
            </w:pPr>
          </w:p>
        </w:tc>
        <w:tc>
          <w:tcPr>
            <w:tcW w:w="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专项统计业务</w:t>
            </w:r>
          </w:p>
        </w:tc>
        <w:tc>
          <w:tcPr>
            <w:tcW w:w="1018" w:type="dxa"/>
            <w:gridSpan w:val="2"/>
            <w:noWrap w:val="0"/>
            <w:vAlign w:val="center"/>
          </w:tcPr>
          <w:p>
            <w:pPr>
              <w:jc w:val="left"/>
              <w:rPr>
                <w:rFonts w:hint="eastAsia" w:asciiTheme="minorEastAsia" w:hAnsiTheme="minorEastAsia" w:eastAsiaTheme="minorEastAsia" w:cstheme="minorEastAsia"/>
                <w:kern w:val="0"/>
                <w:sz w:val="20"/>
                <w:szCs w:val="20"/>
              </w:rPr>
            </w:pPr>
          </w:p>
        </w:tc>
        <w:tc>
          <w:tcPr>
            <w:tcW w:w="1068" w:type="dxa"/>
            <w:noWrap w:val="0"/>
            <w:vAlign w:val="center"/>
          </w:tcPr>
          <w:p>
            <w:pPr>
              <w:jc w:val="left"/>
              <w:rPr>
                <w:rFonts w:hint="eastAsia" w:asciiTheme="minorEastAsia" w:hAnsiTheme="minorEastAsia" w:eastAsiaTheme="minorEastAsia" w:cstheme="minorEastAsia"/>
                <w:kern w:val="0"/>
                <w:sz w:val="20"/>
                <w:szCs w:val="20"/>
              </w:rPr>
            </w:pPr>
          </w:p>
        </w:tc>
        <w:tc>
          <w:tcPr>
            <w:tcW w:w="792" w:type="dxa"/>
            <w:noWrap w:val="0"/>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20.59</w:t>
            </w:r>
          </w:p>
        </w:tc>
        <w:tc>
          <w:tcPr>
            <w:tcW w:w="804" w:type="dxa"/>
            <w:noWrap w:val="0"/>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20.50</w:t>
            </w:r>
          </w:p>
        </w:tc>
        <w:tc>
          <w:tcPr>
            <w:tcW w:w="396"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384"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360"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360"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636" w:type="dxa"/>
            <w:noWrap w:val="0"/>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0.09</w:t>
            </w:r>
          </w:p>
        </w:tc>
        <w:tc>
          <w:tcPr>
            <w:tcW w:w="384" w:type="dxa"/>
            <w:noWrap w:val="0"/>
            <w:vAlign w:val="center"/>
          </w:tcPr>
          <w:p>
            <w:pPr>
              <w:spacing w:line="700" w:lineRule="exact"/>
              <w:jc w:val="center"/>
              <w:rPr>
                <w:rFonts w:ascii="Calibri" w:hAnsi="Calibri" w:eastAsia="楷体"/>
                <w:kern w:val="0"/>
                <w:szCs w:val="32"/>
              </w:rPr>
            </w:pPr>
          </w:p>
        </w:tc>
        <w:tc>
          <w:tcPr>
            <w:tcW w:w="360" w:type="dxa"/>
            <w:noWrap w:val="0"/>
            <w:vAlign w:val="center"/>
          </w:tcPr>
          <w:p>
            <w:pPr>
              <w:spacing w:line="700" w:lineRule="exact"/>
              <w:jc w:val="center"/>
              <w:rPr>
                <w:rFonts w:ascii="Calibri" w:hAnsi="Calibri" w:eastAsia="楷体"/>
                <w:kern w:val="0"/>
                <w:szCs w:val="32"/>
              </w:rPr>
            </w:pPr>
          </w:p>
        </w:tc>
        <w:tc>
          <w:tcPr>
            <w:tcW w:w="504" w:type="dxa"/>
            <w:noWrap w:val="0"/>
            <w:vAlign w:val="center"/>
          </w:tcPr>
          <w:p>
            <w:pPr>
              <w:spacing w:line="700" w:lineRule="exact"/>
              <w:jc w:val="center"/>
              <w:rPr>
                <w:rFonts w:ascii="Calibri" w:hAnsi="Calibri" w:eastAsia="楷体"/>
                <w:kern w:val="0"/>
                <w:szCs w:val="32"/>
              </w:rPr>
            </w:pPr>
          </w:p>
        </w:tc>
        <w:tc>
          <w:tcPr>
            <w:tcW w:w="358"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26" w:type="dxa"/>
            <w:noWrap w:val="0"/>
            <w:vAlign w:val="center"/>
          </w:tcPr>
          <w:p>
            <w:pPr>
              <w:jc w:val="left"/>
              <w:rPr>
                <w:rFonts w:hint="eastAsia" w:asciiTheme="minorEastAsia" w:hAnsiTheme="minorEastAsia" w:eastAsiaTheme="minorEastAsia" w:cstheme="minorEastAsia"/>
                <w:kern w:val="0"/>
                <w:sz w:val="20"/>
                <w:szCs w:val="20"/>
              </w:rPr>
            </w:pPr>
          </w:p>
        </w:tc>
        <w:tc>
          <w:tcPr>
            <w:tcW w:w="626" w:type="dxa"/>
            <w:noWrap w:val="0"/>
            <w:vAlign w:val="center"/>
          </w:tcPr>
          <w:p>
            <w:pPr>
              <w:jc w:val="left"/>
              <w:rPr>
                <w:rFonts w:hint="eastAsia" w:asciiTheme="minorEastAsia" w:hAnsiTheme="minorEastAsia" w:eastAsiaTheme="minorEastAsia" w:cstheme="minorEastAsia"/>
                <w:kern w:val="0"/>
                <w:sz w:val="20"/>
                <w:szCs w:val="20"/>
              </w:rPr>
            </w:pPr>
          </w:p>
        </w:tc>
        <w:tc>
          <w:tcPr>
            <w:tcW w:w="1018" w:type="dxa"/>
            <w:gridSpan w:val="2"/>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统计调查经费</w:t>
            </w:r>
          </w:p>
        </w:tc>
        <w:tc>
          <w:tcPr>
            <w:tcW w:w="1068"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长春市统计局宽城区分局</w:t>
            </w:r>
          </w:p>
        </w:tc>
        <w:tc>
          <w:tcPr>
            <w:tcW w:w="792" w:type="dxa"/>
            <w:noWrap w:val="0"/>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20.59</w:t>
            </w:r>
          </w:p>
        </w:tc>
        <w:tc>
          <w:tcPr>
            <w:tcW w:w="804" w:type="dxa"/>
            <w:noWrap w:val="0"/>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20.50</w:t>
            </w:r>
          </w:p>
        </w:tc>
        <w:tc>
          <w:tcPr>
            <w:tcW w:w="396"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384"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360"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360"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636" w:type="dxa"/>
            <w:noWrap w:val="0"/>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0.09</w:t>
            </w:r>
          </w:p>
        </w:tc>
        <w:tc>
          <w:tcPr>
            <w:tcW w:w="384" w:type="dxa"/>
            <w:noWrap w:val="0"/>
            <w:vAlign w:val="center"/>
          </w:tcPr>
          <w:p>
            <w:pPr>
              <w:spacing w:line="700" w:lineRule="exact"/>
              <w:jc w:val="center"/>
              <w:rPr>
                <w:rFonts w:ascii="Calibri" w:hAnsi="Calibri" w:eastAsia="楷体"/>
                <w:kern w:val="0"/>
                <w:szCs w:val="32"/>
              </w:rPr>
            </w:pPr>
          </w:p>
        </w:tc>
        <w:tc>
          <w:tcPr>
            <w:tcW w:w="360" w:type="dxa"/>
            <w:noWrap w:val="0"/>
            <w:vAlign w:val="center"/>
          </w:tcPr>
          <w:p>
            <w:pPr>
              <w:spacing w:line="700" w:lineRule="exact"/>
              <w:jc w:val="center"/>
              <w:rPr>
                <w:rFonts w:ascii="Calibri" w:hAnsi="Calibri" w:eastAsia="楷体"/>
                <w:kern w:val="0"/>
                <w:szCs w:val="32"/>
              </w:rPr>
            </w:pPr>
          </w:p>
        </w:tc>
        <w:tc>
          <w:tcPr>
            <w:tcW w:w="504" w:type="dxa"/>
            <w:noWrap w:val="0"/>
            <w:vAlign w:val="center"/>
          </w:tcPr>
          <w:p>
            <w:pPr>
              <w:spacing w:line="700" w:lineRule="exact"/>
              <w:jc w:val="center"/>
              <w:rPr>
                <w:rFonts w:ascii="Calibri" w:hAnsi="Calibri" w:eastAsia="楷体"/>
                <w:kern w:val="0"/>
                <w:szCs w:val="32"/>
              </w:rPr>
            </w:pPr>
          </w:p>
        </w:tc>
        <w:tc>
          <w:tcPr>
            <w:tcW w:w="358"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26"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626" w:type="dxa"/>
            <w:noWrap w:val="0"/>
            <w:vAlign w:val="center"/>
          </w:tcPr>
          <w:p>
            <w:pPr>
              <w:autoSpaceDN w:val="0"/>
              <w:jc w:val="center"/>
              <w:textAlignment w:val="center"/>
              <w:rPr>
                <w:rFonts w:ascii="Calibri" w:hAnsi="Calibri" w:eastAsia="华文细黑"/>
                <w:color w:val="000000"/>
                <w:sz w:val="20"/>
                <w:szCs w:val="22"/>
              </w:rPr>
            </w:pPr>
          </w:p>
        </w:tc>
        <w:tc>
          <w:tcPr>
            <w:tcW w:w="1018" w:type="dxa"/>
            <w:gridSpan w:val="2"/>
            <w:noWrap w:val="0"/>
            <w:vAlign w:val="center"/>
          </w:tcPr>
          <w:p>
            <w:pPr>
              <w:spacing w:line="700" w:lineRule="exact"/>
              <w:jc w:val="center"/>
              <w:rPr>
                <w:rFonts w:ascii="Calibri" w:hAnsi="Calibri" w:eastAsia="楷体"/>
                <w:kern w:val="0"/>
                <w:szCs w:val="32"/>
              </w:rPr>
            </w:pPr>
          </w:p>
        </w:tc>
        <w:tc>
          <w:tcPr>
            <w:tcW w:w="1068" w:type="dxa"/>
            <w:noWrap w:val="0"/>
            <w:vAlign w:val="center"/>
          </w:tcPr>
          <w:p>
            <w:pPr>
              <w:spacing w:line="700" w:lineRule="exact"/>
              <w:jc w:val="center"/>
              <w:rPr>
                <w:rFonts w:ascii="Calibri" w:hAnsi="Calibri" w:eastAsia="楷体"/>
                <w:kern w:val="0"/>
                <w:szCs w:val="32"/>
              </w:rPr>
            </w:pPr>
          </w:p>
        </w:tc>
        <w:tc>
          <w:tcPr>
            <w:tcW w:w="792" w:type="dxa"/>
            <w:noWrap w:val="0"/>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137.01</w:t>
            </w:r>
          </w:p>
        </w:tc>
        <w:tc>
          <w:tcPr>
            <w:tcW w:w="804" w:type="dxa"/>
            <w:noWrap w:val="0"/>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136.92</w:t>
            </w:r>
          </w:p>
        </w:tc>
        <w:tc>
          <w:tcPr>
            <w:tcW w:w="396"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384"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360"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360"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636"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0.09</w:t>
            </w:r>
          </w:p>
        </w:tc>
        <w:tc>
          <w:tcPr>
            <w:tcW w:w="384" w:type="dxa"/>
            <w:noWrap w:val="0"/>
            <w:vAlign w:val="center"/>
          </w:tcPr>
          <w:p>
            <w:pPr>
              <w:spacing w:line="700" w:lineRule="exact"/>
              <w:jc w:val="center"/>
              <w:rPr>
                <w:rFonts w:ascii="Calibri" w:hAnsi="Calibri" w:eastAsia="楷体"/>
                <w:kern w:val="0"/>
                <w:szCs w:val="32"/>
              </w:rPr>
            </w:pPr>
          </w:p>
        </w:tc>
        <w:tc>
          <w:tcPr>
            <w:tcW w:w="360" w:type="dxa"/>
            <w:noWrap w:val="0"/>
            <w:vAlign w:val="center"/>
          </w:tcPr>
          <w:p>
            <w:pPr>
              <w:spacing w:line="700" w:lineRule="exact"/>
              <w:jc w:val="center"/>
              <w:rPr>
                <w:rFonts w:ascii="Calibri" w:hAnsi="Calibri" w:eastAsia="楷体"/>
                <w:kern w:val="0"/>
                <w:szCs w:val="32"/>
              </w:rPr>
            </w:pPr>
          </w:p>
        </w:tc>
        <w:tc>
          <w:tcPr>
            <w:tcW w:w="504" w:type="dxa"/>
            <w:noWrap w:val="0"/>
            <w:vAlign w:val="center"/>
          </w:tcPr>
          <w:p>
            <w:pPr>
              <w:spacing w:line="700" w:lineRule="exact"/>
              <w:jc w:val="center"/>
              <w:rPr>
                <w:rFonts w:ascii="Calibri" w:hAnsi="Calibri" w:eastAsia="楷体"/>
                <w:kern w:val="0"/>
                <w:szCs w:val="32"/>
              </w:rPr>
            </w:pPr>
          </w:p>
        </w:tc>
        <w:tc>
          <w:tcPr>
            <w:tcW w:w="358" w:type="dxa"/>
            <w:noWrap w:val="0"/>
            <w:vAlign w:val="center"/>
          </w:tcPr>
          <w:p>
            <w:pPr>
              <w:spacing w:line="700" w:lineRule="exact"/>
              <w:jc w:val="center"/>
              <w:rPr>
                <w:rFonts w:ascii="Calibri" w:hAnsi="Calibri" w:eastAsia="楷体"/>
                <w:kern w:val="0"/>
                <w:szCs w:val="32"/>
              </w:rPr>
            </w:pPr>
          </w:p>
        </w:tc>
      </w:tr>
    </w:tbl>
    <w:p>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bl>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708"/>
        <w:gridCol w:w="960"/>
        <w:gridCol w:w="1980"/>
        <w:gridCol w:w="666"/>
        <w:gridCol w:w="726"/>
        <w:gridCol w:w="816"/>
        <w:gridCol w:w="1056"/>
        <w:gridCol w:w="936"/>
        <w:gridCol w:w="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w:t>
            </w:r>
          </w:p>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名称</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金总额（万元）</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6"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长春市统计局宽城区分局</w:t>
            </w:r>
          </w:p>
        </w:tc>
        <w:tc>
          <w:tcPr>
            <w:tcW w:w="708"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i w:val="0"/>
                <w:color w:val="000000"/>
                <w:kern w:val="0"/>
                <w:sz w:val="16"/>
                <w:szCs w:val="16"/>
                <w:u w:val="none"/>
                <w:lang w:val="en-US" w:eastAsia="zh-CN" w:bidi="ar"/>
              </w:rPr>
              <w:t>统计调查经费</w:t>
            </w:r>
          </w:p>
        </w:tc>
        <w:tc>
          <w:tcPr>
            <w:tcW w:w="96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i w:val="0"/>
                <w:color w:val="000000"/>
                <w:kern w:val="0"/>
                <w:sz w:val="16"/>
                <w:szCs w:val="16"/>
                <w:u w:val="none"/>
                <w:lang w:val="en-US" w:eastAsia="zh-CN" w:bidi="ar"/>
              </w:rPr>
              <w:t>20.50</w:t>
            </w:r>
          </w:p>
        </w:tc>
        <w:tc>
          <w:tcPr>
            <w:tcW w:w="198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i w:val="0"/>
                <w:color w:val="000000"/>
                <w:kern w:val="0"/>
                <w:sz w:val="16"/>
                <w:szCs w:val="16"/>
                <w:u w:val="none"/>
                <w:lang w:val="en-US" w:eastAsia="zh-CN" w:bidi="ar"/>
              </w:rPr>
              <w:t>完成2024年统计调查任务，做好宽城区经济运行监测，为社会公众需要和政府决策提供翔实统计数据。</w:t>
            </w:r>
            <w:r>
              <w:rPr>
                <w:rFonts w:hint="eastAsia" w:ascii="华文细黑" w:hAnsi="华文细黑" w:eastAsia="华文细黑" w:cs="华文细黑"/>
                <w:i w:val="0"/>
                <w:color w:val="000000"/>
                <w:kern w:val="0"/>
                <w:sz w:val="16"/>
                <w:szCs w:val="16"/>
                <w:u w:val="none"/>
                <w:lang w:val="en-US" w:eastAsia="zh-CN" w:bidi="ar"/>
              </w:rPr>
              <w:br w:type="textWrapping"/>
            </w:r>
            <w:r>
              <w:rPr>
                <w:rFonts w:hint="eastAsia" w:ascii="华文细黑" w:hAnsi="华文细黑" w:eastAsia="华文细黑" w:cs="华文细黑"/>
                <w:i w:val="0"/>
                <w:color w:val="000000"/>
                <w:kern w:val="0"/>
                <w:sz w:val="16"/>
                <w:szCs w:val="16"/>
                <w:u w:val="none"/>
                <w:lang w:val="en-US" w:eastAsia="zh-CN" w:bidi="ar"/>
              </w:rPr>
              <w:t>一是充分发挥统计部门“晴雨表”作用，根据定期统计报表数据上报情况，撰写月度统计专报，为党委、政府宏观决策提供参考依据；</w:t>
            </w:r>
            <w:r>
              <w:rPr>
                <w:rFonts w:hint="eastAsia" w:ascii="华文细黑" w:hAnsi="华文细黑" w:eastAsia="华文细黑" w:cs="华文细黑"/>
                <w:i w:val="0"/>
                <w:color w:val="000000"/>
                <w:kern w:val="0"/>
                <w:sz w:val="16"/>
                <w:szCs w:val="16"/>
                <w:u w:val="none"/>
                <w:lang w:val="en-US" w:eastAsia="zh-CN" w:bidi="ar"/>
              </w:rPr>
              <w:br w:type="textWrapping"/>
            </w:r>
            <w:r>
              <w:rPr>
                <w:rFonts w:hint="eastAsia" w:ascii="华文细黑" w:hAnsi="华文细黑" w:eastAsia="华文细黑" w:cs="华文细黑"/>
                <w:i w:val="0"/>
                <w:color w:val="000000"/>
                <w:kern w:val="0"/>
                <w:sz w:val="16"/>
                <w:szCs w:val="16"/>
                <w:u w:val="none"/>
                <w:lang w:val="en-US" w:eastAsia="zh-CN" w:bidi="ar"/>
              </w:rPr>
              <w:t>二是充分发挥统计部门“信息库”作用，做好数据审核汇总、管理、发布、提供及开发利用，完成月度、季度统计专业报表；</w:t>
            </w:r>
            <w:r>
              <w:rPr>
                <w:rFonts w:hint="eastAsia" w:ascii="华文细黑" w:hAnsi="华文细黑" w:eastAsia="华文细黑" w:cs="华文细黑"/>
                <w:i w:val="0"/>
                <w:color w:val="000000"/>
                <w:kern w:val="0"/>
                <w:sz w:val="16"/>
                <w:szCs w:val="16"/>
                <w:u w:val="none"/>
                <w:lang w:val="en-US" w:eastAsia="zh-CN" w:bidi="ar"/>
              </w:rPr>
              <w:br w:type="textWrapping"/>
            </w:r>
            <w:r>
              <w:rPr>
                <w:rFonts w:hint="eastAsia" w:ascii="华文细黑" w:hAnsi="华文细黑" w:eastAsia="华文细黑" w:cs="华文细黑"/>
                <w:i w:val="0"/>
                <w:color w:val="000000"/>
                <w:kern w:val="0"/>
                <w:sz w:val="16"/>
                <w:szCs w:val="16"/>
                <w:u w:val="none"/>
                <w:lang w:val="en-US" w:eastAsia="zh-CN" w:bidi="ar"/>
              </w:rPr>
              <w:t>三是推进统计系统人才培养，开展基层统计调查员培训，12月前完成1次统计综合业务培训；</w:t>
            </w:r>
            <w:r>
              <w:rPr>
                <w:rFonts w:hint="eastAsia" w:ascii="华文细黑" w:hAnsi="华文细黑" w:eastAsia="华文细黑" w:cs="华文细黑"/>
                <w:i w:val="0"/>
                <w:color w:val="000000"/>
                <w:kern w:val="0"/>
                <w:sz w:val="16"/>
                <w:szCs w:val="16"/>
                <w:u w:val="none"/>
                <w:lang w:val="en-US" w:eastAsia="zh-CN" w:bidi="ar"/>
              </w:rPr>
              <w:br w:type="textWrapping"/>
            </w:r>
            <w:r>
              <w:rPr>
                <w:rFonts w:hint="eastAsia" w:ascii="华文细黑" w:hAnsi="华文细黑" w:eastAsia="华文细黑" w:cs="华文细黑"/>
                <w:i w:val="0"/>
                <w:color w:val="000000"/>
                <w:kern w:val="0"/>
                <w:sz w:val="16"/>
                <w:szCs w:val="16"/>
                <w:u w:val="none"/>
                <w:lang w:val="en-US" w:eastAsia="zh-CN" w:bidi="ar"/>
              </w:rPr>
              <w:t>四是加强统计法制建设，9月份、12月份开展统计法制宣传，提高公众对统计工作认知度，12月前完成统计双随机执法检查，夯实企业统计数据质量；</w:t>
            </w:r>
            <w:r>
              <w:rPr>
                <w:rFonts w:hint="eastAsia" w:ascii="华文细黑" w:hAnsi="华文细黑" w:eastAsia="华文细黑" w:cs="华文细黑"/>
                <w:i w:val="0"/>
                <w:color w:val="000000"/>
                <w:kern w:val="0"/>
                <w:sz w:val="16"/>
                <w:szCs w:val="16"/>
                <w:u w:val="none"/>
                <w:lang w:val="en-US" w:eastAsia="zh-CN" w:bidi="ar"/>
              </w:rPr>
              <w:br w:type="textWrapping"/>
            </w:r>
            <w:r>
              <w:rPr>
                <w:rFonts w:hint="eastAsia" w:ascii="华文细黑" w:hAnsi="华文细黑" w:eastAsia="华文细黑" w:cs="华文细黑"/>
                <w:i w:val="0"/>
                <w:color w:val="000000"/>
                <w:kern w:val="0"/>
                <w:sz w:val="16"/>
                <w:szCs w:val="16"/>
                <w:u w:val="none"/>
                <w:lang w:val="en-US" w:eastAsia="zh-CN" w:bidi="ar"/>
              </w:rPr>
              <w:t>五是加强统计信息化建设，12月前完成统计专网系统及设备运行维护。</w:t>
            </w:r>
          </w:p>
        </w:tc>
        <w:tc>
          <w:tcPr>
            <w:tcW w:w="666"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i w:val="0"/>
                <w:color w:val="000000"/>
                <w:kern w:val="0"/>
                <w:sz w:val="16"/>
                <w:szCs w:val="16"/>
                <w:u w:val="none"/>
                <w:lang w:val="en-US" w:eastAsia="zh-CN" w:bidi="ar"/>
              </w:rPr>
              <w:t>产出指标</w:t>
            </w:r>
          </w:p>
        </w:tc>
        <w:tc>
          <w:tcPr>
            <w:tcW w:w="7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i w:val="0"/>
                <w:color w:val="000000"/>
                <w:kern w:val="0"/>
                <w:sz w:val="16"/>
                <w:szCs w:val="16"/>
                <w:u w:val="none"/>
                <w:lang w:val="en-US" w:eastAsia="zh-CN" w:bidi="ar"/>
              </w:rPr>
              <w:t>数量指标</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i w:val="0"/>
                <w:color w:val="000000"/>
                <w:kern w:val="0"/>
                <w:sz w:val="16"/>
                <w:szCs w:val="16"/>
                <w:u w:val="none"/>
                <w:lang w:val="en-US" w:eastAsia="zh-CN" w:bidi="ar"/>
              </w:rPr>
              <w:t>培训开展次数</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i w:val="0"/>
                <w:color w:val="000000"/>
                <w:kern w:val="0"/>
                <w:sz w:val="16"/>
                <w:szCs w:val="16"/>
                <w:u w:val="none"/>
                <w:lang w:val="en-US" w:eastAsia="zh-CN" w:bidi="ar"/>
              </w:rPr>
              <w:t>反映培训开展次数</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i w:val="0"/>
                <w:color w:val="000000"/>
                <w:kern w:val="0"/>
                <w:sz w:val="16"/>
                <w:szCs w:val="16"/>
                <w:u w:val="none"/>
                <w:lang w:val="en-US" w:eastAsia="zh-CN" w:bidi="ar"/>
              </w:rPr>
              <w:t>&gt;=2次</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i w:val="0"/>
                <w:color w:val="000000"/>
                <w:kern w:val="0"/>
                <w:sz w:val="16"/>
                <w:szCs w:val="16"/>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708" w:type="dxa"/>
            <w:vMerge w:val="continue"/>
            <w:tcBorders>
              <w:left w:val="single" w:color="000000" w:sz="4" w:space="0"/>
              <w:right w:val="single" w:color="000000" w:sz="4" w:space="0"/>
            </w:tcBorders>
            <w:noWrap w:val="0"/>
            <w:vAlign w:val="center"/>
          </w:tcPr>
          <w:p>
            <w:pPr>
              <w:jc w:val="center"/>
              <w:rPr>
                <w:rFonts w:hint="eastAsia" w:ascii="华文细黑" w:hAnsi="华文细黑" w:eastAsia="华文细黑" w:cs="华文细黑"/>
                <w:kern w:val="0"/>
                <w:sz w:val="16"/>
                <w:szCs w:val="16"/>
                <w:vertAlign w:val="baseline"/>
              </w:rPr>
            </w:pPr>
          </w:p>
        </w:tc>
        <w:tc>
          <w:tcPr>
            <w:tcW w:w="960" w:type="dxa"/>
            <w:vMerge w:val="continue"/>
            <w:tcBorders>
              <w:left w:val="single" w:color="000000" w:sz="4" w:space="0"/>
              <w:right w:val="single" w:color="000000" w:sz="4" w:space="0"/>
            </w:tcBorders>
            <w:noWrap w:val="0"/>
            <w:vAlign w:val="center"/>
          </w:tcPr>
          <w:p>
            <w:pPr>
              <w:jc w:val="center"/>
              <w:rPr>
                <w:rFonts w:hint="eastAsia" w:ascii="华文细黑" w:hAnsi="华文细黑" w:eastAsia="华文细黑" w:cs="华文细黑"/>
                <w:kern w:val="0"/>
                <w:sz w:val="16"/>
                <w:szCs w:val="16"/>
                <w:vertAlign w:val="baseline"/>
              </w:rPr>
            </w:pPr>
          </w:p>
        </w:tc>
        <w:tc>
          <w:tcPr>
            <w:tcW w:w="1980" w:type="dxa"/>
            <w:vMerge w:val="continue"/>
            <w:tcBorders>
              <w:left w:val="single" w:color="000000" w:sz="4" w:space="0"/>
              <w:right w:val="single" w:color="000000" w:sz="4" w:space="0"/>
            </w:tcBorders>
            <w:noWrap w:val="0"/>
            <w:vAlign w:val="center"/>
          </w:tcPr>
          <w:p>
            <w:pPr>
              <w:jc w:val="center"/>
              <w:rPr>
                <w:rFonts w:hint="eastAsia" w:ascii="华文细黑" w:hAnsi="华文细黑" w:eastAsia="华文细黑" w:cs="华文细黑"/>
                <w:kern w:val="0"/>
                <w:sz w:val="16"/>
                <w:szCs w:val="16"/>
                <w:vertAlign w:val="baseline"/>
              </w:rPr>
            </w:pPr>
          </w:p>
        </w:tc>
        <w:tc>
          <w:tcPr>
            <w:tcW w:w="666" w:type="dxa"/>
            <w:vMerge w:val="continue"/>
            <w:tcBorders>
              <w:left w:val="single" w:color="000000" w:sz="4" w:space="0"/>
              <w:right w:val="single" w:color="000000" w:sz="4" w:space="0"/>
            </w:tcBorders>
            <w:noWrap w:val="0"/>
            <w:vAlign w:val="center"/>
          </w:tcPr>
          <w:p>
            <w:pPr>
              <w:jc w:val="center"/>
              <w:rPr>
                <w:rFonts w:hint="eastAsia" w:ascii="华文细黑" w:hAnsi="华文细黑" w:eastAsia="华文细黑" w:cs="华文细黑"/>
                <w:kern w:val="0"/>
                <w:sz w:val="16"/>
                <w:szCs w:val="16"/>
                <w:vertAlign w:val="baseline"/>
              </w:rPr>
            </w:pPr>
          </w:p>
        </w:tc>
        <w:tc>
          <w:tcPr>
            <w:tcW w:w="726" w:type="dxa"/>
            <w:vMerge w:val="continue"/>
            <w:tcBorders>
              <w:top w:val="single" w:color="000000" w:sz="4" w:space="0"/>
            </w:tcBorders>
            <w:noWrap w:val="0"/>
            <w:vAlign w:val="center"/>
          </w:tcPr>
          <w:p>
            <w:pPr>
              <w:jc w:val="center"/>
              <w:rPr>
                <w:rFonts w:hint="eastAsia" w:ascii="华文细黑" w:hAnsi="华文细黑" w:eastAsia="华文细黑" w:cs="华文细黑"/>
                <w:kern w:val="0"/>
                <w:sz w:val="16"/>
                <w:szCs w:val="16"/>
                <w:vertAlign w:val="baseline"/>
                <w:lang w:eastAsia="zh-CN"/>
              </w:rPr>
            </w:pPr>
          </w:p>
        </w:tc>
        <w:tc>
          <w:tcPr>
            <w:tcW w:w="816" w:type="dxa"/>
            <w:tcBorders>
              <w:top w:val="single" w:color="000000" w:sz="4" w:space="0"/>
            </w:tcBorders>
            <w:noWrap w:val="0"/>
            <w:vAlign w:val="center"/>
          </w:tcPr>
          <w:p>
            <w:pPr>
              <w:keepNext w:val="0"/>
              <w:keepLines w:val="0"/>
              <w:widowControl/>
              <w:suppressLineNumbers w:val="0"/>
              <w:jc w:val="left"/>
              <w:textAlignment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i w:val="0"/>
                <w:color w:val="000000"/>
                <w:kern w:val="0"/>
                <w:sz w:val="16"/>
                <w:szCs w:val="16"/>
                <w:u w:val="none"/>
                <w:lang w:val="en-US" w:eastAsia="zh-CN" w:bidi="ar"/>
              </w:rPr>
              <w:t>双随机执法检查企业数</w:t>
            </w:r>
          </w:p>
        </w:tc>
        <w:tc>
          <w:tcPr>
            <w:tcW w:w="1056" w:type="dxa"/>
            <w:tcBorders>
              <w:top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i w:val="0"/>
                <w:color w:val="000000"/>
                <w:kern w:val="0"/>
                <w:sz w:val="16"/>
                <w:szCs w:val="16"/>
                <w:u w:val="none"/>
                <w:lang w:val="en-US" w:eastAsia="zh-CN" w:bidi="ar"/>
              </w:rPr>
              <w:t>反映双随机执法检查企业数量情况</w:t>
            </w:r>
          </w:p>
        </w:tc>
        <w:tc>
          <w:tcPr>
            <w:tcW w:w="936" w:type="dxa"/>
            <w:tcBorders>
              <w:top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i w:val="0"/>
                <w:color w:val="000000"/>
                <w:kern w:val="0"/>
                <w:sz w:val="16"/>
                <w:szCs w:val="16"/>
                <w:u w:val="none"/>
                <w:lang w:val="en-US" w:eastAsia="zh-CN" w:bidi="ar"/>
              </w:rPr>
              <w:t>&gt;=10户</w:t>
            </w:r>
          </w:p>
        </w:tc>
        <w:tc>
          <w:tcPr>
            <w:tcW w:w="477" w:type="dxa"/>
            <w:tcBorders>
              <w:top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i w:val="0"/>
                <w:color w:val="000000"/>
                <w:kern w:val="0"/>
                <w:sz w:val="16"/>
                <w:szCs w:val="16"/>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708" w:type="dxa"/>
            <w:vMerge w:val="continue"/>
            <w:tcBorders>
              <w:left w:val="single" w:color="000000" w:sz="4" w:space="0"/>
              <w:right w:val="single" w:color="000000" w:sz="4" w:space="0"/>
            </w:tcBorders>
            <w:noWrap w:val="0"/>
            <w:vAlign w:val="center"/>
          </w:tcPr>
          <w:p>
            <w:pPr>
              <w:jc w:val="center"/>
              <w:rPr>
                <w:rFonts w:hint="eastAsia" w:ascii="华文细黑" w:hAnsi="华文细黑" w:eastAsia="华文细黑" w:cs="华文细黑"/>
                <w:kern w:val="0"/>
                <w:sz w:val="16"/>
                <w:szCs w:val="16"/>
                <w:vertAlign w:val="baseline"/>
              </w:rPr>
            </w:pPr>
          </w:p>
        </w:tc>
        <w:tc>
          <w:tcPr>
            <w:tcW w:w="960" w:type="dxa"/>
            <w:vMerge w:val="continue"/>
            <w:tcBorders>
              <w:left w:val="single" w:color="000000" w:sz="4" w:space="0"/>
              <w:right w:val="single" w:color="000000" w:sz="4" w:space="0"/>
            </w:tcBorders>
            <w:noWrap w:val="0"/>
            <w:vAlign w:val="center"/>
          </w:tcPr>
          <w:p>
            <w:pPr>
              <w:jc w:val="center"/>
              <w:rPr>
                <w:rFonts w:hint="eastAsia" w:ascii="华文细黑" w:hAnsi="华文细黑" w:eastAsia="华文细黑" w:cs="华文细黑"/>
                <w:kern w:val="0"/>
                <w:sz w:val="16"/>
                <w:szCs w:val="16"/>
                <w:vertAlign w:val="baseline"/>
              </w:rPr>
            </w:pPr>
          </w:p>
        </w:tc>
        <w:tc>
          <w:tcPr>
            <w:tcW w:w="1980" w:type="dxa"/>
            <w:vMerge w:val="continue"/>
            <w:tcBorders>
              <w:left w:val="single" w:color="000000" w:sz="4" w:space="0"/>
              <w:right w:val="single" w:color="000000" w:sz="4" w:space="0"/>
            </w:tcBorders>
            <w:noWrap w:val="0"/>
            <w:vAlign w:val="center"/>
          </w:tcPr>
          <w:p>
            <w:pPr>
              <w:jc w:val="center"/>
              <w:rPr>
                <w:rFonts w:hint="eastAsia" w:ascii="华文细黑" w:hAnsi="华文细黑" w:eastAsia="华文细黑" w:cs="华文细黑"/>
                <w:kern w:val="0"/>
                <w:sz w:val="16"/>
                <w:szCs w:val="16"/>
                <w:vertAlign w:val="baseline"/>
              </w:rPr>
            </w:pPr>
          </w:p>
        </w:tc>
        <w:tc>
          <w:tcPr>
            <w:tcW w:w="666" w:type="dxa"/>
            <w:vMerge w:val="continue"/>
            <w:tcBorders>
              <w:left w:val="single" w:color="000000" w:sz="4" w:space="0"/>
              <w:right w:val="single" w:color="000000" w:sz="4" w:space="0"/>
            </w:tcBorders>
            <w:noWrap w:val="0"/>
            <w:vAlign w:val="center"/>
          </w:tcPr>
          <w:p>
            <w:pPr>
              <w:jc w:val="center"/>
              <w:rPr>
                <w:rFonts w:hint="eastAsia" w:ascii="华文细黑" w:hAnsi="华文细黑" w:eastAsia="华文细黑" w:cs="华文细黑"/>
                <w:kern w:val="0"/>
                <w:sz w:val="16"/>
                <w:szCs w:val="16"/>
                <w:vertAlign w:val="baseline"/>
              </w:rPr>
            </w:pPr>
          </w:p>
        </w:tc>
        <w:tc>
          <w:tcPr>
            <w:tcW w:w="726" w:type="dxa"/>
            <w:vMerge w:val="continue"/>
            <w:noWrap w:val="0"/>
            <w:vAlign w:val="center"/>
          </w:tcPr>
          <w:p>
            <w:pPr>
              <w:jc w:val="center"/>
              <w:rPr>
                <w:rFonts w:hint="eastAsia" w:ascii="华文细黑" w:hAnsi="华文细黑" w:eastAsia="华文细黑" w:cs="华文细黑"/>
                <w:kern w:val="0"/>
                <w:sz w:val="16"/>
                <w:szCs w:val="16"/>
                <w:vertAlign w:val="baseline"/>
                <w:lang w:eastAsia="zh-CN"/>
              </w:rPr>
            </w:pPr>
          </w:p>
        </w:tc>
        <w:tc>
          <w:tcPr>
            <w:tcW w:w="816" w:type="dxa"/>
            <w:noWrap w:val="0"/>
            <w:vAlign w:val="center"/>
          </w:tcPr>
          <w:p>
            <w:pPr>
              <w:keepNext w:val="0"/>
              <w:keepLines w:val="0"/>
              <w:widowControl/>
              <w:suppressLineNumbers w:val="0"/>
              <w:jc w:val="left"/>
              <w:textAlignment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i w:val="0"/>
                <w:color w:val="000000"/>
                <w:kern w:val="0"/>
                <w:sz w:val="16"/>
                <w:szCs w:val="16"/>
                <w:u w:val="none"/>
                <w:lang w:val="en-US" w:eastAsia="zh-CN" w:bidi="ar"/>
              </w:rPr>
              <w:t>统计专报篇数</w:t>
            </w:r>
          </w:p>
        </w:tc>
        <w:tc>
          <w:tcPr>
            <w:tcW w:w="1056"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i w:val="0"/>
                <w:color w:val="000000"/>
                <w:kern w:val="0"/>
                <w:sz w:val="16"/>
                <w:szCs w:val="16"/>
                <w:u w:val="none"/>
                <w:lang w:val="en-US" w:eastAsia="zh-CN" w:bidi="ar"/>
              </w:rPr>
              <w:t>反映统计专报篇数情况</w:t>
            </w:r>
          </w:p>
        </w:tc>
        <w:tc>
          <w:tcPr>
            <w:tcW w:w="936"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i w:val="0"/>
                <w:color w:val="000000"/>
                <w:kern w:val="0"/>
                <w:sz w:val="16"/>
                <w:szCs w:val="16"/>
                <w:u w:val="none"/>
                <w:lang w:val="en-US" w:eastAsia="zh-CN" w:bidi="ar"/>
              </w:rPr>
              <w:t>&gt;=4篇</w:t>
            </w:r>
          </w:p>
        </w:tc>
        <w:tc>
          <w:tcPr>
            <w:tcW w:w="477"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i w:val="0"/>
                <w:color w:val="000000"/>
                <w:kern w:val="0"/>
                <w:sz w:val="16"/>
                <w:szCs w:val="16"/>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708" w:type="dxa"/>
            <w:vMerge w:val="continue"/>
            <w:tcBorders>
              <w:left w:val="single" w:color="000000" w:sz="4" w:space="0"/>
              <w:right w:val="single" w:color="000000" w:sz="4" w:space="0"/>
            </w:tcBorders>
            <w:noWrap w:val="0"/>
            <w:vAlign w:val="center"/>
          </w:tcPr>
          <w:p>
            <w:pPr>
              <w:jc w:val="center"/>
              <w:rPr>
                <w:rFonts w:hint="eastAsia" w:ascii="华文细黑" w:hAnsi="华文细黑" w:eastAsia="华文细黑" w:cs="华文细黑"/>
                <w:kern w:val="0"/>
                <w:sz w:val="16"/>
                <w:szCs w:val="16"/>
                <w:vertAlign w:val="baseline"/>
              </w:rPr>
            </w:pPr>
          </w:p>
        </w:tc>
        <w:tc>
          <w:tcPr>
            <w:tcW w:w="960" w:type="dxa"/>
            <w:vMerge w:val="continue"/>
            <w:tcBorders>
              <w:left w:val="single" w:color="000000" w:sz="4" w:space="0"/>
              <w:right w:val="single" w:color="000000" w:sz="4" w:space="0"/>
            </w:tcBorders>
            <w:noWrap w:val="0"/>
            <w:vAlign w:val="center"/>
          </w:tcPr>
          <w:p>
            <w:pPr>
              <w:jc w:val="center"/>
              <w:rPr>
                <w:rFonts w:hint="eastAsia" w:ascii="华文细黑" w:hAnsi="华文细黑" w:eastAsia="华文细黑" w:cs="华文细黑"/>
                <w:kern w:val="0"/>
                <w:sz w:val="16"/>
                <w:szCs w:val="16"/>
                <w:vertAlign w:val="baseline"/>
              </w:rPr>
            </w:pPr>
          </w:p>
        </w:tc>
        <w:tc>
          <w:tcPr>
            <w:tcW w:w="1980" w:type="dxa"/>
            <w:vMerge w:val="continue"/>
            <w:tcBorders>
              <w:left w:val="single" w:color="000000" w:sz="4" w:space="0"/>
              <w:right w:val="single" w:color="000000" w:sz="4" w:space="0"/>
            </w:tcBorders>
            <w:noWrap w:val="0"/>
            <w:vAlign w:val="center"/>
          </w:tcPr>
          <w:p>
            <w:pPr>
              <w:jc w:val="center"/>
              <w:rPr>
                <w:rFonts w:hint="eastAsia" w:ascii="华文细黑" w:hAnsi="华文细黑" w:eastAsia="华文细黑" w:cs="华文细黑"/>
                <w:kern w:val="0"/>
                <w:sz w:val="16"/>
                <w:szCs w:val="16"/>
                <w:vertAlign w:val="baseline"/>
              </w:rPr>
            </w:pPr>
          </w:p>
        </w:tc>
        <w:tc>
          <w:tcPr>
            <w:tcW w:w="666" w:type="dxa"/>
            <w:vMerge w:val="continue"/>
            <w:noWrap w:val="0"/>
            <w:vAlign w:val="center"/>
          </w:tcPr>
          <w:p>
            <w:pPr>
              <w:jc w:val="center"/>
              <w:rPr>
                <w:rFonts w:hint="eastAsia" w:ascii="华文细黑" w:hAnsi="华文细黑" w:eastAsia="华文细黑" w:cs="华文细黑"/>
                <w:kern w:val="0"/>
                <w:sz w:val="16"/>
                <w:szCs w:val="16"/>
                <w:vertAlign w:val="baseline"/>
                <w:lang w:eastAsia="zh-CN"/>
              </w:rPr>
            </w:pPr>
          </w:p>
        </w:tc>
        <w:tc>
          <w:tcPr>
            <w:tcW w:w="726" w:type="dxa"/>
            <w:vMerge w:val="continue"/>
            <w:noWrap w:val="0"/>
            <w:vAlign w:val="center"/>
          </w:tcPr>
          <w:p>
            <w:pPr>
              <w:jc w:val="center"/>
              <w:rPr>
                <w:rFonts w:hint="eastAsia" w:ascii="华文细黑" w:hAnsi="华文细黑" w:eastAsia="华文细黑" w:cs="华文细黑"/>
                <w:kern w:val="0"/>
                <w:sz w:val="16"/>
                <w:szCs w:val="16"/>
                <w:vertAlign w:val="baseline"/>
                <w:lang w:eastAsia="zh-CN"/>
              </w:rPr>
            </w:pPr>
          </w:p>
        </w:tc>
        <w:tc>
          <w:tcPr>
            <w:tcW w:w="816" w:type="dxa"/>
            <w:noWrap w:val="0"/>
            <w:vAlign w:val="center"/>
          </w:tcPr>
          <w:p>
            <w:pPr>
              <w:keepNext w:val="0"/>
              <w:keepLines w:val="0"/>
              <w:widowControl/>
              <w:suppressLineNumbers w:val="0"/>
              <w:jc w:val="left"/>
              <w:textAlignment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i w:val="0"/>
                <w:color w:val="000000"/>
                <w:kern w:val="0"/>
                <w:sz w:val="16"/>
                <w:szCs w:val="16"/>
                <w:u w:val="none"/>
                <w:lang w:val="en-US" w:eastAsia="zh-CN" w:bidi="ar"/>
              </w:rPr>
              <w:t>开展统计普法宣传</w:t>
            </w:r>
          </w:p>
        </w:tc>
        <w:tc>
          <w:tcPr>
            <w:tcW w:w="1056"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i w:val="0"/>
                <w:color w:val="000000"/>
                <w:kern w:val="0"/>
                <w:sz w:val="16"/>
                <w:szCs w:val="16"/>
                <w:u w:val="none"/>
                <w:lang w:val="en-US" w:eastAsia="zh-CN" w:bidi="ar"/>
              </w:rPr>
              <w:t>在全区范围内开展统计普法宣传</w:t>
            </w:r>
          </w:p>
        </w:tc>
        <w:tc>
          <w:tcPr>
            <w:tcW w:w="936"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i w:val="0"/>
                <w:color w:val="000000"/>
                <w:kern w:val="0"/>
                <w:sz w:val="16"/>
                <w:szCs w:val="16"/>
                <w:u w:val="none"/>
                <w:lang w:val="en-US" w:eastAsia="zh-CN" w:bidi="ar"/>
              </w:rPr>
              <w:t>=2次</w:t>
            </w:r>
          </w:p>
        </w:tc>
        <w:tc>
          <w:tcPr>
            <w:tcW w:w="477"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i w:val="0"/>
                <w:color w:val="000000"/>
                <w:kern w:val="0"/>
                <w:sz w:val="16"/>
                <w:szCs w:val="16"/>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708" w:type="dxa"/>
            <w:vMerge w:val="continue"/>
            <w:tcBorders>
              <w:left w:val="single" w:color="000000" w:sz="4" w:space="0"/>
              <w:right w:val="single" w:color="000000" w:sz="4" w:space="0"/>
            </w:tcBorders>
            <w:noWrap w:val="0"/>
            <w:vAlign w:val="center"/>
          </w:tcPr>
          <w:p>
            <w:pPr>
              <w:jc w:val="center"/>
              <w:rPr>
                <w:rFonts w:hint="eastAsia" w:ascii="华文细黑" w:hAnsi="华文细黑" w:eastAsia="华文细黑" w:cs="华文细黑"/>
                <w:kern w:val="0"/>
                <w:sz w:val="16"/>
                <w:szCs w:val="16"/>
                <w:vertAlign w:val="baseline"/>
              </w:rPr>
            </w:pPr>
          </w:p>
        </w:tc>
        <w:tc>
          <w:tcPr>
            <w:tcW w:w="960" w:type="dxa"/>
            <w:vMerge w:val="continue"/>
            <w:tcBorders>
              <w:left w:val="single" w:color="000000" w:sz="4" w:space="0"/>
              <w:right w:val="single" w:color="000000" w:sz="4" w:space="0"/>
            </w:tcBorders>
            <w:noWrap w:val="0"/>
            <w:vAlign w:val="center"/>
          </w:tcPr>
          <w:p>
            <w:pPr>
              <w:jc w:val="center"/>
              <w:rPr>
                <w:rFonts w:hint="eastAsia" w:ascii="华文细黑" w:hAnsi="华文细黑" w:eastAsia="华文细黑" w:cs="华文细黑"/>
                <w:kern w:val="0"/>
                <w:sz w:val="16"/>
                <w:szCs w:val="16"/>
                <w:vertAlign w:val="baseline"/>
              </w:rPr>
            </w:pPr>
          </w:p>
        </w:tc>
        <w:tc>
          <w:tcPr>
            <w:tcW w:w="1980" w:type="dxa"/>
            <w:vMerge w:val="continue"/>
            <w:tcBorders>
              <w:left w:val="single" w:color="000000" w:sz="4" w:space="0"/>
              <w:right w:val="single" w:color="000000" w:sz="4" w:space="0"/>
            </w:tcBorders>
            <w:noWrap w:val="0"/>
            <w:vAlign w:val="center"/>
          </w:tcPr>
          <w:p>
            <w:pPr>
              <w:jc w:val="center"/>
              <w:rPr>
                <w:rFonts w:hint="eastAsia" w:ascii="华文细黑" w:hAnsi="华文细黑" w:eastAsia="华文细黑" w:cs="华文细黑"/>
                <w:kern w:val="0"/>
                <w:sz w:val="16"/>
                <w:szCs w:val="16"/>
                <w:vertAlign w:val="baseline"/>
              </w:rPr>
            </w:pPr>
          </w:p>
        </w:tc>
        <w:tc>
          <w:tcPr>
            <w:tcW w:w="666" w:type="dxa"/>
            <w:vMerge w:val="continue"/>
            <w:noWrap w:val="0"/>
            <w:vAlign w:val="center"/>
          </w:tcPr>
          <w:p>
            <w:pPr>
              <w:jc w:val="center"/>
              <w:rPr>
                <w:rFonts w:hint="eastAsia" w:ascii="华文细黑" w:hAnsi="华文细黑" w:eastAsia="华文细黑" w:cs="华文细黑"/>
                <w:kern w:val="0"/>
                <w:sz w:val="16"/>
                <w:szCs w:val="16"/>
                <w:vertAlign w:val="baseline"/>
              </w:rPr>
            </w:pPr>
          </w:p>
        </w:tc>
        <w:tc>
          <w:tcPr>
            <w:tcW w:w="726"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i w:val="0"/>
                <w:color w:val="000000"/>
                <w:kern w:val="0"/>
                <w:sz w:val="16"/>
                <w:szCs w:val="16"/>
                <w:u w:val="none"/>
                <w:lang w:val="en-US" w:eastAsia="zh-CN" w:bidi="ar"/>
              </w:rPr>
              <w:t>质量指标</w:t>
            </w:r>
          </w:p>
        </w:tc>
        <w:tc>
          <w:tcPr>
            <w:tcW w:w="816" w:type="dxa"/>
            <w:noWrap w:val="0"/>
            <w:vAlign w:val="center"/>
          </w:tcPr>
          <w:p>
            <w:pPr>
              <w:keepNext w:val="0"/>
              <w:keepLines w:val="0"/>
              <w:widowControl/>
              <w:suppressLineNumbers w:val="0"/>
              <w:jc w:val="left"/>
              <w:textAlignment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i w:val="0"/>
                <w:color w:val="000000"/>
                <w:kern w:val="0"/>
                <w:sz w:val="16"/>
                <w:szCs w:val="16"/>
                <w:u w:val="none"/>
                <w:lang w:val="en-US" w:eastAsia="zh-CN" w:bidi="ar"/>
              </w:rPr>
              <w:t>调查单位审核通过率</w:t>
            </w:r>
          </w:p>
        </w:tc>
        <w:tc>
          <w:tcPr>
            <w:tcW w:w="1056"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i w:val="0"/>
                <w:color w:val="000000"/>
                <w:kern w:val="0"/>
                <w:sz w:val="16"/>
                <w:szCs w:val="16"/>
                <w:u w:val="none"/>
                <w:lang w:val="en-US" w:eastAsia="zh-CN" w:bidi="ar"/>
              </w:rPr>
              <w:t>反映调查单位强制性审核通过率。</w:t>
            </w:r>
          </w:p>
        </w:tc>
        <w:tc>
          <w:tcPr>
            <w:tcW w:w="936"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i w:val="0"/>
                <w:color w:val="000000"/>
                <w:kern w:val="0"/>
                <w:sz w:val="16"/>
                <w:szCs w:val="16"/>
                <w:u w:val="none"/>
                <w:lang w:val="en-US" w:eastAsia="zh-CN" w:bidi="ar"/>
              </w:rPr>
              <w:t>=100%</w:t>
            </w:r>
          </w:p>
        </w:tc>
        <w:tc>
          <w:tcPr>
            <w:tcW w:w="477"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i w:val="0"/>
                <w:color w:val="000000"/>
                <w:kern w:val="0"/>
                <w:sz w:val="16"/>
                <w:szCs w:val="16"/>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708" w:type="dxa"/>
            <w:vMerge w:val="continue"/>
            <w:tcBorders>
              <w:left w:val="single" w:color="000000" w:sz="4" w:space="0"/>
              <w:right w:val="single" w:color="000000" w:sz="4" w:space="0"/>
            </w:tcBorders>
            <w:noWrap w:val="0"/>
            <w:vAlign w:val="center"/>
          </w:tcPr>
          <w:p>
            <w:pPr>
              <w:jc w:val="center"/>
              <w:rPr>
                <w:rFonts w:hint="eastAsia" w:ascii="华文细黑" w:hAnsi="华文细黑" w:eastAsia="华文细黑" w:cs="华文细黑"/>
                <w:kern w:val="0"/>
                <w:sz w:val="16"/>
                <w:szCs w:val="16"/>
                <w:vertAlign w:val="baseline"/>
              </w:rPr>
            </w:pPr>
          </w:p>
        </w:tc>
        <w:tc>
          <w:tcPr>
            <w:tcW w:w="960" w:type="dxa"/>
            <w:vMerge w:val="continue"/>
            <w:tcBorders>
              <w:left w:val="single" w:color="000000" w:sz="4" w:space="0"/>
              <w:right w:val="single" w:color="000000" w:sz="4" w:space="0"/>
            </w:tcBorders>
            <w:noWrap w:val="0"/>
            <w:vAlign w:val="center"/>
          </w:tcPr>
          <w:p>
            <w:pPr>
              <w:jc w:val="center"/>
              <w:rPr>
                <w:rFonts w:hint="eastAsia" w:ascii="华文细黑" w:hAnsi="华文细黑" w:eastAsia="华文细黑" w:cs="华文细黑"/>
                <w:kern w:val="0"/>
                <w:sz w:val="16"/>
                <w:szCs w:val="16"/>
                <w:vertAlign w:val="baseline"/>
              </w:rPr>
            </w:pPr>
          </w:p>
        </w:tc>
        <w:tc>
          <w:tcPr>
            <w:tcW w:w="1980" w:type="dxa"/>
            <w:vMerge w:val="continue"/>
            <w:tcBorders>
              <w:left w:val="single" w:color="000000" w:sz="4" w:space="0"/>
              <w:right w:val="single" w:color="000000" w:sz="4" w:space="0"/>
            </w:tcBorders>
            <w:noWrap w:val="0"/>
            <w:vAlign w:val="center"/>
          </w:tcPr>
          <w:p>
            <w:pPr>
              <w:jc w:val="center"/>
              <w:rPr>
                <w:rFonts w:hint="eastAsia" w:ascii="华文细黑" w:hAnsi="华文细黑" w:eastAsia="华文细黑" w:cs="华文细黑"/>
                <w:kern w:val="0"/>
                <w:sz w:val="16"/>
                <w:szCs w:val="16"/>
                <w:vertAlign w:val="baseline"/>
              </w:rPr>
            </w:pPr>
          </w:p>
        </w:tc>
        <w:tc>
          <w:tcPr>
            <w:tcW w:w="666" w:type="dxa"/>
            <w:vMerge w:val="continue"/>
            <w:noWrap w:val="0"/>
            <w:vAlign w:val="center"/>
          </w:tcPr>
          <w:p>
            <w:pPr>
              <w:jc w:val="center"/>
              <w:rPr>
                <w:rFonts w:hint="eastAsia" w:ascii="华文细黑" w:hAnsi="华文细黑" w:eastAsia="华文细黑" w:cs="华文细黑"/>
                <w:kern w:val="0"/>
                <w:sz w:val="16"/>
                <w:szCs w:val="16"/>
                <w:vertAlign w:val="baseline"/>
              </w:rPr>
            </w:pPr>
          </w:p>
        </w:tc>
        <w:tc>
          <w:tcPr>
            <w:tcW w:w="726"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i w:val="0"/>
                <w:color w:val="000000"/>
                <w:kern w:val="0"/>
                <w:sz w:val="16"/>
                <w:szCs w:val="16"/>
                <w:u w:val="none"/>
                <w:lang w:val="en-US" w:eastAsia="zh-CN" w:bidi="ar"/>
              </w:rPr>
              <w:t>时效指标</w:t>
            </w:r>
          </w:p>
        </w:tc>
        <w:tc>
          <w:tcPr>
            <w:tcW w:w="816" w:type="dxa"/>
            <w:noWrap w:val="0"/>
            <w:vAlign w:val="center"/>
          </w:tcPr>
          <w:p>
            <w:pPr>
              <w:keepNext w:val="0"/>
              <w:keepLines w:val="0"/>
              <w:widowControl/>
              <w:suppressLineNumbers w:val="0"/>
              <w:jc w:val="left"/>
              <w:textAlignment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i w:val="0"/>
                <w:color w:val="000000"/>
                <w:kern w:val="0"/>
                <w:sz w:val="16"/>
                <w:szCs w:val="16"/>
                <w:u w:val="none"/>
                <w:lang w:val="en-US" w:eastAsia="zh-CN" w:bidi="ar"/>
              </w:rPr>
              <w:t>系统运维及时率</w:t>
            </w:r>
          </w:p>
        </w:tc>
        <w:tc>
          <w:tcPr>
            <w:tcW w:w="1056"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i w:val="0"/>
                <w:color w:val="000000"/>
                <w:kern w:val="0"/>
                <w:sz w:val="16"/>
                <w:szCs w:val="16"/>
                <w:u w:val="none"/>
                <w:lang w:val="en-US" w:eastAsia="zh-CN" w:bidi="ar"/>
              </w:rPr>
              <w:t>反映系统运维及时情况。</w:t>
            </w:r>
          </w:p>
        </w:tc>
        <w:tc>
          <w:tcPr>
            <w:tcW w:w="936"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i w:val="0"/>
                <w:color w:val="000000"/>
                <w:kern w:val="0"/>
                <w:sz w:val="16"/>
                <w:szCs w:val="16"/>
                <w:u w:val="none"/>
                <w:lang w:val="en-US" w:eastAsia="zh-CN" w:bidi="ar"/>
              </w:rPr>
              <w:t>12月31日 前完成</w:t>
            </w:r>
          </w:p>
        </w:tc>
        <w:tc>
          <w:tcPr>
            <w:tcW w:w="477"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i w:val="0"/>
                <w:color w:val="000000"/>
                <w:kern w:val="0"/>
                <w:sz w:val="16"/>
                <w:szCs w:val="16"/>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61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708" w:type="dxa"/>
            <w:vMerge w:val="continue"/>
            <w:tcBorders>
              <w:left w:val="single" w:color="000000" w:sz="4" w:space="0"/>
              <w:right w:val="single" w:color="000000" w:sz="4" w:space="0"/>
            </w:tcBorders>
            <w:noWrap w:val="0"/>
            <w:vAlign w:val="center"/>
          </w:tcPr>
          <w:p>
            <w:pPr>
              <w:jc w:val="center"/>
              <w:rPr>
                <w:rFonts w:hint="eastAsia" w:ascii="华文细黑" w:hAnsi="华文细黑" w:eastAsia="华文细黑" w:cs="华文细黑"/>
                <w:kern w:val="0"/>
                <w:sz w:val="16"/>
                <w:szCs w:val="16"/>
                <w:vertAlign w:val="baseline"/>
              </w:rPr>
            </w:pPr>
          </w:p>
        </w:tc>
        <w:tc>
          <w:tcPr>
            <w:tcW w:w="960" w:type="dxa"/>
            <w:vMerge w:val="continue"/>
            <w:tcBorders>
              <w:left w:val="single" w:color="000000" w:sz="4" w:space="0"/>
              <w:right w:val="single" w:color="000000" w:sz="4" w:space="0"/>
            </w:tcBorders>
            <w:noWrap w:val="0"/>
            <w:vAlign w:val="center"/>
          </w:tcPr>
          <w:p>
            <w:pPr>
              <w:jc w:val="center"/>
              <w:rPr>
                <w:rFonts w:hint="eastAsia" w:ascii="华文细黑" w:hAnsi="华文细黑" w:eastAsia="华文细黑" w:cs="华文细黑"/>
                <w:kern w:val="0"/>
                <w:sz w:val="16"/>
                <w:szCs w:val="16"/>
                <w:vertAlign w:val="baseline"/>
              </w:rPr>
            </w:pPr>
          </w:p>
        </w:tc>
        <w:tc>
          <w:tcPr>
            <w:tcW w:w="1980" w:type="dxa"/>
            <w:vMerge w:val="continue"/>
            <w:tcBorders>
              <w:left w:val="single" w:color="000000" w:sz="4" w:space="0"/>
              <w:right w:val="single" w:color="000000" w:sz="4" w:space="0"/>
            </w:tcBorders>
            <w:noWrap w:val="0"/>
            <w:vAlign w:val="center"/>
          </w:tcPr>
          <w:p>
            <w:pPr>
              <w:jc w:val="center"/>
              <w:rPr>
                <w:rFonts w:hint="eastAsia" w:ascii="华文细黑" w:hAnsi="华文细黑" w:eastAsia="华文细黑" w:cs="华文细黑"/>
                <w:kern w:val="0"/>
                <w:sz w:val="16"/>
                <w:szCs w:val="16"/>
                <w:vertAlign w:val="baseline"/>
              </w:rPr>
            </w:pPr>
          </w:p>
        </w:tc>
        <w:tc>
          <w:tcPr>
            <w:tcW w:w="666"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i w:val="0"/>
                <w:color w:val="000000"/>
                <w:kern w:val="0"/>
                <w:sz w:val="16"/>
                <w:szCs w:val="16"/>
                <w:u w:val="none"/>
                <w:lang w:val="en-US" w:eastAsia="zh-CN" w:bidi="ar"/>
              </w:rPr>
              <w:t>效益指标</w:t>
            </w:r>
          </w:p>
        </w:tc>
        <w:tc>
          <w:tcPr>
            <w:tcW w:w="726"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i w:val="0"/>
                <w:color w:val="000000"/>
                <w:kern w:val="0"/>
                <w:sz w:val="16"/>
                <w:szCs w:val="16"/>
                <w:u w:val="none"/>
                <w:lang w:val="en-US" w:eastAsia="zh-CN" w:bidi="ar"/>
              </w:rPr>
              <w:t>社会效益指标</w:t>
            </w:r>
          </w:p>
        </w:tc>
        <w:tc>
          <w:tcPr>
            <w:tcW w:w="816" w:type="dxa"/>
            <w:noWrap w:val="0"/>
            <w:vAlign w:val="center"/>
          </w:tcPr>
          <w:p>
            <w:pPr>
              <w:keepNext w:val="0"/>
              <w:keepLines w:val="0"/>
              <w:widowControl/>
              <w:suppressLineNumbers w:val="0"/>
              <w:jc w:val="left"/>
              <w:textAlignment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i w:val="0"/>
                <w:color w:val="000000"/>
                <w:kern w:val="0"/>
                <w:sz w:val="16"/>
                <w:szCs w:val="16"/>
                <w:u w:val="none"/>
                <w:lang w:val="en-US" w:eastAsia="zh-CN" w:bidi="ar"/>
              </w:rPr>
              <w:t>向社会公众提供统计公报</w:t>
            </w:r>
          </w:p>
        </w:tc>
        <w:tc>
          <w:tcPr>
            <w:tcW w:w="1056"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i w:val="0"/>
                <w:color w:val="000000"/>
                <w:kern w:val="0"/>
                <w:sz w:val="16"/>
                <w:szCs w:val="16"/>
                <w:u w:val="none"/>
                <w:lang w:val="en-US" w:eastAsia="zh-CN" w:bidi="ar"/>
              </w:rPr>
              <w:t>向社会公众提供统计公报篇数</w:t>
            </w:r>
          </w:p>
        </w:tc>
        <w:tc>
          <w:tcPr>
            <w:tcW w:w="936"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i w:val="0"/>
                <w:color w:val="000000"/>
                <w:kern w:val="0"/>
                <w:sz w:val="16"/>
                <w:szCs w:val="16"/>
                <w:u w:val="none"/>
                <w:lang w:val="en-US" w:eastAsia="zh-CN" w:bidi="ar"/>
              </w:rPr>
              <w:t>=1篇</w:t>
            </w:r>
          </w:p>
        </w:tc>
        <w:tc>
          <w:tcPr>
            <w:tcW w:w="477"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i w:val="0"/>
                <w:color w:val="000000"/>
                <w:kern w:val="0"/>
                <w:sz w:val="16"/>
                <w:szCs w:val="16"/>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708"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i w:val="0"/>
                <w:color w:val="000000"/>
                <w:kern w:val="0"/>
                <w:sz w:val="16"/>
                <w:szCs w:val="16"/>
                <w:u w:val="none"/>
                <w:lang w:val="en-US" w:eastAsia="zh-CN" w:bidi="ar"/>
              </w:rPr>
              <w:t>第五次全国经济普查经费</w:t>
            </w:r>
          </w:p>
        </w:tc>
        <w:tc>
          <w:tcPr>
            <w:tcW w:w="960"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i w:val="0"/>
                <w:color w:val="000000"/>
                <w:kern w:val="0"/>
                <w:sz w:val="16"/>
                <w:szCs w:val="16"/>
                <w:u w:val="none"/>
                <w:lang w:val="en-US" w:eastAsia="zh-CN" w:bidi="ar"/>
              </w:rPr>
              <w:t>116.42</w:t>
            </w:r>
          </w:p>
        </w:tc>
        <w:tc>
          <w:tcPr>
            <w:tcW w:w="1980" w:type="dxa"/>
            <w:vMerge w:val="restart"/>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i w:val="0"/>
                <w:color w:val="000000"/>
                <w:kern w:val="0"/>
                <w:sz w:val="16"/>
                <w:szCs w:val="16"/>
                <w:u w:val="none"/>
                <w:lang w:val="en-US" w:eastAsia="zh-CN" w:bidi="ar"/>
              </w:rPr>
              <w:t>全面、及时、准确地完成2024年宽城区第五次全国经济普查正式登记阶段工作任务，为社会公众需要和政府决策提供翔实统计数据。</w:t>
            </w:r>
          </w:p>
        </w:tc>
        <w:tc>
          <w:tcPr>
            <w:tcW w:w="666" w:type="dxa"/>
            <w:vMerge w:val="restart"/>
            <w:noWrap w:val="0"/>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kern w:val="0"/>
                <w:sz w:val="16"/>
                <w:szCs w:val="16"/>
                <w:u w:val="none"/>
                <w:lang w:val="en-US" w:eastAsia="zh-CN" w:bidi="ar"/>
              </w:rPr>
            </w:pPr>
            <w:r>
              <w:rPr>
                <w:rFonts w:hint="eastAsia" w:ascii="华文细黑" w:hAnsi="华文细黑" w:eastAsia="华文细黑" w:cs="华文细黑"/>
                <w:i w:val="0"/>
                <w:color w:val="000000"/>
                <w:kern w:val="0"/>
                <w:sz w:val="16"/>
                <w:szCs w:val="16"/>
                <w:u w:val="none"/>
                <w:lang w:val="en-US" w:eastAsia="zh-CN" w:bidi="ar"/>
              </w:rPr>
              <w:t>产出指标</w:t>
            </w:r>
          </w:p>
        </w:tc>
        <w:tc>
          <w:tcPr>
            <w:tcW w:w="726"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kern w:val="0"/>
                <w:sz w:val="16"/>
                <w:szCs w:val="16"/>
                <w:u w:val="none"/>
                <w:lang w:val="en-US" w:eastAsia="zh-CN" w:bidi="ar"/>
              </w:rPr>
            </w:pPr>
            <w:r>
              <w:rPr>
                <w:rFonts w:hint="eastAsia" w:ascii="华文细黑" w:hAnsi="华文细黑" w:eastAsia="华文细黑" w:cs="华文细黑"/>
                <w:i w:val="0"/>
                <w:color w:val="000000"/>
                <w:kern w:val="0"/>
                <w:sz w:val="16"/>
                <w:szCs w:val="16"/>
                <w:u w:val="none"/>
                <w:lang w:val="en-US" w:eastAsia="zh-CN" w:bidi="ar"/>
              </w:rPr>
              <w:t>数量指标</w:t>
            </w:r>
          </w:p>
        </w:tc>
        <w:tc>
          <w:tcPr>
            <w:tcW w:w="816"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color w:val="000000"/>
                <w:kern w:val="0"/>
                <w:sz w:val="16"/>
                <w:szCs w:val="16"/>
                <w:u w:val="none"/>
                <w:lang w:val="en-US" w:eastAsia="zh-CN" w:bidi="ar"/>
              </w:rPr>
            </w:pPr>
            <w:r>
              <w:rPr>
                <w:rFonts w:hint="eastAsia" w:ascii="华文细黑" w:hAnsi="华文细黑" w:eastAsia="华文细黑" w:cs="华文细黑"/>
                <w:i w:val="0"/>
                <w:color w:val="000000"/>
                <w:kern w:val="0"/>
                <w:sz w:val="16"/>
                <w:szCs w:val="16"/>
                <w:u w:val="none"/>
                <w:lang w:val="en-US" w:eastAsia="zh-CN" w:bidi="ar"/>
              </w:rPr>
              <w:t>聘用普查人员数</w:t>
            </w:r>
          </w:p>
        </w:tc>
        <w:tc>
          <w:tcPr>
            <w:tcW w:w="1056"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kern w:val="0"/>
                <w:sz w:val="16"/>
                <w:szCs w:val="16"/>
                <w:u w:val="none"/>
                <w:lang w:val="en-US" w:eastAsia="zh-CN" w:bidi="ar"/>
              </w:rPr>
            </w:pPr>
            <w:r>
              <w:rPr>
                <w:rFonts w:hint="eastAsia" w:ascii="华文细黑" w:hAnsi="华文细黑" w:eastAsia="华文细黑" w:cs="华文细黑"/>
                <w:i w:val="0"/>
                <w:color w:val="000000"/>
                <w:kern w:val="0"/>
                <w:sz w:val="16"/>
                <w:szCs w:val="16"/>
                <w:u w:val="none"/>
                <w:lang w:val="en-US" w:eastAsia="zh-CN" w:bidi="ar"/>
              </w:rPr>
              <w:t>反映普查员人员数量。</w:t>
            </w:r>
          </w:p>
        </w:tc>
        <w:tc>
          <w:tcPr>
            <w:tcW w:w="936"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kern w:val="0"/>
                <w:sz w:val="16"/>
                <w:szCs w:val="16"/>
                <w:u w:val="none"/>
                <w:lang w:val="en-US" w:eastAsia="zh-CN" w:bidi="ar"/>
              </w:rPr>
            </w:pPr>
            <w:r>
              <w:rPr>
                <w:rFonts w:hint="eastAsia" w:ascii="华文细黑" w:hAnsi="华文细黑" w:eastAsia="华文细黑" w:cs="华文细黑"/>
                <w:i w:val="0"/>
                <w:color w:val="000000"/>
                <w:kern w:val="0"/>
                <w:sz w:val="16"/>
                <w:szCs w:val="16"/>
                <w:u w:val="none"/>
                <w:lang w:val="en-US" w:eastAsia="zh-CN" w:bidi="ar"/>
              </w:rPr>
              <w:t>&gt;=800人</w:t>
            </w:r>
          </w:p>
        </w:tc>
        <w:tc>
          <w:tcPr>
            <w:tcW w:w="477"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kern w:val="0"/>
                <w:sz w:val="16"/>
                <w:szCs w:val="16"/>
                <w:u w:val="none"/>
                <w:lang w:val="en-US" w:eastAsia="zh-CN" w:bidi="ar"/>
              </w:rPr>
            </w:pPr>
            <w:r>
              <w:rPr>
                <w:rFonts w:hint="eastAsia" w:ascii="华文细黑" w:hAnsi="华文细黑" w:eastAsia="华文细黑" w:cs="华文细黑"/>
                <w:i w:val="0"/>
                <w:color w:val="000000"/>
                <w:kern w:val="0"/>
                <w:sz w:val="16"/>
                <w:szCs w:val="16"/>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708" w:type="dxa"/>
            <w:vMerge w:val="continue"/>
            <w:tcBorders>
              <w:left w:val="single" w:color="000000" w:sz="4" w:space="0"/>
              <w:right w:val="single" w:color="000000" w:sz="4" w:space="0"/>
            </w:tcBorders>
            <w:noWrap w:val="0"/>
            <w:vAlign w:val="center"/>
          </w:tcPr>
          <w:p>
            <w:pPr>
              <w:jc w:val="center"/>
              <w:rPr>
                <w:rFonts w:hint="eastAsia" w:ascii="华文细黑" w:hAnsi="华文细黑" w:eastAsia="华文细黑" w:cs="华文细黑"/>
                <w:kern w:val="0"/>
                <w:sz w:val="16"/>
                <w:szCs w:val="16"/>
                <w:vertAlign w:val="baseline"/>
              </w:rPr>
            </w:pPr>
          </w:p>
        </w:tc>
        <w:tc>
          <w:tcPr>
            <w:tcW w:w="960" w:type="dxa"/>
            <w:vMerge w:val="continue"/>
            <w:tcBorders>
              <w:left w:val="single" w:color="000000" w:sz="4" w:space="0"/>
              <w:right w:val="single" w:color="000000" w:sz="4" w:space="0"/>
            </w:tcBorders>
            <w:noWrap w:val="0"/>
            <w:vAlign w:val="center"/>
          </w:tcPr>
          <w:p>
            <w:pPr>
              <w:jc w:val="center"/>
              <w:rPr>
                <w:rFonts w:hint="eastAsia" w:ascii="华文细黑" w:hAnsi="华文细黑" w:eastAsia="华文细黑" w:cs="华文细黑"/>
                <w:kern w:val="0"/>
                <w:sz w:val="16"/>
                <w:szCs w:val="16"/>
                <w:vertAlign w:val="baseline"/>
              </w:rPr>
            </w:pPr>
          </w:p>
        </w:tc>
        <w:tc>
          <w:tcPr>
            <w:tcW w:w="1980" w:type="dxa"/>
            <w:vMerge w:val="continue"/>
            <w:tcBorders>
              <w:left w:val="single" w:color="000000" w:sz="4" w:space="0"/>
              <w:right w:val="single" w:color="000000" w:sz="4" w:space="0"/>
            </w:tcBorders>
            <w:noWrap w:val="0"/>
            <w:vAlign w:val="center"/>
          </w:tcPr>
          <w:p>
            <w:pPr>
              <w:jc w:val="center"/>
              <w:rPr>
                <w:rFonts w:hint="eastAsia" w:ascii="华文细黑" w:hAnsi="华文细黑" w:eastAsia="华文细黑" w:cs="华文细黑"/>
                <w:kern w:val="0"/>
                <w:sz w:val="16"/>
                <w:szCs w:val="16"/>
                <w:vertAlign w:val="baseline"/>
              </w:rPr>
            </w:pPr>
          </w:p>
        </w:tc>
        <w:tc>
          <w:tcPr>
            <w:tcW w:w="666" w:type="dxa"/>
            <w:vMerge w:val="continue"/>
            <w:noWrap w:val="0"/>
            <w:vAlign w:val="center"/>
          </w:tcPr>
          <w:p>
            <w:pPr>
              <w:jc w:val="center"/>
              <w:rPr>
                <w:rFonts w:hint="eastAsia" w:ascii="华文细黑" w:hAnsi="华文细黑" w:eastAsia="华文细黑" w:cs="华文细黑"/>
                <w:i w:val="0"/>
                <w:color w:val="000000"/>
                <w:kern w:val="0"/>
                <w:sz w:val="16"/>
                <w:szCs w:val="16"/>
                <w:u w:val="none"/>
                <w:lang w:val="en-US" w:eastAsia="zh-CN" w:bidi="ar"/>
              </w:rPr>
            </w:pPr>
          </w:p>
        </w:tc>
        <w:tc>
          <w:tcPr>
            <w:tcW w:w="726"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kern w:val="0"/>
                <w:sz w:val="16"/>
                <w:szCs w:val="16"/>
                <w:u w:val="none"/>
                <w:lang w:val="en-US" w:eastAsia="zh-CN" w:bidi="ar"/>
              </w:rPr>
            </w:pPr>
            <w:r>
              <w:rPr>
                <w:rFonts w:hint="eastAsia" w:ascii="华文细黑" w:hAnsi="华文细黑" w:eastAsia="华文细黑" w:cs="华文细黑"/>
                <w:i w:val="0"/>
                <w:color w:val="000000"/>
                <w:kern w:val="0"/>
                <w:sz w:val="16"/>
                <w:szCs w:val="16"/>
                <w:u w:val="none"/>
                <w:lang w:val="en-US" w:eastAsia="zh-CN" w:bidi="ar"/>
              </w:rPr>
              <w:t>时效指标</w:t>
            </w:r>
          </w:p>
        </w:tc>
        <w:tc>
          <w:tcPr>
            <w:tcW w:w="816"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color w:val="000000"/>
                <w:kern w:val="0"/>
                <w:sz w:val="16"/>
                <w:szCs w:val="16"/>
                <w:u w:val="none"/>
                <w:lang w:val="en-US" w:eastAsia="zh-CN" w:bidi="ar"/>
              </w:rPr>
            </w:pPr>
            <w:r>
              <w:rPr>
                <w:rFonts w:hint="eastAsia" w:ascii="华文细黑" w:hAnsi="华文细黑" w:eastAsia="华文细黑" w:cs="华文细黑"/>
                <w:i w:val="0"/>
                <w:color w:val="000000"/>
                <w:kern w:val="0"/>
                <w:sz w:val="16"/>
                <w:szCs w:val="16"/>
                <w:u w:val="none"/>
                <w:lang w:val="en-US" w:eastAsia="zh-CN" w:bidi="ar"/>
              </w:rPr>
              <w:t>普查员、普查指导员补助发放及时率</w:t>
            </w:r>
          </w:p>
        </w:tc>
        <w:tc>
          <w:tcPr>
            <w:tcW w:w="1056"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kern w:val="0"/>
                <w:sz w:val="16"/>
                <w:szCs w:val="16"/>
                <w:u w:val="none"/>
                <w:lang w:val="en-US" w:eastAsia="zh-CN" w:bidi="ar"/>
              </w:rPr>
            </w:pPr>
            <w:r>
              <w:rPr>
                <w:rFonts w:hint="eastAsia" w:ascii="华文细黑" w:hAnsi="华文细黑" w:eastAsia="华文细黑" w:cs="华文细黑"/>
                <w:i w:val="0"/>
                <w:color w:val="000000"/>
                <w:kern w:val="0"/>
                <w:sz w:val="16"/>
                <w:szCs w:val="16"/>
                <w:u w:val="none"/>
                <w:lang w:val="en-US" w:eastAsia="zh-CN" w:bidi="ar"/>
              </w:rPr>
              <w:t>普查员、普查指导员补助发放及时情况</w:t>
            </w:r>
          </w:p>
        </w:tc>
        <w:tc>
          <w:tcPr>
            <w:tcW w:w="936"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kern w:val="0"/>
                <w:sz w:val="16"/>
                <w:szCs w:val="16"/>
                <w:u w:val="none"/>
                <w:lang w:val="en-US" w:eastAsia="zh-CN" w:bidi="ar"/>
              </w:rPr>
            </w:pPr>
            <w:r>
              <w:rPr>
                <w:rFonts w:hint="eastAsia" w:ascii="华文细黑" w:hAnsi="华文细黑" w:eastAsia="华文细黑" w:cs="华文细黑"/>
                <w:i w:val="0"/>
                <w:color w:val="000000"/>
                <w:kern w:val="0"/>
                <w:sz w:val="16"/>
                <w:szCs w:val="16"/>
                <w:u w:val="none"/>
                <w:lang w:val="en-US" w:eastAsia="zh-CN" w:bidi="ar"/>
              </w:rPr>
              <w:t>6月30日前</w:t>
            </w:r>
          </w:p>
        </w:tc>
        <w:tc>
          <w:tcPr>
            <w:tcW w:w="477"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kern w:val="0"/>
                <w:sz w:val="16"/>
                <w:szCs w:val="16"/>
                <w:u w:val="none"/>
                <w:lang w:val="en-US" w:eastAsia="zh-CN" w:bidi="ar"/>
              </w:rPr>
            </w:pPr>
            <w:r>
              <w:rPr>
                <w:rFonts w:hint="eastAsia" w:ascii="华文细黑" w:hAnsi="华文细黑" w:eastAsia="华文细黑" w:cs="华文细黑"/>
                <w:i w:val="0"/>
                <w:color w:val="000000"/>
                <w:kern w:val="0"/>
                <w:sz w:val="16"/>
                <w:szCs w:val="16"/>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708" w:type="dxa"/>
            <w:vMerge w:val="continue"/>
            <w:tcBorders>
              <w:left w:val="single" w:color="000000" w:sz="4" w:space="0"/>
              <w:right w:val="single" w:color="000000" w:sz="4" w:space="0"/>
            </w:tcBorders>
            <w:noWrap w:val="0"/>
            <w:vAlign w:val="center"/>
          </w:tcPr>
          <w:p>
            <w:pPr>
              <w:jc w:val="center"/>
              <w:rPr>
                <w:rFonts w:hint="eastAsia" w:ascii="华文细黑" w:hAnsi="华文细黑" w:eastAsia="华文细黑" w:cs="华文细黑"/>
                <w:kern w:val="0"/>
                <w:sz w:val="16"/>
                <w:szCs w:val="16"/>
                <w:vertAlign w:val="baseline"/>
              </w:rPr>
            </w:pPr>
          </w:p>
        </w:tc>
        <w:tc>
          <w:tcPr>
            <w:tcW w:w="960" w:type="dxa"/>
            <w:vMerge w:val="continue"/>
            <w:tcBorders>
              <w:left w:val="single" w:color="000000" w:sz="4" w:space="0"/>
              <w:right w:val="single" w:color="000000" w:sz="4" w:space="0"/>
            </w:tcBorders>
            <w:noWrap w:val="0"/>
            <w:vAlign w:val="center"/>
          </w:tcPr>
          <w:p>
            <w:pPr>
              <w:jc w:val="center"/>
              <w:rPr>
                <w:rFonts w:hint="eastAsia" w:ascii="华文细黑" w:hAnsi="华文细黑" w:eastAsia="华文细黑" w:cs="华文细黑"/>
                <w:kern w:val="0"/>
                <w:sz w:val="16"/>
                <w:szCs w:val="16"/>
                <w:vertAlign w:val="baseline"/>
              </w:rPr>
            </w:pPr>
          </w:p>
        </w:tc>
        <w:tc>
          <w:tcPr>
            <w:tcW w:w="1980" w:type="dxa"/>
            <w:vMerge w:val="continue"/>
            <w:tcBorders>
              <w:left w:val="single" w:color="000000" w:sz="4" w:space="0"/>
              <w:right w:val="single" w:color="000000" w:sz="4" w:space="0"/>
            </w:tcBorders>
            <w:noWrap w:val="0"/>
            <w:vAlign w:val="center"/>
          </w:tcPr>
          <w:p>
            <w:pPr>
              <w:jc w:val="center"/>
              <w:rPr>
                <w:rFonts w:hint="eastAsia" w:ascii="华文细黑" w:hAnsi="华文细黑" w:eastAsia="华文细黑" w:cs="华文细黑"/>
                <w:kern w:val="0"/>
                <w:sz w:val="16"/>
                <w:szCs w:val="16"/>
                <w:vertAlign w:val="baseline"/>
              </w:rPr>
            </w:pPr>
          </w:p>
        </w:tc>
        <w:tc>
          <w:tcPr>
            <w:tcW w:w="666"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kern w:val="0"/>
                <w:sz w:val="16"/>
                <w:szCs w:val="16"/>
                <w:u w:val="none"/>
                <w:lang w:val="en-US" w:eastAsia="zh-CN" w:bidi="ar"/>
              </w:rPr>
            </w:pPr>
            <w:r>
              <w:rPr>
                <w:rFonts w:hint="eastAsia" w:ascii="华文细黑" w:hAnsi="华文细黑" w:eastAsia="华文细黑" w:cs="华文细黑"/>
                <w:i w:val="0"/>
                <w:color w:val="000000"/>
                <w:kern w:val="0"/>
                <w:sz w:val="16"/>
                <w:szCs w:val="16"/>
                <w:u w:val="none"/>
                <w:lang w:val="en-US" w:eastAsia="zh-CN" w:bidi="ar"/>
              </w:rPr>
              <w:t>效益指标</w:t>
            </w:r>
          </w:p>
        </w:tc>
        <w:tc>
          <w:tcPr>
            <w:tcW w:w="726"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kern w:val="0"/>
                <w:sz w:val="16"/>
                <w:szCs w:val="16"/>
                <w:u w:val="none"/>
                <w:lang w:val="en-US" w:eastAsia="zh-CN" w:bidi="ar"/>
              </w:rPr>
            </w:pPr>
            <w:r>
              <w:rPr>
                <w:rFonts w:hint="eastAsia" w:ascii="华文细黑" w:hAnsi="华文细黑" w:eastAsia="华文细黑" w:cs="华文细黑"/>
                <w:i w:val="0"/>
                <w:color w:val="000000"/>
                <w:kern w:val="0"/>
                <w:sz w:val="16"/>
                <w:szCs w:val="16"/>
                <w:u w:val="none"/>
                <w:lang w:val="en-US" w:eastAsia="zh-CN" w:bidi="ar"/>
              </w:rPr>
              <w:t>社会效益指标</w:t>
            </w:r>
          </w:p>
        </w:tc>
        <w:tc>
          <w:tcPr>
            <w:tcW w:w="816" w:type="dxa"/>
            <w:noWrap w:val="0"/>
            <w:vAlign w:val="center"/>
          </w:tcPr>
          <w:p>
            <w:pPr>
              <w:keepNext w:val="0"/>
              <w:keepLines w:val="0"/>
              <w:widowControl/>
              <w:suppressLineNumbers w:val="0"/>
              <w:jc w:val="left"/>
              <w:textAlignment w:val="center"/>
              <w:rPr>
                <w:rFonts w:hint="eastAsia" w:ascii="华文细黑" w:hAnsi="华文细黑" w:eastAsia="华文细黑" w:cs="华文细黑"/>
                <w:i w:val="0"/>
                <w:color w:val="000000"/>
                <w:kern w:val="0"/>
                <w:sz w:val="16"/>
                <w:szCs w:val="16"/>
                <w:u w:val="none"/>
                <w:lang w:val="en-US" w:eastAsia="zh-CN" w:bidi="ar"/>
              </w:rPr>
            </w:pPr>
            <w:r>
              <w:rPr>
                <w:rFonts w:hint="eastAsia" w:ascii="华文细黑" w:hAnsi="华文细黑" w:eastAsia="华文细黑" w:cs="华文细黑"/>
                <w:i w:val="0"/>
                <w:color w:val="000000"/>
                <w:kern w:val="0"/>
                <w:sz w:val="16"/>
                <w:szCs w:val="16"/>
                <w:u w:val="none"/>
                <w:lang w:val="en-US" w:eastAsia="zh-CN" w:bidi="ar"/>
              </w:rPr>
              <w:t>完成经济普查技术工作总结</w:t>
            </w:r>
          </w:p>
        </w:tc>
        <w:tc>
          <w:tcPr>
            <w:tcW w:w="1056"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kern w:val="0"/>
                <w:sz w:val="16"/>
                <w:szCs w:val="16"/>
                <w:u w:val="none"/>
                <w:lang w:val="en-US" w:eastAsia="zh-CN" w:bidi="ar"/>
              </w:rPr>
            </w:pPr>
            <w:r>
              <w:rPr>
                <w:rFonts w:hint="eastAsia" w:ascii="华文细黑" w:hAnsi="华文细黑" w:eastAsia="华文细黑" w:cs="华文细黑"/>
                <w:i w:val="0"/>
                <w:color w:val="000000"/>
                <w:kern w:val="0"/>
                <w:sz w:val="16"/>
                <w:szCs w:val="16"/>
                <w:u w:val="none"/>
                <w:lang w:val="en-US" w:eastAsia="zh-CN" w:bidi="ar"/>
              </w:rPr>
              <w:t>形成经济普查各阶段技术工作总结，便于指导今后工作。</w:t>
            </w:r>
          </w:p>
        </w:tc>
        <w:tc>
          <w:tcPr>
            <w:tcW w:w="936"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kern w:val="0"/>
                <w:sz w:val="16"/>
                <w:szCs w:val="16"/>
                <w:u w:val="none"/>
                <w:lang w:val="en-US" w:eastAsia="zh-CN" w:bidi="ar"/>
              </w:rPr>
            </w:pPr>
            <w:r>
              <w:rPr>
                <w:rFonts w:hint="eastAsia" w:ascii="华文细黑" w:hAnsi="华文细黑" w:eastAsia="华文细黑" w:cs="华文细黑"/>
                <w:i w:val="0"/>
                <w:color w:val="000000"/>
                <w:kern w:val="0"/>
                <w:sz w:val="16"/>
                <w:szCs w:val="16"/>
                <w:u w:val="none"/>
                <w:lang w:val="en-US" w:eastAsia="zh-CN" w:bidi="ar"/>
              </w:rPr>
              <w:t>=1篇</w:t>
            </w:r>
          </w:p>
        </w:tc>
        <w:tc>
          <w:tcPr>
            <w:tcW w:w="477"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kern w:val="0"/>
                <w:sz w:val="16"/>
                <w:szCs w:val="16"/>
                <w:u w:val="none"/>
                <w:lang w:val="en-US" w:eastAsia="zh-CN" w:bidi="ar"/>
              </w:rPr>
            </w:pPr>
            <w:r>
              <w:rPr>
                <w:rFonts w:hint="eastAsia" w:ascii="华文细黑" w:hAnsi="华文细黑" w:eastAsia="华文细黑" w:cs="华文细黑"/>
                <w:i w:val="0"/>
                <w:color w:val="000000"/>
                <w:kern w:val="0"/>
                <w:sz w:val="16"/>
                <w:szCs w:val="16"/>
                <w:u w:val="none"/>
                <w:lang w:val="en-US" w:eastAsia="zh-CN" w:bidi="ar"/>
              </w:rPr>
              <w:t>40</w:t>
            </w:r>
          </w:p>
        </w:tc>
      </w:tr>
    </w:tbl>
    <w:p>
      <w:pPr>
        <w:spacing w:line="700" w:lineRule="exact"/>
        <w:ind w:firstLine="640" w:firstLineChars="200"/>
        <w:rPr>
          <w:rFonts w:hint="eastAsia" w:eastAsia="楷体"/>
          <w:kern w:val="0"/>
          <w:szCs w:val="32"/>
        </w:rPr>
      </w:pPr>
      <w:r>
        <w:rPr>
          <w:rFonts w:hint="eastAsia" w:eastAsia="楷体"/>
          <w:kern w:val="0"/>
          <w:szCs w:val="32"/>
        </w:rPr>
        <w:br w:type="page"/>
      </w: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4</w:t>
      </w:r>
      <w:r>
        <w:rPr>
          <w:rFonts w:eastAsia="黑体"/>
          <w:szCs w:val="32"/>
        </w:rPr>
        <w:t>年收支预算总体情况</w:t>
      </w:r>
    </w:p>
    <w:p>
      <w:pPr>
        <w:ind w:firstLine="640" w:firstLineChars="200"/>
        <w:rPr>
          <w:szCs w:val="32"/>
        </w:rPr>
      </w:pPr>
      <w:r>
        <w:rPr>
          <w:szCs w:val="32"/>
        </w:rPr>
        <w:t>按照综合预算的原则，所有收入和支出全部纳入</w:t>
      </w:r>
      <w:r>
        <w:rPr>
          <w:rFonts w:hint="eastAsia"/>
          <w:szCs w:val="32"/>
          <w:lang w:val="en-US" w:eastAsia="zh-CN"/>
        </w:rPr>
        <w:t>单位</w:t>
      </w:r>
      <w:r>
        <w:rPr>
          <w:szCs w:val="32"/>
        </w:rPr>
        <w:t>预算管理。收入包括：一般公共预算拨款收入、上年结转</w:t>
      </w:r>
      <w:r>
        <w:rPr>
          <w:rFonts w:hint="eastAsia"/>
          <w:szCs w:val="32"/>
        </w:rPr>
        <w:t>结余</w:t>
      </w:r>
      <w:r>
        <w:rPr>
          <w:szCs w:val="32"/>
        </w:rPr>
        <w:t>等；支出包括：一般公共服务支出、社会保障和就业支出、</w:t>
      </w:r>
      <w:r>
        <w:rPr>
          <w:rFonts w:hint="eastAsia"/>
          <w:szCs w:val="32"/>
        </w:rPr>
        <w:t>卫生健康支出</w:t>
      </w:r>
      <w:r>
        <w:rPr>
          <w:szCs w:val="32"/>
        </w:rPr>
        <w:t>、住房保障支出等。20</w:t>
      </w:r>
      <w:r>
        <w:rPr>
          <w:rFonts w:hint="eastAsia"/>
          <w:szCs w:val="32"/>
        </w:rPr>
        <w:t>2</w:t>
      </w:r>
      <w:r>
        <w:rPr>
          <w:rFonts w:hint="eastAsia"/>
          <w:szCs w:val="32"/>
          <w:lang w:val="en-US" w:eastAsia="zh-CN"/>
        </w:rPr>
        <w:t>4</w:t>
      </w:r>
      <w:r>
        <w:rPr>
          <w:szCs w:val="32"/>
        </w:rPr>
        <w:t>年收支总预算</w:t>
      </w:r>
      <w:r>
        <w:rPr>
          <w:rFonts w:hint="eastAsia"/>
          <w:szCs w:val="32"/>
          <w:lang w:val="en-US" w:eastAsia="zh-CN"/>
        </w:rPr>
        <w:t>302.63</w:t>
      </w:r>
      <w:r>
        <w:rPr>
          <w:szCs w:val="32"/>
        </w:rPr>
        <w:t>万元</w:t>
      </w:r>
      <w:r>
        <w:rPr>
          <w:rFonts w:hint="eastAsia"/>
          <w:szCs w:val="32"/>
          <w:lang w:eastAsia="zh-CN"/>
        </w:rPr>
        <w:t>，其中：本年预算</w:t>
      </w:r>
      <w:r>
        <w:rPr>
          <w:rFonts w:hint="eastAsia"/>
          <w:szCs w:val="32"/>
        </w:rPr>
        <w:t>284.68</w:t>
      </w:r>
      <w:r>
        <w:rPr>
          <w:rFonts w:hint="eastAsia"/>
          <w:szCs w:val="32"/>
          <w:lang w:eastAsia="zh-CN"/>
        </w:rPr>
        <w:t>万元；上年结转</w:t>
      </w:r>
      <w:r>
        <w:rPr>
          <w:rFonts w:hint="eastAsia"/>
          <w:szCs w:val="32"/>
        </w:rPr>
        <w:t>17.9</w:t>
      </w:r>
      <w:r>
        <w:rPr>
          <w:rFonts w:hint="eastAsia"/>
          <w:szCs w:val="32"/>
          <w:lang w:val="en-US" w:eastAsia="zh-CN"/>
        </w:rPr>
        <w:t>5</w:t>
      </w:r>
      <w:r>
        <w:rPr>
          <w:rFonts w:hint="eastAsia"/>
          <w:szCs w:val="32"/>
          <w:lang w:eastAsia="zh-CN"/>
        </w:rPr>
        <w:t>万元。</w:t>
      </w:r>
      <w:r>
        <w:rPr>
          <w:rFonts w:hint="eastAsia"/>
          <w:szCs w:val="32"/>
          <w:lang w:val="en-US" w:eastAsia="zh-CN"/>
        </w:rPr>
        <w:t>2024年本年预算</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预算增加</w:t>
      </w:r>
      <w:r>
        <w:rPr>
          <w:rFonts w:hint="eastAsia"/>
          <w:szCs w:val="32"/>
          <w:lang w:val="en-US" w:eastAsia="zh-CN"/>
        </w:rPr>
        <w:t>122.8</w:t>
      </w:r>
      <w:r>
        <w:rPr>
          <w:szCs w:val="32"/>
        </w:rPr>
        <w:t>万元，主要原因是</w:t>
      </w:r>
      <w:r>
        <w:rPr>
          <w:rFonts w:hint="eastAsia"/>
          <w:szCs w:val="32"/>
          <w:lang w:val="en-US" w:eastAsia="zh-CN"/>
        </w:rPr>
        <w:t>2024年增加第五次全国经济普查经费</w:t>
      </w:r>
      <w:r>
        <w:rPr>
          <w:szCs w:val="32"/>
        </w:rPr>
        <w:t>。</w:t>
      </w:r>
    </w:p>
    <w:p>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4</w:t>
      </w:r>
      <w:r>
        <w:rPr>
          <w:rFonts w:eastAsia="黑体"/>
          <w:szCs w:val="32"/>
        </w:rPr>
        <w:t>年收入预算情况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年收入预算</w:t>
      </w:r>
      <w:r>
        <w:rPr>
          <w:rFonts w:hint="eastAsia"/>
          <w:szCs w:val="32"/>
          <w:lang w:val="en-US" w:eastAsia="zh-CN"/>
        </w:rPr>
        <w:t>302.63</w:t>
      </w:r>
      <w:r>
        <w:rPr>
          <w:szCs w:val="32"/>
        </w:rPr>
        <w:t>万元，其中：本年收入</w:t>
      </w:r>
      <w:r>
        <w:rPr>
          <w:rFonts w:hint="eastAsia"/>
          <w:szCs w:val="32"/>
        </w:rPr>
        <w:t>284.68</w:t>
      </w:r>
      <w:r>
        <w:rPr>
          <w:szCs w:val="32"/>
        </w:rPr>
        <w:t>万元，占</w:t>
      </w:r>
      <w:r>
        <w:rPr>
          <w:rFonts w:hint="eastAsia"/>
          <w:szCs w:val="32"/>
          <w:lang w:val="en-US" w:eastAsia="zh-CN"/>
        </w:rPr>
        <w:t>94.07</w:t>
      </w:r>
      <w:r>
        <w:rPr>
          <w:szCs w:val="32"/>
        </w:rPr>
        <w:t>%；上年结转</w:t>
      </w:r>
      <w:r>
        <w:rPr>
          <w:rFonts w:hint="eastAsia"/>
          <w:szCs w:val="32"/>
          <w:lang w:eastAsia="zh-CN"/>
        </w:rPr>
        <w:t>结余</w:t>
      </w:r>
      <w:r>
        <w:rPr>
          <w:rFonts w:hint="eastAsia"/>
          <w:szCs w:val="32"/>
        </w:rPr>
        <w:t>17.9</w:t>
      </w:r>
      <w:r>
        <w:rPr>
          <w:rFonts w:hint="eastAsia"/>
          <w:szCs w:val="32"/>
          <w:lang w:val="en-US" w:eastAsia="zh-CN"/>
        </w:rPr>
        <w:t>5</w:t>
      </w:r>
      <w:r>
        <w:rPr>
          <w:szCs w:val="32"/>
        </w:rPr>
        <w:t>万元，占</w:t>
      </w:r>
      <w:r>
        <w:rPr>
          <w:rFonts w:hint="eastAsia"/>
          <w:szCs w:val="32"/>
          <w:lang w:val="en-US" w:eastAsia="zh-CN"/>
        </w:rPr>
        <w:t>5.93</w:t>
      </w:r>
      <w:r>
        <w:rPr>
          <w:szCs w:val="32"/>
        </w:rPr>
        <w:t>%。本年收入中，一般公共预算拨款收入</w:t>
      </w:r>
      <w:r>
        <w:rPr>
          <w:rFonts w:hint="eastAsia"/>
          <w:szCs w:val="32"/>
        </w:rPr>
        <w:t>284.68</w:t>
      </w:r>
      <w:r>
        <w:rPr>
          <w:szCs w:val="32"/>
        </w:rPr>
        <w:t>万元，占</w:t>
      </w:r>
      <w:r>
        <w:rPr>
          <w:rFonts w:hint="eastAsia"/>
          <w:szCs w:val="32"/>
          <w:lang w:val="en-US" w:eastAsia="zh-CN"/>
        </w:rPr>
        <w:t>100</w:t>
      </w:r>
      <w:r>
        <w:rPr>
          <w:szCs w:val="32"/>
        </w:rPr>
        <w:t>%</w:t>
      </w:r>
      <w:r>
        <w:rPr>
          <w:rFonts w:hint="eastAsia"/>
          <w:szCs w:val="32"/>
        </w:rPr>
        <w:t>。</w:t>
      </w:r>
      <w:r>
        <w:rPr>
          <w:szCs w:val="32"/>
        </w:rPr>
        <w:t>上年结转</w:t>
      </w:r>
      <w:r>
        <w:rPr>
          <w:rFonts w:hint="eastAsia"/>
          <w:szCs w:val="32"/>
        </w:rPr>
        <w:t>中，一般公共预算拨款结转17.9</w:t>
      </w:r>
      <w:r>
        <w:rPr>
          <w:rFonts w:hint="eastAsia"/>
          <w:szCs w:val="32"/>
          <w:lang w:val="en-US" w:eastAsia="zh-CN"/>
        </w:rPr>
        <w:t>5</w:t>
      </w:r>
      <w:r>
        <w:rPr>
          <w:szCs w:val="32"/>
        </w:rPr>
        <w:t>万元，占</w:t>
      </w:r>
      <w:r>
        <w:rPr>
          <w:rFonts w:hint="eastAsia"/>
          <w:szCs w:val="32"/>
          <w:lang w:val="en-US" w:eastAsia="zh-CN"/>
        </w:rPr>
        <w:t>100</w:t>
      </w:r>
      <w:r>
        <w:rPr>
          <w:szCs w:val="32"/>
        </w:rPr>
        <w:t>%</w:t>
      </w:r>
      <w:r>
        <w:rPr>
          <w:rFonts w:hint="eastAsia"/>
          <w:szCs w:val="32"/>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4</w:t>
      </w:r>
      <w:r>
        <w:rPr>
          <w:rFonts w:eastAsia="黑体"/>
          <w:szCs w:val="32"/>
        </w:rPr>
        <w:t>年支出预算情况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年支出预算</w:t>
      </w:r>
      <w:r>
        <w:rPr>
          <w:rFonts w:hint="eastAsia"/>
          <w:szCs w:val="32"/>
          <w:lang w:val="en-US" w:eastAsia="zh-CN"/>
        </w:rPr>
        <w:t>302.63</w:t>
      </w:r>
      <w:r>
        <w:rPr>
          <w:szCs w:val="32"/>
        </w:rPr>
        <w:t>万元，其中：基本支出</w:t>
      </w:r>
      <w:r>
        <w:rPr>
          <w:rFonts w:hint="eastAsia"/>
          <w:szCs w:val="32"/>
        </w:rPr>
        <w:t>165.6</w:t>
      </w:r>
      <w:r>
        <w:rPr>
          <w:rFonts w:hint="eastAsia"/>
          <w:szCs w:val="32"/>
          <w:lang w:val="en-US" w:eastAsia="zh-CN"/>
        </w:rPr>
        <w:t>2</w:t>
      </w:r>
      <w:r>
        <w:rPr>
          <w:szCs w:val="32"/>
        </w:rPr>
        <w:t>万元，占</w:t>
      </w:r>
      <w:r>
        <w:rPr>
          <w:rFonts w:hint="eastAsia"/>
          <w:szCs w:val="32"/>
          <w:lang w:val="en-US" w:eastAsia="zh-CN"/>
        </w:rPr>
        <w:t>54.73</w:t>
      </w:r>
      <w:r>
        <w:rPr>
          <w:szCs w:val="32"/>
        </w:rPr>
        <w:t>%；项目支出</w:t>
      </w:r>
      <w:r>
        <w:rPr>
          <w:rFonts w:hint="eastAsia"/>
          <w:szCs w:val="32"/>
        </w:rPr>
        <w:t>137.01</w:t>
      </w:r>
      <w:r>
        <w:rPr>
          <w:szCs w:val="32"/>
        </w:rPr>
        <w:t>万元，占</w:t>
      </w:r>
      <w:r>
        <w:rPr>
          <w:rFonts w:hint="eastAsia"/>
          <w:szCs w:val="32"/>
          <w:lang w:val="en-US" w:eastAsia="zh-CN"/>
        </w:rPr>
        <w:t>45.27</w:t>
      </w:r>
      <w:r>
        <w:rPr>
          <w:szCs w:val="32"/>
        </w:rPr>
        <w:t>%。</w:t>
      </w:r>
    </w:p>
    <w:p>
      <w:pPr>
        <w:ind w:firstLine="600"/>
        <w:rPr>
          <w:rFonts w:eastAsia="黑体"/>
          <w:szCs w:val="32"/>
        </w:rPr>
      </w:pPr>
      <w:r>
        <w:rPr>
          <w:rFonts w:eastAsia="黑体"/>
          <w:szCs w:val="32"/>
        </w:rPr>
        <w:t>四、20</w:t>
      </w:r>
      <w:r>
        <w:rPr>
          <w:rFonts w:hint="eastAsia" w:eastAsia="黑体"/>
          <w:szCs w:val="32"/>
        </w:rPr>
        <w:t>2</w:t>
      </w:r>
      <w:r>
        <w:rPr>
          <w:rFonts w:hint="eastAsia"/>
          <w:szCs w:val="32"/>
          <w:lang w:val="en-US" w:eastAsia="zh-CN"/>
        </w:rPr>
        <w:t>4</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4</w:t>
      </w:r>
      <w:r>
        <w:rPr>
          <w:szCs w:val="32"/>
        </w:rPr>
        <w:t>年财政拨款收支总预算</w:t>
      </w:r>
      <w:r>
        <w:rPr>
          <w:rFonts w:hint="eastAsia"/>
          <w:szCs w:val="32"/>
          <w:lang w:val="en-US" w:eastAsia="zh-CN"/>
        </w:rPr>
        <w:t>302.63</w:t>
      </w:r>
      <w:r>
        <w:rPr>
          <w:szCs w:val="32"/>
        </w:rPr>
        <w:t>万元，其中：</w:t>
      </w:r>
      <w:r>
        <w:rPr>
          <w:rFonts w:hint="eastAsia"/>
          <w:szCs w:val="32"/>
        </w:rPr>
        <w:t>本年</w:t>
      </w:r>
      <w:r>
        <w:rPr>
          <w:rFonts w:hint="eastAsia"/>
          <w:szCs w:val="32"/>
          <w:lang w:eastAsia="zh-CN"/>
        </w:rPr>
        <w:t>预算</w:t>
      </w:r>
      <w:r>
        <w:rPr>
          <w:rFonts w:hint="eastAsia"/>
          <w:szCs w:val="32"/>
        </w:rPr>
        <w:t>284.68</w:t>
      </w:r>
      <w:r>
        <w:rPr>
          <w:szCs w:val="32"/>
        </w:rPr>
        <w:t>万元</w:t>
      </w:r>
      <w:r>
        <w:rPr>
          <w:rFonts w:hint="eastAsia"/>
          <w:szCs w:val="32"/>
        </w:rPr>
        <w:t>，上年结转17.9</w:t>
      </w:r>
      <w:r>
        <w:rPr>
          <w:rFonts w:hint="eastAsia"/>
          <w:szCs w:val="32"/>
          <w:lang w:val="en-US" w:eastAsia="zh-CN"/>
        </w:rPr>
        <w:t>5</w:t>
      </w:r>
      <w:r>
        <w:rPr>
          <w:szCs w:val="32"/>
        </w:rPr>
        <w:t>万元</w:t>
      </w:r>
      <w:r>
        <w:rPr>
          <w:rFonts w:hint="eastAsia"/>
          <w:szCs w:val="32"/>
        </w:rPr>
        <w:t>。</w:t>
      </w:r>
      <w:r>
        <w:rPr>
          <w:szCs w:val="32"/>
        </w:rPr>
        <w:t>支出包括：</w:t>
      </w:r>
      <w:r>
        <w:rPr>
          <w:kern w:val="0"/>
          <w:szCs w:val="32"/>
        </w:rPr>
        <w:t>一般公共服务支出</w:t>
      </w:r>
      <w:r>
        <w:rPr>
          <w:rFonts w:hint="eastAsia"/>
          <w:szCs w:val="32"/>
        </w:rPr>
        <w:t>256.19</w:t>
      </w:r>
      <w:r>
        <w:rPr>
          <w:szCs w:val="32"/>
        </w:rPr>
        <w:t>万元，</w:t>
      </w:r>
      <w:r>
        <w:rPr>
          <w:kern w:val="0"/>
          <w:szCs w:val="32"/>
        </w:rPr>
        <w:t>社会保障和就业支出</w:t>
      </w:r>
      <w:r>
        <w:rPr>
          <w:rFonts w:hint="eastAsia"/>
          <w:szCs w:val="32"/>
        </w:rPr>
        <w:t>24.78</w:t>
      </w:r>
      <w:r>
        <w:rPr>
          <w:szCs w:val="32"/>
        </w:rPr>
        <w:t>万元，</w:t>
      </w:r>
      <w:r>
        <w:rPr>
          <w:kern w:val="0"/>
          <w:szCs w:val="32"/>
        </w:rPr>
        <w:t>卫生</w:t>
      </w:r>
      <w:r>
        <w:rPr>
          <w:rFonts w:hint="eastAsia"/>
          <w:kern w:val="0"/>
          <w:szCs w:val="32"/>
        </w:rPr>
        <w:t>健康</w:t>
      </w:r>
      <w:r>
        <w:rPr>
          <w:kern w:val="0"/>
          <w:szCs w:val="32"/>
        </w:rPr>
        <w:t>支出</w:t>
      </w:r>
      <w:r>
        <w:rPr>
          <w:rFonts w:hint="eastAsia"/>
          <w:szCs w:val="32"/>
        </w:rPr>
        <w:t>9.9</w:t>
      </w:r>
      <w:r>
        <w:rPr>
          <w:rFonts w:hint="eastAsia"/>
          <w:szCs w:val="32"/>
          <w:lang w:val="en-US" w:eastAsia="zh-CN"/>
        </w:rPr>
        <w:t>4</w:t>
      </w:r>
      <w:r>
        <w:rPr>
          <w:szCs w:val="32"/>
        </w:rPr>
        <w:t>万元，</w:t>
      </w:r>
      <w:r>
        <w:rPr>
          <w:kern w:val="0"/>
          <w:szCs w:val="32"/>
        </w:rPr>
        <w:t>住房保障支出</w:t>
      </w:r>
      <w:r>
        <w:rPr>
          <w:rFonts w:hint="eastAsia"/>
          <w:szCs w:val="32"/>
        </w:rPr>
        <w:t>11.72</w:t>
      </w:r>
      <w:r>
        <w:rPr>
          <w:szCs w:val="32"/>
        </w:rPr>
        <w:t>万元。</w:t>
      </w:r>
    </w:p>
    <w:p>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年一般公共预算拨款</w:t>
      </w:r>
      <w:r>
        <w:rPr>
          <w:rFonts w:hint="eastAsia"/>
          <w:szCs w:val="32"/>
          <w:lang w:val="en-US" w:eastAsia="zh-CN"/>
        </w:rPr>
        <w:t>302.63</w:t>
      </w:r>
      <w:r>
        <w:rPr>
          <w:szCs w:val="32"/>
        </w:rPr>
        <w:t>万元，其中：基本支出</w:t>
      </w:r>
      <w:r>
        <w:rPr>
          <w:rFonts w:hint="eastAsia"/>
          <w:szCs w:val="32"/>
        </w:rPr>
        <w:t>165.6</w:t>
      </w:r>
      <w:r>
        <w:rPr>
          <w:rFonts w:hint="eastAsia"/>
          <w:szCs w:val="32"/>
          <w:lang w:val="en-US" w:eastAsia="zh-CN"/>
        </w:rPr>
        <w:t>2</w:t>
      </w:r>
      <w:r>
        <w:rPr>
          <w:szCs w:val="32"/>
        </w:rPr>
        <w:t>万元，占</w:t>
      </w:r>
      <w:r>
        <w:rPr>
          <w:rFonts w:hint="eastAsia"/>
          <w:szCs w:val="32"/>
          <w:lang w:val="en-US" w:eastAsia="zh-CN"/>
        </w:rPr>
        <w:t>54.73</w:t>
      </w:r>
      <w:r>
        <w:rPr>
          <w:szCs w:val="32"/>
        </w:rPr>
        <w:t>%；项目支出</w:t>
      </w:r>
      <w:r>
        <w:rPr>
          <w:rFonts w:hint="eastAsia"/>
          <w:szCs w:val="32"/>
        </w:rPr>
        <w:t>137.01</w:t>
      </w:r>
      <w:r>
        <w:rPr>
          <w:szCs w:val="32"/>
        </w:rPr>
        <w:t>万元，占</w:t>
      </w:r>
      <w:r>
        <w:rPr>
          <w:rFonts w:hint="eastAsia"/>
          <w:szCs w:val="32"/>
          <w:lang w:val="en-US" w:eastAsia="zh-CN"/>
        </w:rPr>
        <w:t>45.27</w:t>
      </w:r>
      <w:r>
        <w:rPr>
          <w:szCs w:val="32"/>
        </w:rPr>
        <w:t>%。基本支出中，人员经费</w:t>
      </w:r>
      <w:r>
        <w:rPr>
          <w:rFonts w:hint="eastAsia"/>
          <w:szCs w:val="32"/>
        </w:rPr>
        <w:t>144.2</w:t>
      </w:r>
      <w:r>
        <w:rPr>
          <w:rFonts w:hint="eastAsia"/>
          <w:szCs w:val="32"/>
          <w:lang w:val="en-US" w:eastAsia="zh-CN"/>
        </w:rPr>
        <w:t>1</w:t>
      </w:r>
      <w:r>
        <w:rPr>
          <w:szCs w:val="32"/>
        </w:rPr>
        <w:t>万元，占</w:t>
      </w:r>
      <w:r>
        <w:rPr>
          <w:rFonts w:hint="eastAsia"/>
          <w:szCs w:val="32"/>
          <w:lang w:val="en-US" w:eastAsia="zh-CN"/>
        </w:rPr>
        <w:t>87.07</w:t>
      </w:r>
      <w:r>
        <w:rPr>
          <w:szCs w:val="32"/>
        </w:rPr>
        <w:t>%；公用经费</w:t>
      </w:r>
      <w:r>
        <w:rPr>
          <w:rFonts w:hint="eastAsia"/>
          <w:szCs w:val="32"/>
          <w:lang w:val="en-US" w:eastAsia="zh-CN"/>
        </w:rPr>
        <w:t>21.41</w:t>
      </w:r>
      <w:r>
        <w:rPr>
          <w:szCs w:val="32"/>
        </w:rPr>
        <w:t>万元，占</w:t>
      </w:r>
      <w:r>
        <w:rPr>
          <w:rFonts w:hint="eastAsia"/>
          <w:szCs w:val="32"/>
          <w:lang w:val="en-US" w:eastAsia="zh-CN"/>
        </w:rPr>
        <w:t>12.93</w:t>
      </w:r>
      <w:r>
        <w:rPr>
          <w:szCs w:val="32"/>
        </w:rPr>
        <w:t>%。</w:t>
      </w:r>
    </w:p>
    <w:p>
      <w:pPr>
        <w:spacing w:line="520" w:lineRule="exact"/>
        <w:ind w:firstLine="640" w:firstLineChars="200"/>
        <w:rPr>
          <w:szCs w:val="32"/>
        </w:rPr>
      </w:pPr>
      <w:r>
        <w:rPr>
          <w:szCs w:val="32"/>
        </w:rPr>
        <w:t>一般公共服务（类）支出</w:t>
      </w:r>
      <w:r>
        <w:rPr>
          <w:rFonts w:hint="eastAsia"/>
          <w:szCs w:val="32"/>
        </w:rPr>
        <w:t>256.19</w:t>
      </w:r>
      <w:r>
        <w:rPr>
          <w:szCs w:val="32"/>
        </w:rPr>
        <w:t>万元，占</w:t>
      </w:r>
      <w:r>
        <w:rPr>
          <w:rFonts w:hint="eastAsia"/>
          <w:szCs w:val="32"/>
          <w:lang w:val="en-US" w:eastAsia="zh-CN"/>
        </w:rPr>
        <w:t>84.65</w:t>
      </w:r>
      <w:r>
        <w:rPr>
          <w:szCs w:val="32"/>
        </w:rPr>
        <w:t>%，主要用于</w:t>
      </w:r>
      <w:r>
        <w:rPr>
          <w:rFonts w:hint="eastAsia"/>
          <w:szCs w:val="32"/>
        </w:rPr>
        <w:t>主要用于保障职工工资，维持机关正常运转，完成年度统计工作任务</w:t>
      </w:r>
      <w:r>
        <w:rPr>
          <w:szCs w:val="32"/>
        </w:rPr>
        <w:t>。</w:t>
      </w:r>
    </w:p>
    <w:p>
      <w:pPr>
        <w:spacing w:line="520" w:lineRule="exact"/>
        <w:ind w:firstLine="640" w:firstLineChars="200"/>
        <w:rPr>
          <w:szCs w:val="32"/>
        </w:rPr>
      </w:pPr>
      <w:r>
        <w:rPr>
          <w:szCs w:val="32"/>
        </w:rPr>
        <w:t>社会保障和就业（类）支出</w:t>
      </w:r>
      <w:r>
        <w:rPr>
          <w:rFonts w:hint="eastAsia"/>
          <w:szCs w:val="32"/>
        </w:rPr>
        <w:t>24.78</w:t>
      </w:r>
      <w:r>
        <w:rPr>
          <w:szCs w:val="32"/>
        </w:rPr>
        <w:t>万元，占</w:t>
      </w:r>
      <w:r>
        <w:rPr>
          <w:rFonts w:hint="eastAsia"/>
          <w:szCs w:val="32"/>
          <w:lang w:val="en-US" w:eastAsia="zh-CN"/>
        </w:rPr>
        <w:t>8.19</w:t>
      </w:r>
      <w:r>
        <w:rPr>
          <w:szCs w:val="32"/>
        </w:rPr>
        <w:t>%，主要用于</w:t>
      </w:r>
      <w:r>
        <w:rPr>
          <w:rFonts w:hint="eastAsia"/>
          <w:szCs w:val="32"/>
        </w:rPr>
        <w:t>保障离退休职工工资及机关事业单位基本养老保险缴费支出</w:t>
      </w:r>
      <w:r>
        <w:rPr>
          <w:szCs w:val="32"/>
        </w:rPr>
        <w:t>。</w:t>
      </w:r>
    </w:p>
    <w:p>
      <w:pPr>
        <w:spacing w:line="520" w:lineRule="exact"/>
        <w:ind w:firstLine="640" w:firstLineChars="200"/>
        <w:rPr>
          <w:szCs w:val="32"/>
        </w:rPr>
      </w:pPr>
      <w:r>
        <w:rPr>
          <w:rFonts w:hint="eastAsia"/>
          <w:szCs w:val="32"/>
          <w:lang w:eastAsia="zh-CN"/>
        </w:rPr>
        <w:t>卫生健康</w:t>
      </w:r>
      <w:r>
        <w:rPr>
          <w:szCs w:val="32"/>
        </w:rPr>
        <w:t>（类）支出</w:t>
      </w:r>
      <w:r>
        <w:rPr>
          <w:rFonts w:hint="eastAsia"/>
          <w:szCs w:val="32"/>
        </w:rPr>
        <w:t>9.9</w:t>
      </w:r>
      <w:r>
        <w:rPr>
          <w:rFonts w:hint="eastAsia"/>
          <w:szCs w:val="32"/>
          <w:lang w:val="en-US" w:eastAsia="zh-CN"/>
        </w:rPr>
        <w:t>4</w:t>
      </w:r>
      <w:r>
        <w:rPr>
          <w:szCs w:val="32"/>
        </w:rPr>
        <w:t>万元，占</w:t>
      </w:r>
      <w:r>
        <w:rPr>
          <w:rFonts w:hint="eastAsia"/>
          <w:szCs w:val="32"/>
          <w:lang w:val="en-US" w:eastAsia="zh-CN"/>
        </w:rPr>
        <w:t>3.29</w:t>
      </w:r>
      <w:r>
        <w:rPr>
          <w:szCs w:val="32"/>
        </w:rPr>
        <w:t>%，主要用于</w:t>
      </w:r>
      <w:r>
        <w:rPr>
          <w:rFonts w:hint="eastAsia"/>
          <w:szCs w:val="32"/>
          <w:lang w:eastAsia="zh-CN"/>
        </w:rPr>
        <w:t>缴纳职工医疗保险</w:t>
      </w:r>
      <w:r>
        <w:rPr>
          <w:szCs w:val="32"/>
        </w:rPr>
        <w:t>。</w:t>
      </w:r>
    </w:p>
    <w:p>
      <w:pPr>
        <w:spacing w:line="520" w:lineRule="exact"/>
        <w:ind w:firstLine="640" w:firstLineChars="200"/>
        <w:rPr>
          <w:rFonts w:hint="eastAsia"/>
          <w:szCs w:val="32"/>
        </w:rPr>
      </w:pPr>
      <w:r>
        <w:rPr>
          <w:szCs w:val="32"/>
        </w:rPr>
        <w:t>住房保障（类）支出</w:t>
      </w:r>
      <w:r>
        <w:rPr>
          <w:rFonts w:hint="eastAsia"/>
          <w:szCs w:val="32"/>
        </w:rPr>
        <w:t>11.72</w:t>
      </w:r>
      <w:r>
        <w:rPr>
          <w:szCs w:val="32"/>
        </w:rPr>
        <w:t>万元，占</w:t>
      </w:r>
      <w:r>
        <w:rPr>
          <w:rFonts w:hint="eastAsia"/>
          <w:szCs w:val="32"/>
          <w:lang w:val="en-US" w:eastAsia="zh-CN"/>
        </w:rPr>
        <w:t>3.87</w:t>
      </w:r>
      <w:r>
        <w:rPr>
          <w:szCs w:val="32"/>
        </w:rPr>
        <w:t>%，主要用于</w:t>
      </w:r>
      <w:r>
        <w:rPr>
          <w:rFonts w:hint="eastAsia"/>
          <w:szCs w:val="32"/>
        </w:rPr>
        <w:t>缴纳职工住房公积金</w:t>
      </w:r>
      <w:r>
        <w:rPr>
          <w:szCs w:val="32"/>
        </w:rPr>
        <w:t>。</w:t>
      </w:r>
    </w:p>
    <w:p>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4</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4</w:t>
      </w:r>
      <w:r>
        <w:rPr>
          <w:szCs w:val="32"/>
        </w:rPr>
        <w:t>年一般公共预算基本支出</w:t>
      </w:r>
      <w:r>
        <w:rPr>
          <w:rFonts w:hint="eastAsia"/>
          <w:szCs w:val="32"/>
        </w:rPr>
        <w:t>165.6</w:t>
      </w:r>
      <w:r>
        <w:rPr>
          <w:rFonts w:hint="eastAsia"/>
          <w:szCs w:val="32"/>
          <w:lang w:val="en-US" w:eastAsia="zh-CN"/>
        </w:rPr>
        <w:t>2</w:t>
      </w:r>
      <w:r>
        <w:rPr>
          <w:szCs w:val="32"/>
        </w:rPr>
        <w:t>万元，其中：</w:t>
      </w:r>
    </w:p>
    <w:p>
      <w:pPr>
        <w:ind w:firstLine="640" w:firstLineChars="200"/>
        <w:rPr>
          <w:kern w:val="0"/>
          <w:szCs w:val="32"/>
        </w:rPr>
      </w:pPr>
      <w:r>
        <w:rPr>
          <w:szCs w:val="32"/>
        </w:rPr>
        <w:t>人员经费</w:t>
      </w:r>
      <w:r>
        <w:rPr>
          <w:rFonts w:hint="eastAsia"/>
          <w:szCs w:val="32"/>
        </w:rPr>
        <w:t>144.2</w:t>
      </w:r>
      <w:r>
        <w:rPr>
          <w:rFonts w:hint="eastAsia"/>
          <w:szCs w:val="32"/>
          <w:lang w:val="en-US" w:eastAsia="zh-CN"/>
        </w:rPr>
        <w:t>1</w:t>
      </w:r>
      <w:r>
        <w:rPr>
          <w:szCs w:val="32"/>
        </w:rPr>
        <w:t>万元，主要包括：</w:t>
      </w:r>
      <w:r>
        <w:rPr>
          <w:rFonts w:hint="eastAsia"/>
          <w:kern w:val="0"/>
          <w:szCs w:val="32"/>
        </w:rPr>
        <w:t>基本工资、津贴补贴、奖金、机关事业单位基本养老保险缴费、职工基本医疗保险缴费、公务员医疗补助缴费、其他社会保障缴费、住房公积金、医疗费、其他工资福利支出、退休费、其他对个人和家庭的补助。</w:t>
      </w:r>
    </w:p>
    <w:p>
      <w:pPr>
        <w:ind w:firstLine="640" w:firstLineChars="200"/>
        <w:rPr>
          <w:szCs w:val="32"/>
        </w:rPr>
      </w:pPr>
      <w:r>
        <w:rPr>
          <w:kern w:val="0"/>
          <w:szCs w:val="32"/>
        </w:rPr>
        <w:t>公用经费</w:t>
      </w:r>
      <w:r>
        <w:rPr>
          <w:rFonts w:hint="eastAsia"/>
          <w:szCs w:val="32"/>
          <w:lang w:val="en-US" w:eastAsia="zh-CN"/>
        </w:rPr>
        <w:t>21.41</w:t>
      </w:r>
      <w:r>
        <w:rPr>
          <w:szCs w:val="32"/>
        </w:rPr>
        <w:t>万元，主要包括：</w:t>
      </w:r>
      <w:r>
        <w:rPr>
          <w:rFonts w:hint="eastAsia"/>
          <w:kern w:val="0"/>
          <w:szCs w:val="32"/>
        </w:rPr>
        <w:t>办公费、</w:t>
      </w:r>
      <w:r>
        <w:rPr>
          <w:rFonts w:hint="eastAsia"/>
          <w:kern w:val="0"/>
          <w:szCs w:val="32"/>
          <w:lang w:val="en-US" w:eastAsia="zh-CN"/>
        </w:rPr>
        <w:t>咨询费、</w:t>
      </w:r>
      <w:r>
        <w:rPr>
          <w:rFonts w:hint="eastAsia"/>
          <w:kern w:val="0"/>
          <w:szCs w:val="32"/>
        </w:rPr>
        <w:t>手续费、邮电费</w:t>
      </w:r>
      <w:r>
        <w:rPr>
          <w:rFonts w:hint="eastAsia"/>
          <w:kern w:val="0"/>
          <w:szCs w:val="32"/>
          <w:lang w:eastAsia="zh-CN"/>
        </w:rPr>
        <w:t>、</w:t>
      </w:r>
      <w:r>
        <w:rPr>
          <w:rFonts w:hint="eastAsia"/>
          <w:kern w:val="0"/>
          <w:szCs w:val="32"/>
        </w:rPr>
        <w:t>维修（护）费</w:t>
      </w:r>
      <w:r>
        <w:rPr>
          <w:rFonts w:hint="eastAsia"/>
          <w:kern w:val="0"/>
          <w:szCs w:val="32"/>
          <w:lang w:eastAsia="zh-CN"/>
        </w:rPr>
        <w:t>、</w:t>
      </w:r>
      <w:r>
        <w:rPr>
          <w:rFonts w:hint="eastAsia"/>
          <w:kern w:val="0"/>
          <w:szCs w:val="32"/>
        </w:rPr>
        <w:t>工会经费、福利费、其他交通补助、其他商品和服务支出、办公设备购置。</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jc w:val="both"/>
        <w:rPr>
          <w:rFonts w:eastAsia="楷体"/>
          <w:szCs w:val="32"/>
        </w:rPr>
      </w:pPr>
      <w:r>
        <w:rPr>
          <w:rFonts w:hint="eastAsia"/>
          <w:szCs w:val="32"/>
        </w:rPr>
        <w:t>本单位无一般公共预算拨款。</w:t>
      </w:r>
    </w:p>
    <w:p>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4</w:t>
      </w:r>
      <w:r>
        <w:rPr>
          <w:rFonts w:eastAsia="黑体"/>
          <w:szCs w:val="32"/>
        </w:rPr>
        <w:t>年政府性基金预算支出情况</w:t>
      </w:r>
    </w:p>
    <w:p>
      <w:pPr>
        <w:ind w:firstLine="640" w:firstLineChars="200"/>
        <w:rPr>
          <w:rFonts w:eastAsia="楷体"/>
          <w:szCs w:val="32"/>
        </w:rPr>
      </w:pPr>
      <w:r>
        <w:rPr>
          <w:rFonts w:hint="eastAsia"/>
          <w:szCs w:val="32"/>
        </w:rPr>
        <w:t>本单位无政府性基金预算拨款。</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4</w:t>
      </w:r>
      <w:r>
        <w:rPr>
          <w:rFonts w:eastAsia="黑体"/>
          <w:szCs w:val="32"/>
        </w:rPr>
        <w:t>年</w:t>
      </w:r>
      <w:r>
        <w:rPr>
          <w:rFonts w:hint="eastAsia" w:eastAsia="黑体"/>
          <w:szCs w:val="32"/>
        </w:rPr>
        <w:t>国有资本经营</w:t>
      </w:r>
      <w:r>
        <w:rPr>
          <w:rFonts w:eastAsia="黑体"/>
          <w:szCs w:val="32"/>
        </w:rPr>
        <w:t>预算支出情况</w:t>
      </w:r>
    </w:p>
    <w:p>
      <w:pPr>
        <w:ind w:firstLine="640"/>
        <w:rPr>
          <w:rFonts w:eastAsia="楷体"/>
          <w:szCs w:val="32"/>
        </w:rPr>
      </w:pPr>
      <w:r>
        <w:rPr>
          <w:rFonts w:hint="eastAsia"/>
          <w:szCs w:val="32"/>
        </w:rPr>
        <w:t>本单位无国有资本经营预算拨款。</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w:t>
      </w:r>
      <w:r>
        <w:rPr>
          <w:rFonts w:hint="eastAsia"/>
          <w:szCs w:val="32"/>
          <w:lang w:val="en-US" w:eastAsia="zh-CN"/>
        </w:rPr>
        <w:t>本单位</w:t>
      </w:r>
      <w:r>
        <w:rPr>
          <w:szCs w:val="32"/>
        </w:rPr>
        <w:t>机关运行经费财政拨款预算</w:t>
      </w:r>
      <w:r>
        <w:rPr>
          <w:rFonts w:hint="eastAsia"/>
          <w:szCs w:val="32"/>
          <w:lang w:val="en-US" w:eastAsia="zh-CN"/>
        </w:rPr>
        <w:t>21.41</w:t>
      </w:r>
      <w:r>
        <w:rPr>
          <w:szCs w:val="32"/>
        </w:rPr>
        <w:t>万元，比20</w:t>
      </w:r>
      <w:r>
        <w:rPr>
          <w:rFonts w:hint="eastAsia"/>
          <w:szCs w:val="32"/>
        </w:rPr>
        <w:t>2</w:t>
      </w:r>
      <w:r>
        <w:rPr>
          <w:rFonts w:hint="eastAsia"/>
          <w:szCs w:val="32"/>
          <w:lang w:val="en-US" w:eastAsia="zh-CN"/>
        </w:rPr>
        <w:t>3</w:t>
      </w:r>
      <w:r>
        <w:rPr>
          <w:szCs w:val="32"/>
        </w:rPr>
        <w:t>年预算减少</w:t>
      </w:r>
      <w:r>
        <w:rPr>
          <w:rFonts w:hint="eastAsia"/>
          <w:szCs w:val="32"/>
          <w:lang w:val="en-US" w:eastAsia="zh-CN"/>
        </w:rPr>
        <w:t>1.68</w:t>
      </w:r>
      <w:r>
        <w:rPr>
          <w:szCs w:val="32"/>
        </w:rPr>
        <w:t>万元，下降</w:t>
      </w:r>
      <w:r>
        <w:rPr>
          <w:rFonts w:hint="eastAsia"/>
          <w:szCs w:val="32"/>
          <w:lang w:val="en-US" w:eastAsia="zh-CN"/>
        </w:rPr>
        <w:t>7.28</w:t>
      </w:r>
      <w:r>
        <w:rPr>
          <w:szCs w:val="32"/>
        </w:rPr>
        <w:t>%</w:t>
      </w:r>
      <w:r>
        <w:rPr>
          <w:rFonts w:hint="eastAsia"/>
          <w:szCs w:val="32"/>
        </w:rPr>
        <w:t>，主要原因是</w:t>
      </w:r>
      <w:r>
        <w:rPr>
          <w:rFonts w:hint="eastAsia"/>
          <w:szCs w:val="32"/>
          <w:lang w:val="en-US" w:eastAsia="zh-CN"/>
        </w:rPr>
        <w:t>落实“过紧日子”要求，本单位厉行节约，机关运行经费较上年度有所减少</w:t>
      </w:r>
      <w:r>
        <w:rPr>
          <w:szCs w:val="32"/>
        </w:rPr>
        <w:t>。</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rFonts w:hint="eastAsia"/>
          <w:szCs w:val="32"/>
        </w:rPr>
      </w:pPr>
      <w:r>
        <w:rPr>
          <w:rFonts w:hint="eastAsia"/>
          <w:szCs w:val="32"/>
        </w:rPr>
        <w:t>本单位无政府采购预算。</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rFonts w:hint="default" w:eastAsia="仿宋_GB2312"/>
          <w:szCs w:val="32"/>
          <w:lang w:val="en-US" w:eastAsia="zh-CN"/>
        </w:rPr>
      </w:pPr>
      <w:r>
        <w:rPr>
          <w:rFonts w:hint="eastAsia"/>
          <w:szCs w:val="32"/>
          <w:lang w:val="en-US" w:eastAsia="zh-CN"/>
        </w:rPr>
        <w:t>本单位无国有资产占有使用情况。</w:t>
      </w:r>
    </w:p>
    <w:p>
      <w:pPr>
        <w:numPr>
          <w:ilvl w:val="0"/>
          <w:numId w:val="2"/>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pPr>
      <w:r>
        <w:t>202</w:t>
      </w:r>
      <w:r>
        <w:rPr>
          <w:rFonts w:hint="eastAsia"/>
          <w:lang w:val="en-US" w:eastAsia="zh-CN"/>
        </w:rPr>
        <w:t>4</w:t>
      </w:r>
      <w:r>
        <w:t>年</w:t>
      </w:r>
      <w:r>
        <w:rPr>
          <w:rFonts w:hint="eastAsia"/>
          <w:lang w:val="en-US" w:eastAsia="zh-CN"/>
        </w:rPr>
        <w:t>本单位</w:t>
      </w:r>
      <w:r>
        <w:t>项目支出</w:t>
      </w:r>
      <w:r>
        <w:rPr>
          <w:rFonts w:hint="eastAsia"/>
          <w:szCs w:val="32"/>
          <w:lang w:val="en-US" w:eastAsia="zh-CN"/>
        </w:rPr>
        <w:t>137.01</w:t>
      </w:r>
      <w:r>
        <w:rPr>
          <w:szCs w:val="32"/>
        </w:rPr>
        <w:t>万元，其中：一级项目</w:t>
      </w:r>
      <w:r>
        <w:rPr>
          <w:rFonts w:hint="eastAsia"/>
          <w:szCs w:val="32"/>
          <w:lang w:val="en-US" w:eastAsia="zh-CN"/>
        </w:rPr>
        <w:t>2</w:t>
      </w:r>
      <w:r>
        <w:rPr>
          <w:szCs w:val="32"/>
        </w:rPr>
        <w:t>个，二级项目</w:t>
      </w:r>
      <w:r>
        <w:rPr>
          <w:rFonts w:hint="eastAsia"/>
          <w:szCs w:val="32"/>
          <w:lang w:val="en-US" w:eastAsia="zh-CN"/>
        </w:rPr>
        <w:t>2</w:t>
      </w:r>
      <w:r>
        <w:rPr>
          <w:szCs w:val="32"/>
        </w:rPr>
        <w:t>个；使用</w:t>
      </w:r>
      <w:r>
        <w:rPr>
          <w:rFonts w:hint="eastAsia"/>
          <w:szCs w:val="32"/>
        </w:rPr>
        <w:t>本年拨款</w:t>
      </w:r>
      <w:r>
        <w:rPr>
          <w:rFonts w:hint="eastAsia"/>
          <w:szCs w:val="32"/>
          <w:lang w:val="en-US" w:eastAsia="zh-CN"/>
        </w:rPr>
        <w:t>136.92</w:t>
      </w:r>
      <w:r>
        <w:rPr>
          <w:szCs w:val="32"/>
        </w:rPr>
        <w:t>万元，</w:t>
      </w:r>
      <w:r>
        <w:rPr>
          <w:rFonts w:hint="eastAsia"/>
          <w:szCs w:val="32"/>
        </w:rPr>
        <w:t>财政拨款结转</w:t>
      </w:r>
      <w:r>
        <w:rPr>
          <w:rFonts w:hint="eastAsia"/>
          <w:szCs w:val="32"/>
          <w:lang w:val="en-US" w:eastAsia="zh-CN"/>
        </w:rPr>
        <w:t>0.09</w:t>
      </w:r>
      <w:r>
        <w:rPr>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w:t>
      </w:r>
      <w:r>
        <w:rPr>
          <w:rFonts w:hint="eastAsia" w:ascii="宋体" w:hAnsi="宋体"/>
          <w:lang w:val="en-US" w:eastAsia="zh-CN"/>
        </w:rPr>
        <w:t>单位</w:t>
      </w:r>
      <w:r>
        <w:rPr>
          <w:rFonts w:hint="eastAsia" w:ascii="宋体" w:hAnsi="宋体"/>
        </w:rPr>
        <w:t>职能和重点工作，202</w:t>
      </w:r>
      <w:r>
        <w:rPr>
          <w:rFonts w:hint="eastAsia" w:ascii="宋体" w:hAnsi="宋体"/>
          <w:lang w:val="en-US" w:eastAsia="zh-CN"/>
        </w:rPr>
        <w:t>4</w:t>
      </w:r>
      <w:r>
        <w:rPr>
          <w:rFonts w:hint="eastAsia" w:ascii="宋体" w:hAnsi="宋体"/>
        </w:rPr>
        <w:t>年</w:t>
      </w:r>
      <w:r>
        <w:rPr>
          <w:rFonts w:hint="eastAsia" w:ascii="宋体" w:hAnsi="宋体"/>
          <w:lang w:eastAsia="zh-CN"/>
        </w:rPr>
        <w:t>将</w:t>
      </w:r>
      <w:r>
        <w:rPr>
          <w:rFonts w:hint="eastAsia"/>
          <w:szCs w:val="32"/>
          <w:lang w:val="en-US" w:eastAsia="zh-CN"/>
        </w:rPr>
        <w:t>2</w:t>
      </w:r>
      <w:r>
        <w:rPr>
          <w:rFonts w:hint="eastAsia" w:ascii="宋体" w:hAnsi="宋体"/>
        </w:rPr>
        <w:t>个项目支出的绩效目标和指标向社会公开，涉及金额</w:t>
      </w:r>
      <w:r>
        <w:rPr>
          <w:rFonts w:hint="eastAsia"/>
          <w:szCs w:val="32"/>
          <w:lang w:val="en-US" w:eastAsia="zh-CN"/>
        </w:rPr>
        <w:t>136.92</w:t>
      </w:r>
      <w:r>
        <w:rPr>
          <w:rFonts w:hint="eastAsia" w:ascii="宋体" w:hAnsi="宋体"/>
        </w:rPr>
        <w:t>万元。</w:t>
      </w:r>
    </w:p>
    <w:p>
      <w:pPr>
        <w:ind w:firstLine="645"/>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w:t>
      </w:r>
      <w:r>
        <w:rPr>
          <w:rFonts w:hint="eastAsia"/>
          <w:szCs w:val="32"/>
          <w:lang w:val="en-US" w:eastAsia="zh-CN"/>
        </w:rPr>
        <w:t>主</w:t>
      </w:r>
      <w:r>
        <w:rPr>
          <w:rFonts w:hint="eastAsia"/>
          <w:szCs w:val="32"/>
          <w:lang w:eastAsia="zh-CN"/>
        </w:rPr>
        <w:t>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- 0 -</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- 0 -</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F239C6"/>
    <w:multiLevelType w:val="singleLevel"/>
    <w:tmpl w:val="E9F239C6"/>
    <w:lvl w:ilvl="0" w:tentative="0">
      <w:start w:val="1"/>
      <w:numFmt w:val="decimal"/>
      <w:suff w:val="nothing"/>
      <w:lvlText w:val="%1、"/>
      <w:lvlJc w:val="left"/>
      <w:pPr>
        <w:ind w:left="420" w:leftChars="0" w:firstLine="0" w:firstLineChars="0"/>
      </w:pPr>
    </w:lvl>
  </w:abstractNum>
  <w:abstractNum w:abstractNumId="1">
    <w:nsid w:val="601A1281"/>
    <w:multiLevelType w:val="singleLevel"/>
    <w:tmpl w:val="601A1281"/>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375B4"/>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7F2004"/>
    <w:rsid w:val="0486486A"/>
    <w:rsid w:val="04954460"/>
    <w:rsid w:val="04B818D1"/>
    <w:rsid w:val="050D06DA"/>
    <w:rsid w:val="05284F65"/>
    <w:rsid w:val="05310B72"/>
    <w:rsid w:val="05513E94"/>
    <w:rsid w:val="056F5A6D"/>
    <w:rsid w:val="059B3770"/>
    <w:rsid w:val="063949A0"/>
    <w:rsid w:val="06BD5BC7"/>
    <w:rsid w:val="06F008FF"/>
    <w:rsid w:val="079E5032"/>
    <w:rsid w:val="09015F14"/>
    <w:rsid w:val="091C5C63"/>
    <w:rsid w:val="09421190"/>
    <w:rsid w:val="09A0082A"/>
    <w:rsid w:val="0A00435B"/>
    <w:rsid w:val="0A0E6647"/>
    <w:rsid w:val="0AAA1697"/>
    <w:rsid w:val="0ABA06FE"/>
    <w:rsid w:val="0B49202F"/>
    <w:rsid w:val="0B5F5ADA"/>
    <w:rsid w:val="0C2A5C84"/>
    <w:rsid w:val="0C4F64D9"/>
    <w:rsid w:val="0C583939"/>
    <w:rsid w:val="0C6D1BAE"/>
    <w:rsid w:val="0D2A2435"/>
    <w:rsid w:val="0D5D4A52"/>
    <w:rsid w:val="0DA001B0"/>
    <w:rsid w:val="0DEB170B"/>
    <w:rsid w:val="0E4C7841"/>
    <w:rsid w:val="0E97506F"/>
    <w:rsid w:val="0F3E0406"/>
    <w:rsid w:val="0F980230"/>
    <w:rsid w:val="0FD62F63"/>
    <w:rsid w:val="0FDE2A27"/>
    <w:rsid w:val="10AE7F82"/>
    <w:rsid w:val="10C93B35"/>
    <w:rsid w:val="11177619"/>
    <w:rsid w:val="112605C8"/>
    <w:rsid w:val="11A6707B"/>
    <w:rsid w:val="11B35B2F"/>
    <w:rsid w:val="12E711B7"/>
    <w:rsid w:val="136D62BD"/>
    <w:rsid w:val="136E4388"/>
    <w:rsid w:val="13F21722"/>
    <w:rsid w:val="1441443C"/>
    <w:rsid w:val="14C12787"/>
    <w:rsid w:val="15593E10"/>
    <w:rsid w:val="159F7E25"/>
    <w:rsid w:val="15F848D0"/>
    <w:rsid w:val="160E1FA5"/>
    <w:rsid w:val="160F2600"/>
    <w:rsid w:val="16C829AB"/>
    <w:rsid w:val="16DD34F5"/>
    <w:rsid w:val="17765BCA"/>
    <w:rsid w:val="17A027D8"/>
    <w:rsid w:val="17CC2625"/>
    <w:rsid w:val="19132BE0"/>
    <w:rsid w:val="191F4716"/>
    <w:rsid w:val="1954649C"/>
    <w:rsid w:val="1A817DF8"/>
    <w:rsid w:val="1A8A6135"/>
    <w:rsid w:val="1ADC594E"/>
    <w:rsid w:val="1AEB5252"/>
    <w:rsid w:val="1B8A03E4"/>
    <w:rsid w:val="1B9C1459"/>
    <w:rsid w:val="1C852172"/>
    <w:rsid w:val="1CA40C0C"/>
    <w:rsid w:val="1CFF4A32"/>
    <w:rsid w:val="1D833200"/>
    <w:rsid w:val="1E3A3FD0"/>
    <w:rsid w:val="1EB55C07"/>
    <w:rsid w:val="1F351A10"/>
    <w:rsid w:val="1F857EA5"/>
    <w:rsid w:val="1FED47E9"/>
    <w:rsid w:val="202D247F"/>
    <w:rsid w:val="206816AC"/>
    <w:rsid w:val="21134335"/>
    <w:rsid w:val="223606E3"/>
    <w:rsid w:val="226E581D"/>
    <w:rsid w:val="22A4003E"/>
    <w:rsid w:val="23135C25"/>
    <w:rsid w:val="23EC61F6"/>
    <w:rsid w:val="244C543C"/>
    <w:rsid w:val="24624768"/>
    <w:rsid w:val="259B5BC5"/>
    <w:rsid w:val="25EF6C98"/>
    <w:rsid w:val="25F62C4E"/>
    <w:rsid w:val="26643D6C"/>
    <w:rsid w:val="26FE109D"/>
    <w:rsid w:val="27073E1E"/>
    <w:rsid w:val="27B04AB3"/>
    <w:rsid w:val="282C3BA1"/>
    <w:rsid w:val="28A63332"/>
    <w:rsid w:val="28C96E8E"/>
    <w:rsid w:val="29C45F24"/>
    <w:rsid w:val="2D4D4522"/>
    <w:rsid w:val="2D9038E4"/>
    <w:rsid w:val="2DF8796C"/>
    <w:rsid w:val="2EB22F18"/>
    <w:rsid w:val="2EE12108"/>
    <w:rsid w:val="2EED35E3"/>
    <w:rsid w:val="2F0B5068"/>
    <w:rsid w:val="2F250383"/>
    <w:rsid w:val="2F63610B"/>
    <w:rsid w:val="2FBC646B"/>
    <w:rsid w:val="300965A3"/>
    <w:rsid w:val="303A5CAE"/>
    <w:rsid w:val="30730D6E"/>
    <w:rsid w:val="308B20C9"/>
    <w:rsid w:val="30B91A70"/>
    <w:rsid w:val="30F84C22"/>
    <w:rsid w:val="310C6AA2"/>
    <w:rsid w:val="31793674"/>
    <w:rsid w:val="31894469"/>
    <w:rsid w:val="32332703"/>
    <w:rsid w:val="32CF2C5D"/>
    <w:rsid w:val="32EE2C61"/>
    <w:rsid w:val="335402B5"/>
    <w:rsid w:val="339466B2"/>
    <w:rsid w:val="34555AF5"/>
    <w:rsid w:val="34FF687B"/>
    <w:rsid w:val="354C4987"/>
    <w:rsid w:val="35616772"/>
    <w:rsid w:val="35EA1663"/>
    <w:rsid w:val="364C598E"/>
    <w:rsid w:val="368A3622"/>
    <w:rsid w:val="36B543E5"/>
    <w:rsid w:val="36CC2B0F"/>
    <w:rsid w:val="36FC762F"/>
    <w:rsid w:val="3838492F"/>
    <w:rsid w:val="383A009B"/>
    <w:rsid w:val="3887374F"/>
    <w:rsid w:val="38CB0ABC"/>
    <w:rsid w:val="39041A07"/>
    <w:rsid w:val="39043B77"/>
    <w:rsid w:val="39670895"/>
    <w:rsid w:val="397B4EE2"/>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E8108D"/>
    <w:rsid w:val="3F8201A3"/>
    <w:rsid w:val="402675EA"/>
    <w:rsid w:val="40B80EFF"/>
    <w:rsid w:val="41A35364"/>
    <w:rsid w:val="41C31686"/>
    <w:rsid w:val="41C837BC"/>
    <w:rsid w:val="421643AC"/>
    <w:rsid w:val="42982B4E"/>
    <w:rsid w:val="429F5D0C"/>
    <w:rsid w:val="42D83665"/>
    <w:rsid w:val="434A6B47"/>
    <w:rsid w:val="436B1E42"/>
    <w:rsid w:val="456D114B"/>
    <w:rsid w:val="45EB670F"/>
    <w:rsid w:val="46AB7C0D"/>
    <w:rsid w:val="46D44808"/>
    <w:rsid w:val="46ED776B"/>
    <w:rsid w:val="479D2523"/>
    <w:rsid w:val="47CF49E6"/>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2071113"/>
    <w:rsid w:val="52085509"/>
    <w:rsid w:val="522774C4"/>
    <w:rsid w:val="522A7431"/>
    <w:rsid w:val="525A440D"/>
    <w:rsid w:val="52626449"/>
    <w:rsid w:val="544E511A"/>
    <w:rsid w:val="54741940"/>
    <w:rsid w:val="54810E66"/>
    <w:rsid w:val="54C063E4"/>
    <w:rsid w:val="54C2556E"/>
    <w:rsid w:val="55480EEF"/>
    <w:rsid w:val="569B7F91"/>
    <w:rsid w:val="56D21BED"/>
    <w:rsid w:val="572651B2"/>
    <w:rsid w:val="57AE5C26"/>
    <w:rsid w:val="57DD75A9"/>
    <w:rsid w:val="5801059F"/>
    <w:rsid w:val="58256ABD"/>
    <w:rsid w:val="58C27FDB"/>
    <w:rsid w:val="59472AC7"/>
    <w:rsid w:val="59651477"/>
    <w:rsid w:val="59D514A6"/>
    <w:rsid w:val="59EC6E09"/>
    <w:rsid w:val="5AB343F7"/>
    <w:rsid w:val="5ABF50F2"/>
    <w:rsid w:val="5AF25D13"/>
    <w:rsid w:val="5AF76904"/>
    <w:rsid w:val="5B052E7A"/>
    <w:rsid w:val="5B3D7F7E"/>
    <w:rsid w:val="5B7C7777"/>
    <w:rsid w:val="5BEC6771"/>
    <w:rsid w:val="5CA506B9"/>
    <w:rsid w:val="5CF74CE4"/>
    <w:rsid w:val="5D5A7C63"/>
    <w:rsid w:val="5DC758C2"/>
    <w:rsid w:val="5E256F6F"/>
    <w:rsid w:val="5F6235A9"/>
    <w:rsid w:val="5F7C1F16"/>
    <w:rsid w:val="60DC439E"/>
    <w:rsid w:val="614125C2"/>
    <w:rsid w:val="61AA1D1F"/>
    <w:rsid w:val="624C5C52"/>
    <w:rsid w:val="63DF08E4"/>
    <w:rsid w:val="64C04AFD"/>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0841A3"/>
    <w:rsid w:val="6A5B6D7D"/>
    <w:rsid w:val="6A765FBC"/>
    <w:rsid w:val="6A80735F"/>
    <w:rsid w:val="6AC17181"/>
    <w:rsid w:val="6ACC5E47"/>
    <w:rsid w:val="6AD43ED1"/>
    <w:rsid w:val="6B11024D"/>
    <w:rsid w:val="6B7D5B36"/>
    <w:rsid w:val="6C834DAA"/>
    <w:rsid w:val="6C993CCE"/>
    <w:rsid w:val="6CF120A8"/>
    <w:rsid w:val="6D72413D"/>
    <w:rsid w:val="6FF50B81"/>
    <w:rsid w:val="70330B9C"/>
    <w:rsid w:val="714213DD"/>
    <w:rsid w:val="717F272E"/>
    <w:rsid w:val="72783A23"/>
    <w:rsid w:val="728027C6"/>
    <w:rsid w:val="73D62FA6"/>
    <w:rsid w:val="73FE7ACC"/>
    <w:rsid w:val="74556746"/>
    <w:rsid w:val="74743258"/>
    <w:rsid w:val="761B13C4"/>
    <w:rsid w:val="764B6A8A"/>
    <w:rsid w:val="76C17E06"/>
    <w:rsid w:val="76CA67BD"/>
    <w:rsid w:val="774E6400"/>
    <w:rsid w:val="775B0046"/>
    <w:rsid w:val="79700BEF"/>
    <w:rsid w:val="7982487B"/>
    <w:rsid w:val="798D552B"/>
    <w:rsid w:val="7A090695"/>
    <w:rsid w:val="7A1D5951"/>
    <w:rsid w:val="7AE175F4"/>
    <w:rsid w:val="7B417685"/>
    <w:rsid w:val="7B5220F0"/>
    <w:rsid w:val="7BA169C0"/>
    <w:rsid w:val="7BC55243"/>
    <w:rsid w:val="7C2F4A9A"/>
    <w:rsid w:val="7CAD595B"/>
    <w:rsid w:val="7CF65D07"/>
    <w:rsid w:val="7D2975D1"/>
    <w:rsid w:val="7D2F3083"/>
    <w:rsid w:val="7D317880"/>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uiPriority w:val="0"/>
    <w:rPr>
      <w:sz w:val="18"/>
      <w:szCs w:val="18"/>
    </w:rPr>
  </w:style>
  <w:style w:type="paragraph" w:styleId="6">
    <w:name w:val="footer"/>
    <w:basedOn w:val="1"/>
    <w:link w:val="16"/>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61"/>
    <w:qFormat/>
    <w:uiPriority w:val="0"/>
    <w:rPr>
      <w:rFonts w:hint="eastAsia" w:ascii="宋体" w:hAnsi="宋体" w:eastAsia="宋体" w:cs="宋体"/>
      <w:color w:val="000000"/>
      <w:sz w:val="24"/>
      <w:szCs w:val="24"/>
      <w:u w:val="none"/>
    </w:rPr>
  </w:style>
  <w:style w:type="character" w:customStyle="1" w:styleId="14">
    <w:name w:val="font41"/>
    <w:qFormat/>
    <w:uiPriority w:val="0"/>
    <w:rPr>
      <w:rFonts w:hint="default" w:ascii="华文细黑" w:hAnsi="华文细黑" w:eastAsia="华文细黑" w:cs="华文细黑"/>
      <w:color w:val="000000"/>
      <w:sz w:val="20"/>
      <w:szCs w:val="20"/>
      <w:u w:val="none"/>
    </w:rPr>
  </w:style>
  <w:style w:type="character" w:customStyle="1" w:styleId="15">
    <w:name w:val="font11"/>
    <w:qFormat/>
    <w:uiPriority w:val="0"/>
    <w:rPr>
      <w:rFonts w:hint="default" w:ascii="Arial" w:hAnsi="Arial" w:cs="Arial"/>
      <w:color w:val="000000"/>
      <w:sz w:val="24"/>
      <w:szCs w:val="24"/>
      <w:u w:val="none"/>
    </w:rPr>
  </w:style>
  <w:style w:type="character" w:customStyle="1" w:styleId="16">
    <w:name w:val="页脚 字符"/>
    <w:link w:val="6"/>
    <w:qFormat/>
    <w:uiPriority w:val="0"/>
    <w:rPr>
      <w:rFonts w:eastAsia="仿宋_GB2312"/>
      <w:kern w:val="2"/>
      <w:sz w:val="18"/>
    </w:rPr>
  </w:style>
  <w:style w:type="character" w:customStyle="1" w:styleId="17">
    <w:name w:val="批注框文本 字符"/>
    <w:link w:val="5"/>
    <w:qFormat/>
    <w:uiPriority w:val="0"/>
    <w:rPr>
      <w:rFonts w:eastAsia="仿宋_GB2312"/>
      <w:kern w:val="2"/>
      <w:sz w:val="18"/>
      <w:szCs w:val="18"/>
    </w:rPr>
  </w:style>
  <w:style w:type="character" w:customStyle="1" w:styleId="18">
    <w:name w:val="font21"/>
    <w:qFormat/>
    <w:uiPriority w:val="0"/>
    <w:rPr>
      <w:rFonts w:hint="default" w:ascii="Arial" w:hAnsi="Arial" w:cs="Arial"/>
      <w:color w:val="000000"/>
      <w:sz w:val="20"/>
      <w:szCs w:val="20"/>
      <w:u w:val="none"/>
    </w:rPr>
  </w:style>
  <w:style w:type="character" w:customStyle="1" w:styleId="19">
    <w:name w:val="font01"/>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qFormat/>
    <w:uiPriority w:val="0"/>
    <w:pPr>
      <w:widowControl/>
    </w:pPr>
    <w:rPr>
      <w:rFonts w:eastAsia="宋体"/>
      <w:kern w:val="0"/>
      <w:szCs w:val="32"/>
    </w:rPr>
  </w:style>
  <w:style w:type="paragraph" w:customStyle="1" w:styleId="49">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uiPriority w:val="0"/>
    <w:rPr>
      <w:rFonts w:eastAsia="宋体"/>
      <w:sz w:val="21"/>
      <w:szCs w:val="21"/>
    </w:rPr>
  </w:style>
  <w:style w:type="paragraph" w:customStyle="1" w:styleId="80">
    <w:name w:val="页脚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33</Pages>
  <Words>1513</Words>
  <Characters>8625</Characters>
  <Lines>71</Lines>
  <Paragraphs>20</Paragraphs>
  <TotalTime>1</TotalTime>
  <ScaleCrop>false</ScaleCrop>
  <LinksUpToDate>false</LinksUpToDate>
  <CharactersWithSpaces>10118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DELL</cp:lastModifiedBy>
  <cp:lastPrinted>2024-02-26T02:54:35Z</cp:lastPrinted>
  <dcterms:modified xsi:type="dcterms:W3CDTF">2024-02-26T02:57:24Z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2778DE0D3D1747E5A61F757C22D63E49_13</vt:lpwstr>
  </property>
</Properties>
</file>