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长春市统计局双阳区分局</w:t>
      </w:r>
    </w:p>
    <w:p>
      <w:pPr>
        <w:jc w:val="center"/>
        <w:rPr>
          <w:rFonts w:eastAsia="方正小标宋简体"/>
          <w:sz w:val="44"/>
          <w:szCs w:val="44"/>
        </w:rPr>
      </w:pPr>
      <w:r>
        <w:rPr>
          <w:rFonts w:eastAsia="方正小标宋简体"/>
          <w:sz w:val="44"/>
          <w:szCs w:val="44"/>
        </w:rPr>
        <w:t>2024</w:t>
      </w:r>
      <w:r>
        <w:rPr>
          <w:rFonts w:hint="eastAsia" w:eastAsia="方正小标宋简体"/>
          <w:sz w:val="44"/>
          <w:szCs w:val="44"/>
        </w:rPr>
        <w:t>年单位预算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hint="eastAsia" w:eastAsia="华文细黑"/>
        </w:rPr>
        <w:t>二〇二四年二月二十六日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hint="eastAsia" w:eastAsia="方正小标宋简体"/>
          <w:sz w:val="44"/>
          <w:szCs w:val="44"/>
        </w:rPr>
        <w:t>目</w:t>
      </w:r>
      <w:r>
        <w:rPr>
          <w:rFonts w:eastAsia="方正小标宋简体"/>
          <w:sz w:val="44"/>
          <w:szCs w:val="44"/>
        </w:rPr>
        <w:t xml:space="preserve">  </w:t>
      </w:r>
      <w:r>
        <w:rPr>
          <w:rFonts w:hint="eastAsia" w:eastAsia="方正小标宋简体"/>
          <w:sz w:val="44"/>
          <w:szCs w:val="44"/>
        </w:rPr>
        <w:t>录</w:t>
      </w:r>
    </w:p>
    <w:p>
      <w:pPr>
        <w:rPr>
          <w:rFonts w:eastAsia="黑体"/>
        </w:rPr>
      </w:pPr>
    </w:p>
    <w:p>
      <w:pPr>
        <w:rPr>
          <w:rFonts w:eastAsia="黑体"/>
        </w:rPr>
      </w:pPr>
      <w:r>
        <w:rPr>
          <w:rFonts w:hint="eastAsia" w:eastAsia="黑体"/>
        </w:rPr>
        <w:t>第一部分</w:t>
      </w:r>
      <w:r>
        <w:rPr>
          <w:rFonts w:eastAsia="黑体"/>
        </w:rPr>
        <w:t xml:space="preserve">  </w:t>
      </w:r>
      <w:r>
        <w:rPr>
          <w:rFonts w:hint="eastAsia" w:eastAsia="黑体"/>
        </w:rPr>
        <w:t>单位概况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rPr>
          <w:rFonts w:hint="eastAsia"/>
        </w:rPr>
        <w:t>一、主要职能</w:t>
      </w:r>
    </w:p>
    <w:p>
      <w:pPr>
        <w:ind w:left="320" w:leftChars="100" w:firstLine="320" w:firstLineChars="100"/>
      </w:pPr>
      <w:r>
        <w:rPr>
          <w:rFonts w:hint="eastAsia"/>
        </w:rPr>
        <w:t>二、机构设置</w:t>
      </w:r>
    </w:p>
    <w:p>
      <w:pPr>
        <w:rPr>
          <w:rFonts w:eastAsia="黑体"/>
        </w:rPr>
      </w:pPr>
      <w:r>
        <w:rPr>
          <w:rFonts w:hint="eastAsia" w:eastAsia="黑体"/>
        </w:rPr>
        <w:t>第二部分</w:t>
      </w:r>
      <w:r>
        <w:rPr>
          <w:rFonts w:eastAsia="黑体"/>
        </w:rPr>
        <w:t xml:space="preserve">  </w:t>
      </w:r>
      <w:r>
        <w:rPr>
          <w:rFonts w:hint="eastAsia" w:eastAsia="黑体"/>
        </w:rPr>
        <w:t>预算表格</w:t>
      </w:r>
    </w:p>
    <w:p>
      <w:pPr>
        <w:ind w:left="320" w:leftChars="100" w:firstLine="320" w:firstLineChars="100"/>
      </w:pPr>
      <w:r>
        <w:rPr>
          <w:rFonts w:hint="eastAsia"/>
        </w:rPr>
        <w:t>一、收支预算总表</w:t>
      </w:r>
    </w:p>
    <w:p>
      <w:pPr>
        <w:ind w:left="320" w:leftChars="100" w:firstLine="320" w:firstLineChars="100"/>
      </w:pPr>
      <w:r>
        <w:rPr>
          <w:rFonts w:hint="eastAsia"/>
        </w:rPr>
        <w:t>二、收入预算总表</w:t>
      </w:r>
    </w:p>
    <w:p>
      <w:pPr>
        <w:ind w:left="320" w:leftChars="100" w:firstLine="320" w:firstLineChars="100"/>
      </w:pPr>
      <w:r>
        <w:rPr>
          <w:rFonts w:hint="eastAsia"/>
        </w:rPr>
        <w:t>三、支出预算总表</w:t>
      </w:r>
    </w:p>
    <w:p>
      <w:pPr>
        <w:ind w:left="320" w:leftChars="100" w:firstLine="320" w:firstLineChars="100"/>
      </w:pPr>
      <w:r>
        <w:rPr>
          <w:rFonts w:hint="eastAsia"/>
        </w:rPr>
        <w:t>四、财政拨款收支预算总表</w:t>
      </w:r>
    </w:p>
    <w:p>
      <w:pPr>
        <w:ind w:left="320" w:leftChars="100" w:firstLine="320" w:firstLineChars="100"/>
      </w:pPr>
      <w:r>
        <w:rPr>
          <w:rFonts w:hint="eastAsia"/>
        </w:rPr>
        <w:t>五、一般公共预算拨款支出预算表</w:t>
      </w:r>
    </w:p>
    <w:p>
      <w:pPr>
        <w:ind w:left="320" w:leftChars="100" w:firstLine="320" w:firstLineChars="100"/>
      </w:pPr>
      <w:r>
        <w:rPr>
          <w:rFonts w:hint="eastAsia"/>
        </w:rPr>
        <w:t>六、一般公共预算基本支出预算表</w:t>
      </w:r>
    </w:p>
    <w:p>
      <w:pPr>
        <w:ind w:left="320" w:leftChars="100" w:firstLine="320" w:firstLineChars="100"/>
      </w:pPr>
      <w:r>
        <w:rPr>
          <w:rFonts w:hint="eastAsia"/>
        </w:rPr>
        <w:t>七、一般公共预算</w:t>
      </w:r>
      <w:r>
        <w:t>“</w:t>
      </w:r>
      <w:r>
        <w:rPr>
          <w:rFonts w:hint="eastAsia"/>
        </w:rPr>
        <w:t>三公</w:t>
      </w:r>
      <w:r>
        <w:t>”</w:t>
      </w:r>
      <w:r>
        <w:rPr>
          <w:rFonts w:hint="eastAsia"/>
        </w:rPr>
        <w:t>经费支出预算表</w:t>
      </w:r>
    </w:p>
    <w:p>
      <w:pPr>
        <w:ind w:left="320" w:leftChars="100" w:firstLine="320" w:firstLineChars="100"/>
      </w:pPr>
      <w:r>
        <w:rPr>
          <w:rFonts w:hint="eastAsia"/>
        </w:rPr>
        <w:t>八、政府性基金预算拨款支出预算表</w:t>
      </w:r>
    </w:p>
    <w:p>
      <w:pPr>
        <w:ind w:left="320" w:leftChars="100" w:firstLine="320" w:firstLineChars="100"/>
      </w:pPr>
      <w:r>
        <w:rPr>
          <w:rFonts w:hint="eastAsia"/>
        </w:rPr>
        <w:t>九、国有资本经营预算支出预算表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hint="eastAsia" w:eastAsia="黑体"/>
        </w:rPr>
        <w:t>第三部分</w:t>
      </w:r>
      <w:r>
        <w:rPr>
          <w:rFonts w:eastAsia="黑体"/>
        </w:rPr>
        <w:t xml:space="preserve">  </w:t>
      </w:r>
      <w:r>
        <w:rPr>
          <w:rFonts w:hint="eastAsia" w:eastAsia="黑体"/>
        </w:rPr>
        <w:t>情况说明</w:t>
      </w:r>
    </w:p>
    <w:p>
      <w:pPr>
        <w:rPr>
          <w:rFonts w:eastAsia="黑体"/>
        </w:rPr>
      </w:pPr>
      <w:r>
        <w:rPr>
          <w:rFonts w:hint="eastAsia" w:eastAsia="黑体"/>
        </w:rPr>
        <w:t>第四部分</w:t>
      </w:r>
      <w:r>
        <w:rPr>
          <w:rFonts w:eastAsia="黑体"/>
        </w:rPr>
        <w:t xml:space="preserve">  </w:t>
      </w:r>
      <w:r>
        <w:rPr>
          <w:rFonts w:hint="eastAsia" w:eastAsia="黑体"/>
        </w:rPr>
        <w:t>名词解释</w:t>
      </w:r>
    </w:p>
    <w:p>
      <w:pPr>
        <w:rPr>
          <w:rFonts w:eastAsia="黑体"/>
        </w:rPr>
      </w:pPr>
      <w:r>
        <w:rPr>
          <w:rFonts w:eastAsia="黑体"/>
        </w:rPr>
        <w:br w:type="page"/>
      </w:r>
    </w:p>
    <w:p>
      <w:pPr>
        <w:ind w:firstLine="640" w:firstLineChars="200"/>
        <w:jc w:val="center"/>
        <w:rPr>
          <w:rFonts w:eastAsia="黑体"/>
        </w:rPr>
      </w:pPr>
      <w:r>
        <w:rPr>
          <w:rFonts w:hint="eastAsia" w:eastAsia="黑体"/>
        </w:rPr>
        <w:t>第一部分</w:t>
      </w:r>
      <w:r>
        <w:rPr>
          <w:rFonts w:eastAsia="黑体"/>
        </w:rPr>
        <w:t xml:space="preserve"> </w:t>
      </w:r>
      <w:r>
        <w:rPr>
          <w:rFonts w:hint="eastAsia" w:eastAsia="黑体"/>
        </w:rPr>
        <w:t>单位概况</w:t>
      </w:r>
    </w:p>
    <w:p>
      <w:pPr>
        <w:ind w:firstLine="640" w:firstLineChars="200"/>
        <w:rPr>
          <w:rFonts w:eastAsia="楷体_GB2312"/>
        </w:rPr>
      </w:pPr>
    </w:p>
    <w:p>
      <w:pPr>
        <w:ind w:firstLine="640" w:firstLineChars="200"/>
        <w:rPr>
          <w:rFonts w:eastAsia="楷体_GB2312"/>
        </w:rPr>
      </w:pPr>
      <w:r>
        <w:rPr>
          <w:rFonts w:hint="eastAsia" w:eastAsia="楷体_GB2312"/>
        </w:rPr>
        <w:t>一、主要职能</w:t>
      </w:r>
    </w:p>
    <w:p>
      <w:pPr>
        <w:snapToGrid w:val="0"/>
        <w:spacing w:line="360" w:lineRule="auto"/>
        <w:rPr>
          <w:rFonts w:ascii="仿宋_GB2312"/>
          <w:szCs w:val="32"/>
        </w:rPr>
      </w:pPr>
      <w:r>
        <w:rPr>
          <w:rFonts w:ascii="仿宋_GB2312"/>
          <w:szCs w:val="32"/>
        </w:rPr>
        <w:t xml:space="preserve">    </w:t>
      </w:r>
      <w:r>
        <w:rPr>
          <w:rFonts w:hint="eastAsia" w:ascii="仿宋_GB2312"/>
          <w:szCs w:val="32"/>
        </w:rPr>
        <w:t>（一）贯彻执行国家统计方针、政策和法律、法规，制定全区统计规划以及统计调查计划；监督检查统计法律、法规的实施。组织领导全区统计工作，承担确保统计数据真实、准确、及时的责任。</w:t>
      </w:r>
    </w:p>
    <w:p>
      <w:pPr>
        <w:snapToGrid w:val="0"/>
        <w:spacing w:line="360" w:lineRule="auto"/>
        <w:ind w:firstLine="640" w:firstLineChars="200"/>
        <w:rPr>
          <w:rFonts w:ascii="仿宋_GB2312"/>
          <w:szCs w:val="32"/>
        </w:rPr>
      </w:pPr>
      <w:r>
        <w:rPr>
          <w:rFonts w:hint="eastAsia" w:ascii="仿宋_GB2312"/>
          <w:szCs w:val="32"/>
        </w:rPr>
        <w:t>（二）根据国家统一的基本统计制度，建立健全全区国民经济核算体系和统计指标体系，贯彻执行全省统一的基本统计报表制度和统计标准；汇编提供全区国民经济核算资料，监督管理全区统计机关国民经济核算工作。</w:t>
      </w:r>
    </w:p>
    <w:p>
      <w:pPr>
        <w:snapToGrid w:val="0"/>
        <w:spacing w:line="360" w:lineRule="auto"/>
        <w:ind w:firstLine="640" w:firstLineChars="200"/>
        <w:rPr>
          <w:rFonts w:ascii="仿宋_GB2312"/>
          <w:szCs w:val="32"/>
        </w:rPr>
      </w:pPr>
      <w:r>
        <w:rPr>
          <w:rFonts w:hint="eastAsia" w:ascii="仿宋_GB2312"/>
          <w:szCs w:val="32"/>
        </w:rPr>
        <w:t>（三）组织实施重大区情区力普查计划；统一组织协调全区社会经济统计调查；汇总全区的统计资料；对国民经济各行业、科技、资源环境和社会发展等情况进行统计分祈、统计预测预警和统计监督，向市局及区委、区政府和有关部门提供统计信息和咨询建议；收集、整理、提供全区及外县、市（区）的统计资料，并进行对比分析和研究。</w:t>
      </w:r>
    </w:p>
    <w:p>
      <w:pPr>
        <w:snapToGrid w:val="0"/>
        <w:spacing w:line="360" w:lineRule="auto"/>
        <w:ind w:firstLine="640" w:firstLineChars="200"/>
        <w:rPr>
          <w:rFonts w:ascii="仿宋_GB2312"/>
          <w:szCs w:val="32"/>
        </w:rPr>
      </w:pPr>
      <w:r>
        <w:rPr>
          <w:rFonts w:hint="eastAsia" w:ascii="仿宋_GB2312"/>
          <w:szCs w:val="32"/>
        </w:rPr>
        <w:t>（四）统一核定、管理、公布全区基本统计资料，定期向社会公布全区国民经济和社会发展情况的统计信息。</w:t>
      </w:r>
    </w:p>
    <w:p>
      <w:pPr>
        <w:snapToGrid w:val="0"/>
        <w:spacing w:line="360" w:lineRule="auto"/>
        <w:ind w:firstLine="640" w:firstLineChars="200"/>
        <w:rPr>
          <w:rFonts w:ascii="仿宋_GB2312"/>
          <w:szCs w:val="32"/>
        </w:rPr>
      </w:pPr>
      <w:r>
        <w:rPr>
          <w:rFonts w:hint="eastAsia" w:ascii="仿宋_GB2312"/>
          <w:szCs w:val="32"/>
        </w:rPr>
        <w:t>（五）建立、完善和管理全区统计信息化系统和统计数据体系；组织指导全区统计信息化网络和数据库系统建设。</w:t>
      </w:r>
    </w:p>
    <w:p>
      <w:pPr>
        <w:snapToGrid w:val="0"/>
        <w:spacing w:line="360" w:lineRule="auto"/>
        <w:ind w:firstLine="640" w:firstLineChars="200"/>
        <w:rPr>
          <w:rFonts w:ascii="仿宋_GB2312"/>
          <w:szCs w:val="32"/>
        </w:rPr>
      </w:pPr>
      <w:r>
        <w:rPr>
          <w:rFonts w:hint="eastAsia" w:ascii="仿宋_GB2312"/>
          <w:szCs w:val="32"/>
        </w:rPr>
        <w:t>（六）依法管理全区统计调查项目和统计标准，指导专业统计基础工作、统计基层业务基础建设；建立健全统计数据质量审核、监控和评估制庋，负责重要统计数据的审核、监控和评估，依法监督管理涉外调查活动。</w:t>
      </w:r>
    </w:p>
    <w:p>
      <w:pPr>
        <w:snapToGrid w:val="0"/>
        <w:spacing w:line="360" w:lineRule="auto"/>
        <w:ind w:firstLine="640" w:firstLineChars="200"/>
        <w:rPr>
          <w:rFonts w:ascii="仿宋_GB2312"/>
          <w:szCs w:val="32"/>
        </w:rPr>
      </w:pPr>
      <w:r>
        <w:rPr>
          <w:rFonts w:hint="eastAsia" w:ascii="仿宋_GB2312"/>
          <w:szCs w:val="32"/>
        </w:rPr>
        <w:t>（七）承办省、市统计局和区政府交办的其他事项。</w:t>
      </w:r>
    </w:p>
    <w:p>
      <w:pPr>
        <w:ind w:firstLine="640" w:firstLineChars="200"/>
      </w:pPr>
      <w:r>
        <w:rPr>
          <w:rFonts w:hint="eastAsia" w:eastAsia="楷体_GB2312"/>
        </w:rPr>
        <w:t>二、机构设置</w:t>
      </w:r>
    </w:p>
    <w:p>
      <w:pPr>
        <w:pStyle w:val="52"/>
        <w:ind w:firstLine="640" w:firstLineChars="200"/>
        <w:rPr>
          <w:rFonts w:eastAsia="仿宋_GB2312"/>
        </w:rPr>
      </w:pPr>
      <w:r>
        <w:rPr>
          <w:rFonts w:hint="eastAsia" w:eastAsia="仿宋_GB2312"/>
        </w:rPr>
        <w:t>根据上述职责，</w:t>
      </w:r>
      <w:r>
        <w:rPr>
          <w:rFonts w:hint="eastAsia" w:ascii="仿宋" w:eastAsia="仿宋" w:cs="宋体"/>
        </w:rPr>
        <w:t>长春市统计局双阳区分局</w:t>
      </w:r>
      <w:r>
        <w:rPr>
          <w:rFonts w:hint="eastAsia" w:eastAsia="仿宋_GB2312"/>
        </w:rPr>
        <w:t>内设</w:t>
      </w:r>
      <w:r>
        <w:rPr>
          <w:rFonts w:eastAsia="仿宋_GB2312"/>
        </w:rPr>
        <w:t>2</w:t>
      </w:r>
      <w:r>
        <w:rPr>
          <w:rFonts w:hint="eastAsia" w:eastAsia="仿宋_GB2312"/>
        </w:rPr>
        <w:t>个机构，</w:t>
      </w:r>
      <w:r>
        <w:rPr>
          <w:rFonts w:hint="eastAsia" w:ascii="仿宋" w:eastAsia="仿宋" w:cs="宋体"/>
        </w:rPr>
        <w:t>分别为综合科、社会经济统计科。</w:t>
      </w:r>
    </w:p>
    <w:p>
      <w:pPr>
        <w:snapToGrid w:val="0"/>
        <w:spacing w:line="360" w:lineRule="auto"/>
        <w:ind w:firstLine="640" w:firstLineChars="200"/>
      </w:pPr>
      <w:r>
        <w:rPr>
          <w:rFonts w:hint="eastAsia"/>
        </w:rPr>
        <w:t>本单位无下设预算单位。</w:t>
      </w:r>
    </w:p>
    <w:p>
      <w:pPr>
        <w:pStyle w:val="52"/>
        <w:ind w:firstLine="640" w:firstLineChars="200"/>
        <w:rPr>
          <w:rFonts w:eastAsia="楷体"/>
        </w:rPr>
      </w:pPr>
    </w:p>
    <w:p>
      <w:pPr>
        <w:pStyle w:val="52"/>
        <w:ind w:firstLine="640" w:firstLineChars="200"/>
        <w:rPr>
          <w:rFonts w:eastAsia="楷体"/>
        </w:rPr>
      </w:pPr>
    </w:p>
    <w:p>
      <w:pPr>
        <w:pStyle w:val="52"/>
        <w:ind w:firstLine="640" w:firstLineChars="200"/>
        <w:rPr>
          <w:rFonts w:eastAsia="楷体"/>
        </w:rPr>
      </w:pPr>
    </w:p>
    <w:p>
      <w:pPr>
        <w:pStyle w:val="52"/>
        <w:ind w:firstLine="640" w:firstLineChars="200"/>
        <w:rPr>
          <w:rFonts w:eastAsia="楷体"/>
        </w:rPr>
      </w:pPr>
    </w:p>
    <w:p>
      <w:pPr>
        <w:pStyle w:val="52"/>
        <w:ind w:firstLine="640" w:firstLineChars="200"/>
        <w:rPr>
          <w:rFonts w:eastAsia="黑体"/>
        </w:rPr>
      </w:pPr>
      <w:r>
        <w:rPr>
          <w:rFonts w:hAnsi="楷体" w:eastAsia="楷体"/>
        </w:rPr>
        <w:br w:type="page"/>
      </w:r>
    </w:p>
    <w:p>
      <w:pPr>
        <w:jc w:val="center"/>
        <w:rPr>
          <w:rFonts w:eastAsia="黑体"/>
        </w:rPr>
      </w:pPr>
      <w:r>
        <w:rPr>
          <w:rFonts w:hint="eastAsia" w:eastAsia="黑体"/>
        </w:rPr>
        <w:t>第二部分</w:t>
      </w:r>
      <w:r>
        <w:rPr>
          <w:rFonts w:eastAsia="黑体"/>
        </w:rPr>
        <w:t xml:space="preserve"> </w:t>
      </w:r>
      <w:r>
        <w:rPr>
          <w:rFonts w:hint="eastAsia" w:eastAsia="黑体"/>
        </w:rPr>
        <w:t>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hint="eastAsia" w:eastAsia="方正小标宋简体"/>
                <w:kern w:val="0"/>
                <w:sz w:val="44"/>
                <w:szCs w:val="44"/>
              </w:rPr>
              <w:t>收支预算总表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eastAsia="宋体"/>
                <w:kern w:val="0"/>
                <w:sz w:val="20"/>
              </w:rPr>
              <w:t xml:space="preserve">            </w:t>
            </w:r>
            <w:r>
              <w:rPr>
                <w:rFonts w:hint="eastAsia"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收</w:t>
            </w:r>
            <w:r>
              <w:rPr>
                <w:rFonts w:eastAsia="宋体"/>
                <w:kern w:val="0"/>
                <w:sz w:val="20"/>
              </w:rPr>
              <w:t xml:space="preserve">       </w:t>
            </w:r>
            <w:r>
              <w:rPr>
                <w:rFonts w:hint="eastAsia" w:eastAsia="宋体"/>
                <w:kern w:val="0"/>
                <w:sz w:val="20"/>
              </w:rPr>
              <w:t>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支</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2024</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w:t>
            </w:r>
            <w:r>
              <w:rPr>
                <w:rFonts w:eastAsia="宋体"/>
                <w:kern w:val="0"/>
                <w:sz w:val="20"/>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eastAsia="宋体"/>
                <w:kern w:val="0"/>
                <w:sz w:val="20"/>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2024</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w:t>
            </w:r>
            <w:r>
              <w:rPr>
                <w:rFonts w:eastAsia="宋体"/>
                <w:kern w:val="0"/>
                <w:sz w:val="20"/>
              </w:rPr>
              <w:t xml:space="preserve">     </w:t>
            </w:r>
            <w:r>
              <w:rPr>
                <w:rFonts w:hint="eastAsia"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eastAsia="宋体"/>
                <w:kern w:val="0"/>
                <w:sz w:val="20"/>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eastAsia="宋体"/>
                <w:kern w:val="0"/>
                <w:sz w:val="20"/>
              </w:rPr>
              <w:t>5.26</w:t>
            </w:r>
          </w:p>
        </w:tc>
        <w:tc>
          <w:tcPr>
            <w:tcW w:w="1342" w:type="dxa"/>
            <w:tcBorders>
              <w:top w:val="nil"/>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一、一般公共服务支出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174.29</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170.06</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4.23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一般公共预算</w:t>
            </w:r>
            <w:r>
              <w:rPr>
                <w:rFonts w:eastAsia="宋体"/>
                <w:sz w:val="20"/>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eastAsia="宋体"/>
                <w:kern w:val="0"/>
                <w:sz w:val="20"/>
              </w:rPr>
              <w:t>5.26</w:t>
            </w:r>
          </w:p>
        </w:tc>
        <w:tc>
          <w:tcPr>
            <w:tcW w:w="1342" w:type="dxa"/>
            <w:tcBorders>
              <w:top w:val="nil"/>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二、社会保障和就业支出　</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31.57</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eastAsia="宋体"/>
                <w:kern w:val="0"/>
                <w:sz w:val="20"/>
              </w:rPr>
              <w:t>31.57</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政府性基金预算</w:t>
            </w:r>
            <w:r>
              <w:rPr>
                <w:rFonts w:eastAsia="宋体"/>
                <w:sz w:val="20"/>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三、卫生健康支出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10.49</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eastAsia="宋体"/>
                <w:kern w:val="0"/>
                <w:sz w:val="20"/>
              </w:rPr>
              <w:t>9.46</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r>
              <w:rPr>
                <w:rFonts w:eastAsia="宋体"/>
                <w:kern w:val="0"/>
                <w:sz w:val="20"/>
              </w:rPr>
              <w:t>1.03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四、住房保障支出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9.97</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eastAsia="宋体"/>
                <w:kern w:val="0"/>
                <w:sz w:val="20"/>
              </w:rPr>
              <w:t>9.97</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eastAsia="宋体"/>
                <w:sz w:val="20"/>
              </w:rPr>
            </w:pPr>
            <w:r>
              <w:rPr>
                <w:rFonts w:hint="eastAsia" w:eastAsia="宋体"/>
                <w:sz w:val="20"/>
              </w:rPr>
              <w:t>二、财政专户管理</w:t>
            </w:r>
            <w:r>
              <w:rPr>
                <w:rFonts w:eastAsia="宋体"/>
                <w:sz w:val="20"/>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34" w:type="dxa"/>
            <w:tcBorders>
              <w:top w:val="nil"/>
              <w:left w:val="single" w:color="auto" w:sz="4" w:space="0"/>
              <w:bottom w:val="single" w:color="auto" w:sz="4" w:space="0"/>
              <w:right w:val="nil"/>
            </w:tcBorders>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58" w:type="dxa"/>
            <w:tcBorders>
              <w:top w:val="nil"/>
              <w:left w:val="nil"/>
              <w:bottom w:val="single" w:color="auto" w:sz="4" w:space="0"/>
              <w:right w:val="single" w:color="auto" w:sz="4" w:space="0"/>
            </w:tcBorders>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hint="eastAsia" w:eastAsia="宋体"/>
                <w:b/>
                <w:bCs/>
                <w:kern w:val="0"/>
                <w:sz w:val="20"/>
              </w:rPr>
              <w:t>本年收入</w:t>
            </w:r>
            <w:r>
              <w:rPr>
                <w:rFonts w:eastAsia="宋体"/>
                <w:b/>
                <w:bCs/>
                <w:kern w:val="0"/>
                <w:sz w:val="20"/>
              </w:rPr>
              <w:t xml:space="preserve">         </w:t>
            </w:r>
            <w:r>
              <w:rPr>
                <w:rFonts w:hint="eastAsia" w:eastAsia="宋体"/>
                <w:b/>
                <w:bCs/>
                <w:kern w:val="0"/>
                <w:sz w:val="20"/>
              </w:rPr>
              <w:t>合计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eastAsia="宋体"/>
                <w:kern w:val="0"/>
                <w:sz w:val="20"/>
              </w:rPr>
              <w:t>5.26</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hint="eastAsia" w:eastAsia="宋体"/>
                <w:b/>
                <w:bCs/>
                <w:kern w:val="0"/>
                <w:sz w:val="20"/>
              </w:rPr>
              <w:t>本年支出</w:t>
            </w:r>
            <w:r>
              <w:rPr>
                <w:rFonts w:eastAsia="宋体"/>
                <w:b/>
                <w:bCs/>
                <w:kern w:val="0"/>
                <w:sz w:val="20"/>
              </w:rPr>
              <w:t xml:space="preserve">  </w:t>
            </w:r>
            <w:r>
              <w:rPr>
                <w:rFonts w:hint="eastAsia"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结转下年</w:t>
            </w:r>
            <w:r>
              <w:rPr>
                <w:rFonts w:eastAsia="宋体"/>
                <w:kern w:val="0"/>
                <w:sz w:val="20"/>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非财政拨款</w:t>
            </w:r>
            <w:r>
              <w:rPr>
                <w:rFonts w:eastAsia="宋体"/>
                <w:sz w:val="20"/>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eastAsia="宋体"/>
                <w:kern w:val="0"/>
                <w:sz w:val="20"/>
              </w:rPr>
              <w:t>5.26</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hint="eastAsia" w:eastAsia="方正小标宋简体"/>
          <w:sz w:val="44"/>
        </w:rPr>
        <w:t>收入预算总表</w:t>
      </w:r>
    </w:p>
    <w:tbl>
      <w:tblPr>
        <w:tblStyle w:val="9"/>
        <w:tblW w:w="9854" w:type="dxa"/>
        <w:jc w:val="center"/>
        <w:tblLayout w:type="fixed"/>
        <w:tblCellMar>
          <w:top w:w="0" w:type="dxa"/>
          <w:left w:w="108" w:type="dxa"/>
          <w:bottom w:w="0" w:type="dxa"/>
          <w:right w:w="108" w:type="dxa"/>
        </w:tblCellMar>
      </w:tblPr>
      <w:tblGrid>
        <w:gridCol w:w="1471"/>
        <w:gridCol w:w="936"/>
        <w:gridCol w:w="780"/>
        <w:gridCol w:w="780"/>
        <w:gridCol w:w="312"/>
        <w:gridCol w:w="312"/>
        <w:gridCol w:w="468"/>
        <w:gridCol w:w="61"/>
        <w:gridCol w:w="251"/>
        <w:gridCol w:w="468"/>
        <w:gridCol w:w="312"/>
        <w:gridCol w:w="155"/>
        <w:gridCol w:w="313"/>
        <w:gridCol w:w="190"/>
        <w:gridCol w:w="278"/>
        <w:gridCol w:w="624"/>
        <w:gridCol w:w="651"/>
        <w:gridCol w:w="236"/>
        <w:gridCol w:w="76"/>
        <w:gridCol w:w="468"/>
        <w:gridCol w:w="312"/>
        <w:gridCol w:w="346"/>
        <w:gridCol w:w="54"/>
      </w:tblGrid>
      <w:tr>
        <w:tblPrEx>
          <w:tblCellMar>
            <w:top w:w="0" w:type="dxa"/>
            <w:left w:w="108" w:type="dxa"/>
            <w:bottom w:w="0" w:type="dxa"/>
            <w:right w:w="108" w:type="dxa"/>
          </w:tblCellMar>
        </w:tblPrEx>
        <w:trPr>
          <w:gridAfter w:val="1"/>
          <w:wAfter w:w="54" w:type="dxa"/>
          <w:trHeight w:val="345" w:hRule="atLeast"/>
          <w:jc w:val="center"/>
        </w:trPr>
        <w:tc>
          <w:tcPr>
            <w:tcW w:w="1471" w:type="dxa"/>
            <w:tcBorders>
              <w:bottom w:val="single" w:color="000000" w:sz="4" w:space="0"/>
            </w:tcBorders>
          </w:tcPr>
          <w:p>
            <w:pPr>
              <w:autoSpaceDN w:val="0"/>
              <w:jc w:val="left"/>
              <w:textAlignment w:val="center"/>
              <w:rPr>
                <w:rFonts w:eastAsia="华文细黑"/>
                <w:color w:val="000000"/>
                <w:sz w:val="20"/>
              </w:rPr>
            </w:pPr>
          </w:p>
        </w:tc>
        <w:tc>
          <w:tcPr>
            <w:tcW w:w="3649" w:type="dxa"/>
            <w:gridSpan w:val="7"/>
            <w:tcBorders>
              <w:bottom w:val="single" w:color="000000" w:sz="4" w:space="0"/>
            </w:tcBorders>
            <w:vAlign w:val="center"/>
          </w:tcPr>
          <w:p>
            <w:pPr>
              <w:autoSpaceDN w:val="0"/>
              <w:jc w:val="left"/>
              <w:textAlignment w:val="center"/>
              <w:rPr>
                <w:rFonts w:eastAsia="华文细黑"/>
                <w:color w:val="000000"/>
                <w:sz w:val="20"/>
              </w:rPr>
            </w:pPr>
          </w:p>
        </w:tc>
        <w:tc>
          <w:tcPr>
            <w:tcW w:w="1186" w:type="dxa"/>
            <w:gridSpan w:val="4"/>
            <w:vAlign w:val="center"/>
          </w:tcPr>
          <w:p>
            <w:pPr>
              <w:autoSpaceDN w:val="0"/>
              <w:jc w:val="left"/>
              <w:textAlignment w:val="center"/>
              <w:rPr>
                <w:rFonts w:eastAsia="华文细黑"/>
                <w:color w:val="000000"/>
                <w:sz w:val="20"/>
              </w:rPr>
            </w:pPr>
          </w:p>
        </w:tc>
        <w:tc>
          <w:tcPr>
            <w:tcW w:w="503" w:type="dxa"/>
            <w:gridSpan w:val="2"/>
            <w:vAlign w:val="center"/>
          </w:tcPr>
          <w:p>
            <w:pPr>
              <w:autoSpaceDN w:val="0"/>
              <w:jc w:val="left"/>
              <w:textAlignment w:val="center"/>
              <w:rPr>
                <w:rFonts w:eastAsia="华文细黑"/>
                <w:color w:val="000000"/>
                <w:sz w:val="20"/>
              </w:rPr>
            </w:pPr>
          </w:p>
        </w:tc>
        <w:tc>
          <w:tcPr>
            <w:tcW w:w="1553" w:type="dxa"/>
            <w:gridSpan w:val="3"/>
            <w:vAlign w:val="center"/>
          </w:tcPr>
          <w:p>
            <w:pPr>
              <w:autoSpaceDN w:val="0"/>
              <w:jc w:val="left"/>
              <w:textAlignment w:val="center"/>
              <w:rPr>
                <w:rFonts w:eastAsia="华文细黑"/>
                <w:color w:val="000000"/>
                <w:sz w:val="20"/>
              </w:rPr>
            </w:pPr>
          </w:p>
        </w:tc>
        <w:tc>
          <w:tcPr>
            <w:tcW w:w="236" w:type="dxa"/>
            <w:vAlign w:val="bottom"/>
          </w:tcPr>
          <w:p>
            <w:pPr>
              <w:autoSpaceDN w:val="0"/>
              <w:jc w:val="right"/>
              <w:textAlignment w:val="bottom"/>
              <w:rPr>
                <w:rFonts w:eastAsia="宋体"/>
                <w:color w:val="000000"/>
                <w:sz w:val="20"/>
              </w:rPr>
            </w:pPr>
          </w:p>
        </w:tc>
        <w:tc>
          <w:tcPr>
            <w:tcW w:w="1202" w:type="dxa"/>
            <w:gridSpan w:val="4"/>
            <w:vAlign w:val="bottom"/>
          </w:tcPr>
          <w:p>
            <w:pPr>
              <w:autoSpaceDN w:val="0"/>
              <w:jc w:val="right"/>
              <w:textAlignment w:val="center"/>
              <w:rPr>
                <w:rFonts w:eastAsia="宋体"/>
                <w:color w:val="000000"/>
                <w:sz w:val="20"/>
              </w:rPr>
            </w:pPr>
            <w:r>
              <w:rPr>
                <w:rFonts w:hint="eastAsia" w:eastAsia="宋体"/>
                <w:color w:val="000000"/>
                <w:sz w:val="20"/>
              </w:rPr>
              <w:t>单位：万元</w:t>
            </w:r>
          </w:p>
        </w:tc>
      </w:tr>
      <w:tr>
        <w:tblPrEx>
          <w:tblCellMar>
            <w:top w:w="0" w:type="dxa"/>
            <w:left w:w="108" w:type="dxa"/>
            <w:bottom w:w="0" w:type="dxa"/>
            <w:right w:w="108" w:type="dxa"/>
          </w:tblCellMar>
        </w:tblPrEx>
        <w:trPr>
          <w:trHeight w:val="532" w:hRule="atLeast"/>
          <w:jc w:val="center"/>
        </w:trPr>
        <w:tc>
          <w:tcPr>
            <w:tcW w:w="1471" w:type="dxa"/>
            <w:vMerge w:val="restart"/>
            <w:tcBorders>
              <w:left w:val="single" w:color="000000" w:sz="4" w:space="0"/>
              <w:right w:val="single" w:color="000000" w:sz="4" w:space="0"/>
            </w:tcBorders>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93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680" w:type="dxa"/>
            <w:gridSpan w:val="13"/>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767" w:type="dxa"/>
            <w:gridSpan w:val="8"/>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trHeight w:val="532" w:hRule="atLeast"/>
          <w:jc w:val="center"/>
        </w:trPr>
        <w:tc>
          <w:tcPr>
            <w:tcW w:w="1471"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sz w:val="20"/>
              </w:rPr>
            </w:pPr>
          </w:p>
        </w:tc>
        <w:tc>
          <w:tcPr>
            <w:tcW w:w="936" w:type="dxa"/>
            <w:vMerge w:val="continue"/>
            <w:tcBorders>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p>
        </w:tc>
        <w:tc>
          <w:tcPr>
            <w:tcW w:w="780" w:type="dxa"/>
            <w:vMerge w:val="restart"/>
            <w:tcBorders>
              <w:top w:val="single" w:color="000000" w:sz="4" w:space="0"/>
              <w:left w:val="single" w:color="000000" w:sz="4" w:space="0"/>
              <w:right w:val="single" w:color="auto" w:sz="4" w:space="0"/>
            </w:tcBorders>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04"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w:t>
            </w:r>
            <w:r>
              <w:rPr>
                <w:rFonts w:ascii="宋体" w:hAnsi="宋体" w:eastAsia="宋体" w:cs="宋体"/>
                <w:color w:val="000000"/>
                <w:sz w:val="20"/>
              </w:rPr>
              <w:t xml:space="preserve">    </w:t>
            </w:r>
            <w:r>
              <w:rPr>
                <w:rFonts w:hint="eastAsia" w:ascii="宋体" w:hAnsi="宋体" w:eastAsia="宋体" w:cs="宋体"/>
                <w:color w:val="000000"/>
                <w:sz w:val="20"/>
              </w:rPr>
              <w:t>款收入</w:t>
            </w:r>
          </w:p>
        </w:tc>
        <w:tc>
          <w:tcPr>
            <w:tcW w:w="468" w:type="dxa"/>
            <w:vMerge w:val="restart"/>
            <w:tcBorders>
              <w:top w:val="single" w:color="000000" w:sz="4" w:space="0"/>
              <w:left w:val="single" w:color="auto" w:sz="4" w:space="0"/>
              <w:right w:val="single" w:color="auto" w:sz="4" w:space="0"/>
            </w:tcBorders>
            <w:vAlign w:val="center"/>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2028" w:type="dxa"/>
            <w:gridSpan w:val="8"/>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w:t>
            </w:r>
            <w:r>
              <w:rPr>
                <w:rFonts w:ascii="宋体" w:hAnsi="宋体" w:eastAsia="宋体" w:cs="宋体"/>
                <w:color w:val="000000"/>
                <w:sz w:val="20"/>
              </w:rPr>
              <w:t xml:space="preserve">            </w:t>
            </w:r>
            <w:r>
              <w:rPr>
                <w:rFonts w:hint="eastAsia" w:ascii="宋体" w:hAnsi="宋体" w:eastAsia="宋体" w:cs="宋体"/>
                <w:color w:val="000000"/>
                <w:sz w:val="20"/>
              </w:rPr>
              <w:t>金收入</w:t>
            </w:r>
          </w:p>
        </w:tc>
        <w:tc>
          <w:tcPr>
            <w:tcW w:w="624" w:type="dxa"/>
            <w:vMerge w:val="restart"/>
            <w:tcBorders>
              <w:top w:val="single" w:color="000000" w:sz="4" w:space="0"/>
              <w:left w:val="single" w:color="000000" w:sz="4" w:space="0"/>
              <w:right w:val="single" w:color="auto" w:sz="4" w:space="0"/>
            </w:tcBorders>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31"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2" w:type="dxa"/>
            <w:gridSpan w:val="3"/>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trHeight w:val="2902" w:hRule="atLeast"/>
          <w:jc w:val="center"/>
        </w:trPr>
        <w:tc>
          <w:tcPr>
            <w:tcW w:w="1471"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ascii="宋体" w:hAnsi="宋体" w:eastAsia="宋体" w:cs="宋体"/>
                <w:color w:val="000000"/>
                <w:sz w:val="20"/>
                <w:shd w:val="clear" w:color="auto" w:fill="FFFFFF"/>
              </w:rPr>
            </w:pPr>
          </w:p>
        </w:tc>
        <w:tc>
          <w:tcPr>
            <w:tcW w:w="936"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780" w:type="dxa"/>
            <w:vMerge w:val="continue"/>
            <w:tcBorders>
              <w:left w:val="single" w:color="000000" w:sz="4" w:space="0"/>
              <w:bottom w:val="single" w:color="000000" w:sz="4" w:space="0"/>
              <w:right w:val="single" w:color="auto" w:sz="4" w:space="0"/>
            </w:tcBorders>
            <w:shd w:val="solid" w:color="FFFFFF" w:fill="auto"/>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624" w:type="dxa"/>
            <w:vMerge w:val="continue"/>
            <w:tcBorders>
              <w:left w:val="single" w:color="000000" w:sz="4" w:space="0"/>
              <w:bottom w:val="single" w:color="000000" w:sz="4" w:space="0"/>
              <w:right w:val="single" w:color="auto" w:sz="4" w:space="0"/>
            </w:tcBorders>
            <w:shd w:val="solid" w:color="FFFFFF" w:fill="auto"/>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68" w:type="dxa"/>
            <w:tcBorders>
              <w:top w:val="single" w:color="000000" w:sz="4" w:space="0"/>
              <w:left w:val="single" w:color="000000" w:sz="4" w:space="0"/>
              <w:bottom w:val="single" w:color="000000" w:sz="4" w:space="0"/>
              <w:right w:val="single" w:color="auto" w:sz="4" w:space="0"/>
            </w:tcBorders>
            <w:shd w:val="solid" w:color="FFFFFF" w:fill="auto"/>
            <w:vAlign w:val="center"/>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12" w:type="dxa"/>
            <w:tcBorders>
              <w:top w:val="single" w:color="000000" w:sz="4" w:space="0"/>
              <w:left w:val="single" w:color="auto" w:sz="4" w:space="0"/>
              <w:bottom w:val="single" w:color="000000" w:sz="4" w:space="0"/>
              <w:right w:val="single" w:color="000000" w:sz="4" w:space="0"/>
            </w:tcBorders>
            <w:shd w:val="solid" w:color="FFFFFF" w:fill="auto"/>
            <w:vAlign w:val="center"/>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ind w:right="113"/>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trHeight w:val="532" w:hRule="atLeast"/>
          <w:jc w:val="center"/>
        </w:trPr>
        <w:tc>
          <w:tcPr>
            <w:tcW w:w="1471"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长春市统计局双阳区分局</w:t>
            </w:r>
          </w:p>
        </w:tc>
        <w:tc>
          <w:tcPr>
            <w:tcW w:w="9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226.32</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221.06</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221.06</w:t>
            </w: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2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5.26</w:t>
            </w: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5.26</w:t>
            </w: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2" w:hRule="atLeast"/>
          <w:jc w:val="center"/>
        </w:trPr>
        <w:tc>
          <w:tcPr>
            <w:tcW w:w="1471"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9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2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2" w:hRule="atLeast"/>
          <w:jc w:val="center"/>
        </w:trPr>
        <w:tc>
          <w:tcPr>
            <w:tcW w:w="1471"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9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2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2" w:hRule="atLeast"/>
          <w:jc w:val="center"/>
        </w:trPr>
        <w:tc>
          <w:tcPr>
            <w:tcW w:w="1471"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9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2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46" w:hRule="atLeast"/>
          <w:jc w:val="center"/>
        </w:trPr>
        <w:tc>
          <w:tcPr>
            <w:tcW w:w="1471"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hint="eastAsia" w:eastAsia="宋体"/>
                <w:kern w:val="0"/>
                <w:sz w:val="20"/>
              </w:rPr>
              <w:t>合计</w:t>
            </w:r>
          </w:p>
        </w:tc>
        <w:tc>
          <w:tcPr>
            <w:tcW w:w="9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226.32</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221.06</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221.06</w:t>
            </w:r>
          </w:p>
        </w:tc>
        <w:tc>
          <w:tcPr>
            <w:tcW w:w="31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2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5.26</w:t>
            </w:r>
          </w:p>
        </w:tc>
        <w:tc>
          <w:tcPr>
            <w:tcW w:w="6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5.26</w:t>
            </w:r>
          </w:p>
        </w:tc>
        <w:tc>
          <w:tcPr>
            <w:tcW w:w="312"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1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hint="eastAsia" w:eastAsia="方正小标宋简体"/>
                <w:kern w:val="0"/>
                <w:sz w:val="44"/>
                <w:szCs w:val="44"/>
              </w:rPr>
              <w:t>支出预算总表</w:t>
            </w:r>
          </w:p>
          <w:tbl>
            <w:tblPr>
              <w:tblStyle w:val="9"/>
              <w:tblW w:w="9332" w:type="dxa"/>
              <w:tblInd w:w="445" w:type="dxa"/>
              <w:tblLayout w:type="fixed"/>
              <w:tblCellMar>
                <w:top w:w="15" w:type="dxa"/>
                <w:left w:w="15" w:type="dxa"/>
                <w:bottom w:w="15" w:type="dxa"/>
                <w:right w:w="15" w:type="dxa"/>
              </w:tblCellMar>
            </w:tblPr>
            <w:tblGrid>
              <w:gridCol w:w="2117"/>
              <w:gridCol w:w="1249"/>
              <w:gridCol w:w="1287"/>
              <w:gridCol w:w="1076"/>
              <w:gridCol w:w="1107"/>
              <w:gridCol w:w="1092"/>
              <w:gridCol w:w="1404"/>
            </w:tblGrid>
            <w:tr>
              <w:tblPrEx>
                <w:tblCellMar>
                  <w:top w:w="15" w:type="dxa"/>
                  <w:left w:w="15" w:type="dxa"/>
                  <w:bottom w:w="15" w:type="dxa"/>
                  <w:right w:w="15" w:type="dxa"/>
                </w:tblCellMar>
              </w:tblPrEx>
              <w:trPr>
                <w:trHeight w:val="518" w:hRule="atLeast"/>
              </w:trPr>
              <w:tc>
                <w:tcPr>
                  <w:tcW w:w="5729" w:type="dxa"/>
                  <w:gridSpan w:val="4"/>
                  <w:tcBorders>
                    <w:bottom w:val="single" w:color="000000" w:sz="4" w:space="0"/>
                  </w:tcBorders>
                  <w:vAlign w:val="center"/>
                </w:tcPr>
                <w:p>
                  <w:pPr>
                    <w:widowControl/>
                    <w:jc w:val="left"/>
                    <w:rPr>
                      <w:rFonts w:eastAsia="华文细黑"/>
                      <w:color w:val="000000"/>
                      <w:kern w:val="0"/>
                      <w:sz w:val="20"/>
                    </w:rPr>
                  </w:pPr>
                </w:p>
              </w:tc>
              <w:tc>
                <w:tcPr>
                  <w:tcW w:w="1107" w:type="dxa"/>
                  <w:tcBorders>
                    <w:bottom w:val="single" w:color="000000" w:sz="4" w:space="0"/>
                  </w:tcBorders>
                  <w:vAlign w:val="center"/>
                </w:tcPr>
                <w:p>
                  <w:pPr>
                    <w:widowControl/>
                    <w:jc w:val="right"/>
                    <w:rPr>
                      <w:rFonts w:eastAsia="华文细黑"/>
                      <w:color w:val="000000"/>
                      <w:kern w:val="0"/>
                      <w:sz w:val="20"/>
                    </w:rPr>
                  </w:pPr>
                </w:p>
              </w:tc>
              <w:tc>
                <w:tcPr>
                  <w:tcW w:w="1092" w:type="dxa"/>
                  <w:tcBorders>
                    <w:bottom w:val="single" w:color="000000" w:sz="4" w:space="0"/>
                  </w:tcBorders>
                  <w:vAlign w:val="center"/>
                </w:tcPr>
                <w:p>
                  <w:pPr>
                    <w:widowControl/>
                    <w:jc w:val="right"/>
                    <w:rPr>
                      <w:rFonts w:eastAsia="华文细黑"/>
                      <w:color w:val="000000"/>
                      <w:kern w:val="0"/>
                      <w:sz w:val="20"/>
                    </w:rPr>
                  </w:pPr>
                </w:p>
              </w:tc>
              <w:tc>
                <w:tcPr>
                  <w:tcW w:w="1404" w:type="dxa"/>
                  <w:tcBorders>
                    <w:bottom w:val="single" w:color="000000" w:sz="4" w:space="0"/>
                  </w:tcBorders>
                  <w:vAlign w:val="bottom"/>
                </w:tcPr>
                <w:p>
                  <w:pPr>
                    <w:widowControl/>
                    <w:ind w:right="200"/>
                    <w:jc w:val="right"/>
                    <w:rPr>
                      <w:rFonts w:eastAsia="华文细黑"/>
                      <w:color w:val="000000"/>
                      <w:kern w:val="0"/>
                      <w:sz w:val="20"/>
                    </w:rPr>
                  </w:pPr>
                  <w:r>
                    <w:rPr>
                      <w:rFonts w:hint="eastAsia" w:eastAsia="华文细黑"/>
                      <w:color w:val="000000"/>
                      <w:kern w:val="0"/>
                      <w:sz w:val="20"/>
                    </w:rPr>
                    <w:t>单位：万元</w:t>
                  </w:r>
                </w:p>
              </w:tc>
            </w:tr>
            <w:tr>
              <w:tblPrEx>
                <w:tblCellMar>
                  <w:top w:w="15" w:type="dxa"/>
                  <w:left w:w="15" w:type="dxa"/>
                  <w:bottom w:w="15" w:type="dxa"/>
                  <w:right w:w="15" w:type="dxa"/>
                </w:tblCellMar>
              </w:tblPrEx>
              <w:trPr>
                <w:trHeight w:val="1802" w:hRule="atLeast"/>
              </w:trPr>
              <w:tc>
                <w:tcPr>
                  <w:tcW w:w="211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功能分类</w:t>
                  </w:r>
                </w:p>
                <w:p>
                  <w:pPr>
                    <w:widowControl/>
                    <w:jc w:val="center"/>
                    <w:rPr>
                      <w:rFonts w:eastAsia="华文细黑"/>
                      <w:color w:val="000000"/>
                      <w:kern w:val="0"/>
                      <w:sz w:val="20"/>
                    </w:rPr>
                  </w:pPr>
                  <w:r>
                    <w:rPr>
                      <w:rFonts w:hint="eastAsia" w:eastAsia="宋体"/>
                      <w:color w:val="000000"/>
                      <w:sz w:val="20"/>
                    </w:rPr>
                    <w:t>科目名称</w:t>
                  </w:r>
                </w:p>
              </w:tc>
              <w:tc>
                <w:tcPr>
                  <w:tcW w:w="1249"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总计</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hint="eastAsia" w:eastAsia="华文细黑"/>
                      <w:color w:val="000000"/>
                      <w:kern w:val="0"/>
                      <w:sz w:val="20"/>
                    </w:rPr>
                    <w:t>基本</w:t>
                  </w:r>
                </w:p>
                <w:p>
                  <w:pPr>
                    <w:widowControl/>
                    <w:jc w:val="center"/>
                    <w:rPr>
                      <w:rFonts w:eastAsia="华文细黑"/>
                      <w:color w:val="000000"/>
                      <w:kern w:val="0"/>
                      <w:sz w:val="20"/>
                    </w:rPr>
                  </w:pPr>
                  <w:r>
                    <w:rPr>
                      <w:rFonts w:hint="eastAsia" w:eastAsia="华文细黑"/>
                      <w:color w:val="000000"/>
                      <w:kern w:val="0"/>
                      <w:sz w:val="20"/>
                    </w:rPr>
                    <w:t>支出</w:t>
                  </w:r>
                </w:p>
                <w:p>
                  <w:pPr>
                    <w:widowControl/>
                    <w:jc w:val="center"/>
                    <w:rPr>
                      <w:rFonts w:eastAsia="华文细黑"/>
                      <w:color w:val="000000"/>
                      <w:kern w:val="0"/>
                      <w:sz w:val="2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w:t>
                  </w:r>
                  <w:r>
                    <w:rPr>
                      <w:rFonts w:eastAsia="华文细黑"/>
                      <w:color w:val="000000"/>
                      <w:kern w:val="0"/>
                      <w:sz w:val="20"/>
                    </w:rPr>
                    <w:t xml:space="preserve">                                                               </w:t>
                  </w:r>
                  <w:r>
                    <w:rPr>
                      <w:rFonts w:hint="eastAsia" w:eastAsia="华文细黑"/>
                      <w:color w:val="000000"/>
                      <w:kern w:val="0"/>
                      <w:sz w:val="20"/>
                    </w:rPr>
                    <w:t>支出</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上缴</w:t>
                  </w:r>
                  <w:r>
                    <w:rPr>
                      <w:rFonts w:eastAsia="华文细黑"/>
                      <w:color w:val="000000"/>
                      <w:kern w:val="0"/>
                      <w:sz w:val="20"/>
                    </w:rPr>
                    <w:t xml:space="preserve">                                            </w:t>
                  </w:r>
                  <w:r>
                    <w:rPr>
                      <w:rFonts w:hint="eastAsia" w:eastAsia="华文细黑"/>
                      <w:color w:val="000000"/>
                      <w:kern w:val="0"/>
                      <w:sz w:val="20"/>
                    </w:rPr>
                    <w:t>上级</w:t>
                  </w:r>
                  <w:r>
                    <w:rPr>
                      <w:rFonts w:eastAsia="华文细黑"/>
                      <w:color w:val="000000"/>
                      <w:kern w:val="0"/>
                      <w:sz w:val="20"/>
                    </w:rPr>
                    <w:t xml:space="preserve">                                                         </w:t>
                  </w:r>
                  <w:r>
                    <w:rPr>
                      <w:rFonts w:hint="eastAsia" w:eastAsia="华文细黑"/>
                      <w:color w:val="000000"/>
                      <w:kern w:val="0"/>
                      <w:sz w:val="20"/>
                    </w:rPr>
                    <w:t>支出</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对附属</w:t>
                  </w:r>
                  <w:r>
                    <w:rPr>
                      <w:rFonts w:eastAsia="华文细黑"/>
                      <w:color w:val="000000"/>
                      <w:kern w:val="0"/>
                      <w:sz w:val="20"/>
                    </w:rPr>
                    <w:t xml:space="preserve">                                           </w:t>
                  </w:r>
                  <w:r>
                    <w:rPr>
                      <w:rFonts w:hint="eastAsia" w:eastAsia="华文细黑"/>
                      <w:color w:val="000000"/>
                      <w:kern w:val="0"/>
                      <w:sz w:val="20"/>
                    </w:rPr>
                    <w:t>单位补</w:t>
                  </w:r>
                  <w:r>
                    <w:rPr>
                      <w:rFonts w:eastAsia="华文细黑"/>
                      <w:color w:val="000000"/>
                      <w:kern w:val="0"/>
                      <w:sz w:val="20"/>
                    </w:rPr>
                    <w:t xml:space="preserve">                                      </w:t>
                  </w:r>
                  <w:r>
                    <w:rPr>
                      <w:rFonts w:hint="eastAsia" w:eastAsia="华文细黑"/>
                      <w:color w:val="000000"/>
                      <w:kern w:val="0"/>
                      <w:sz w:val="20"/>
                    </w:rPr>
                    <w:t>助支出</w:t>
                  </w:r>
                </w:p>
              </w:tc>
            </w:tr>
            <w:tr>
              <w:tblPrEx>
                <w:tblCellMar>
                  <w:top w:w="15" w:type="dxa"/>
                  <w:left w:w="15" w:type="dxa"/>
                  <w:bottom w:w="15" w:type="dxa"/>
                  <w:right w:w="15" w:type="dxa"/>
                </w:tblCellMar>
              </w:tblPrEx>
              <w:trPr>
                <w:trHeight w:val="572" w:hRule="atLeast"/>
              </w:trPr>
              <w:tc>
                <w:tcPr>
                  <w:tcW w:w="2117"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一般公共服务支出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174.29</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统计信息事务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174.29</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行政运行</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sz w:val="16"/>
                      <w:szCs w:val="16"/>
                    </w:rPr>
                  </w:pPr>
                  <w:r>
                    <w:rPr>
                      <w:rFonts w:hint="eastAsia" w:ascii="华文细黑" w:eastAsia="华文细黑"/>
                      <w:sz w:val="16"/>
                      <w:szCs w:val="16"/>
                    </w:rPr>
                    <w:t>一般行政管理事务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31.27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31.27</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专项普查活动</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46.57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46.57</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社会保障和就业支出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行政事业单位养老支出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行政单位离退休</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20.71</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20.71</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jc w:val="center"/>
                    <w:rPr>
                      <w:rFonts w:ascii="华文细黑" w:eastAsia="华文细黑" w:cs="宋体"/>
                      <w:sz w:val="16"/>
                      <w:szCs w:val="16"/>
                    </w:rPr>
                  </w:pPr>
                  <w:r>
                    <w:rPr>
                      <w:rFonts w:ascii="华文细黑" w:eastAsia="华文细黑"/>
                      <w:sz w:val="16"/>
                      <w:szCs w:val="16"/>
                    </w:rPr>
                    <w:t xml:space="preserve">    </w:t>
                  </w:r>
                  <w:r>
                    <w:rPr>
                      <w:rFonts w:hint="eastAsia" w:ascii="华文细黑" w:eastAsia="华文细黑"/>
                      <w:sz w:val="16"/>
                      <w:szCs w:val="16"/>
                    </w:rPr>
                    <w:t>机关事业单位基本养老保险缴费支出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10.86</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10.86</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卫生健康支出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行政事业单位医疗</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行政单位医疗</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住房保障支出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住房改革支出</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6" w:hRule="atLeast"/>
              </w:trPr>
              <w:tc>
                <w:tcPr>
                  <w:tcW w:w="2117"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住房公积金</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1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华文细黑"/>
                      <w:color w:val="000000"/>
                      <w:kern w:val="0"/>
                      <w:sz w:val="20"/>
                    </w:rPr>
                    <w:t>合计</w:t>
                  </w:r>
                </w:p>
              </w:tc>
              <w:tc>
                <w:tcPr>
                  <w:tcW w:w="124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226.32</w:t>
                  </w:r>
                </w:p>
              </w:tc>
              <w:tc>
                <w:tcPr>
                  <w:tcW w:w="128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148.48</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10265" w:type="dxa"/>
        <w:jc w:val="center"/>
        <w:tblLayout w:type="fixed"/>
        <w:tblCellMar>
          <w:top w:w="0" w:type="dxa"/>
          <w:left w:w="108" w:type="dxa"/>
          <w:bottom w:w="0" w:type="dxa"/>
          <w:right w:w="108" w:type="dxa"/>
        </w:tblCellMar>
      </w:tblPr>
      <w:tblGrid>
        <w:gridCol w:w="9826"/>
        <w:gridCol w:w="439"/>
      </w:tblGrid>
      <w:tr>
        <w:trPr>
          <w:gridAfter w:val="1"/>
          <w:wAfter w:w="439" w:type="dxa"/>
          <w:trHeight w:val="12749" w:hRule="atLeast"/>
          <w:jc w:val="center"/>
        </w:trPr>
        <w:tc>
          <w:tcPr>
            <w:tcW w:w="9826"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23"/>
              <w:gridCol w:w="1111"/>
              <w:gridCol w:w="1111"/>
              <w:gridCol w:w="1111"/>
              <w:gridCol w:w="1355"/>
              <w:gridCol w:w="1133"/>
              <w:gridCol w:w="1133"/>
              <w:gridCol w:w="1134"/>
            </w:tblGrid>
            <w:tr>
              <w:tblPrEx>
                <w:tblCellMar>
                  <w:top w:w="0" w:type="dxa"/>
                  <w:left w:w="108" w:type="dxa"/>
                  <w:bottom w:w="0" w:type="dxa"/>
                  <w:right w:w="108" w:type="dxa"/>
                </w:tblCellMar>
              </w:tblPrEx>
              <w:trPr>
                <w:trHeight w:val="729" w:hRule="atLeast"/>
              </w:trPr>
              <w:tc>
                <w:tcPr>
                  <w:tcW w:w="951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hint="eastAsia" w:eastAsia="方正小标宋简体"/>
                      <w:kern w:val="0"/>
                      <w:sz w:val="44"/>
                      <w:szCs w:val="44"/>
                    </w:rPr>
                    <w:t>财政拨款收支预算总表</w:t>
                  </w:r>
                </w:p>
              </w:tc>
            </w:tr>
            <w:tr>
              <w:tblPrEx>
                <w:tblCellMar>
                  <w:top w:w="0" w:type="dxa"/>
                  <w:left w:w="108" w:type="dxa"/>
                  <w:bottom w:w="0" w:type="dxa"/>
                  <w:right w:w="108" w:type="dxa"/>
                </w:tblCellMar>
              </w:tblPrEx>
              <w:trPr>
                <w:trHeight w:val="577" w:hRule="atLeast"/>
              </w:trPr>
              <w:tc>
                <w:tcPr>
                  <w:tcW w:w="9510" w:type="dxa"/>
                  <w:gridSpan w:val="8"/>
                  <w:tcBorders>
                    <w:top w:val="nil"/>
                    <w:left w:val="nil"/>
                    <w:bottom w:val="nil"/>
                    <w:right w:val="nil"/>
                  </w:tcBorders>
                  <w:vAlign w:val="bottom"/>
                </w:tcPr>
                <w:p>
                  <w:pPr>
                    <w:widowControl/>
                    <w:jc w:val="right"/>
                    <w:rPr>
                      <w:rFonts w:eastAsia="华文细黑"/>
                      <w:color w:val="000000"/>
                      <w:kern w:val="0"/>
                      <w:sz w:val="20"/>
                    </w:rPr>
                  </w:pPr>
                  <w:r>
                    <w:rPr>
                      <w:rFonts w:eastAsia="华文细黑"/>
                      <w:color w:val="000000"/>
                      <w:kern w:val="0"/>
                      <w:sz w:val="20"/>
                    </w:rPr>
                    <w:t xml:space="preserve"> </w:t>
                  </w:r>
                  <w:r>
                    <w:rPr>
                      <w:rFonts w:hint="eastAsia" w:eastAsia="华文细黑"/>
                      <w:color w:val="000000"/>
                      <w:kern w:val="0"/>
                      <w:sz w:val="20"/>
                    </w:rPr>
                    <w:t>单位：万元</w:t>
                  </w:r>
                </w:p>
              </w:tc>
            </w:tr>
            <w:tr>
              <w:tblPrEx>
                <w:tblCellMar>
                  <w:top w:w="0" w:type="dxa"/>
                  <w:left w:w="108" w:type="dxa"/>
                  <w:bottom w:w="0" w:type="dxa"/>
                  <w:right w:w="108" w:type="dxa"/>
                </w:tblCellMar>
              </w:tblPrEx>
              <w:trPr>
                <w:trHeight w:val="567" w:hRule="atLeast"/>
              </w:trPr>
              <w:tc>
                <w:tcPr>
                  <w:tcW w:w="475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收</w:t>
                  </w:r>
                  <w:r>
                    <w:rPr>
                      <w:rFonts w:eastAsia="宋体"/>
                      <w:kern w:val="0"/>
                      <w:sz w:val="20"/>
                    </w:rPr>
                    <w:t xml:space="preserve">      </w:t>
                  </w:r>
                  <w:r>
                    <w:rPr>
                      <w:rFonts w:hint="eastAsia" w:eastAsia="宋体"/>
                      <w:kern w:val="0"/>
                      <w:sz w:val="20"/>
                    </w:rPr>
                    <w:t>入</w:t>
                  </w:r>
                </w:p>
              </w:tc>
              <w:tc>
                <w:tcPr>
                  <w:tcW w:w="475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支</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1568" w:hRule="atLeast"/>
              </w:trPr>
              <w:tc>
                <w:tcPr>
                  <w:tcW w:w="1423"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11"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2024</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11"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11"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55"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33"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2024</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33"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98"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一、一般公共服务支出</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174.29</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170.06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4.23</w:t>
                  </w: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二、社会保障和就业支出　</w:t>
                  </w:r>
                </w:p>
              </w:tc>
              <w:tc>
                <w:tcPr>
                  <w:tcW w:w="113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31.57</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r>
                    <w:rPr>
                      <w:rFonts w:eastAsia="宋体"/>
                      <w:kern w:val="0"/>
                      <w:sz w:val="20"/>
                    </w:rPr>
                    <w:t>31.57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三、卫生健康支出</w:t>
                  </w:r>
                </w:p>
              </w:tc>
              <w:tc>
                <w:tcPr>
                  <w:tcW w:w="113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10.49</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r>
                    <w:rPr>
                      <w:rFonts w:eastAsia="宋体"/>
                      <w:kern w:val="0"/>
                      <w:sz w:val="20"/>
                    </w:rPr>
                    <w:t>9.46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r>
                    <w:rPr>
                      <w:rFonts w:eastAsia="宋体"/>
                      <w:kern w:val="0"/>
                      <w:sz w:val="20"/>
                    </w:rPr>
                    <w:t>1.03</w:t>
                  </w: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 w:val="20"/>
                    </w:rPr>
                  </w:pPr>
                  <w:r>
                    <w:rPr>
                      <w:rFonts w:hint="eastAsia" w:ascii="宋体" w:eastAsia="宋体"/>
                      <w:sz w:val="20"/>
                    </w:rPr>
                    <w:t>四、住房保障支出</w:t>
                  </w:r>
                </w:p>
              </w:tc>
              <w:tc>
                <w:tcPr>
                  <w:tcW w:w="113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kern w:val="0"/>
                      <w:sz w:val="20"/>
                    </w:rPr>
                    <w:t>9.97</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r>
                    <w:rPr>
                      <w:rFonts w:eastAsia="宋体"/>
                      <w:kern w:val="0"/>
                      <w:sz w:val="20"/>
                    </w:rPr>
                    <w:t>9.97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9" w:hRule="atLeast"/>
              </w:trPr>
              <w:tc>
                <w:tcPr>
                  <w:tcW w:w="1423"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11"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　</w:t>
                  </w:r>
                </w:p>
              </w:tc>
              <w:tc>
                <w:tcPr>
                  <w:tcW w:w="1133"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65" w:hRule="atLeast"/>
              </w:trPr>
              <w:tc>
                <w:tcPr>
                  <w:tcW w:w="1423"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11"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355"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rPr>
                    <w:t>二、结转下年</w:t>
                  </w:r>
                </w:p>
              </w:tc>
              <w:tc>
                <w:tcPr>
                  <w:tcW w:w="1133"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33"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c>
                <w:tcPr>
                  <w:tcW w:w="1134"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r>
            <w:tr>
              <w:tblPrEx>
                <w:tblCellMar>
                  <w:top w:w="0" w:type="dxa"/>
                  <w:left w:w="108" w:type="dxa"/>
                  <w:bottom w:w="0" w:type="dxa"/>
                  <w:right w:w="108" w:type="dxa"/>
                </w:tblCellMar>
              </w:tblPrEx>
              <w:trPr>
                <w:trHeight w:val="5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hint="eastAsia" w:eastAsia="黑体"/>
                      <w:b/>
                      <w:bCs/>
                      <w:kern w:val="0"/>
                      <w:sz w:val="20"/>
                    </w:rPr>
                    <w:t>收入总计</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hint="eastAsia" w:eastAsia="黑体"/>
                      <w:b/>
                      <w:bCs/>
                      <w:kern w:val="0"/>
                      <w:sz w:val="20"/>
                    </w:rPr>
                    <w:t>支出总计</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226.32</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221.06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5.26</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995" w:hRule="atLeast"/>
          <w:jc w:val="center"/>
        </w:trPr>
        <w:tc>
          <w:tcPr>
            <w:tcW w:w="10265" w:type="dxa"/>
            <w:gridSpan w:val="2"/>
            <w:tcBorders>
              <w:top w:val="nil"/>
              <w:left w:val="nil"/>
              <w:bottom w:val="nil"/>
              <w:right w:val="nil"/>
            </w:tcBorders>
            <w:vAlign w:val="bottom"/>
          </w:tcPr>
          <w:p>
            <w:pPr>
              <w:widowControl/>
              <w:rPr>
                <w:rFonts w:eastAsia="方正小标宋简体"/>
                <w:kern w:val="0"/>
                <w:sz w:val="44"/>
                <w:szCs w:val="44"/>
              </w:rPr>
            </w:pPr>
          </w:p>
          <w:tbl>
            <w:tblPr>
              <w:tblStyle w:val="9"/>
              <w:tblW w:w="0" w:type="auto"/>
              <w:tblInd w:w="859" w:type="dxa"/>
              <w:tblLayout w:type="fixed"/>
              <w:tblCellMar>
                <w:top w:w="15" w:type="dxa"/>
                <w:left w:w="15" w:type="dxa"/>
                <w:bottom w:w="15" w:type="dxa"/>
                <w:right w:w="15" w:type="dxa"/>
              </w:tblCellMar>
            </w:tblPr>
            <w:tblGrid>
              <w:gridCol w:w="2569"/>
              <w:gridCol w:w="1141"/>
              <w:gridCol w:w="1141"/>
              <w:gridCol w:w="1141"/>
              <w:gridCol w:w="1142"/>
              <w:gridCol w:w="1246"/>
            </w:tblGrid>
            <w:tr>
              <w:tblPrEx>
                <w:tblCellMar>
                  <w:top w:w="15" w:type="dxa"/>
                  <w:left w:w="15" w:type="dxa"/>
                  <w:bottom w:w="15" w:type="dxa"/>
                  <w:right w:w="15" w:type="dxa"/>
                </w:tblCellMar>
              </w:tblPrEx>
              <w:trPr>
                <w:trHeight w:val="518" w:hRule="atLeast"/>
              </w:trPr>
              <w:tc>
                <w:tcPr>
                  <w:tcW w:w="8380" w:type="dxa"/>
                  <w:gridSpan w:val="6"/>
                  <w:tcBorders>
                    <w:bottom w:val="single" w:color="000000" w:sz="4" w:space="0"/>
                  </w:tcBorders>
                  <w:vAlign w:val="center"/>
                </w:tcPr>
                <w:p>
                  <w:pPr>
                    <w:widowControl/>
                    <w:jc w:val="center"/>
                    <w:rPr>
                      <w:rFonts w:eastAsia="华文细黑"/>
                      <w:color w:val="000000"/>
                      <w:kern w:val="0"/>
                      <w:sz w:val="20"/>
                    </w:rPr>
                  </w:pPr>
                  <w:r>
                    <w:rPr>
                      <w:rFonts w:hint="eastAsia" w:eastAsia="方正小标宋简体"/>
                      <w:kern w:val="0"/>
                      <w:sz w:val="44"/>
                      <w:szCs w:val="44"/>
                    </w:rPr>
                    <w:t>一般公共预算支出预算表</w:t>
                  </w:r>
                </w:p>
                <w:p>
                  <w:pPr>
                    <w:widowControl/>
                    <w:ind w:right="200"/>
                    <w:jc w:val="right"/>
                    <w:rPr>
                      <w:rFonts w:eastAsia="华文细黑"/>
                      <w:color w:val="000000"/>
                      <w:kern w:val="0"/>
                      <w:sz w:val="20"/>
                    </w:rPr>
                  </w:pPr>
                  <w:r>
                    <w:rPr>
                      <w:rFonts w:hint="eastAsia" w:eastAsia="华文细黑"/>
                      <w:color w:val="000000"/>
                      <w:kern w:val="0"/>
                      <w:sz w:val="20"/>
                    </w:rPr>
                    <w:t>单位：万元</w:t>
                  </w:r>
                </w:p>
              </w:tc>
            </w:tr>
            <w:tr>
              <w:tblPrEx>
                <w:tblCellMar>
                  <w:top w:w="15" w:type="dxa"/>
                  <w:left w:w="15" w:type="dxa"/>
                  <w:bottom w:w="15" w:type="dxa"/>
                  <w:right w:w="15" w:type="dxa"/>
                </w:tblCellMar>
              </w:tblPrEx>
              <w:trPr>
                <w:trHeight w:val="518" w:hRule="atLeast"/>
              </w:trPr>
              <w:tc>
                <w:tcPr>
                  <w:tcW w:w="2569"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功能分类</w:t>
                  </w:r>
                </w:p>
                <w:p>
                  <w:pPr>
                    <w:widowControl/>
                    <w:jc w:val="center"/>
                    <w:rPr>
                      <w:rFonts w:eastAsia="华文细黑"/>
                      <w:color w:val="000000"/>
                      <w:kern w:val="0"/>
                      <w:sz w:val="20"/>
                    </w:rPr>
                  </w:pPr>
                  <w:r>
                    <w:rPr>
                      <w:rFonts w:hint="eastAsia" w:eastAsia="宋体"/>
                      <w:color w:val="000000"/>
                      <w:sz w:val="20"/>
                    </w:rPr>
                    <w:t>科目名称</w:t>
                  </w:r>
                </w:p>
              </w:tc>
              <w:tc>
                <w:tcPr>
                  <w:tcW w:w="1141"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总计</w:t>
                  </w:r>
                </w:p>
              </w:tc>
              <w:tc>
                <w:tcPr>
                  <w:tcW w:w="342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基本支出</w:t>
                  </w:r>
                </w:p>
              </w:tc>
              <w:tc>
                <w:tcPr>
                  <w:tcW w:w="12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w:t>
                  </w:r>
                  <w:r>
                    <w:rPr>
                      <w:rFonts w:eastAsia="华文细黑"/>
                      <w:color w:val="000000"/>
                      <w:kern w:val="0"/>
                      <w:sz w:val="20"/>
                    </w:rPr>
                    <w:t xml:space="preserve">                                                               </w:t>
                  </w:r>
                  <w:r>
                    <w:rPr>
                      <w:rFonts w:hint="eastAsia" w:eastAsia="华文细黑"/>
                      <w:color w:val="000000"/>
                      <w:kern w:val="0"/>
                      <w:sz w:val="20"/>
                    </w:rPr>
                    <w:t>支出</w:t>
                  </w:r>
                </w:p>
              </w:tc>
            </w:tr>
            <w:tr>
              <w:tblPrEx>
                <w:tblCellMar>
                  <w:top w:w="15" w:type="dxa"/>
                  <w:left w:w="15" w:type="dxa"/>
                  <w:bottom w:w="15" w:type="dxa"/>
                  <w:right w:w="15" w:type="dxa"/>
                </w:tblCellMar>
              </w:tblPrEx>
              <w:trPr>
                <w:trHeight w:val="373" w:hRule="atLeast"/>
              </w:trPr>
              <w:tc>
                <w:tcPr>
                  <w:tcW w:w="2569"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41"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836" w:hRule="atLeast"/>
              </w:trPr>
              <w:tc>
                <w:tcPr>
                  <w:tcW w:w="2569"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41"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人员经费</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公用经费</w:t>
                  </w: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518" w:hRule="atLeast"/>
              </w:trPr>
              <w:tc>
                <w:tcPr>
                  <w:tcW w:w="2569"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一般公共服务支出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174.29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77.39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19.06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统计信息事务</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174.29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77.39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19.06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行政运行</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96.45</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77.39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19.06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sz w:val="16"/>
                      <w:szCs w:val="16"/>
                    </w:rPr>
                  </w:pPr>
                  <w:r>
                    <w:rPr>
                      <w:rFonts w:hint="eastAsia" w:ascii="华文细黑" w:eastAsia="华文细黑"/>
                      <w:sz w:val="16"/>
                      <w:szCs w:val="16"/>
                    </w:rPr>
                    <w:t>一般行政管理事务</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31.27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31.27</w:t>
                  </w: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专项普查活动</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46.57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46.57</w:t>
                  </w: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社会保障和就业支出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行政事业单位养老支出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31.57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行政单位离退休</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20.71</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20.71</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20.71</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jc w:val="center"/>
                    <w:rPr>
                      <w:rFonts w:ascii="华文细黑" w:eastAsia="华文细黑" w:cs="宋体"/>
                      <w:sz w:val="16"/>
                      <w:szCs w:val="16"/>
                    </w:rPr>
                  </w:pPr>
                  <w:r>
                    <w:rPr>
                      <w:rFonts w:ascii="华文细黑" w:eastAsia="华文细黑"/>
                      <w:sz w:val="16"/>
                      <w:szCs w:val="16"/>
                    </w:rPr>
                    <w:t xml:space="preserve">    </w:t>
                  </w:r>
                  <w:r>
                    <w:rPr>
                      <w:rFonts w:hint="eastAsia" w:ascii="华文细黑" w:eastAsia="华文细黑"/>
                      <w:sz w:val="16"/>
                      <w:szCs w:val="16"/>
                    </w:rPr>
                    <w:t>机关事业单位基本养老保险缴费支出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10.86</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10.86</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10.86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卫生健康支出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行政事业单位医疗</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行政单位医疗</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10.49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rPr>
                      <w:rFonts w:ascii="华文细黑" w:eastAsia="华文细黑" w:cs="宋体"/>
                      <w:sz w:val="16"/>
                      <w:szCs w:val="16"/>
                    </w:rPr>
                  </w:pPr>
                  <w:r>
                    <w:rPr>
                      <w:rFonts w:hint="eastAsia" w:ascii="华文细黑" w:eastAsia="华文细黑"/>
                      <w:sz w:val="16"/>
                      <w:szCs w:val="16"/>
                    </w:rPr>
                    <w:t>住房保障支出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160" w:firstLineChars="100"/>
                    <w:rPr>
                      <w:rFonts w:ascii="华文细黑" w:eastAsia="华文细黑" w:cs="宋体"/>
                      <w:sz w:val="16"/>
                      <w:szCs w:val="16"/>
                    </w:rPr>
                  </w:pPr>
                  <w:r>
                    <w:rPr>
                      <w:rFonts w:hint="eastAsia" w:ascii="华文细黑" w:eastAsia="华文细黑"/>
                      <w:sz w:val="16"/>
                      <w:szCs w:val="16"/>
                    </w:rPr>
                    <w:t>住房改革支出</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ind w:firstLine="320" w:firstLineChars="200"/>
                    <w:rPr>
                      <w:rFonts w:ascii="华文细黑" w:eastAsia="华文细黑" w:cs="宋体"/>
                      <w:sz w:val="16"/>
                      <w:szCs w:val="16"/>
                    </w:rPr>
                  </w:pPr>
                  <w:r>
                    <w:rPr>
                      <w:rFonts w:hint="eastAsia" w:ascii="华文细黑" w:eastAsia="华文细黑"/>
                      <w:sz w:val="16"/>
                      <w:szCs w:val="16"/>
                    </w:rPr>
                    <w:t>住房公积金</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9.97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8" w:hRule="atLeast"/>
              </w:trPr>
              <w:tc>
                <w:tcPr>
                  <w:tcW w:w="2569"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华文细黑"/>
                      <w:color w:val="000000"/>
                      <w:kern w:val="0"/>
                      <w:sz w:val="20"/>
                    </w:rPr>
                    <w:t>合计</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226.32</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148.48</w:t>
                  </w:r>
                </w:p>
              </w:tc>
              <w:tc>
                <w:tcPr>
                  <w:tcW w:w="11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129.42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19.06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77.84</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95"/>
        <w:gridCol w:w="2233"/>
        <w:gridCol w:w="1714"/>
        <w:gridCol w:w="1843"/>
      </w:tblGrid>
      <w:tr>
        <w:tblPrEx>
          <w:tblCellMar>
            <w:top w:w="0" w:type="dxa"/>
            <w:left w:w="108" w:type="dxa"/>
            <w:bottom w:w="0" w:type="dxa"/>
            <w:right w:w="108" w:type="dxa"/>
          </w:tblCellMar>
        </w:tblPrEx>
        <w:trPr>
          <w:trHeight w:val="372" w:hRule="atLeast"/>
          <w:jc w:val="center"/>
        </w:trPr>
        <w:tc>
          <w:tcPr>
            <w:tcW w:w="8985"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一般公共预算基本支出预算表</w:t>
            </w:r>
          </w:p>
        </w:tc>
      </w:tr>
      <w:tr>
        <w:tblPrEx>
          <w:tblCellMar>
            <w:top w:w="0" w:type="dxa"/>
            <w:left w:w="108" w:type="dxa"/>
            <w:bottom w:w="0" w:type="dxa"/>
            <w:right w:w="108" w:type="dxa"/>
          </w:tblCellMar>
        </w:tblPrEx>
        <w:trPr>
          <w:trHeight w:val="236" w:hRule="atLeast"/>
          <w:jc w:val="center"/>
        </w:trPr>
        <w:tc>
          <w:tcPr>
            <w:tcW w:w="3195" w:type="dxa"/>
            <w:tcBorders>
              <w:top w:val="nil"/>
              <w:left w:val="nil"/>
              <w:bottom w:val="single" w:color="auto" w:sz="4" w:space="0"/>
              <w:right w:val="nil"/>
            </w:tcBorders>
            <w:vAlign w:val="center"/>
          </w:tcPr>
          <w:p>
            <w:pPr>
              <w:widowControl/>
              <w:jc w:val="left"/>
              <w:rPr>
                <w:rFonts w:eastAsia="宋体"/>
                <w:kern w:val="0"/>
                <w:sz w:val="20"/>
              </w:rPr>
            </w:pPr>
            <w:r>
              <w:rPr>
                <w:rFonts w:hint="eastAsia" w:eastAsia="宋体"/>
                <w:kern w:val="0"/>
                <w:sz w:val="20"/>
              </w:rPr>
              <w:t>　</w:t>
            </w:r>
          </w:p>
        </w:tc>
        <w:tc>
          <w:tcPr>
            <w:tcW w:w="2233" w:type="dxa"/>
            <w:tcBorders>
              <w:top w:val="nil"/>
              <w:left w:val="nil"/>
              <w:bottom w:val="single" w:color="auto" w:sz="4" w:space="0"/>
              <w:right w:val="nil"/>
            </w:tcBorders>
            <w:vAlign w:val="center"/>
          </w:tcPr>
          <w:p>
            <w:pPr>
              <w:widowControl/>
              <w:jc w:val="right"/>
              <w:rPr>
                <w:rFonts w:eastAsia="宋体"/>
                <w:kern w:val="0"/>
                <w:sz w:val="20"/>
              </w:rPr>
            </w:pPr>
            <w:r>
              <w:rPr>
                <w:rFonts w:hint="eastAsia" w:eastAsia="宋体"/>
                <w:kern w:val="0"/>
                <w:sz w:val="20"/>
              </w:rPr>
              <w:t>　</w:t>
            </w:r>
          </w:p>
        </w:tc>
        <w:tc>
          <w:tcPr>
            <w:tcW w:w="3557"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int="eastAsia" w:hAnsi="华文细黑" w:eastAsia="华文细黑"/>
                <w:kern w:val="0"/>
                <w:sz w:val="20"/>
              </w:rPr>
              <w:t>　单位：万元</w:t>
            </w:r>
          </w:p>
        </w:tc>
      </w:tr>
      <w:tr>
        <w:tblPrEx>
          <w:tblCellMar>
            <w:top w:w="0" w:type="dxa"/>
            <w:left w:w="108" w:type="dxa"/>
            <w:bottom w:w="0" w:type="dxa"/>
            <w:right w:w="108" w:type="dxa"/>
          </w:tblCellMar>
        </w:tblPrEx>
        <w:trPr>
          <w:trHeight w:val="491" w:hRule="atLeast"/>
          <w:jc w:val="center"/>
        </w:trPr>
        <w:tc>
          <w:tcPr>
            <w:tcW w:w="3195"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rPr>
              <w:t>部门预算支出经济分类科目</w:t>
            </w:r>
          </w:p>
        </w:tc>
        <w:tc>
          <w:tcPr>
            <w:tcW w:w="2233"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hint="eastAsia" w:eastAsia="华文细黑"/>
                <w:color w:val="000000"/>
                <w:kern w:val="0"/>
                <w:sz w:val="20"/>
              </w:rPr>
              <w:t>合计</w:t>
            </w:r>
          </w:p>
        </w:tc>
        <w:tc>
          <w:tcPr>
            <w:tcW w:w="1714" w:type="dxa"/>
            <w:tcBorders>
              <w:top w:val="single" w:color="auto" w:sz="4" w:space="0"/>
              <w:left w:val="single" w:color="auto" w:sz="4" w:space="0"/>
              <w:right w:val="single" w:color="auto" w:sz="4" w:space="0"/>
            </w:tcBorders>
            <w:vAlign w:val="center"/>
          </w:tcPr>
          <w:p>
            <w:pPr>
              <w:widowControl/>
              <w:jc w:val="center"/>
            </w:pPr>
            <w:r>
              <w:rPr>
                <w:rFonts w:hint="eastAsia" w:eastAsia="华文细黑"/>
                <w:color w:val="000000"/>
                <w:kern w:val="0"/>
                <w:sz w:val="20"/>
              </w:rPr>
              <w:t>人员经费</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eastAsia="华文细黑"/>
                <w:color w:val="000000"/>
                <w:kern w:val="0"/>
                <w:sz w:val="20"/>
              </w:rPr>
              <w:t>公用经费</w:t>
            </w:r>
          </w:p>
        </w:tc>
      </w:tr>
      <w:tr>
        <w:tblPrEx>
          <w:tblCellMar>
            <w:top w:w="0" w:type="dxa"/>
            <w:left w:w="108" w:type="dxa"/>
            <w:bottom w:w="0" w:type="dxa"/>
            <w:right w:w="108" w:type="dxa"/>
          </w:tblCellMar>
        </w:tblPrEx>
        <w:trPr>
          <w:trHeight w:val="371"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工资福利支出</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108.44</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108.44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基本工资</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34.12</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34.12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津贴补贴</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18.63</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18.63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奖金</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20.89</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20.89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机关事业单位基本养老保险缴费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10.86</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10.86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职工基本医疗保险缴费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3.83</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3.83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公务员医疗补助缴费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6.56</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6.56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其他社会保障缴费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0.93</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0.93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住房公积金</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9.97</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9.97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医疗费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1.50</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1.50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其他工资福利支出</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1.15</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1.15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19.06</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19.06</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办公费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2.07</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2.07</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印刷费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0.76</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0.76</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邮电费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0.46</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0.46</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差旅费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2.42</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2.42</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会议费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1.17</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1.17</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培训费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0.52</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0.52</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工会经费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1.03</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1.03</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福利费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4.10</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4.10</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其他交通费用</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5.63</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5.63</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其他商品和服务支出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0.90</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0.90</w:t>
            </w: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对个人和家庭的补助</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20.98</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20.98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退休费</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20.71</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20.71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rPr>
                <w:rFonts w:ascii="华文细黑" w:eastAsia="华文细黑" w:cs="宋体"/>
                <w:sz w:val="16"/>
                <w:szCs w:val="16"/>
              </w:rPr>
            </w:pPr>
            <w:r>
              <w:rPr>
                <w:rFonts w:hint="eastAsia" w:ascii="华文细黑" w:eastAsia="华文细黑"/>
                <w:sz w:val="16"/>
                <w:szCs w:val="16"/>
              </w:rPr>
              <w:t>　其他对个人和家庭的补助</w:t>
            </w:r>
          </w:p>
        </w:tc>
        <w:tc>
          <w:tcPr>
            <w:tcW w:w="22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0.27</w:t>
            </w:r>
          </w:p>
        </w:tc>
        <w:tc>
          <w:tcPr>
            <w:tcW w:w="1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eastAsia="宋体"/>
                <w:kern w:val="0"/>
                <w:sz w:val="20"/>
              </w:rPr>
              <w:t>0.27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363"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jc w:val="center"/>
              <w:rPr>
                <w:rFonts w:ascii="华文细黑" w:eastAsia="华文细黑" w:cs="宋体"/>
                <w:sz w:val="16"/>
                <w:szCs w:val="16"/>
              </w:rPr>
            </w:pPr>
            <w:r>
              <w:rPr>
                <w:rFonts w:hint="eastAsia" w:ascii="华文细黑" w:eastAsia="华文细黑"/>
                <w:sz w:val="16"/>
                <w:szCs w:val="16"/>
              </w:rPr>
              <w:t>合计</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148.48</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sz w:val="20"/>
              </w:rPr>
              <w:t>129.42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sz w:val="20"/>
              </w:rPr>
              <w:t>19.06</w:t>
            </w: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hint="eastAsia" w:eastAsia="方正小标宋简体"/>
                <w:color w:val="000000"/>
                <w:kern w:val="0"/>
                <w:sz w:val="44"/>
                <w:szCs w:val="44"/>
              </w:rPr>
              <w:t>一般公共预算</w:t>
            </w:r>
            <w:r>
              <w:rPr>
                <w:rFonts w:eastAsia="方正小标宋简体"/>
                <w:color w:val="000000"/>
                <w:kern w:val="0"/>
                <w:sz w:val="44"/>
                <w:szCs w:val="44"/>
              </w:rPr>
              <w:t>“</w:t>
            </w:r>
            <w:r>
              <w:rPr>
                <w:rFonts w:hint="eastAsia" w:eastAsia="方正小标宋简体"/>
                <w:color w:val="000000"/>
                <w:kern w:val="0"/>
                <w:sz w:val="44"/>
                <w:szCs w:val="44"/>
              </w:rPr>
              <w:t>三公</w:t>
            </w:r>
            <w:r>
              <w:rPr>
                <w:rFonts w:eastAsia="方正小标宋简体"/>
                <w:color w:val="000000"/>
                <w:kern w:val="0"/>
                <w:sz w:val="44"/>
                <w:szCs w:val="44"/>
              </w:rPr>
              <w:t>”</w:t>
            </w:r>
            <w:r>
              <w:rPr>
                <w:rFonts w:hint="eastAsia" w:eastAsia="方正小标宋简体"/>
                <w:color w:val="000000"/>
                <w:kern w:val="0"/>
                <w:sz w:val="44"/>
                <w:szCs w:val="44"/>
              </w:rPr>
              <w:t>经费支出预算表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ind w:right="200"/>
              <w:jc w:val="right"/>
              <w:rPr>
                <w:rFonts w:eastAsia="华文细黑"/>
                <w:color w:val="000000"/>
                <w:kern w:val="0"/>
                <w:sz w:val="20"/>
              </w:rPr>
            </w:pPr>
            <w:r>
              <w:rPr>
                <w:rFonts w:hint="eastAsia"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int="eastAsia" w:hAnsi="华文细黑" w:eastAsia="华文细黑"/>
                <w:color w:val="000000"/>
                <w:kern w:val="0"/>
                <w:sz w:val="20"/>
              </w:rPr>
              <w:t>项</w:t>
            </w:r>
            <w:r>
              <w:rPr>
                <w:rFonts w:eastAsia="华文细黑"/>
                <w:color w:val="000000"/>
                <w:kern w:val="0"/>
                <w:sz w:val="20"/>
              </w:rPr>
              <w:t xml:space="preserve">    </w:t>
            </w:r>
            <w:r>
              <w:rPr>
                <w:rFonts w:hint="eastAsia"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2024</w:t>
            </w:r>
            <w:r>
              <w:rPr>
                <w:rFonts w:hint="eastAsia"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合</w:t>
            </w:r>
            <w:r>
              <w:rPr>
                <w:rFonts w:eastAsia="宋体"/>
                <w:color w:val="000000"/>
                <w:kern w:val="0"/>
                <w:sz w:val="20"/>
              </w:rPr>
              <w:t xml:space="preserve">    </w:t>
            </w:r>
            <w:r>
              <w:rPr>
                <w:rFonts w:hint="eastAsia" w:eastAsia="宋体"/>
                <w:color w:val="000000"/>
                <w:kern w:val="0"/>
                <w:sz w:val="20"/>
              </w:rPr>
              <w:t>计</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w:t>
            </w:r>
            <w:r>
              <w:rPr>
                <w:rFonts w:hint="eastAsia" w:eastAsia="宋体"/>
                <w:color w:val="000000"/>
                <w:kern w:val="0"/>
                <w:sz w:val="20"/>
              </w:rPr>
              <w:t>、因公出国（境）费用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w:t>
            </w:r>
            <w:r>
              <w:rPr>
                <w:rFonts w:hint="eastAsia" w:eastAsia="宋体"/>
                <w:color w:val="000000"/>
                <w:kern w:val="0"/>
                <w:sz w:val="20"/>
              </w:rPr>
              <w:t>、公务接待费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w:t>
            </w:r>
            <w:r>
              <w:rPr>
                <w:rFonts w:hint="eastAsia" w:eastAsia="宋体"/>
                <w:color w:val="000000"/>
                <w:kern w:val="0"/>
                <w:sz w:val="20"/>
              </w:rPr>
              <w:t>、公务用车费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hint="eastAsia" w:eastAsia="宋体"/>
                <w:color w:val="000000"/>
                <w:kern w:val="0"/>
                <w:sz w:val="20"/>
              </w:rPr>
              <w:t>其中：（</w:t>
            </w:r>
            <w:r>
              <w:rPr>
                <w:rFonts w:eastAsia="宋体"/>
                <w:color w:val="000000"/>
                <w:kern w:val="0"/>
                <w:sz w:val="20"/>
              </w:rPr>
              <w:t>1</w:t>
            </w:r>
            <w:r>
              <w:rPr>
                <w:rFonts w:hint="eastAsia" w:eastAsia="宋体"/>
                <w:color w:val="000000"/>
                <w:kern w:val="0"/>
                <w:sz w:val="20"/>
              </w:rPr>
              <w:t>）公务用车运行维护费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w:t>
            </w:r>
            <w:r>
              <w:rPr>
                <w:rFonts w:eastAsia="宋体"/>
                <w:color w:val="000000"/>
                <w:kern w:val="0"/>
                <w:sz w:val="20"/>
              </w:rPr>
              <w:t>2</w:t>
            </w:r>
            <w:r>
              <w:rPr>
                <w:rFonts w:hint="eastAsia" w:eastAsia="宋体"/>
                <w:color w:val="000000"/>
                <w:kern w:val="0"/>
                <w:sz w:val="20"/>
              </w:rPr>
              <w:t>）公务用车购置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pPr>
              <w:widowControl/>
              <w:jc w:val="left"/>
              <w:rPr>
                <w:color w:val="000000"/>
                <w:kern w:val="0"/>
                <w:sz w:val="28"/>
                <w:szCs w:val="28"/>
              </w:rPr>
            </w:pPr>
            <w:r>
              <w:rPr>
                <w:rFonts w:hint="eastAsia"/>
                <w:color w:val="000000"/>
                <w:kern w:val="0"/>
                <w:sz w:val="28"/>
                <w:szCs w:val="28"/>
              </w:rPr>
              <w:t>说明：</w:t>
            </w:r>
          </w:p>
          <w:p>
            <w:pPr>
              <w:widowControl/>
              <w:jc w:val="left"/>
              <w:rPr>
                <w:rFonts w:eastAsia="宋体"/>
                <w:color w:val="000000"/>
                <w:kern w:val="0"/>
                <w:sz w:val="28"/>
                <w:szCs w:val="28"/>
              </w:rPr>
            </w:pPr>
            <w:r>
              <w:rPr>
                <w:rFonts w:eastAsia="宋体"/>
                <w:color w:val="000000"/>
                <w:kern w:val="0"/>
                <w:sz w:val="28"/>
                <w:szCs w:val="28"/>
              </w:rPr>
              <w:t xml:space="preserve">       1.“2024</w:t>
            </w:r>
            <w:r>
              <w:rPr>
                <w:rFonts w:hint="eastAsia"/>
                <w:color w:val="000000"/>
                <w:kern w:val="0"/>
                <w:sz w:val="28"/>
                <w:szCs w:val="28"/>
              </w:rPr>
              <w:t>年预算数</w:t>
            </w:r>
            <w:r>
              <w:rPr>
                <w:rFonts w:eastAsia="宋体"/>
                <w:color w:val="000000"/>
                <w:kern w:val="0"/>
                <w:sz w:val="28"/>
                <w:szCs w:val="28"/>
              </w:rPr>
              <w:t>”</w:t>
            </w:r>
            <w:r>
              <w:rPr>
                <w:rFonts w:hint="eastAsia"/>
                <w:color w:val="000000"/>
                <w:kern w:val="0"/>
                <w:sz w:val="28"/>
                <w:szCs w:val="28"/>
              </w:rPr>
              <w:t>的单位范围包括单位本级</w:t>
            </w:r>
            <w:r>
              <w:rPr>
                <w:color w:val="000000"/>
                <w:kern w:val="0"/>
                <w:sz w:val="28"/>
                <w:szCs w:val="28"/>
              </w:rPr>
              <w:t>1</w:t>
            </w:r>
            <w:r>
              <w:rPr>
                <w:rFonts w:hint="eastAsia"/>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2.“2024</w:t>
            </w:r>
            <w:r>
              <w:rPr>
                <w:rFonts w:hint="eastAsia"/>
                <w:color w:val="000000"/>
                <w:kern w:val="0"/>
                <w:sz w:val="28"/>
                <w:szCs w:val="28"/>
              </w:rPr>
              <w:t>年预算数</w:t>
            </w:r>
            <w:r>
              <w:rPr>
                <w:rFonts w:eastAsia="宋体"/>
                <w:color w:val="000000"/>
                <w:kern w:val="0"/>
                <w:sz w:val="28"/>
                <w:szCs w:val="28"/>
              </w:rPr>
              <w:t>”</w:t>
            </w:r>
            <w:r>
              <w:rPr>
                <w:rFonts w:hint="eastAsia"/>
                <w:color w:val="000000"/>
                <w:kern w:val="0"/>
                <w:sz w:val="28"/>
                <w:szCs w:val="28"/>
              </w:rPr>
              <w:t>的实有人员</w:t>
            </w:r>
            <w:r>
              <w:rPr>
                <w:rFonts w:eastAsia="宋体"/>
                <w:color w:val="000000"/>
                <w:kern w:val="0"/>
                <w:sz w:val="28"/>
                <w:szCs w:val="28"/>
              </w:rPr>
              <w:t>15</w:t>
            </w:r>
            <w:r>
              <w:rPr>
                <w:rFonts w:hint="eastAsia"/>
                <w:color w:val="000000"/>
                <w:kern w:val="0"/>
                <w:sz w:val="28"/>
                <w:szCs w:val="28"/>
              </w:rPr>
              <w:t>人，其中：在职人员</w:t>
            </w:r>
            <w:r>
              <w:rPr>
                <w:rFonts w:eastAsia="宋体"/>
                <w:color w:val="000000"/>
                <w:kern w:val="0"/>
                <w:sz w:val="28"/>
                <w:szCs w:val="28"/>
              </w:rPr>
              <w:t>6</w:t>
            </w:r>
            <w:r>
              <w:rPr>
                <w:rFonts w:hint="eastAsia"/>
                <w:color w:val="000000"/>
                <w:kern w:val="0"/>
                <w:sz w:val="28"/>
                <w:szCs w:val="28"/>
              </w:rPr>
              <w:t>人，离退休人员</w:t>
            </w:r>
            <w:r>
              <w:rPr>
                <w:rFonts w:eastAsia="宋体"/>
                <w:color w:val="000000"/>
                <w:kern w:val="0"/>
                <w:sz w:val="28"/>
                <w:szCs w:val="28"/>
              </w:rPr>
              <w:t>9</w:t>
            </w:r>
            <w:r>
              <w:rPr>
                <w:rFonts w:hint="eastAsia"/>
                <w:color w:val="000000"/>
                <w:kern w:val="0"/>
                <w:sz w:val="28"/>
                <w:szCs w:val="28"/>
              </w:rPr>
              <w:t>人。</w:t>
            </w:r>
          </w:p>
          <w:p>
            <w:pPr>
              <w:widowControl/>
              <w:rPr>
                <w:color w:val="000000"/>
                <w:kern w:val="0"/>
                <w:sz w:val="28"/>
                <w:szCs w:val="28"/>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政府性基金预算拨款支出预算表</w:t>
            </w:r>
          </w:p>
          <w:p>
            <w:pPr>
              <w:widowControl/>
              <w:jc w:val="right"/>
              <w:rPr>
                <w:rFonts w:eastAsia="华文细黑"/>
                <w:color w:val="000000"/>
                <w:kern w:val="0"/>
                <w:sz w:val="20"/>
              </w:rPr>
            </w:pPr>
          </w:p>
          <w:p>
            <w:pPr>
              <w:widowControl/>
              <w:ind w:right="200"/>
              <w:jc w:val="right"/>
              <w:rPr>
                <w:rFonts w:eastAsia="华文细黑"/>
                <w:color w:val="000000"/>
                <w:kern w:val="0"/>
                <w:sz w:val="20"/>
              </w:rPr>
            </w:pPr>
            <w:r>
              <w:rPr>
                <w:rFonts w:hint="eastAsia"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功能分类</w:t>
            </w:r>
          </w:p>
          <w:p>
            <w:pPr>
              <w:widowControl/>
              <w:jc w:val="center"/>
              <w:rPr>
                <w:rFonts w:eastAsia="华文细黑"/>
                <w:color w:val="000000"/>
                <w:kern w:val="0"/>
                <w:sz w:val="20"/>
              </w:rPr>
            </w:pPr>
            <w:r>
              <w:rPr>
                <w:rFonts w:hint="eastAsia"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国有资本经营预算支出预算表</w:t>
            </w:r>
          </w:p>
          <w:p>
            <w:pPr>
              <w:widowControl/>
              <w:jc w:val="right"/>
              <w:rPr>
                <w:rFonts w:eastAsia="华文细黑"/>
                <w:color w:val="000000"/>
                <w:kern w:val="0"/>
                <w:sz w:val="20"/>
              </w:rPr>
            </w:pPr>
          </w:p>
          <w:p>
            <w:pPr>
              <w:widowControl/>
              <w:ind w:right="200"/>
              <w:jc w:val="right"/>
              <w:rPr>
                <w:rFonts w:eastAsia="华文细黑"/>
                <w:color w:val="000000"/>
                <w:kern w:val="0"/>
                <w:sz w:val="20"/>
              </w:rPr>
            </w:pPr>
            <w:r>
              <w:rPr>
                <w:rFonts w:hint="eastAsia"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功能分类</w:t>
            </w:r>
          </w:p>
          <w:p>
            <w:pPr>
              <w:widowControl/>
              <w:jc w:val="center"/>
              <w:rPr>
                <w:rFonts w:eastAsia="华文细黑"/>
                <w:color w:val="000000"/>
                <w:kern w:val="0"/>
                <w:sz w:val="20"/>
              </w:rPr>
            </w:pPr>
            <w:r>
              <w:rPr>
                <w:rFonts w:hint="eastAsia"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14"/>
        <w:gridCol w:w="814"/>
        <w:gridCol w:w="947"/>
        <w:gridCol w:w="800"/>
        <w:gridCol w:w="717"/>
        <w:gridCol w:w="393"/>
        <w:gridCol w:w="479"/>
        <w:gridCol w:w="476"/>
        <w:gridCol w:w="319"/>
        <w:gridCol w:w="476"/>
        <w:gridCol w:w="476"/>
        <w:gridCol w:w="341"/>
        <w:gridCol w:w="479"/>
        <w:gridCol w:w="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900" w:type="dxa"/>
            <w:gridSpan w:val="15"/>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73"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14"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814"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947"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800"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384" w:type="dxa"/>
            <w:gridSpan w:val="5"/>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068" w:type="dxa"/>
            <w:gridSpan w:val="5"/>
            <w:tcBorders>
              <w:top w:val="nil"/>
              <w:left w:val="nil"/>
              <w:right w:val="nil"/>
            </w:tcBorders>
            <w:vAlign w:val="bottom"/>
          </w:tcPr>
          <w:p>
            <w:pPr>
              <w:autoSpaceDN w:val="0"/>
              <w:ind w:right="20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3"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428" w:type="dxa"/>
            <w:gridSpan w:val="2"/>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947" w:type="dxa"/>
            <w:vMerge w:val="restart"/>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800"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2384" w:type="dxa"/>
            <w:gridSpan w:val="5"/>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2068" w:type="dxa"/>
            <w:gridSpan w:val="5"/>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73" w:type="dxa"/>
            <w:vMerge w:val="continue"/>
            <w:vAlign w:val="center"/>
          </w:tcPr>
          <w:p>
            <w:pPr>
              <w:autoSpaceDN w:val="0"/>
              <w:jc w:val="center"/>
              <w:textAlignment w:val="center"/>
              <w:rPr>
                <w:rFonts w:ascii="Calibri" w:hAnsi="Calibri" w:eastAsia="华文细黑"/>
                <w:color w:val="000000"/>
                <w:sz w:val="20"/>
                <w:szCs w:val="22"/>
              </w:rPr>
            </w:pPr>
          </w:p>
        </w:tc>
        <w:tc>
          <w:tcPr>
            <w:tcW w:w="614"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14"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w:t>
            </w:r>
            <w:r>
              <w:rPr>
                <w:rFonts w:ascii="Calibri" w:hAnsi="Calibri" w:eastAsia="华文细黑"/>
                <w:color w:val="000000"/>
                <w:sz w:val="20"/>
                <w:szCs w:val="22"/>
              </w:rPr>
              <w:t xml:space="preserve">  </w:t>
            </w:r>
            <w:r>
              <w:rPr>
                <w:rFonts w:hint="eastAsia" w:ascii="Calibri" w:hAnsi="Calibri" w:eastAsia="华文细黑"/>
                <w:color w:val="000000"/>
                <w:sz w:val="20"/>
                <w:szCs w:val="22"/>
              </w:rPr>
              <w:t>项目</w:t>
            </w:r>
          </w:p>
        </w:tc>
        <w:tc>
          <w:tcPr>
            <w:tcW w:w="947" w:type="dxa"/>
            <w:vMerge w:val="continue"/>
            <w:vAlign w:val="center"/>
          </w:tcPr>
          <w:p>
            <w:pPr>
              <w:autoSpaceDN w:val="0"/>
              <w:ind w:left="113" w:right="113"/>
              <w:jc w:val="center"/>
              <w:textAlignment w:val="center"/>
              <w:rPr>
                <w:rFonts w:ascii="Calibri" w:hAnsi="Calibri" w:eastAsia="华文细黑"/>
                <w:color w:val="000000"/>
                <w:sz w:val="20"/>
                <w:szCs w:val="22"/>
              </w:rPr>
            </w:pPr>
          </w:p>
        </w:tc>
        <w:tc>
          <w:tcPr>
            <w:tcW w:w="800" w:type="dxa"/>
            <w:vMerge w:val="continue"/>
            <w:vAlign w:val="center"/>
          </w:tcPr>
          <w:p>
            <w:pPr>
              <w:autoSpaceDN w:val="0"/>
              <w:jc w:val="center"/>
              <w:textAlignment w:val="center"/>
              <w:rPr>
                <w:rFonts w:ascii="Calibri" w:hAnsi="Calibri" w:eastAsia="华文细黑"/>
                <w:color w:val="000000"/>
                <w:sz w:val="20"/>
                <w:szCs w:val="22"/>
              </w:rPr>
            </w:pPr>
          </w:p>
        </w:tc>
        <w:tc>
          <w:tcPr>
            <w:tcW w:w="1589"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76" w:type="dxa"/>
            <w:vMerge w:val="restart"/>
            <w:vAlign w:val="center"/>
          </w:tcPr>
          <w:p>
            <w:pPr>
              <w:autoSpaceDN w:val="0"/>
              <w:ind w:right="113"/>
              <w:jc w:val="distribute"/>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319" w:type="dxa"/>
            <w:vMerge w:val="restart"/>
            <w:vAlign w:val="center"/>
          </w:tcPr>
          <w:p>
            <w:pPr>
              <w:autoSpaceDN w:val="0"/>
              <w:jc w:val="distribute"/>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1293"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75" w:type="dxa"/>
            <w:gridSpan w:val="2"/>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273" w:type="dxa"/>
            <w:vMerge w:val="continue"/>
            <w:vAlign w:val="center"/>
          </w:tcPr>
          <w:p>
            <w:pPr>
              <w:autoSpaceDN w:val="0"/>
              <w:jc w:val="center"/>
              <w:textAlignment w:val="center"/>
              <w:rPr>
                <w:rFonts w:ascii="Calibri" w:hAnsi="Calibri" w:eastAsia="华文细黑"/>
                <w:color w:val="000000"/>
                <w:sz w:val="20"/>
                <w:szCs w:val="22"/>
              </w:rPr>
            </w:pPr>
          </w:p>
        </w:tc>
        <w:tc>
          <w:tcPr>
            <w:tcW w:w="614" w:type="dxa"/>
            <w:vMerge w:val="continue"/>
            <w:vAlign w:val="center"/>
          </w:tcPr>
          <w:p>
            <w:pPr>
              <w:autoSpaceDN w:val="0"/>
              <w:jc w:val="center"/>
              <w:textAlignment w:val="center"/>
              <w:rPr>
                <w:rFonts w:ascii="Calibri" w:hAnsi="Calibri" w:eastAsia="华文细黑"/>
                <w:color w:val="000000"/>
                <w:sz w:val="20"/>
                <w:szCs w:val="22"/>
              </w:rPr>
            </w:pPr>
          </w:p>
        </w:tc>
        <w:tc>
          <w:tcPr>
            <w:tcW w:w="814" w:type="dxa"/>
            <w:vMerge w:val="continue"/>
            <w:vAlign w:val="center"/>
          </w:tcPr>
          <w:p>
            <w:pPr>
              <w:autoSpaceDN w:val="0"/>
              <w:jc w:val="center"/>
              <w:textAlignment w:val="center"/>
              <w:rPr>
                <w:rFonts w:ascii="Calibri" w:hAnsi="Calibri" w:eastAsia="华文细黑"/>
                <w:color w:val="000000"/>
                <w:sz w:val="20"/>
                <w:szCs w:val="22"/>
              </w:rPr>
            </w:pPr>
          </w:p>
        </w:tc>
        <w:tc>
          <w:tcPr>
            <w:tcW w:w="947" w:type="dxa"/>
            <w:vMerge w:val="continue"/>
            <w:vAlign w:val="center"/>
          </w:tcPr>
          <w:p>
            <w:pPr>
              <w:autoSpaceDN w:val="0"/>
              <w:jc w:val="center"/>
              <w:textAlignment w:val="center"/>
              <w:rPr>
                <w:rFonts w:ascii="Calibri" w:hAnsi="Calibri" w:eastAsia="华文细黑"/>
                <w:color w:val="000000"/>
                <w:sz w:val="20"/>
                <w:szCs w:val="22"/>
              </w:rPr>
            </w:pPr>
          </w:p>
        </w:tc>
        <w:tc>
          <w:tcPr>
            <w:tcW w:w="800" w:type="dxa"/>
            <w:vMerge w:val="continue"/>
            <w:vAlign w:val="center"/>
          </w:tcPr>
          <w:p>
            <w:pPr>
              <w:autoSpaceDN w:val="0"/>
              <w:jc w:val="center"/>
              <w:textAlignment w:val="center"/>
              <w:rPr>
                <w:rFonts w:ascii="Calibri" w:hAnsi="Calibri" w:eastAsia="华文细黑"/>
                <w:color w:val="000000"/>
                <w:sz w:val="20"/>
                <w:szCs w:val="22"/>
              </w:rPr>
            </w:pPr>
          </w:p>
        </w:tc>
        <w:tc>
          <w:tcPr>
            <w:tcW w:w="717"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9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79"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476" w:type="dxa"/>
            <w:vMerge w:val="continue"/>
            <w:vAlign w:val="center"/>
          </w:tcPr>
          <w:p>
            <w:pPr>
              <w:autoSpaceDN w:val="0"/>
              <w:ind w:left="113" w:right="113"/>
              <w:jc w:val="center"/>
              <w:textAlignment w:val="center"/>
              <w:rPr>
                <w:rFonts w:ascii="Calibri" w:hAnsi="Calibri" w:eastAsia="华文细黑"/>
                <w:color w:val="000000"/>
                <w:sz w:val="20"/>
                <w:szCs w:val="22"/>
              </w:rPr>
            </w:pPr>
          </w:p>
        </w:tc>
        <w:tc>
          <w:tcPr>
            <w:tcW w:w="319" w:type="dxa"/>
            <w:vMerge w:val="continue"/>
            <w:vAlign w:val="center"/>
          </w:tcPr>
          <w:p>
            <w:pPr>
              <w:autoSpaceDN w:val="0"/>
              <w:ind w:left="113" w:right="113"/>
              <w:jc w:val="center"/>
              <w:textAlignment w:val="center"/>
              <w:rPr>
                <w:rFonts w:ascii="Calibri" w:hAnsi="Calibri" w:eastAsia="华文细黑"/>
                <w:color w:val="000000"/>
                <w:sz w:val="20"/>
                <w:szCs w:val="22"/>
              </w:rPr>
            </w:pPr>
          </w:p>
        </w:tc>
        <w:tc>
          <w:tcPr>
            <w:tcW w:w="476"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76"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1"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79" w:type="dxa"/>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96" w:type="dxa"/>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3" w:type="dxa"/>
            <w:vAlign w:val="center"/>
          </w:tcPr>
          <w:p>
            <w:pPr>
              <w:rPr>
                <w:rFonts w:ascii="华文细黑" w:eastAsia="华文细黑" w:cs="宋体"/>
                <w:sz w:val="16"/>
                <w:szCs w:val="16"/>
              </w:rPr>
            </w:pPr>
            <w:r>
              <w:rPr>
                <w:rFonts w:hint="eastAsia" w:ascii="华文细黑" w:eastAsia="华文细黑"/>
                <w:sz w:val="16"/>
                <w:szCs w:val="16"/>
              </w:rPr>
              <w:t>专项业务支出</w:t>
            </w:r>
          </w:p>
        </w:tc>
        <w:tc>
          <w:tcPr>
            <w:tcW w:w="614" w:type="dxa"/>
            <w:vAlign w:val="center"/>
          </w:tcPr>
          <w:p>
            <w:pPr>
              <w:rPr>
                <w:rFonts w:ascii="华文细黑" w:eastAsia="华文细黑" w:cs="宋体"/>
                <w:sz w:val="16"/>
                <w:szCs w:val="16"/>
              </w:rPr>
            </w:pPr>
            <w:r>
              <w:rPr>
                <w:rFonts w:hint="eastAsia" w:ascii="华文细黑" w:eastAsia="华文细黑"/>
                <w:sz w:val="16"/>
                <w:szCs w:val="16"/>
              </w:rPr>
              <w:t>　</w:t>
            </w:r>
          </w:p>
        </w:tc>
        <w:tc>
          <w:tcPr>
            <w:tcW w:w="814" w:type="dxa"/>
            <w:vAlign w:val="center"/>
          </w:tcPr>
          <w:p>
            <w:pPr>
              <w:rPr>
                <w:rFonts w:ascii="华文细黑" w:eastAsia="华文细黑" w:cs="宋体"/>
                <w:sz w:val="16"/>
                <w:szCs w:val="16"/>
              </w:rPr>
            </w:pPr>
            <w:r>
              <w:rPr>
                <w:rFonts w:hint="eastAsia" w:ascii="华文细黑" w:eastAsia="华文细黑"/>
                <w:sz w:val="16"/>
                <w:szCs w:val="16"/>
              </w:rPr>
              <w:t>　</w:t>
            </w:r>
          </w:p>
        </w:tc>
        <w:tc>
          <w:tcPr>
            <w:tcW w:w="947" w:type="dxa"/>
            <w:vAlign w:val="center"/>
          </w:tcPr>
          <w:p>
            <w:pPr>
              <w:rPr>
                <w:rFonts w:ascii="华文细黑" w:eastAsia="华文细黑" w:cs="宋体"/>
                <w:sz w:val="16"/>
                <w:szCs w:val="16"/>
              </w:rPr>
            </w:pPr>
            <w:r>
              <w:rPr>
                <w:rFonts w:hint="eastAsia" w:ascii="华文细黑" w:eastAsia="华文细黑"/>
                <w:sz w:val="16"/>
                <w:szCs w:val="16"/>
              </w:rPr>
              <w:t>　</w:t>
            </w:r>
          </w:p>
        </w:tc>
        <w:tc>
          <w:tcPr>
            <w:tcW w:w="800" w:type="dxa"/>
            <w:vAlign w:val="center"/>
          </w:tcPr>
          <w:p>
            <w:pPr>
              <w:jc w:val="center"/>
              <w:rPr>
                <w:rFonts w:ascii="Calibri" w:hAnsi="Calibri" w:eastAsia="楷体"/>
                <w:kern w:val="0"/>
                <w:sz w:val="20"/>
              </w:rPr>
            </w:pPr>
            <w:r>
              <w:rPr>
                <w:rFonts w:ascii="Calibri" w:hAnsi="Calibri" w:eastAsia="楷体"/>
                <w:kern w:val="0"/>
                <w:sz w:val="20"/>
              </w:rPr>
              <w:t>77.84</w:t>
            </w:r>
          </w:p>
        </w:tc>
        <w:tc>
          <w:tcPr>
            <w:tcW w:w="717" w:type="dxa"/>
            <w:vAlign w:val="center"/>
          </w:tcPr>
          <w:p>
            <w:pPr>
              <w:jc w:val="center"/>
              <w:rPr>
                <w:rFonts w:ascii="Calibri" w:hAnsi="Calibri" w:eastAsia="楷体"/>
                <w:kern w:val="0"/>
                <w:sz w:val="20"/>
              </w:rPr>
            </w:pPr>
            <w:r>
              <w:rPr>
                <w:rFonts w:ascii="Calibri" w:hAnsi="Calibri" w:eastAsia="楷体"/>
                <w:kern w:val="0"/>
                <w:sz w:val="20"/>
              </w:rPr>
              <w:t>77.84</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3" w:type="dxa"/>
            <w:vAlign w:val="center"/>
          </w:tcPr>
          <w:p>
            <w:pPr>
              <w:rPr>
                <w:rFonts w:ascii="华文细黑" w:eastAsia="华文细黑" w:cs="宋体"/>
                <w:sz w:val="16"/>
                <w:szCs w:val="16"/>
              </w:rPr>
            </w:pPr>
            <w:r>
              <w:rPr>
                <w:rFonts w:hint="eastAsia" w:ascii="华文细黑" w:eastAsia="华文细黑"/>
                <w:sz w:val="16"/>
                <w:szCs w:val="16"/>
              </w:rPr>
              <w:t>　</w:t>
            </w:r>
          </w:p>
        </w:tc>
        <w:tc>
          <w:tcPr>
            <w:tcW w:w="614" w:type="dxa"/>
            <w:vAlign w:val="center"/>
          </w:tcPr>
          <w:p>
            <w:pPr>
              <w:rPr>
                <w:rFonts w:ascii="华文细黑" w:eastAsia="华文细黑" w:cs="宋体"/>
                <w:sz w:val="16"/>
                <w:szCs w:val="16"/>
              </w:rPr>
            </w:pPr>
            <w:r>
              <w:rPr>
                <w:rFonts w:hint="eastAsia" w:ascii="华文细黑" w:eastAsia="华文细黑"/>
                <w:sz w:val="16"/>
                <w:szCs w:val="16"/>
              </w:rPr>
              <w:t>专项普查活动</w:t>
            </w:r>
          </w:p>
        </w:tc>
        <w:tc>
          <w:tcPr>
            <w:tcW w:w="814" w:type="dxa"/>
            <w:vAlign w:val="center"/>
          </w:tcPr>
          <w:p>
            <w:pPr>
              <w:rPr>
                <w:rFonts w:ascii="华文细黑" w:eastAsia="华文细黑" w:cs="宋体"/>
                <w:sz w:val="16"/>
                <w:szCs w:val="16"/>
              </w:rPr>
            </w:pPr>
            <w:r>
              <w:rPr>
                <w:rFonts w:hint="eastAsia" w:ascii="华文细黑" w:eastAsia="华文细黑"/>
                <w:sz w:val="16"/>
                <w:szCs w:val="16"/>
              </w:rPr>
              <w:t>　</w:t>
            </w:r>
          </w:p>
        </w:tc>
        <w:tc>
          <w:tcPr>
            <w:tcW w:w="947" w:type="dxa"/>
            <w:vAlign w:val="center"/>
          </w:tcPr>
          <w:p>
            <w:pPr>
              <w:rPr>
                <w:rFonts w:ascii="华文细黑" w:eastAsia="华文细黑" w:cs="宋体"/>
                <w:sz w:val="16"/>
                <w:szCs w:val="16"/>
              </w:rPr>
            </w:pPr>
            <w:r>
              <w:rPr>
                <w:rFonts w:hint="eastAsia" w:ascii="华文细黑" w:eastAsia="华文细黑"/>
                <w:sz w:val="16"/>
                <w:szCs w:val="16"/>
              </w:rPr>
              <w:t>　</w:t>
            </w:r>
          </w:p>
        </w:tc>
        <w:tc>
          <w:tcPr>
            <w:tcW w:w="800" w:type="dxa"/>
            <w:vAlign w:val="center"/>
          </w:tcPr>
          <w:p>
            <w:pPr>
              <w:jc w:val="center"/>
              <w:rPr>
                <w:rFonts w:ascii="Calibri" w:hAnsi="Calibri" w:eastAsia="楷体"/>
                <w:kern w:val="0"/>
                <w:sz w:val="20"/>
              </w:rPr>
            </w:pPr>
            <w:r>
              <w:rPr>
                <w:rFonts w:ascii="Calibri" w:hAnsi="Calibri" w:eastAsia="楷体"/>
                <w:kern w:val="0"/>
                <w:sz w:val="20"/>
              </w:rPr>
              <w:t>46.57</w:t>
            </w:r>
          </w:p>
        </w:tc>
        <w:tc>
          <w:tcPr>
            <w:tcW w:w="717" w:type="dxa"/>
            <w:vAlign w:val="center"/>
          </w:tcPr>
          <w:p>
            <w:pPr>
              <w:jc w:val="center"/>
              <w:rPr>
                <w:rFonts w:ascii="Calibri" w:hAnsi="Calibri" w:eastAsia="楷体"/>
                <w:kern w:val="0"/>
                <w:sz w:val="20"/>
              </w:rPr>
            </w:pPr>
            <w:r>
              <w:rPr>
                <w:rFonts w:ascii="Calibri" w:hAnsi="Calibri" w:eastAsia="楷体"/>
                <w:kern w:val="0"/>
                <w:sz w:val="20"/>
              </w:rPr>
              <w:t>46.57</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73" w:type="dxa"/>
            <w:vAlign w:val="center"/>
          </w:tcPr>
          <w:p>
            <w:pPr>
              <w:rPr>
                <w:rFonts w:ascii="华文细黑" w:eastAsia="华文细黑" w:cs="宋体"/>
                <w:sz w:val="16"/>
                <w:szCs w:val="16"/>
              </w:rPr>
            </w:pPr>
            <w:r>
              <w:rPr>
                <w:rFonts w:hint="eastAsia" w:ascii="华文细黑" w:eastAsia="华文细黑"/>
                <w:sz w:val="16"/>
                <w:szCs w:val="16"/>
              </w:rPr>
              <w:t>　</w:t>
            </w:r>
          </w:p>
        </w:tc>
        <w:tc>
          <w:tcPr>
            <w:tcW w:w="614" w:type="dxa"/>
            <w:vAlign w:val="center"/>
          </w:tcPr>
          <w:p>
            <w:pPr>
              <w:rPr>
                <w:rFonts w:ascii="华文细黑" w:eastAsia="华文细黑" w:cs="宋体"/>
                <w:sz w:val="16"/>
                <w:szCs w:val="16"/>
              </w:rPr>
            </w:pPr>
            <w:r>
              <w:rPr>
                <w:rFonts w:hint="eastAsia" w:ascii="华文细黑" w:eastAsia="华文细黑"/>
                <w:sz w:val="16"/>
                <w:szCs w:val="16"/>
              </w:rPr>
              <w:t>　</w:t>
            </w:r>
          </w:p>
        </w:tc>
        <w:tc>
          <w:tcPr>
            <w:tcW w:w="814" w:type="dxa"/>
            <w:vAlign w:val="center"/>
          </w:tcPr>
          <w:p>
            <w:pPr>
              <w:rPr>
                <w:rFonts w:ascii="华文细黑" w:eastAsia="华文细黑" w:cs="宋体"/>
                <w:sz w:val="16"/>
                <w:szCs w:val="16"/>
              </w:rPr>
            </w:pPr>
            <w:r>
              <w:rPr>
                <w:rFonts w:hint="eastAsia" w:ascii="华文细黑" w:eastAsia="华文细黑"/>
                <w:sz w:val="16"/>
                <w:szCs w:val="16"/>
              </w:rPr>
              <w:t>第五次全国经济普查经费</w:t>
            </w:r>
          </w:p>
        </w:tc>
        <w:tc>
          <w:tcPr>
            <w:tcW w:w="947" w:type="dxa"/>
            <w:vAlign w:val="center"/>
          </w:tcPr>
          <w:p>
            <w:pPr>
              <w:rPr>
                <w:rFonts w:ascii="华文细黑" w:eastAsia="华文细黑" w:cs="宋体"/>
                <w:sz w:val="16"/>
                <w:szCs w:val="16"/>
              </w:rPr>
            </w:pPr>
            <w:r>
              <w:rPr>
                <w:rFonts w:hint="eastAsia" w:ascii="华文细黑" w:eastAsia="华文细黑"/>
                <w:sz w:val="16"/>
                <w:szCs w:val="16"/>
              </w:rPr>
              <w:t>长春市统计局双阳区分局</w:t>
            </w:r>
          </w:p>
        </w:tc>
        <w:tc>
          <w:tcPr>
            <w:tcW w:w="800" w:type="dxa"/>
            <w:vAlign w:val="center"/>
          </w:tcPr>
          <w:p>
            <w:pPr>
              <w:jc w:val="center"/>
              <w:rPr>
                <w:rFonts w:ascii="Calibri" w:hAnsi="Calibri" w:eastAsia="楷体"/>
                <w:kern w:val="0"/>
                <w:sz w:val="20"/>
              </w:rPr>
            </w:pPr>
            <w:r>
              <w:rPr>
                <w:rFonts w:ascii="Calibri" w:hAnsi="Calibri" w:eastAsia="楷体"/>
                <w:kern w:val="0"/>
                <w:sz w:val="20"/>
              </w:rPr>
              <w:t>46.57</w:t>
            </w:r>
          </w:p>
        </w:tc>
        <w:tc>
          <w:tcPr>
            <w:tcW w:w="717" w:type="dxa"/>
            <w:vAlign w:val="center"/>
          </w:tcPr>
          <w:p>
            <w:pPr>
              <w:jc w:val="center"/>
              <w:rPr>
                <w:rFonts w:ascii="Calibri" w:hAnsi="Calibri" w:eastAsia="楷体"/>
                <w:kern w:val="0"/>
                <w:sz w:val="20"/>
              </w:rPr>
            </w:pPr>
            <w:r>
              <w:rPr>
                <w:rFonts w:ascii="Calibri" w:hAnsi="Calibri" w:eastAsia="楷体"/>
                <w:kern w:val="0"/>
                <w:sz w:val="20"/>
              </w:rPr>
              <w:t>46.57</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3" w:type="dxa"/>
            <w:vAlign w:val="center"/>
          </w:tcPr>
          <w:p>
            <w:pPr>
              <w:spacing w:line="700" w:lineRule="exact"/>
              <w:jc w:val="center"/>
              <w:rPr>
                <w:rFonts w:ascii="Calibri" w:hAnsi="Calibri" w:eastAsia="楷体"/>
                <w:kern w:val="0"/>
                <w:szCs w:val="32"/>
              </w:rPr>
            </w:pPr>
          </w:p>
        </w:tc>
        <w:tc>
          <w:tcPr>
            <w:tcW w:w="614" w:type="dxa"/>
            <w:vAlign w:val="center"/>
          </w:tcPr>
          <w:p>
            <w:pPr>
              <w:rPr>
                <w:rFonts w:ascii="华文细黑" w:eastAsia="华文细黑" w:cs="宋体"/>
                <w:sz w:val="16"/>
                <w:szCs w:val="16"/>
              </w:rPr>
            </w:pPr>
            <w:r>
              <w:rPr>
                <w:rFonts w:hint="eastAsia" w:ascii="华文细黑" w:eastAsia="华文细黑"/>
                <w:sz w:val="16"/>
                <w:szCs w:val="16"/>
              </w:rPr>
              <w:t>专项统计业务</w:t>
            </w:r>
          </w:p>
        </w:tc>
        <w:tc>
          <w:tcPr>
            <w:tcW w:w="814" w:type="dxa"/>
            <w:vAlign w:val="center"/>
          </w:tcPr>
          <w:p>
            <w:pPr>
              <w:rPr>
                <w:rFonts w:ascii="华文细黑" w:eastAsia="华文细黑" w:cs="宋体"/>
                <w:sz w:val="16"/>
                <w:szCs w:val="16"/>
              </w:rPr>
            </w:pPr>
            <w:r>
              <w:rPr>
                <w:rFonts w:hint="eastAsia" w:ascii="华文细黑" w:eastAsia="华文细黑"/>
                <w:sz w:val="16"/>
                <w:szCs w:val="16"/>
              </w:rPr>
              <w:t>　</w:t>
            </w:r>
          </w:p>
        </w:tc>
        <w:tc>
          <w:tcPr>
            <w:tcW w:w="947" w:type="dxa"/>
            <w:vAlign w:val="center"/>
          </w:tcPr>
          <w:p>
            <w:pPr>
              <w:rPr>
                <w:rFonts w:ascii="华文细黑" w:eastAsia="华文细黑" w:cs="宋体"/>
                <w:sz w:val="16"/>
                <w:szCs w:val="16"/>
              </w:rPr>
            </w:pPr>
            <w:r>
              <w:rPr>
                <w:rFonts w:hint="eastAsia" w:ascii="华文细黑" w:eastAsia="华文细黑"/>
                <w:sz w:val="16"/>
                <w:szCs w:val="16"/>
              </w:rPr>
              <w:t>　</w:t>
            </w:r>
          </w:p>
        </w:tc>
        <w:tc>
          <w:tcPr>
            <w:tcW w:w="800" w:type="dxa"/>
            <w:vAlign w:val="center"/>
          </w:tcPr>
          <w:p>
            <w:pPr>
              <w:jc w:val="center"/>
              <w:rPr>
                <w:rFonts w:ascii="Calibri" w:hAnsi="Calibri" w:eastAsia="楷体"/>
                <w:kern w:val="0"/>
                <w:sz w:val="20"/>
              </w:rPr>
            </w:pPr>
            <w:r>
              <w:rPr>
                <w:rFonts w:ascii="Calibri" w:hAnsi="Calibri" w:eastAsia="楷体"/>
                <w:kern w:val="0"/>
                <w:sz w:val="20"/>
              </w:rPr>
              <w:t>31.27</w:t>
            </w:r>
          </w:p>
        </w:tc>
        <w:tc>
          <w:tcPr>
            <w:tcW w:w="717" w:type="dxa"/>
            <w:vAlign w:val="center"/>
          </w:tcPr>
          <w:p>
            <w:pPr>
              <w:jc w:val="center"/>
              <w:rPr>
                <w:rFonts w:ascii="Calibri" w:hAnsi="Calibri" w:eastAsia="楷体"/>
                <w:kern w:val="0"/>
                <w:sz w:val="20"/>
              </w:rPr>
            </w:pPr>
            <w:r>
              <w:rPr>
                <w:rFonts w:ascii="Calibri" w:hAnsi="Calibri" w:eastAsia="楷体"/>
                <w:kern w:val="0"/>
                <w:sz w:val="20"/>
              </w:rPr>
              <w:t>31.27</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3" w:type="dxa"/>
            <w:vAlign w:val="center"/>
          </w:tcPr>
          <w:p>
            <w:pPr>
              <w:autoSpaceDN w:val="0"/>
              <w:jc w:val="center"/>
              <w:textAlignment w:val="center"/>
              <w:rPr>
                <w:rFonts w:ascii="Calibri" w:hAnsi="Calibri" w:eastAsia="华文细黑"/>
                <w:color w:val="000000"/>
                <w:sz w:val="20"/>
                <w:szCs w:val="22"/>
              </w:rPr>
            </w:pPr>
          </w:p>
        </w:tc>
        <w:tc>
          <w:tcPr>
            <w:tcW w:w="614" w:type="dxa"/>
            <w:vAlign w:val="center"/>
          </w:tcPr>
          <w:p>
            <w:pPr>
              <w:rPr>
                <w:rFonts w:ascii="华文细黑" w:eastAsia="华文细黑" w:cs="宋体"/>
                <w:sz w:val="16"/>
                <w:szCs w:val="16"/>
              </w:rPr>
            </w:pPr>
            <w:r>
              <w:rPr>
                <w:rFonts w:hint="eastAsia" w:ascii="华文细黑" w:eastAsia="华文细黑"/>
                <w:sz w:val="16"/>
                <w:szCs w:val="16"/>
              </w:rPr>
              <w:t>　</w:t>
            </w:r>
          </w:p>
        </w:tc>
        <w:tc>
          <w:tcPr>
            <w:tcW w:w="814" w:type="dxa"/>
            <w:vAlign w:val="center"/>
          </w:tcPr>
          <w:p>
            <w:pPr>
              <w:rPr>
                <w:rFonts w:ascii="华文细黑" w:eastAsia="华文细黑" w:cs="宋体"/>
                <w:sz w:val="16"/>
                <w:szCs w:val="16"/>
              </w:rPr>
            </w:pPr>
            <w:r>
              <w:rPr>
                <w:rFonts w:hint="eastAsia" w:ascii="华文细黑" w:eastAsia="华文细黑"/>
                <w:sz w:val="16"/>
                <w:szCs w:val="16"/>
              </w:rPr>
              <w:t>统计调查经费</w:t>
            </w:r>
          </w:p>
        </w:tc>
        <w:tc>
          <w:tcPr>
            <w:tcW w:w="947" w:type="dxa"/>
            <w:vAlign w:val="center"/>
          </w:tcPr>
          <w:p>
            <w:pPr>
              <w:rPr>
                <w:rFonts w:ascii="华文细黑" w:eastAsia="华文细黑" w:cs="宋体"/>
                <w:sz w:val="16"/>
                <w:szCs w:val="16"/>
              </w:rPr>
            </w:pPr>
            <w:r>
              <w:rPr>
                <w:rFonts w:hint="eastAsia" w:ascii="华文细黑" w:eastAsia="华文细黑"/>
                <w:sz w:val="16"/>
                <w:szCs w:val="16"/>
              </w:rPr>
              <w:t>长春市统计局双阳区分局</w:t>
            </w:r>
          </w:p>
        </w:tc>
        <w:tc>
          <w:tcPr>
            <w:tcW w:w="800" w:type="dxa"/>
            <w:vAlign w:val="center"/>
          </w:tcPr>
          <w:p>
            <w:pPr>
              <w:jc w:val="center"/>
              <w:rPr>
                <w:rFonts w:ascii="Calibri" w:hAnsi="Calibri" w:eastAsia="楷体"/>
                <w:kern w:val="0"/>
                <w:sz w:val="20"/>
              </w:rPr>
            </w:pPr>
            <w:r>
              <w:rPr>
                <w:rFonts w:ascii="Calibri" w:hAnsi="Calibri" w:eastAsia="楷体"/>
                <w:kern w:val="0"/>
                <w:sz w:val="20"/>
              </w:rPr>
              <w:t>31.27</w:t>
            </w:r>
          </w:p>
        </w:tc>
        <w:tc>
          <w:tcPr>
            <w:tcW w:w="717" w:type="dxa"/>
            <w:vAlign w:val="center"/>
          </w:tcPr>
          <w:p>
            <w:pPr>
              <w:jc w:val="center"/>
              <w:rPr>
                <w:rFonts w:ascii="Calibri" w:hAnsi="Calibri" w:eastAsia="楷体"/>
                <w:kern w:val="0"/>
                <w:sz w:val="20"/>
              </w:rPr>
            </w:pPr>
            <w:r>
              <w:rPr>
                <w:rFonts w:ascii="Calibri" w:hAnsi="Calibri" w:eastAsia="楷体"/>
                <w:kern w:val="0"/>
                <w:sz w:val="20"/>
              </w:rPr>
              <w:t>31.27</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614" w:type="dxa"/>
            <w:vAlign w:val="center"/>
          </w:tcPr>
          <w:p>
            <w:pPr>
              <w:autoSpaceDN w:val="0"/>
              <w:jc w:val="center"/>
              <w:textAlignment w:val="center"/>
              <w:rPr>
                <w:rFonts w:ascii="Calibri" w:hAnsi="Calibri" w:eastAsia="华文细黑"/>
                <w:color w:val="000000"/>
                <w:sz w:val="20"/>
                <w:szCs w:val="22"/>
              </w:rPr>
            </w:pPr>
          </w:p>
        </w:tc>
        <w:tc>
          <w:tcPr>
            <w:tcW w:w="814" w:type="dxa"/>
            <w:vAlign w:val="center"/>
          </w:tcPr>
          <w:p>
            <w:pPr>
              <w:spacing w:line="700" w:lineRule="exact"/>
              <w:jc w:val="center"/>
              <w:rPr>
                <w:rFonts w:ascii="Calibri" w:hAnsi="Calibri" w:eastAsia="楷体"/>
                <w:kern w:val="0"/>
                <w:szCs w:val="32"/>
              </w:rPr>
            </w:pPr>
          </w:p>
        </w:tc>
        <w:tc>
          <w:tcPr>
            <w:tcW w:w="947" w:type="dxa"/>
            <w:vAlign w:val="center"/>
          </w:tcPr>
          <w:p>
            <w:pPr>
              <w:spacing w:line="700" w:lineRule="exact"/>
              <w:jc w:val="center"/>
              <w:rPr>
                <w:rFonts w:ascii="Calibri" w:hAnsi="Calibri" w:eastAsia="楷体"/>
                <w:kern w:val="0"/>
                <w:szCs w:val="32"/>
              </w:rPr>
            </w:pPr>
          </w:p>
        </w:tc>
        <w:tc>
          <w:tcPr>
            <w:tcW w:w="800" w:type="dxa"/>
            <w:vAlign w:val="center"/>
          </w:tcPr>
          <w:p>
            <w:pPr>
              <w:jc w:val="center"/>
              <w:rPr>
                <w:rFonts w:ascii="Calibri" w:hAnsi="Calibri" w:eastAsia="楷体"/>
                <w:kern w:val="0"/>
                <w:sz w:val="20"/>
              </w:rPr>
            </w:pPr>
            <w:r>
              <w:rPr>
                <w:rFonts w:ascii="Calibri" w:hAnsi="Calibri" w:eastAsia="楷体"/>
                <w:kern w:val="0"/>
                <w:sz w:val="20"/>
              </w:rPr>
              <w:t>77.84</w:t>
            </w:r>
          </w:p>
        </w:tc>
        <w:tc>
          <w:tcPr>
            <w:tcW w:w="717" w:type="dxa"/>
            <w:vAlign w:val="center"/>
          </w:tcPr>
          <w:p>
            <w:pPr>
              <w:jc w:val="center"/>
              <w:rPr>
                <w:rFonts w:ascii="Calibri" w:hAnsi="Calibri" w:eastAsia="楷体"/>
                <w:kern w:val="0"/>
                <w:sz w:val="20"/>
              </w:rPr>
            </w:pPr>
            <w:r>
              <w:rPr>
                <w:rFonts w:ascii="Calibri" w:hAnsi="Calibri" w:eastAsia="楷体"/>
                <w:kern w:val="0"/>
                <w:sz w:val="20"/>
              </w:rPr>
              <w:t>77.84</w:t>
            </w:r>
          </w:p>
        </w:tc>
        <w:tc>
          <w:tcPr>
            <w:tcW w:w="393" w:type="dxa"/>
            <w:vAlign w:val="center"/>
          </w:tcPr>
          <w:p>
            <w:pPr>
              <w:spacing w:line="700" w:lineRule="exact"/>
              <w:jc w:val="center"/>
              <w:rPr>
                <w:rFonts w:ascii="Calibri" w:hAnsi="Calibri" w:eastAsia="楷体"/>
                <w:kern w:val="0"/>
                <w:sz w:val="20"/>
              </w:rPr>
            </w:pPr>
          </w:p>
        </w:tc>
        <w:tc>
          <w:tcPr>
            <w:tcW w:w="47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19"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476" w:type="dxa"/>
            <w:vAlign w:val="center"/>
          </w:tcPr>
          <w:p>
            <w:pPr>
              <w:spacing w:line="700" w:lineRule="exact"/>
              <w:jc w:val="center"/>
              <w:rPr>
                <w:rFonts w:ascii="Calibri" w:hAnsi="Calibri" w:eastAsia="楷体"/>
                <w:kern w:val="0"/>
                <w:sz w:val="20"/>
              </w:rPr>
            </w:pPr>
          </w:p>
        </w:tc>
        <w:tc>
          <w:tcPr>
            <w:tcW w:w="341" w:type="dxa"/>
            <w:vAlign w:val="center"/>
          </w:tcPr>
          <w:p>
            <w:pPr>
              <w:spacing w:line="700" w:lineRule="exact"/>
              <w:jc w:val="center"/>
              <w:rPr>
                <w:rFonts w:ascii="Calibri" w:hAnsi="Calibri" w:eastAsia="楷体"/>
                <w:kern w:val="0"/>
                <w:szCs w:val="32"/>
              </w:rPr>
            </w:pPr>
          </w:p>
        </w:tc>
        <w:tc>
          <w:tcPr>
            <w:tcW w:w="479" w:type="dxa"/>
            <w:vAlign w:val="center"/>
          </w:tcPr>
          <w:p>
            <w:pPr>
              <w:spacing w:line="700" w:lineRule="exact"/>
              <w:jc w:val="center"/>
              <w:rPr>
                <w:rFonts w:ascii="Calibri" w:hAnsi="Calibri" w:eastAsia="楷体"/>
                <w:kern w:val="0"/>
                <w:szCs w:val="32"/>
              </w:rPr>
            </w:pPr>
          </w:p>
        </w:tc>
        <w:tc>
          <w:tcPr>
            <w:tcW w:w="296" w:type="dxa"/>
            <w:vAlign w:val="center"/>
          </w:tcPr>
          <w:p>
            <w:pPr>
              <w:spacing w:line="700" w:lineRule="exact"/>
              <w:jc w:val="center"/>
              <w:rPr>
                <w:rFonts w:ascii="Calibri" w:hAnsi="Calibri" w:eastAsia="楷体"/>
                <w:kern w:val="0"/>
                <w:szCs w:val="32"/>
              </w:rPr>
            </w:pPr>
          </w:p>
        </w:tc>
      </w:tr>
    </w:tbl>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right w:val="nil"/>
            </w:tcBorders>
            <w:vAlign w:val="bottom"/>
          </w:tcPr>
          <w:p>
            <w:pPr>
              <w:jc w:val="right"/>
              <w:rPr>
                <w:rFonts w:ascii="华文细黑" w:hAnsi="华文细黑" w:eastAsia="华文细黑" w:cs="华文细黑"/>
                <w:kern w:val="0"/>
                <w:sz w:val="20"/>
              </w:rPr>
            </w:pPr>
            <w:r>
              <w:rPr>
                <w:rFonts w:hint="eastAsia"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w:t>
            </w:r>
            <w:r>
              <w:rPr>
                <w:rFonts w:ascii="华文细黑" w:hAnsi="华文细黑" w:eastAsia="华文细黑" w:cs="华文细黑"/>
                <w:color w:val="000000"/>
                <w:sz w:val="20"/>
              </w:rPr>
              <w:t>/</w:t>
            </w:r>
            <w:r>
              <w:rPr>
                <w:rFonts w:hint="eastAsia" w:ascii="华文细黑" w:hAnsi="华文细黑" w:eastAsia="华文细黑" w:cs="华文细黑"/>
                <w:color w:val="000000"/>
                <w:sz w:val="20"/>
              </w:rPr>
              <w:t>单位</w:t>
            </w:r>
            <w:r>
              <w:rPr>
                <w:rFonts w:ascii="华文细黑" w:hAnsi="华文细黑" w:eastAsia="华文细黑" w:cs="华文细黑"/>
                <w:color w:val="000000"/>
                <w:sz w:val="20"/>
              </w:rPr>
              <w:t>/</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w:t>
            </w:r>
            <w:r>
              <w:rPr>
                <w:rFonts w:ascii="华文细黑" w:hAnsi="华文细黑" w:eastAsia="华文细黑" w:cs="华文细黑"/>
                <w:color w:val="000000"/>
                <w:sz w:val="20"/>
              </w:rPr>
              <w:t xml:space="preserve">    </w:t>
            </w:r>
            <w:r>
              <w:rPr>
                <w:rFonts w:hint="eastAsia" w:ascii="华文细黑" w:hAnsi="华文细黑" w:eastAsia="华文细黑" w:cs="华文细黑"/>
                <w:color w:val="000000"/>
                <w:sz w:val="20"/>
              </w:rPr>
              <w:t>项内容</w:t>
            </w:r>
          </w:p>
        </w:tc>
        <w:tc>
          <w:tcPr>
            <w:tcW w:w="2778" w:type="dxa"/>
            <w:gridSpan w:val="4"/>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（是</w:t>
            </w:r>
            <w:r>
              <w:rPr>
                <w:rFonts w:ascii="华文细黑" w:hAnsi="华文细黑" w:eastAsia="华文细黑" w:cs="华文细黑"/>
                <w:kern w:val="0"/>
                <w:sz w:val="20"/>
              </w:rPr>
              <w:t>/</w:t>
            </w:r>
            <w:r>
              <w:rPr>
                <w:rFonts w:hint="eastAsia" w:ascii="华文细黑" w:hAnsi="华文细黑" w:eastAsia="华文细黑" w:cs="华文细黑"/>
                <w:kern w:val="0"/>
                <w:sz w:val="20"/>
              </w:rPr>
              <w:t>否）</w:t>
            </w:r>
          </w:p>
        </w:tc>
        <w:tc>
          <w:tcPr>
            <w:tcW w:w="1036" w:type="dxa"/>
            <w:vMerge w:val="restart"/>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府采购</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（是</w:t>
            </w:r>
            <w:r>
              <w:rPr>
                <w:rFonts w:ascii="华文细黑" w:hAnsi="华文细黑" w:eastAsia="华文细黑" w:cs="华文细黑"/>
                <w:kern w:val="0"/>
                <w:sz w:val="20"/>
              </w:rPr>
              <w:t>/</w:t>
            </w:r>
            <w:r>
              <w:rPr>
                <w:rFonts w:hint="eastAsia" w:ascii="华文细黑" w:hAnsi="华文细黑" w:eastAsia="华文细黑" w:cs="华文细黑"/>
                <w:kern w:val="0"/>
                <w:sz w:val="20"/>
              </w:rPr>
              <w:t>否）</w:t>
            </w:r>
          </w:p>
        </w:tc>
        <w:tc>
          <w:tcPr>
            <w:tcW w:w="803" w:type="dxa"/>
            <w:vMerge w:val="restart"/>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vAlign w:val="center"/>
          </w:tcPr>
          <w:p>
            <w:pPr>
              <w:jc w:val="center"/>
              <w:rPr>
                <w:rFonts w:ascii="华文细黑" w:hAnsi="华文细黑" w:eastAsia="华文细黑" w:cs="华文细黑"/>
                <w:kern w:val="0"/>
                <w:sz w:val="20"/>
              </w:rPr>
            </w:pPr>
          </w:p>
        </w:tc>
        <w:tc>
          <w:tcPr>
            <w:tcW w:w="1284" w:type="dxa"/>
            <w:vMerge w:val="continue"/>
            <w:vAlign w:val="center"/>
          </w:tcPr>
          <w:p>
            <w:pPr>
              <w:jc w:val="center"/>
              <w:rPr>
                <w:rFonts w:ascii="华文细黑" w:hAnsi="华文细黑" w:eastAsia="华文细黑" w:cs="华文细黑"/>
                <w:kern w:val="0"/>
                <w:sz w:val="20"/>
              </w:rPr>
            </w:pPr>
          </w:p>
        </w:tc>
        <w:tc>
          <w:tcPr>
            <w:tcW w:w="667" w:type="dxa"/>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vAlign w:val="center"/>
          </w:tcPr>
          <w:p>
            <w:pPr>
              <w:jc w:val="center"/>
              <w:rPr>
                <w:rFonts w:ascii="华文细黑" w:hAnsi="华文细黑" w:eastAsia="华文细黑" w:cs="华文细黑"/>
                <w:kern w:val="0"/>
                <w:sz w:val="20"/>
              </w:rPr>
            </w:pPr>
          </w:p>
        </w:tc>
        <w:tc>
          <w:tcPr>
            <w:tcW w:w="1036" w:type="dxa"/>
            <w:vMerge w:val="continue"/>
            <w:vAlign w:val="center"/>
          </w:tcPr>
          <w:p>
            <w:pPr>
              <w:jc w:val="center"/>
              <w:rPr>
                <w:rFonts w:ascii="华文细黑" w:hAnsi="华文细黑" w:eastAsia="华文细黑" w:cs="华文细黑"/>
                <w:kern w:val="0"/>
                <w:sz w:val="20"/>
              </w:rPr>
            </w:pPr>
          </w:p>
        </w:tc>
        <w:tc>
          <w:tcPr>
            <w:tcW w:w="803" w:type="dxa"/>
            <w:vMerge w:val="continue"/>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w:t>
            </w:r>
            <w:r>
              <w:rPr>
                <w:rFonts w:ascii="华文细黑" w:hAnsi="华文细黑" w:eastAsia="华文细黑" w:cs="华文细黑"/>
                <w:kern w:val="0"/>
                <w:sz w:val="20"/>
              </w:rPr>
              <w:t>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w:t>
            </w:r>
            <w:r>
              <w:rPr>
                <w:rFonts w:ascii="华文细黑" w:hAnsi="华文细黑" w:eastAsia="华文细黑" w:cs="华文细黑"/>
                <w:kern w:val="0"/>
                <w:sz w:val="20"/>
              </w:rPr>
              <w:t>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ascii="华文细黑" w:hAnsi="华文细黑" w:eastAsia="华文细黑" w:cs="华文细黑"/>
                <w:kern w:val="0"/>
                <w:sz w:val="20"/>
              </w:rPr>
            </w:pPr>
            <w:r>
              <w:rPr>
                <w:rFonts w:ascii="华文细黑" w:hAnsi="华文细黑" w:eastAsia="华文细黑" w:cs="华文细黑"/>
                <w:kern w:val="0"/>
                <w:sz w:val="20"/>
              </w:rPr>
              <w:t>......</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tbl>
      <w:tblPr>
        <w:tblStyle w:val="9"/>
        <w:tblW w:w="996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78"/>
        <w:gridCol w:w="933"/>
        <w:gridCol w:w="3266"/>
        <w:gridCol w:w="622"/>
        <w:gridCol w:w="622"/>
        <w:gridCol w:w="622"/>
        <w:gridCol w:w="778"/>
        <w:gridCol w:w="92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960"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金总额</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（万元）</w:t>
            </w:r>
          </w:p>
        </w:tc>
        <w:tc>
          <w:tcPr>
            <w:tcW w:w="3266"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78" w:type="dxa"/>
            <w:vMerge w:val="restart"/>
            <w:tcBorders>
              <w:left w:val="single" w:color="000000" w:sz="4" w:space="0"/>
              <w:right w:val="single" w:color="000000" w:sz="4" w:space="0"/>
            </w:tcBorders>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长春市统计局双阳区分局</w:t>
            </w:r>
          </w:p>
        </w:tc>
        <w:tc>
          <w:tcPr>
            <w:tcW w:w="778" w:type="dxa"/>
            <w:vMerge w:val="restart"/>
            <w:tcBorders>
              <w:left w:val="single" w:color="000000" w:sz="4" w:space="0"/>
              <w:right w:val="single" w:color="000000" w:sz="4" w:space="0"/>
            </w:tcBorders>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统计调查经费</w:t>
            </w:r>
          </w:p>
        </w:tc>
        <w:tc>
          <w:tcPr>
            <w:tcW w:w="933" w:type="dxa"/>
            <w:vMerge w:val="restart"/>
            <w:tcBorders>
              <w:left w:val="single" w:color="000000" w:sz="4" w:space="0"/>
              <w:right w:val="single" w:color="000000" w:sz="4" w:space="0"/>
            </w:tcBorders>
            <w:vAlign w:val="center"/>
          </w:tcPr>
          <w:p>
            <w:pPr>
              <w:jc w:val="center"/>
              <w:rPr>
                <w:rFonts w:ascii="华文细黑" w:hAnsi="华文细黑" w:eastAsia="华文细黑"/>
                <w:sz w:val="16"/>
                <w:szCs w:val="16"/>
              </w:rPr>
            </w:pPr>
            <w:r>
              <w:rPr>
                <w:rFonts w:ascii="华文细黑" w:hAnsi="华文细黑" w:eastAsia="华文细黑"/>
                <w:sz w:val="16"/>
                <w:szCs w:val="16"/>
              </w:rPr>
              <w:t>31.27</w:t>
            </w:r>
          </w:p>
        </w:tc>
        <w:tc>
          <w:tcPr>
            <w:tcW w:w="3266" w:type="dxa"/>
            <w:vMerge w:val="restart"/>
            <w:tcBorders>
              <w:left w:val="single" w:color="000000" w:sz="4" w:space="0"/>
              <w:right w:val="single" w:color="000000" w:sz="4" w:space="0"/>
            </w:tcBorders>
            <w:vAlign w:val="center"/>
          </w:tcPr>
          <w:p>
            <w:pPr>
              <w:ind w:firstLine="320" w:firstLineChars="200"/>
              <w:rPr>
                <w:rFonts w:ascii="华文细黑" w:hAnsi="华文细黑" w:eastAsia="华文细黑"/>
                <w:sz w:val="16"/>
                <w:szCs w:val="16"/>
              </w:rPr>
            </w:pPr>
            <w:r>
              <w:rPr>
                <w:rFonts w:hint="eastAsia" w:ascii="华文细黑" w:hAnsi="华文细黑" w:eastAsia="华文细黑"/>
                <w:sz w:val="16"/>
                <w:szCs w:val="16"/>
              </w:rPr>
              <w:t>通过开展各类、各项统计调查、统计抽样调查，统计监测，不断深化统计管理改革，全面及时、准确地上报各专业统计报表，及时发布统计公报，为社会公众需要和政府决策，提供经济社会发展所需要的统计数据。目标</w:t>
            </w:r>
            <w:r>
              <w:rPr>
                <w:rFonts w:ascii="华文细黑" w:hAnsi="华文细黑" w:eastAsia="华文细黑"/>
                <w:sz w:val="16"/>
                <w:szCs w:val="16"/>
              </w:rPr>
              <w:t>1</w:t>
            </w:r>
            <w:r>
              <w:rPr>
                <w:rFonts w:hint="eastAsia" w:ascii="华文细黑" w:hAnsi="华文细黑" w:eastAsia="华文细黑"/>
                <w:sz w:val="16"/>
                <w:szCs w:val="16"/>
              </w:rPr>
              <w:t>：为了顺利开展各项统计调查、统计抽样调查工作，我单位对基层单位人员及调查员进行业务培训，保证调查数据质量。目标</w:t>
            </w:r>
            <w:r>
              <w:rPr>
                <w:rFonts w:ascii="华文细黑" w:hAnsi="华文细黑" w:eastAsia="华文细黑"/>
                <w:sz w:val="16"/>
                <w:szCs w:val="16"/>
              </w:rPr>
              <w:t>:2</w:t>
            </w:r>
            <w:r>
              <w:rPr>
                <w:rFonts w:hint="eastAsia" w:ascii="华文细黑" w:hAnsi="华文细黑" w:eastAsia="华文细黑"/>
                <w:sz w:val="16"/>
                <w:szCs w:val="16"/>
              </w:rPr>
              <w:t>：通过座谈交流，实地调研，深入研究分析基层单位运行现状，经济结构特点、存在问题，为基层单位经济高质量发展提供引领和指导。目标</w:t>
            </w:r>
            <w:r>
              <w:rPr>
                <w:rFonts w:ascii="华文细黑" w:hAnsi="华文细黑" w:eastAsia="华文细黑"/>
                <w:sz w:val="16"/>
                <w:szCs w:val="16"/>
              </w:rPr>
              <w:t>3</w:t>
            </w:r>
            <w:r>
              <w:rPr>
                <w:rFonts w:hint="eastAsia" w:ascii="华文细黑" w:hAnsi="华文细黑" w:eastAsia="华文细黑"/>
                <w:sz w:val="16"/>
                <w:szCs w:val="16"/>
              </w:rPr>
              <w:t>：为了更好的做好搜集、整理提供全区的基本统计资料工作，开展统计宣传，统计服务工作的透明度，配合度。目标</w:t>
            </w:r>
            <w:r>
              <w:rPr>
                <w:rFonts w:ascii="华文细黑" w:hAnsi="华文细黑" w:eastAsia="华文细黑"/>
                <w:sz w:val="16"/>
                <w:szCs w:val="16"/>
              </w:rPr>
              <w:t>4</w:t>
            </w:r>
            <w:r>
              <w:rPr>
                <w:rFonts w:hint="eastAsia" w:ascii="华文细黑" w:hAnsi="华文细黑" w:eastAsia="华文细黑"/>
                <w:sz w:val="16"/>
                <w:szCs w:val="16"/>
              </w:rPr>
              <w:t>：为更好的向区委、区政府提供统计信息和建议，建立和完善全社会新国民经济核算等统计制度和体系，印发各专业统计报表及统计制度，编辑出版《双阳统计年鉴》。</w:t>
            </w:r>
          </w:p>
        </w:tc>
        <w:tc>
          <w:tcPr>
            <w:tcW w:w="622" w:type="dxa"/>
            <w:vMerge w:val="restart"/>
            <w:vAlign w:val="center"/>
          </w:tcPr>
          <w:p>
            <w:pPr>
              <w:jc w:val="center"/>
              <w:rPr>
                <w:rFonts w:ascii="华文细黑" w:hAnsi="华文细黑" w:eastAsia="华文细黑"/>
                <w:sz w:val="16"/>
                <w:szCs w:val="16"/>
              </w:rPr>
            </w:pPr>
            <w:r>
              <w:rPr>
                <w:rFonts w:hint="eastAsia" w:ascii="华文细黑" w:hAnsi="华文细黑" w:eastAsia="华文细黑"/>
                <w:sz w:val="16"/>
                <w:szCs w:val="16"/>
              </w:rPr>
              <w:t>产出指标</w:t>
            </w:r>
          </w:p>
        </w:tc>
        <w:tc>
          <w:tcPr>
            <w:tcW w:w="622" w:type="dxa"/>
            <w:vMerge w:val="restart"/>
            <w:vAlign w:val="center"/>
          </w:tcPr>
          <w:p>
            <w:pPr>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数量指标</w:t>
            </w:r>
          </w:p>
          <w:p>
            <w:pPr>
              <w:jc w:val="center"/>
              <w:rPr>
                <w:rFonts w:ascii="华文细黑" w:hAnsi="华文细黑" w:eastAsia="华文细黑" w:cs="华文细黑"/>
                <w:kern w:val="0"/>
                <w:sz w:val="16"/>
                <w:szCs w:val="16"/>
              </w:rPr>
            </w:pPr>
          </w:p>
        </w:tc>
        <w:tc>
          <w:tcPr>
            <w:tcW w:w="622" w:type="dxa"/>
            <w:vAlign w:val="center"/>
          </w:tcPr>
          <w:p>
            <w:pPr>
              <w:rPr>
                <w:rFonts w:ascii="华文细黑" w:hAnsi="华文细黑" w:eastAsia="华文细黑" w:cs="宋体"/>
                <w:sz w:val="16"/>
                <w:szCs w:val="16"/>
              </w:rPr>
            </w:pPr>
            <w:r>
              <w:rPr>
                <w:rFonts w:hint="eastAsia" w:ascii="华文细黑" w:hAnsi="华文细黑" w:eastAsia="华文细黑"/>
                <w:sz w:val="16"/>
                <w:szCs w:val="16"/>
              </w:rPr>
              <w:t>统计信息发布条数</w:t>
            </w:r>
          </w:p>
        </w:tc>
        <w:tc>
          <w:tcPr>
            <w:tcW w:w="778"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反映数据发布情况</w:t>
            </w:r>
          </w:p>
        </w:tc>
        <w:tc>
          <w:tcPr>
            <w:tcW w:w="921"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w:t>
            </w:r>
            <w:r>
              <w:rPr>
                <w:rFonts w:ascii="华文细黑" w:hAnsi="华文细黑" w:eastAsia="华文细黑"/>
                <w:sz w:val="16"/>
                <w:szCs w:val="16"/>
              </w:rPr>
              <w:t>10</w:t>
            </w:r>
            <w:r>
              <w:rPr>
                <w:rFonts w:hint="eastAsia" w:ascii="华文细黑" w:hAnsi="华文细黑" w:eastAsia="华文细黑"/>
                <w:sz w:val="16"/>
                <w:szCs w:val="16"/>
              </w:rPr>
              <w:t>条</w:t>
            </w:r>
          </w:p>
        </w:tc>
        <w:tc>
          <w:tcPr>
            <w:tcW w:w="640" w:type="dxa"/>
            <w:vAlign w:val="center"/>
          </w:tcPr>
          <w:p>
            <w:pPr>
              <w:jc w:val="center"/>
              <w:rPr>
                <w:rFonts w:ascii="华文细黑" w:hAnsi="华文细黑" w:eastAsia="华文细黑" w:cs="宋体"/>
                <w:sz w:val="16"/>
                <w:szCs w:val="16"/>
              </w:rPr>
            </w:pPr>
            <w:r>
              <w:rPr>
                <w:rFonts w:ascii="华文细黑" w:hAnsi="华文细黑" w:eastAsia="华文细黑"/>
                <w:sz w:val="16"/>
                <w:szCs w:val="1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933"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3266" w:type="dxa"/>
            <w:vMerge w:val="continue"/>
            <w:tcBorders>
              <w:left w:val="single" w:color="000000" w:sz="4" w:space="0"/>
              <w:right w:val="single" w:color="000000" w:sz="4" w:space="0"/>
            </w:tcBorders>
            <w:vAlign w:val="center"/>
          </w:tcPr>
          <w:p>
            <w:pPr>
              <w:jc w:val="center"/>
              <w:rPr>
                <w:rFonts w:ascii="华文细黑" w:hAnsi="华文细黑" w:eastAsia="华文细黑"/>
                <w:sz w:val="16"/>
                <w:szCs w:val="16"/>
              </w:rPr>
            </w:pPr>
          </w:p>
        </w:tc>
        <w:tc>
          <w:tcPr>
            <w:tcW w:w="622" w:type="dxa"/>
            <w:vMerge w:val="continue"/>
            <w:vAlign w:val="center"/>
          </w:tcPr>
          <w:p>
            <w:pPr>
              <w:jc w:val="center"/>
              <w:rPr>
                <w:rFonts w:ascii="华文细黑" w:hAnsi="华文细黑" w:eastAsia="华文细黑"/>
                <w:sz w:val="16"/>
                <w:szCs w:val="16"/>
              </w:rPr>
            </w:pPr>
          </w:p>
        </w:tc>
        <w:tc>
          <w:tcPr>
            <w:tcW w:w="622" w:type="dxa"/>
            <w:vMerge w:val="continue"/>
            <w:vAlign w:val="center"/>
          </w:tcPr>
          <w:p>
            <w:pPr>
              <w:jc w:val="center"/>
              <w:rPr>
                <w:rFonts w:ascii="华文细黑" w:hAnsi="华文细黑" w:eastAsia="华文细黑" w:cs="华文细黑"/>
                <w:kern w:val="0"/>
                <w:sz w:val="16"/>
                <w:szCs w:val="16"/>
              </w:rPr>
            </w:pPr>
          </w:p>
        </w:tc>
        <w:tc>
          <w:tcPr>
            <w:tcW w:w="622" w:type="dxa"/>
            <w:vAlign w:val="center"/>
          </w:tcPr>
          <w:p>
            <w:pPr>
              <w:rPr>
                <w:rFonts w:ascii="华文细黑" w:hAnsi="华文细黑" w:eastAsia="华文细黑" w:cs="宋体"/>
                <w:sz w:val="16"/>
                <w:szCs w:val="16"/>
              </w:rPr>
            </w:pPr>
            <w:r>
              <w:rPr>
                <w:rFonts w:hint="eastAsia" w:ascii="华文细黑" w:hAnsi="华文细黑" w:eastAsia="华文细黑"/>
                <w:sz w:val="16"/>
                <w:szCs w:val="16"/>
              </w:rPr>
              <w:t>统计分析报告篇数</w:t>
            </w:r>
          </w:p>
        </w:tc>
        <w:tc>
          <w:tcPr>
            <w:tcW w:w="778"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反映统计分析报告篇数情况。</w:t>
            </w:r>
          </w:p>
        </w:tc>
        <w:tc>
          <w:tcPr>
            <w:tcW w:w="921"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w:t>
            </w:r>
            <w:r>
              <w:rPr>
                <w:rFonts w:ascii="华文细黑" w:hAnsi="华文细黑" w:eastAsia="华文细黑"/>
                <w:sz w:val="16"/>
                <w:szCs w:val="16"/>
              </w:rPr>
              <w:t>4</w:t>
            </w:r>
            <w:r>
              <w:rPr>
                <w:rFonts w:hint="eastAsia" w:ascii="华文细黑" w:hAnsi="华文细黑" w:eastAsia="华文细黑"/>
                <w:sz w:val="16"/>
                <w:szCs w:val="16"/>
              </w:rPr>
              <w:t>篇</w:t>
            </w:r>
          </w:p>
        </w:tc>
        <w:tc>
          <w:tcPr>
            <w:tcW w:w="640" w:type="dxa"/>
            <w:vAlign w:val="center"/>
          </w:tcPr>
          <w:p>
            <w:pPr>
              <w:jc w:val="center"/>
              <w:rPr>
                <w:rFonts w:ascii="华文细黑" w:hAnsi="华文细黑" w:eastAsia="华文细黑" w:cs="宋体"/>
                <w:sz w:val="16"/>
                <w:szCs w:val="16"/>
              </w:rPr>
            </w:pPr>
            <w:r>
              <w:rPr>
                <w:rFonts w:ascii="华文细黑" w:hAnsi="华文细黑" w:eastAsia="华文细黑"/>
                <w:sz w:val="16"/>
                <w:szCs w:val="1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933"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3266" w:type="dxa"/>
            <w:vMerge w:val="continue"/>
            <w:tcBorders>
              <w:left w:val="single" w:color="000000" w:sz="4" w:space="0"/>
              <w:right w:val="single" w:color="000000" w:sz="4" w:space="0"/>
            </w:tcBorders>
            <w:vAlign w:val="center"/>
          </w:tcPr>
          <w:p>
            <w:pPr>
              <w:jc w:val="center"/>
              <w:rPr>
                <w:rFonts w:ascii="华文细黑" w:hAnsi="华文细黑" w:eastAsia="华文细黑"/>
                <w:sz w:val="16"/>
                <w:szCs w:val="16"/>
              </w:rPr>
            </w:pPr>
          </w:p>
        </w:tc>
        <w:tc>
          <w:tcPr>
            <w:tcW w:w="622"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效益指标</w:t>
            </w:r>
          </w:p>
        </w:tc>
        <w:tc>
          <w:tcPr>
            <w:tcW w:w="622" w:type="dxa"/>
            <w:vAlign w:val="center"/>
          </w:tcPr>
          <w:p>
            <w:pPr>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经济效益指标</w:t>
            </w:r>
          </w:p>
        </w:tc>
        <w:tc>
          <w:tcPr>
            <w:tcW w:w="622" w:type="dxa"/>
            <w:vAlign w:val="center"/>
          </w:tcPr>
          <w:p>
            <w:pPr>
              <w:rPr>
                <w:rFonts w:ascii="华文细黑" w:hAnsi="华文细黑" w:eastAsia="华文细黑" w:cs="宋体"/>
                <w:sz w:val="16"/>
                <w:szCs w:val="16"/>
              </w:rPr>
            </w:pPr>
            <w:r>
              <w:rPr>
                <w:rFonts w:hint="eastAsia" w:ascii="华文细黑" w:hAnsi="华文细黑" w:eastAsia="华文细黑"/>
                <w:sz w:val="16"/>
                <w:szCs w:val="16"/>
              </w:rPr>
              <w:t>向社会公众提供统计公报</w:t>
            </w:r>
          </w:p>
        </w:tc>
        <w:tc>
          <w:tcPr>
            <w:tcW w:w="778"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向社会公众提供统计公报篇数</w:t>
            </w:r>
          </w:p>
        </w:tc>
        <w:tc>
          <w:tcPr>
            <w:tcW w:w="921" w:type="dxa"/>
            <w:vAlign w:val="center"/>
          </w:tcPr>
          <w:p>
            <w:pPr>
              <w:jc w:val="center"/>
              <w:rPr>
                <w:rFonts w:ascii="华文细黑" w:hAnsi="华文细黑" w:eastAsia="华文细黑" w:cs="宋体"/>
                <w:sz w:val="16"/>
                <w:szCs w:val="16"/>
              </w:rPr>
            </w:pPr>
            <w:r>
              <w:rPr>
                <w:rFonts w:ascii="华文细黑" w:hAnsi="华文细黑" w:eastAsia="华文细黑"/>
                <w:sz w:val="16"/>
                <w:szCs w:val="16"/>
              </w:rPr>
              <w:t>=1</w:t>
            </w:r>
            <w:r>
              <w:rPr>
                <w:rFonts w:hint="eastAsia" w:ascii="华文细黑" w:hAnsi="华文细黑" w:eastAsia="华文细黑"/>
                <w:sz w:val="16"/>
                <w:szCs w:val="16"/>
              </w:rPr>
              <w:t>篇</w:t>
            </w:r>
          </w:p>
        </w:tc>
        <w:tc>
          <w:tcPr>
            <w:tcW w:w="640" w:type="dxa"/>
            <w:vAlign w:val="center"/>
          </w:tcPr>
          <w:p>
            <w:pPr>
              <w:jc w:val="center"/>
              <w:rPr>
                <w:rFonts w:ascii="华文细黑" w:hAnsi="华文细黑" w:eastAsia="华文细黑" w:cs="宋体"/>
                <w:sz w:val="16"/>
                <w:szCs w:val="16"/>
              </w:rPr>
            </w:pPr>
            <w:r>
              <w:rPr>
                <w:rFonts w:ascii="华文细黑" w:hAnsi="华文细黑" w:eastAsia="华文细黑"/>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778" w:type="dxa"/>
            <w:vMerge w:val="restart"/>
            <w:tcBorders>
              <w:left w:val="single" w:color="000000" w:sz="4" w:space="0"/>
              <w:right w:val="single" w:color="000000" w:sz="4" w:space="0"/>
            </w:tcBorders>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第五次全国经济普查经费</w:t>
            </w:r>
          </w:p>
        </w:tc>
        <w:tc>
          <w:tcPr>
            <w:tcW w:w="933" w:type="dxa"/>
            <w:vMerge w:val="restart"/>
            <w:tcBorders>
              <w:left w:val="single" w:color="000000" w:sz="4" w:space="0"/>
              <w:right w:val="single" w:color="000000" w:sz="4" w:space="0"/>
            </w:tcBorders>
            <w:vAlign w:val="center"/>
          </w:tcPr>
          <w:p>
            <w:pPr>
              <w:jc w:val="center"/>
              <w:rPr>
                <w:rFonts w:ascii="华文细黑" w:hAnsi="华文细黑" w:eastAsia="华文细黑" w:cs="宋体"/>
                <w:sz w:val="16"/>
                <w:szCs w:val="16"/>
              </w:rPr>
            </w:pPr>
            <w:r>
              <w:rPr>
                <w:rFonts w:ascii="华文细黑" w:hAnsi="华文细黑" w:eastAsia="华文细黑"/>
                <w:sz w:val="16"/>
                <w:szCs w:val="16"/>
              </w:rPr>
              <w:t>46.57</w:t>
            </w:r>
          </w:p>
        </w:tc>
        <w:tc>
          <w:tcPr>
            <w:tcW w:w="3266" w:type="dxa"/>
            <w:vMerge w:val="restart"/>
            <w:tcBorders>
              <w:left w:val="single" w:color="000000" w:sz="4" w:space="0"/>
              <w:right w:val="single" w:color="000000" w:sz="4" w:space="0"/>
            </w:tcBorders>
            <w:vAlign w:val="center"/>
          </w:tcPr>
          <w:p>
            <w:pPr>
              <w:ind w:firstLine="320" w:firstLineChars="200"/>
              <w:rPr>
                <w:rFonts w:ascii="华文细黑" w:hAnsi="华文细黑" w:eastAsia="华文细黑" w:cs="宋体"/>
                <w:sz w:val="16"/>
                <w:szCs w:val="16"/>
              </w:rPr>
            </w:pPr>
            <w:r>
              <w:rPr>
                <w:rFonts w:hint="eastAsia" w:ascii="华文细黑" w:hAnsi="华文细黑" w:eastAsia="华文细黑"/>
                <w:sz w:val="16"/>
                <w:szCs w:val="16"/>
              </w:rPr>
              <w:t>根据《中华人民共和国统计法》，《中华人民共和国统计法实施条例》，《全国经济普查条例》，开展我区经济普查工作，制定普查方案和工作计划，开展普查宣传、清查摸底、入户登记及事后质量抽查。</w:t>
            </w:r>
          </w:p>
        </w:tc>
        <w:tc>
          <w:tcPr>
            <w:tcW w:w="622" w:type="dxa"/>
            <w:vAlign w:val="center"/>
          </w:tcPr>
          <w:p>
            <w:pPr>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产出指标</w:t>
            </w:r>
          </w:p>
        </w:tc>
        <w:tc>
          <w:tcPr>
            <w:tcW w:w="622"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数量指标</w:t>
            </w:r>
          </w:p>
        </w:tc>
        <w:tc>
          <w:tcPr>
            <w:tcW w:w="622" w:type="dxa"/>
            <w:vAlign w:val="center"/>
          </w:tcPr>
          <w:p>
            <w:pPr>
              <w:rPr>
                <w:rFonts w:ascii="华文细黑" w:hAnsi="华文细黑" w:eastAsia="华文细黑" w:cs="宋体"/>
                <w:sz w:val="16"/>
                <w:szCs w:val="16"/>
              </w:rPr>
            </w:pPr>
            <w:r>
              <w:rPr>
                <w:rFonts w:hint="eastAsia" w:ascii="华文细黑" w:hAnsi="华文细黑" w:eastAsia="华文细黑"/>
                <w:sz w:val="16"/>
                <w:szCs w:val="16"/>
              </w:rPr>
              <w:t>普查员、普查指导员补贴发放人数</w:t>
            </w:r>
          </w:p>
        </w:tc>
        <w:tc>
          <w:tcPr>
            <w:tcW w:w="778"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反映普查员、普查指导员补贴发放人数。</w:t>
            </w:r>
          </w:p>
        </w:tc>
        <w:tc>
          <w:tcPr>
            <w:tcW w:w="921" w:type="dxa"/>
            <w:vAlign w:val="center"/>
          </w:tcPr>
          <w:p>
            <w:pPr>
              <w:jc w:val="center"/>
              <w:rPr>
                <w:rFonts w:ascii="华文细黑" w:hAnsi="华文细黑" w:eastAsia="华文细黑" w:cs="宋体"/>
                <w:sz w:val="16"/>
                <w:szCs w:val="16"/>
              </w:rPr>
            </w:pPr>
            <w:r>
              <w:rPr>
                <w:rFonts w:hint="eastAsia" w:ascii="华文细黑" w:hAnsi="华文细黑" w:eastAsia="华文细黑"/>
                <w:sz w:val="16"/>
                <w:szCs w:val="16"/>
              </w:rPr>
              <w:t>≥</w:t>
            </w:r>
            <w:r>
              <w:rPr>
                <w:rFonts w:ascii="华文细黑" w:hAnsi="华文细黑" w:eastAsia="华文细黑"/>
                <w:sz w:val="16"/>
                <w:szCs w:val="16"/>
              </w:rPr>
              <w:t>200</w:t>
            </w:r>
            <w:r>
              <w:rPr>
                <w:rFonts w:hint="eastAsia" w:ascii="华文细黑" w:hAnsi="华文细黑" w:eastAsia="华文细黑"/>
                <w:sz w:val="16"/>
                <w:szCs w:val="16"/>
              </w:rPr>
              <w:t>人</w:t>
            </w:r>
          </w:p>
        </w:tc>
        <w:tc>
          <w:tcPr>
            <w:tcW w:w="640" w:type="dxa"/>
            <w:vAlign w:val="center"/>
          </w:tcPr>
          <w:p>
            <w:pPr>
              <w:jc w:val="center"/>
              <w:rPr>
                <w:rFonts w:ascii="华文细黑" w:hAnsi="华文细黑" w:eastAsia="华文细黑" w:cs="宋体"/>
                <w:sz w:val="16"/>
                <w:szCs w:val="16"/>
              </w:rPr>
            </w:pPr>
            <w:r>
              <w:rPr>
                <w:rFonts w:ascii="华文细黑" w:hAnsi="华文细黑" w:eastAsia="华文细黑"/>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77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933"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3266"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6"/>
                <w:szCs w:val="16"/>
              </w:rPr>
            </w:pPr>
          </w:p>
        </w:tc>
        <w:tc>
          <w:tcPr>
            <w:tcW w:w="622" w:type="dxa"/>
            <w:vAlign w:val="center"/>
          </w:tcPr>
          <w:p>
            <w:pPr>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效益指标</w:t>
            </w:r>
          </w:p>
        </w:tc>
        <w:tc>
          <w:tcPr>
            <w:tcW w:w="622" w:type="dxa"/>
            <w:vAlign w:val="center"/>
          </w:tcPr>
          <w:p>
            <w:pPr>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经济效益指标</w:t>
            </w:r>
          </w:p>
        </w:tc>
        <w:tc>
          <w:tcPr>
            <w:tcW w:w="622" w:type="dxa"/>
            <w:vAlign w:val="center"/>
          </w:tcPr>
          <w:p>
            <w:pPr>
              <w:rPr>
                <w:rFonts w:ascii="华文细黑" w:hAnsi="华文细黑" w:eastAsia="华文细黑"/>
                <w:sz w:val="16"/>
                <w:szCs w:val="16"/>
              </w:rPr>
            </w:pPr>
            <w:r>
              <w:rPr>
                <w:rFonts w:hint="eastAsia" w:ascii="华文细黑" w:hAnsi="华文细黑" w:eastAsia="华文细黑"/>
                <w:sz w:val="16"/>
                <w:szCs w:val="16"/>
              </w:rPr>
              <w:t>普查员、普查指导员补贴发放覆盖率</w:t>
            </w:r>
          </w:p>
        </w:tc>
        <w:tc>
          <w:tcPr>
            <w:tcW w:w="778"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反映普查员、普查指导员补贴发放覆盖率情况。</w:t>
            </w:r>
          </w:p>
        </w:tc>
        <w:tc>
          <w:tcPr>
            <w:tcW w:w="92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r>
              <w:rPr>
                <w:rFonts w:ascii="华文细黑" w:hAnsi="华文细黑" w:eastAsia="华文细黑"/>
                <w:sz w:val="16"/>
                <w:szCs w:val="16"/>
              </w:rPr>
              <w:t>95%</w:t>
            </w:r>
          </w:p>
        </w:tc>
        <w:tc>
          <w:tcPr>
            <w:tcW w:w="640" w:type="dxa"/>
            <w:vAlign w:val="center"/>
          </w:tcPr>
          <w:p>
            <w:pPr>
              <w:jc w:val="center"/>
              <w:rPr>
                <w:rFonts w:ascii="华文细黑" w:hAnsi="华文细黑" w:eastAsia="华文细黑"/>
                <w:sz w:val="16"/>
                <w:szCs w:val="16"/>
              </w:rPr>
            </w:pPr>
            <w:r>
              <w:rPr>
                <w:rFonts w:ascii="华文细黑" w:hAnsi="华文细黑" w:eastAsia="华文细黑"/>
                <w:sz w:val="16"/>
                <w:szCs w:val="16"/>
              </w:rPr>
              <w:t>40</w:t>
            </w:r>
          </w:p>
        </w:tc>
      </w:tr>
    </w:tbl>
    <w:p>
      <w:pPr>
        <w:ind w:firstLine="640" w:firstLineChars="200"/>
        <w:jc w:val="center"/>
        <w:rPr>
          <w:rFonts w:eastAsia="黑体"/>
        </w:rPr>
      </w:pPr>
      <w:r>
        <w:rPr>
          <w:rFonts w:hint="eastAsia" w:eastAsia="黑体"/>
        </w:rPr>
        <w:t>第三部分</w:t>
      </w:r>
      <w:r>
        <w:rPr>
          <w:rFonts w:eastAsia="黑体"/>
        </w:rPr>
        <w:t xml:space="preserve"> </w:t>
      </w:r>
      <w:r>
        <w:rPr>
          <w:rFonts w:hint="eastAsia" w:eastAsia="黑体"/>
        </w:rPr>
        <w:t>情况说明</w:t>
      </w:r>
    </w:p>
    <w:p>
      <w:pPr>
        <w:rPr>
          <w:rFonts w:eastAsia="仿宋"/>
          <w:szCs w:val="32"/>
        </w:rPr>
      </w:pPr>
    </w:p>
    <w:p>
      <w:pPr>
        <w:ind w:firstLine="640" w:firstLineChars="200"/>
        <w:rPr>
          <w:rFonts w:eastAsia="黑体"/>
          <w:szCs w:val="32"/>
        </w:rPr>
      </w:pPr>
      <w:r>
        <w:rPr>
          <w:rFonts w:hint="eastAsia" w:eastAsia="黑体"/>
          <w:szCs w:val="32"/>
        </w:rPr>
        <w:t>一、</w:t>
      </w:r>
      <w:r>
        <w:rPr>
          <w:rFonts w:eastAsia="黑体"/>
          <w:szCs w:val="32"/>
        </w:rPr>
        <w:t>2024</w:t>
      </w:r>
      <w:r>
        <w:rPr>
          <w:rFonts w:hint="eastAsia" w:eastAsia="黑体"/>
          <w:szCs w:val="32"/>
        </w:rPr>
        <w:t>年收支预算总体情况</w:t>
      </w:r>
    </w:p>
    <w:p>
      <w:pPr>
        <w:ind w:firstLine="640" w:firstLineChars="200"/>
        <w:rPr>
          <w:szCs w:val="32"/>
        </w:rPr>
      </w:pPr>
      <w:r>
        <w:rPr>
          <w:rFonts w:hint="eastAsia"/>
          <w:szCs w:val="32"/>
        </w:rPr>
        <w:t>按照综合预算的原则，所有收入和支出全部纳入单位预算管理。收入包括：一般公共预算拨款收入、上年结转等；支出包括：一般公共服务支出、社会保障和就业支出、</w:t>
      </w:r>
      <w:r>
        <w:rPr>
          <w:rFonts w:hint="eastAsia" w:ascii="仿宋" w:hAnsi="仿宋" w:eastAsia="仿宋" w:cs="宋体"/>
          <w:color w:val="000000"/>
          <w:kern w:val="0"/>
          <w:szCs w:val="32"/>
        </w:rPr>
        <w:t>卫生健康</w:t>
      </w:r>
      <w:r>
        <w:rPr>
          <w:rFonts w:hint="eastAsia" w:ascii="仿宋" w:hAnsi="仿宋" w:eastAsia="仿宋"/>
          <w:szCs w:val="32"/>
        </w:rPr>
        <w:t>支出、</w:t>
      </w:r>
      <w:r>
        <w:rPr>
          <w:rFonts w:hint="eastAsia"/>
          <w:szCs w:val="32"/>
        </w:rPr>
        <w:t>住房保障支出等。</w:t>
      </w:r>
      <w:r>
        <w:rPr>
          <w:szCs w:val="32"/>
        </w:rPr>
        <w:t>2024</w:t>
      </w:r>
      <w:r>
        <w:rPr>
          <w:rFonts w:hint="eastAsia"/>
          <w:szCs w:val="32"/>
        </w:rPr>
        <w:t>年收支总预算</w:t>
      </w:r>
      <w:r>
        <w:rPr>
          <w:szCs w:val="32"/>
        </w:rPr>
        <w:t>226.32</w:t>
      </w:r>
      <w:r>
        <w:rPr>
          <w:rFonts w:hint="eastAsia"/>
          <w:szCs w:val="32"/>
        </w:rPr>
        <w:t>万元，其中：本年预算</w:t>
      </w:r>
      <w:r>
        <w:rPr>
          <w:szCs w:val="32"/>
        </w:rPr>
        <w:t>221.06</w:t>
      </w:r>
      <w:r>
        <w:rPr>
          <w:rFonts w:hint="eastAsia"/>
          <w:szCs w:val="32"/>
        </w:rPr>
        <w:t>万元；上年结转</w:t>
      </w:r>
      <w:r>
        <w:rPr>
          <w:szCs w:val="32"/>
        </w:rPr>
        <w:t>5.26</w:t>
      </w:r>
      <w:r>
        <w:rPr>
          <w:rFonts w:hint="eastAsia"/>
          <w:szCs w:val="32"/>
        </w:rPr>
        <w:t>万元。</w:t>
      </w:r>
      <w:r>
        <w:rPr>
          <w:szCs w:val="32"/>
        </w:rPr>
        <w:t>2024</w:t>
      </w:r>
      <w:r>
        <w:rPr>
          <w:rFonts w:hint="eastAsia"/>
          <w:szCs w:val="32"/>
        </w:rPr>
        <w:t>年本年预算比</w:t>
      </w:r>
      <w:r>
        <w:rPr>
          <w:szCs w:val="32"/>
        </w:rPr>
        <w:t>2023</w:t>
      </w:r>
      <w:r>
        <w:rPr>
          <w:rFonts w:hint="eastAsia"/>
          <w:szCs w:val="32"/>
        </w:rPr>
        <w:t>年当年预算增加</w:t>
      </w:r>
      <w:r>
        <w:rPr>
          <w:szCs w:val="32"/>
        </w:rPr>
        <w:t>67.32</w:t>
      </w:r>
      <w:r>
        <w:rPr>
          <w:rFonts w:hint="eastAsia"/>
          <w:szCs w:val="32"/>
        </w:rPr>
        <w:t>万元，主要原因是本年新增加了第五次全国经济普查经费。</w:t>
      </w:r>
    </w:p>
    <w:p>
      <w:pPr>
        <w:ind w:firstLine="640" w:firstLineChars="200"/>
        <w:rPr>
          <w:rFonts w:eastAsia="黑体"/>
          <w:szCs w:val="32"/>
        </w:rPr>
      </w:pPr>
      <w:r>
        <w:rPr>
          <w:rFonts w:hint="eastAsia" w:eastAsia="黑体"/>
          <w:szCs w:val="32"/>
        </w:rPr>
        <w:t>二、</w:t>
      </w:r>
      <w:r>
        <w:rPr>
          <w:rFonts w:eastAsia="黑体"/>
          <w:szCs w:val="32"/>
        </w:rPr>
        <w:t>2024</w:t>
      </w:r>
      <w:r>
        <w:rPr>
          <w:rFonts w:hint="eastAsia" w:eastAsia="黑体"/>
          <w:szCs w:val="32"/>
        </w:rPr>
        <w:t>年收入预算情况</w:t>
      </w:r>
    </w:p>
    <w:p>
      <w:pPr>
        <w:ind w:firstLine="640" w:firstLineChars="200"/>
        <w:rPr>
          <w:rFonts w:eastAsia="楷体"/>
          <w:szCs w:val="30"/>
        </w:rPr>
      </w:pPr>
      <w:r>
        <w:rPr>
          <w:szCs w:val="32"/>
        </w:rPr>
        <w:t>2024</w:t>
      </w:r>
      <w:r>
        <w:rPr>
          <w:rFonts w:hint="eastAsia"/>
          <w:szCs w:val="32"/>
        </w:rPr>
        <w:t>年收入预算</w:t>
      </w:r>
      <w:r>
        <w:rPr>
          <w:szCs w:val="32"/>
        </w:rPr>
        <w:t>226.32</w:t>
      </w:r>
      <w:r>
        <w:rPr>
          <w:rFonts w:hint="eastAsia"/>
          <w:szCs w:val="32"/>
        </w:rPr>
        <w:t>万元，其中：本年收入</w:t>
      </w:r>
      <w:r>
        <w:rPr>
          <w:szCs w:val="32"/>
        </w:rPr>
        <w:t>221.06</w:t>
      </w:r>
      <w:r>
        <w:rPr>
          <w:rFonts w:hint="eastAsia"/>
          <w:szCs w:val="32"/>
        </w:rPr>
        <w:t>万元，占</w:t>
      </w:r>
      <w:r>
        <w:rPr>
          <w:szCs w:val="32"/>
        </w:rPr>
        <w:t>97.68%</w:t>
      </w:r>
      <w:r>
        <w:rPr>
          <w:rFonts w:hint="eastAsia"/>
          <w:szCs w:val="32"/>
        </w:rPr>
        <w:t>；上年结转</w:t>
      </w:r>
      <w:r>
        <w:rPr>
          <w:szCs w:val="32"/>
        </w:rPr>
        <w:t>5.26</w:t>
      </w:r>
      <w:r>
        <w:rPr>
          <w:rFonts w:hint="eastAsia"/>
          <w:szCs w:val="32"/>
        </w:rPr>
        <w:t>万元，占</w:t>
      </w:r>
      <w:r>
        <w:rPr>
          <w:szCs w:val="32"/>
        </w:rPr>
        <w:t>2.32%</w:t>
      </w:r>
      <w:r>
        <w:rPr>
          <w:rFonts w:hint="eastAsia"/>
          <w:szCs w:val="32"/>
        </w:rPr>
        <w:t>。本年收入中，一般公共预算拨款收入</w:t>
      </w:r>
      <w:r>
        <w:rPr>
          <w:szCs w:val="32"/>
        </w:rPr>
        <w:t>221.06</w:t>
      </w:r>
      <w:r>
        <w:rPr>
          <w:rFonts w:hint="eastAsia"/>
          <w:szCs w:val="32"/>
        </w:rPr>
        <w:t>万元，占</w:t>
      </w:r>
      <w:r>
        <w:rPr>
          <w:szCs w:val="32"/>
        </w:rPr>
        <w:t>100%</w:t>
      </w:r>
      <w:r>
        <w:rPr>
          <w:rFonts w:hint="eastAsia"/>
          <w:szCs w:val="32"/>
        </w:rPr>
        <w:t>。上年结转中，一般公共预算拨款结转</w:t>
      </w:r>
      <w:r>
        <w:rPr>
          <w:szCs w:val="32"/>
        </w:rPr>
        <w:t>5.26</w:t>
      </w:r>
      <w:r>
        <w:rPr>
          <w:rFonts w:hint="eastAsia"/>
          <w:szCs w:val="32"/>
        </w:rPr>
        <w:t>万元，占</w:t>
      </w:r>
      <w:r>
        <w:rPr>
          <w:szCs w:val="32"/>
        </w:rPr>
        <w:t>100%</w:t>
      </w:r>
      <w:r>
        <w:rPr>
          <w:rFonts w:hint="eastAsia"/>
          <w:szCs w:val="32"/>
        </w:rPr>
        <w:t>。</w:t>
      </w:r>
    </w:p>
    <w:p>
      <w:pPr>
        <w:ind w:firstLine="640" w:firstLineChars="200"/>
        <w:rPr>
          <w:rFonts w:eastAsia="黑体"/>
          <w:szCs w:val="32"/>
        </w:rPr>
      </w:pPr>
      <w:r>
        <w:rPr>
          <w:rFonts w:hint="eastAsia" w:eastAsia="黑体"/>
          <w:szCs w:val="32"/>
        </w:rPr>
        <w:t>三、</w:t>
      </w:r>
      <w:r>
        <w:rPr>
          <w:rFonts w:eastAsia="黑体"/>
          <w:szCs w:val="32"/>
        </w:rPr>
        <w:t>202</w:t>
      </w:r>
      <w:r>
        <w:rPr>
          <w:szCs w:val="32"/>
        </w:rPr>
        <w:t>4</w:t>
      </w:r>
      <w:r>
        <w:rPr>
          <w:rFonts w:hint="eastAsia" w:eastAsia="黑体"/>
          <w:szCs w:val="32"/>
        </w:rPr>
        <w:t>年支出预算情况</w:t>
      </w:r>
    </w:p>
    <w:p>
      <w:pPr>
        <w:ind w:firstLine="640" w:firstLineChars="200"/>
        <w:rPr>
          <w:szCs w:val="32"/>
        </w:rPr>
      </w:pPr>
      <w:r>
        <w:rPr>
          <w:szCs w:val="32"/>
        </w:rPr>
        <w:t>2024</w:t>
      </w:r>
      <w:r>
        <w:rPr>
          <w:rFonts w:hint="eastAsia"/>
          <w:szCs w:val="32"/>
        </w:rPr>
        <w:t>年支出预算</w:t>
      </w:r>
      <w:r>
        <w:rPr>
          <w:szCs w:val="32"/>
        </w:rPr>
        <w:t>226.32</w:t>
      </w:r>
      <w:r>
        <w:rPr>
          <w:rFonts w:hint="eastAsia"/>
          <w:szCs w:val="32"/>
        </w:rPr>
        <w:t>万元，其中：基本支出</w:t>
      </w:r>
      <w:r>
        <w:rPr>
          <w:szCs w:val="32"/>
        </w:rPr>
        <w:t>148.48</w:t>
      </w:r>
      <w:r>
        <w:rPr>
          <w:rFonts w:hint="eastAsia"/>
          <w:szCs w:val="32"/>
        </w:rPr>
        <w:t>万元，占</w:t>
      </w:r>
      <w:r>
        <w:rPr>
          <w:szCs w:val="32"/>
        </w:rPr>
        <w:t>65.61%</w:t>
      </w:r>
      <w:r>
        <w:rPr>
          <w:rFonts w:hint="eastAsia"/>
          <w:szCs w:val="32"/>
        </w:rPr>
        <w:t>；项目支出</w:t>
      </w:r>
      <w:r>
        <w:rPr>
          <w:szCs w:val="32"/>
        </w:rPr>
        <w:t>77.84</w:t>
      </w:r>
      <w:r>
        <w:rPr>
          <w:rFonts w:hint="eastAsia"/>
          <w:szCs w:val="32"/>
        </w:rPr>
        <w:t>万元，占</w:t>
      </w:r>
      <w:r>
        <w:rPr>
          <w:szCs w:val="32"/>
        </w:rPr>
        <w:t>34.39%</w:t>
      </w:r>
      <w:r>
        <w:rPr>
          <w:rFonts w:hint="eastAsia"/>
          <w:szCs w:val="32"/>
        </w:rPr>
        <w:t>。</w:t>
      </w:r>
    </w:p>
    <w:p>
      <w:pPr>
        <w:ind w:firstLine="600"/>
        <w:rPr>
          <w:rFonts w:eastAsia="黑体"/>
          <w:szCs w:val="32"/>
        </w:rPr>
      </w:pPr>
      <w:r>
        <w:rPr>
          <w:rFonts w:hint="eastAsia" w:eastAsia="黑体"/>
          <w:szCs w:val="32"/>
        </w:rPr>
        <w:t>四、</w:t>
      </w:r>
      <w:r>
        <w:rPr>
          <w:rFonts w:eastAsia="黑体"/>
          <w:szCs w:val="32"/>
        </w:rPr>
        <w:t>202</w:t>
      </w:r>
      <w:r>
        <w:rPr>
          <w:szCs w:val="32"/>
        </w:rPr>
        <w:t>4</w:t>
      </w:r>
      <w:r>
        <w:rPr>
          <w:rFonts w:hint="eastAsia" w:eastAsia="黑体"/>
          <w:szCs w:val="32"/>
        </w:rPr>
        <w:t>年财政拨款收支预算情况</w:t>
      </w:r>
    </w:p>
    <w:p>
      <w:pPr>
        <w:ind w:firstLine="600"/>
        <w:rPr>
          <w:szCs w:val="32"/>
        </w:rPr>
      </w:pPr>
      <w:r>
        <w:rPr>
          <w:szCs w:val="32"/>
        </w:rPr>
        <w:t>2024</w:t>
      </w:r>
      <w:r>
        <w:rPr>
          <w:rFonts w:hint="eastAsia"/>
          <w:szCs w:val="32"/>
        </w:rPr>
        <w:t>年财政拨款收支总预算</w:t>
      </w:r>
      <w:r>
        <w:rPr>
          <w:szCs w:val="32"/>
        </w:rPr>
        <w:t>226.32</w:t>
      </w:r>
      <w:r>
        <w:rPr>
          <w:rFonts w:hint="eastAsia"/>
          <w:szCs w:val="32"/>
        </w:rPr>
        <w:t>万元，其中：本年预算</w:t>
      </w:r>
      <w:r>
        <w:rPr>
          <w:szCs w:val="32"/>
        </w:rPr>
        <w:t>221.06</w:t>
      </w:r>
      <w:r>
        <w:rPr>
          <w:rFonts w:hint="eastAsia"/>
          <w:szCs w:val="32"/>
        </w:rPr>
        <w:t>万元，上年结转</w:t>
      </w:r>
      <w:r>
        <w:rPr>
          <w:szCs w:val="32"/>
        </w:rPr>
        <w:t>5.26</w:t>
      </w:r>
      <w:r>
        <w:rPr>
          <w:rFonts w:hint="eastAsia"/>
          <w:szCs w:val="32"/>
        </w:rPr>
        <w:t>万元。支出包括：</w:t>
      </w:r>
      <w:r>
        <w:rPr>
          <w:rFonts w:hint="eastAsia"/>
          <w:kern w:val="0"/>
          <w:szCs w:val="32"/>
        </w:rPr>
        <w:t>一般公共服务支出</w:t>
      </w:r>
      <w:r>
        <w:rPr>
          <w:szCs w:val="32"/>
        </w:rPr>
        <w:t>174.29</w:t>
      </w:r>
      <w:r>
        <w:rPr>
          <w:rFonts w:hint="eastAsia"/>
          <w:szCs w:val="32"/>
        </w:rPr>
        <w:t>万元，</w:t>
      </w:r>
      <w:r>
        <w:rPr>
          <w:rFonts w:hint="eastAsia"/>
          <w:kern w:val="0"/>
          <w:szCs w:val="32"/>
        </w:rPr>
        <w:t>社会保障和就业支出</w:t>
      </w:r>
      <w:r>
        <w:rPr>
          <w:szCs w:val="32"/>
        </w:rPr>
        <w:t>31.57</w:t>
      </w:r>
      <w:r>
        <w:rPr>
          <w:rFonts w:hint="eastAsia"/>
          <w:szCs w:val="32"/>
        </w:rPr>
        <w:t>万元，</w:t>
      </w:r>
      <w:r>
        <w:rPr>
          <w:rFonts w:hint="eastAsia"/>
          <w:kern w:val="0"/>
          <w:szCs w:val="32"/>
        </w:rPr>
        <w:t>卫生健康支出</w:t>
      </w:r>
      <w:r>
        <w:rPr>
          <w:szCs w:val="32"/>
        </w:rPr>
        <w:t>10.49</w:t>
      </w:r>
      <w:r>
        <w:rPr>
          <w:rFonts w:hint="eastAsia"/>
          <w:szCs w:val="32"/>
        </w:rPr>
        <w:t>万元，</w:t>
      </w:r>
      <w:r>
        <w:rPr>
          <w:rFonts w:hint="eastAsia"/>
          <w:kern w:val="0"/>
          <w:szCs w:val="32"/>
        </w:rPr>
        <w:t>住房保障支出</w:t>
      </w:r>
      <w:r>
        <w:rPr>
          <w:szCs w:val="32"/>
        </w:rPr>
        <w:t>9.97</w:t>
      </w:r>
      <w:r>
        <w:rPr>
          <w:rFonts w:hint="eastAsia"/>
          <w:szCs w:val="32"/>
        </w:rPr>
        <w:t>万元。</w:t>
      </w:r>
    </w:p>
    <w:p>
      <w:pPr>
        <w:ind w:firstLine="600"/>
        <w:rPr>
          <w:rFonts w:eastAsia="黑体"/>
          <w:szCs w:val="30"/>
        </w:rPr>
      </w:pPr>
      <w:r>
        <w:rPr>
          <w:rFonts w:hint="eastAsia" w:eastAsia="黑体"/>
          <w:szCs w:val="30"/>
        </w:rPr>
        <w:t>五、</w:t>
      </w:r>
      <w:r>
        <w:rPr>
          <w:rFonts w:eastAsia="黑体"/>
          <w:szCs w:val="30"/>
        </w:rPr>
        <w:t>202</w:t>
      </w:r>
      <w:r>
        <w:rPr>
          <w:szCs w:val="32"/>
        </w:rPr>
        <w:t>4</w:t>
      </w:r>
      <w:r>
        <w:rPr>
          <w:rFonts w:hint="eastAsia" w:eastAsia="黑体"/>
          <w:szCs w:val="30"/>
        </w:rPr>
        <w:t>年一般公共预算支出情况</w:t>
      </w:r>
    </w:p>
    <w:p>
      <w:pPr>
        <w:spacing w:line="520" w:lineRule="exact"/>
        <w:ind w:firstLine="640" w:firstLineChars="200"/>
        <w:rPr>
          <w:szCs w:val="32"/>
        </w:rPr>
      </w:pPr>
      <w:r>
        <w:rPr>
          <w:szCs w:val="32"/>
        </w:rPr>
        <w:t>2024</w:t>
      </w:r>
      <w:r>
        <w:rPr>
          <w:rFonts w:hint="eastAsia"/>
          <w:szCs w:val="32"/>
        </w:rPr>
        <w:t>年一般公共预算拨款</w:t>
      </w:r>
      <w:r>
        <w:rPr>
          <w:szCs w:val="32"/>
        </w:rPr>
        <w:t>226.32</w:t>
      </w:r>
      <w:r>
        <w:rPr>
          <w:rFonts w:hint="eastAsia"/>
          <w:szCs w:val="32"/>
        </w:rPr>
        <w:t>万元，其中：基本支出</w:t>
      </w:r>
      <w:r>
        <w:rPr>
          <w:szCs w:val="32"/>
        </w:rPr>
        <w:t>148.48</w:t>
      </w:r>
      <w:r>
        <w:rPr>
          <w:rFonts w:hint="eastAsia"/>
          <w:szCs w:val="32"/>
        </w:rPr>
        <w:t>万元，占</w:t>
      </w:r>
      <w:r>
        <w:rPr>
          <w:szCs w:val="32"/>
        </w:rPr>
        <w:t>65.61%</w:t>
      </w:r>
      <w:r>
        <w:rPr>
          <w:rFonts w:hint="eastAsia"/>
          <w:szCs w:val="32"/>
        </w:rPr>
        <w:t>；项目支出</w:t>
      </w:r>
      <w:r>
        <w:rPr>
          <w:szCs w:val="32"/>
        </w:rPr>
        <w:t>77.84</w:t>
      </w:r>
      <w:r>
        <w:rPr>
          <w:rFonts w:hint="eastAsia"/>
          <w:szCs w:val="32"/>
        </w:rPr>
        <w:t>万元，占</w:t>
      </w:r>
      <w:r>
        <w:rPr>
          <w:szCs w:val="32"/>
        </w:rPr>
        <w:t>34.39%</w:t>
      </w:r>
      <w:r>
        <w:rPr>
          <w:rFonts w:hint="eastAsia"/>
          <w:szCs w:val="32"/>
        </w:rPr>
        <w:t>。基本支出中，人员经费</w:t>
      </w:r>
      <w:r>
        <w:rPr>
          <w:szCs w:val="32"/>
        </w:rPr>
        <w:t>129.42</w:t>
      </w:r>
      <w:r>
        <w:rPr>
          <w:rFonts w:hint="eastAsia"/>
          <w:szCs w:val="32"/>
        </w:rPr>
        <w:t>万元，占</w:t>
      </w:r>
      <w:r>
        <w:rPr>
          <w:szCs w:val="32"/>
        </w:rPr>
        <w:t>87.16%</w:t>
      </w:r>
      <w:r>
        <w:rPr>
          <w:rFonts w:hint="eastAsia"/>
          <w:szCs w:val="32"/>
        </w:rPr>
        <w:t>；公用经费</w:t>
      </w:r>
      <w:r>
        <w:rPr>
          <w:szCs w:val="32"/>
        </w:rPr>
        <w:t>19.06</w:t>
      </w:r>
      <w:r>
        <w:rPr>
          <w:rFonts w:hint="eastAsia"/>
          <w:szCs w:val="32"/>
        </w:rPr>
        <w:t>万元，占</w:t>
      </w:r>
      <w:r>
        <w:rPr>
          <w:szCs w:val="32"/>
        </w:rPr>
        <w:t>12.84%</w:t>
      </w:r>
      <w:r>
        <w:rPr>
          <w:rFonts w:hint="eastAsia"/>
          <w:szCs w:val="32"/>
        </w:rPr>
        <w:t>。</w:t>
      </w:r>
    </w:p>
    <w:p>
      <w:pPr>
        <w:spacing w:line="520" w:lineRule="exact"/>
        <w:ind w:firstLine="665" w:firstLineChars="208"/>
        <w:rPr>
          <w:szCs w:val="32"/>
        </w:rPr>
      </w:pPr>
      <w:r>
        <w:rPr>
          <w:rFonts w:hint="eastAsia"/>
          <w:szCs w:val="32"/>
        </w:rPr>
        <w:t>一般公共服务（类）支出</w:t>
      </w:r>
      <w:r>
        <w:rPr>
          <w:szCs w:val="32"/>
        </w:rPr>
        <w:t>174.29</w:t>
      </w:r>
      <w:r>
        <w:rPr>
          <w:rFonts w:hint="eastAsia"/>
          <w:szCs w:val="32"/>
        </w:rPr>
        <w:t>万元，占</w:t>
      </w:r>
      <w:r>
        <w:rPr>
          <w:szCs w:val="32"/>
        </w:rPr>
        <w:t>77.01%</w:t>
      </w:r>
      <w:r>
        <w:rPr>
          <w:rFonts w:hint="eastAsia"/>
          <w:szCs w:val="32"/>
        </w:rPr>
        <w:t>，主要用于保障职工工资，维持机关正常运转以及完成年度统计工作。</w:t>
      </w:r>
    </w:p>
    <w:p>
      <w:pPr>
        <w:spacing w:line="520" w:lineRule="exact"/>
        <w:ind w:firstLine="640" w:firstLineChars="200"/>
        <w:rPr>
          <w:szCs w:val="32"/>
        </w:rPr>
      </w:pPr>
      <w:r>
        <w:rPr>
          <w:rFonts w:hint="eastAsia"/>
          <w:szCs w:val="32"/>
        </w:rPr>
        <w:t>社会保障和就业（类）支出</w:t>
      </w:r>
      <w:r>
        <w:rPr>
          <w:szCs w:val="32"/>
        </w:rPr>
        <w:t>31.57</w:t>
      </w:r>
      <w:r>
        <w:rPr>
          <w:rFonts w:hint="eastAsia"/>
          <w:szCs w:val="32"/>
        </w:rPr>
        <w:t>万元，占</w:t>
      </w:r>
      <w:r>
        <w:rPr>
          <w:szCs w:val="32"/>
        </w:rPr>
        <w:t>13.95%</w:t>
      </w:r>
      <w:r>
        <w:rPr>
          <w:rFonts w:hint="eastAsia"/>
          <w:szCs w:val="32"/>
        </w:rPr>
        <w:t>，主要用于保障行政事业单位退休职工工资、取暖费以及缴纳在职职工养老保险。</w:t>
      </w:r>
    </w:p>
    <w:p>
      <w:pPr>
        <w:spacing w:line="520" w:lineRule="exact"/>
        <w:ind w:firstLine="640" w:firstLineChars="200"/>
        <w:rPr>
          <w:szCs w:val="32"/>
        </w:rPr>
      </w:pPr>
      <w:r>
        <w:rPr>
          <w:rFonts w:hint="eastAsia"/>
          <w:szCs w:val="32"/>
        </w:rPr>
        <w:t>卫生健康（类）支出</w:t>
      </w:r>
      <w:r>
        <w:rPr>
          <w:szCs w:val="32"/>
        </w:rPr>
        <w:t>10.49</w:t>
      </w:r>
      <w:r>
        <w:rPr>
          <w:rFonts w:hint="eastAsia"/>
          <w:szCs w:val="32"/>
        </w:rPr>
        <w:t>万元，占</w:t>
      </w:r>
      <w:r>
        <w:rPr>
          <w:szCs w:val="32"/>
        </w:rPr>
        <w:t>4.64%</w:t>
      </w:r>
      <w:r>
        <w:rPr>
          <w:rFonts w:hint="eastAsia"/>
          <w:szCs w:val="32"/>
        </w:rPr>
        <w:t>，主要用于缴纳职工医疗保险。</w:t>
      </w:r>
    </w:p>
    <w:p>
      <w:pPr>
        <w:spacing w:line="520" w:lineRule="exact"/>
        <w:ind w:firstLine="640" w:firstLineChars="200"/>
        <w:rPr>
          <w:szCs w:val="32"/>
        </w:rPr>
      </w:pPr>
      <w:r>
        <w:rPr>
          <w:rFonts w:hint="eastAsia"/>
          <w:szCs w:val="32"/>
        </w:rPr>
        <w:t>住房保障（类）支出</w:t>
      </w:r>
      <w:r>
        <w:rPr>
          <w:szCs w:val="32"/>
        </w:rPr>
        <w:t>9.97</w:t>
      </w:r>
      <w:r>
        <w:rPr>
          <w:rFonts w:hint="eastAsia"/>
          <w:szCs w:val="32"/>
        </w:rPr>
        <w:t>万元，占</w:t>
      </w:r>
      <w:r>
        <w:rPr>
          <w:szCs w:val="32"/>
        </w:rPr>
        <w:t>4.4%</w:t>
      </w:r>
      <w:r>
        <w:rPr>
          <w:rFonts w:hint="eastAsia"/>
          <w:szCs w:val="32"/>
        </w:rPr>
        <w:t>，主要用于缴纳职工住房公积金。</w:t>
      </w:r>
    </w:p>
    <w:p>
      <w:pPr>
        <w:spacing w:line="520" w:lineRule="exact"/>
        <w:ind w:firstLine="640" w:firstLineChars="200"/>
        <w:rPr>
          <w:rFonts w:eastAsia="黑体"/>
          <w:szCs w:val="32"/>
        </w:rPr>
      </w:pPr>
      <w:r>
        <w:rPr>
          <w:rFonts w:hint="eastAsia" w:eastAsia="黑体"/>
          <w:szCs w:val="32"/>
        </w:rPr>
        <w:t>六、</w:t>
      </w:r>
      <w:r>
        <w:rPr>
          <w:rFonts w:eastAsia="黑体"/>
          <w:szCs w:val="32"/>
        </w:rPr>
        <w:t>202</w:t>
      </w:r>
      <w:r>
        <w:rPr>
          <w:szCs w:val="32"/>
        </w:rPr>
        <w:t>4</w:t>
      </w:r>
      <w:r>
        <w:rPr>
          <w:rFonts w:hint="eastAsia" w:eastAsia="黑体"/>
          <w:szCs w:val="32"/>
        </w:rPr>
        <w:t>年一般公共预算基本支出情况</w:t>
      </w:r>
    </w:p>
    <w:p>
      <w:pPr>
        <w:ind w:firstLine="640"/>
        <w:rPr>
          <w:szCs w:val="32"/>
        </w:rPr>
      </w:pPr>
      <w:r>
        <w:rPr>
          <w:szCs w:val="32"/>
        </w:rPr>
        <w:t>2024</w:t>
      </w:r>
      <w:r>
        <w:rPr>
          <w:rFonts w:hint="eastAsia"/>
          <w:szCs w:val="32"/>
        </w:rPr>
        <w:t>年一般公共预算基本支出</w:t>
      </w:r>
      <w:r>
        <w:rPr>
          <w:szCs w:val="32"/>
        </w:rPr>
        <w:t>148.48</w:t>
      </w:r>
      <w:r>
        <w:rPr>
          <w:rFonts w:hint="eastAsia"/>
          <w:szCs w:val="32"/>
        </w:rPr>
        <w:t>万元，其中：</w:t>
      </w:r>
    </w:p>
    <w:p>
      <w:pPr>
        <w:ind w:firstLine="640" w:firstLineChars="200"/>
        <w:rPr>
          <w:kern w:val="0"/>
          <w:szCs w:val="32"/>
        </w:rPr>
      </w:pPr>
      <w:r>
        <w:rPr>
          <w:rFonts w:hint="eastAsia"/>
          <w:szCs w:val="32"/>
        </w:rPr>
        <w:t>人员经费</w:t>
      </w:r>
      <w:r>
        <w:rPr>
          <w:szCs w:val="32"/>
        </w:rPr>
        <w:t>129.42</w:t>
      </w:r>
      <w:r>
        <w:rPr>
          <w:rFonts w:hint="eastAsia"/>
          <w:szCs w:val="32"/>
        </w:rPr>
        <w:t>万元，主要包括：</w:t>
      </w:r>
      <w:r>
        <w:rPr>
          <w:rFonts w:hint="eastAsia"/>
          <w:kern w:val="0"/>
          <w:szCs w:val="32"/>
        </w:rPr>
        <w:t>基本工资、津贴补贴</w:t>
      </w:r>
      <w:r>
        <w:rPr>
          <w:rFonts w:hint="eastAsia"/>
          <w:szCs w:val="32"/>
        </w:rPr>
        <w:t>、</w:t>
      </w:r>
      <w:r>
        <w:rPr>
          <w:rFonts w:hint="eastAsia"/>
          <w:kern w:val="0"/>
          <w:szCs w:val="32"/>
        </w:rPr>
        <w:t>奖金</w:t>
      </w:r>
      <w:r>
        <w:rPr>
          <w:rFonts w:hint="eastAsia"/>
          <w:szCs w:val="32"/>
        </w:rPr>
        <w:t>、机关事业单位基本养老保险缴费、职工基本医疗保险缴费、公务员医疗补助缴费、其他</w:t>
      </w:r>
      <w:r>
        <w:rPr>
          <w:rFonts w:hint="eastAsia"/>
          <w:kern w:val="0"/>
          <w:szCs w:val="32"/>
        </w:rPr>
        <w:t>社会保障缴费</w:t>
      </w:r>
      <w:r>
        <w:rPr>
          <w:rFonts w:hint="eastAsia"/>
          <w:szCs w:val="32"/>
        </w:rPr>
        <w:t>、</w:t>
      </w:r>
      <w:r>
        <w:rPr>
          <w:rFonts w:hint="eastAsia"/>
          <w:kern w:val="0"/>
          <w:szCs w:val="32"/>
        </w:rPr>
        <w:t>住房公积金</w:t>
      </w:r>
      <w:r>
        <w:rPr>
          <w:rFonts w:hint="eastAsia"/>
          <w:szCs w:val="32"/>
        </w:rPr>
        <w:t>、医疗费、</w:t>
      </w:r>
      <w:r>
        <w:rPr>
          <w:rFonts w:hint="eastAsia"/>
          <w:kern w:val="0"/>
          <w:szCs w:val="32"/>
        </w:rPr>
        <w:t>其他工资福利支出</w:t>
      </w:r>
      <w:r>
        <w:rPr>
          <w:rFonts w:hint="eastAsia"/>
          <w:szCs w:val="32"/>
        </w:rPr>
        <w:t>、</w:t>
      </w:r>
      <w:r>
        <w:rPr>
          <w:rFonts w:hint="eastAsia"/>
          <w:kern w:val="0"/>
          <w:szCs w:val="32"/>
        </w:rPr>
        <w:t>退休费</w:t>
      </w:r>
      <w:r>
        <w:rPr>
          <w:rFonts w:hint="eastAsia"/>
          <w:szCs w:val="32"/>
        </w:rPr>
        <w:t>、</w:t>
      </w:r>
      <w:r>
        <w:rPr>
          <w:rFonts w:hint="eastAsia"/>
          <w:kern w:val="0"/>
          <w:szCs w:val="32"/>
        </w:rPr>
        <w:t>其他对个人和家庭的补助支出。</w:t>
      </w:r>
    </w:p>
    <w:p>
      <w:pPr>
        <w:ind w:firstLine="640" w:firstLineChars="200"/>
        <w:rPr>
          <w:szCs w:val="32"/>
        </w:rPr>
      </w:pPr>
      <w:r>
        <w:rPr>
          <w:rFonts w:hint="eastAsia"/>
          <w:kern w:val="0"/>
          <w:szCs w:val="32"/>
        </w:rPr>
        <w:t>公用经费</w:t>
      </w:r>
      <w:r>
        <w:rPr>
          <w:szCs w:val="32"/>
        </w:rPr>
        <w:t>19.06</w:t>
      </w:r>
      <w:r>
        <w:rPr>
          <w:rFonts w:hint="eastAsia"/>
          <w:szCs w:val="32"/>
        </w:rPr>
        <w:t>万元，主要包括：</w:t>
      </w:r>
      <w:r>
        <w:rPr>
          <w:rFonts w:hint="eastAsia"/>
          <w:kern w:val="0"/>
          <w:szCs w:val="32"/>
        </w:rPr>
        <w:t>办公费</w:t>
      </w:r>
      <w:r>
        <w:rPr>
          <w:rFonts w:hint="eastAsia"/>
          <w:szCs w:val="32"/>
        </w:rPr>
        <w:t>、</w:t>
      </w:r>
      <w:r>
        <w:rPr>
          <w:rFonts w:hint="eastAsia"/>
          <w:kern w:val="0"/>
          <w:szCs w:val="32"/>
        </w:rPr>
        <w:t>印刷费</w:t>
      </w:r>
      <w:r>
        <w:rPr>
          <w:rFonts w:hint="eastAsia"/>
          <w:szCs w:val="32"/>
        </w:rPr>
        <w:t>、</w:t>
      </w:r>
      <w:r>
        <w:rPr>
          <w:rFonts w:hint="eastAsia"/>
          <w:kern w:val="0"/>
          <w:szCs w:val="32"/>
        </w:rPr>
        <w:t>邮电费</w:t>
      </w:r>
      <w:r>
        <w:rPr>
          <w:rFonts w:hint="eastAsia"/>
          <w:szCs w:val="32"/>
        </w:rPr>
        <w:t>、</w:t>
      </w:r>
      <w:r>
        <w:rPr>
          <w:rFonts w:hint="eastAsia"/>
          <w:kern w:val="0"/>
          <w:szCs w:val="32"/>
        </w:rPr>
        <w:t>差旅费</w:t>
      </w:r>
      <w:r>
        <w:rPr>
          <w:rFonts w:hint="eastAsia"/>
          <w:szCs w:val="32"/>
        </w:rPr>
        <w:t>、</w:t>
      </w:r>
      <w:r>
        <w:rPr>
          <w:rFonts w:hint="eastAsia"/>
          <w:kern w:val="0"/>
          <w:szCs w:val="32"/>
        </w:rPr>
        <w:t>会议费</w:t>
      </w:r>
      <w:r>
        <w:rPr>
          <w:rFonts w:hint="eastAsia"/>
          <w:szCs w:val="32"/>
        </w:rPr>
        <w:t>、</w:t>
      </w:r>
      <w:r>
        <w:rPr>
          <w:rFonts w:hint="eastAsia"/>
          <w:kern w:val="0"/>
          <w:szCs w:val="32"/>
        </w:rPr>
        <w:t>培训费</w:t>
      </w:r>
      <w:r>
        <w:rPr>
          <w:rFonts w:hint="eastAsia"/>
          <w:szCs w:val="32"/>
        </w:rPr>
        <w:t>、</w:t>
      </w:r>
      <w:r>
        <w:rPr>
          <w:rFonts w:hint="eastAsia"/>
          <w:kern w:val="0"/>
          <w:szCs w:val="32"/>
        </w:rPr>
        <w:t>工会经费、福利费</w:t>
      </w:r>
      <w:r>
        <w:rPr>
          <w:rFonts w:hint="eastAsia"/>
          <w:szCs w:val="32"/>
        </w:rPr>
        <w:t>、</w:t>
      </w:r>
      <w:r>
        <w:rPr>
          <w:rFonts w:hint="eastAsia"/>
          <w:kern w:val="0"/>
          <w:szCs w:val="32"/>
        </w:rPr>
        <w:t>其他交通费用</w:t>
      </w:r>
      <w:r>
        <w:rPr>
          <w:rFonts w:hint="eastAsia"/>
          <w:szCs w:val="32"/>
        </w:rPr>
        <w:t>、</w:t>
      </w:r>
      <w:r>
        <w:rPr>
          <w:rFonts w:hint="eastAsia"/>
          <w:kern w:val="0"/>
          <w:szCs w:val="32"/>
        </w:rPr>
        <w:t>其他商品和服务支出。</w:t>
      </w:r>
    </w:p>
    <w:p>
      <w:pPr>
        <w:ind w:firstLine="640" w:firstLineChars="200"/>
        <w:rPr>
          <w:rFonts w:eastAsia="黑体"/>
          <w:szCs w:val="30"/>
        </w:rPr>
      </w:pPr>
      <w:r>
        <w:rPr>
          <w:rFonts w:hint="eastAsia" w:eastAsia="黑体"/>
          <w:szCs w:val="30"/>
        </w:rPr>
        <w:t>七、</w:t>
      </w:r>
      <w:r>
        <w:rPr>
          <w:rFonts w:eastAsia="黑体"/>
          <w:szCs w:val="30"/>
        </w:rPr>
        <w:t>202</w:t>
      </w:r>
      <w:r>
        <w:rPr>
          <w:szCs w:val="32"/>
        </w:rPr>
        <w:t>4</w:t>
      </w:r>
      <w:r>
        <w:rPr>
          <w:rFonts w:hint="eastAsia" w:eastAsia="黑体"/>
          <w:szCs w:val="30"/>
        </w:rPr>
        <w:t>年一般公共预算财政拨款</w:t>
      </w:r>
      <w:r>
        <w:rPr>
          <w:rFonts w:eastAsia="黑体"/>
          <w:szCs w:val="30"/>
        </w:rPr>
        <w:t>“</w:t>
      </w:r>
      <w:r>
        <w:rPr>
          <w:rFonts w:hint="eastAsia" w:eastAsia="黑体"/>
          <w:szCs w:val="30"/>
        </w:rPr>
        <w:t>三公</w:t>
      </w:r>
      <w:r>
        <w:rPr>
          <w:rFonts w:eastAsia="黑体"/>
          <w:szCs w:val="30"/>
        </w:rPr>
        <w:t>”</w:t>
      </w:r>
      <w:r>
        <w:rPr>
          <w:rFonts w:hint="eastAsia" w:eastAsia="黑体"/>
          <w:szCs w:val="30"/>
        </w:rPr>
        <w:t>经费情况</w:t>
      </w:r>
    </w:p>
    <w:p>
      <w:pPr>
        <w:ind w:firstLine="640" w:firstLineChars="200"/>
        <w:rPr>
          <w:szCs w:val="32"/>
        </w:rPr>
      </w:pPr>
      <w:r>
        <w:rPr>
          <w:rFonts w:hint="eastAsia"/>
          <w:szCs w:val="32"/>
        </w:rPr>
        <w:t>本单位无一般公共预算拨款。</w:t>
      </w:r>
    </w:p>
    <w:p>
      <w:pPr>
        <w:ind w:firstLine="640" w:firstLineChars="200"/>
        <w:rPr>
          <w:rFonts w:eastAsia="黑体"/>
          <w:szCs w:val="32"/>
        </w:rPr>
      </w:pPr>
      <w:r>
        <w:rPr>
          <w:rFonts w:hint="eastAsia" w:eastAsia="黑体"/>
          <w:szCs w:val="32"/>
        </w:rPr>
        <w:t>八、</w:t>
      </w:r>
      <w:r>
        <w:rPr>
          <w:rFonts w:eastAsia="黑体"/>
          <w:szCs w:val="32"/>
        </w:rPr>
        <w:t>2024</w:t>
      </w:r>
      <w:r>
        <w:rPr>
          <w:rFonts w:hint="eastAsia" w:eastAsia="黑体"/>
          <w:szCs w:val="32"/>
        </w:rPr>
        <w:t>年政府性基金预算支出情况</w:t>
      </w:r>
    </w:p>
    <w:p>
      <w:pPr>
        <w:ind w:firstLine="640" w:firstLineChars="200"/>
        <w:rPr>
          <w:szCs w:val="32"/>
        </w:rPr>
      </w:pPr>
      <w:r>
        <w:rPr>
          <w:rFonts w:hint="eastAsia"/>
          <w:szCs w:val="32"/>
        </w:rPr>
        <w:t>本单位无政府性基金预算拨款。</w:t>
      </w:r>
    </w:p>
    <w:p>
      <w:pPr>
        <w:ind w:firstLine="640" w:firstLineChars="200"/>
        <w:rPr>
          <w:rFonts w:eastAsia="楷体"/>
          <w:szCs w:val="32"/>
        </w:rPr>
      </w:pPr>
      <w:r>
        <w:rPr>
          <w:rFonts w:hint="eastAsia" w:eastAsia="黑体"/>
          <w:szCs w:val="32"/>
        </w:rPr>
        <w:t>九、</w:t>
      </w:r>
      <w:r>
        <w:rPr>
          <w:rFonts w:eastAsia="黑体"/>
          <w:szCs w:val="32"/>
        </w:rPr>
        <w:t>2024</w:t>
      </w:r>
      <w:r>
        <w:rPr>
          <w:rFonts w:hint="eastAsia" w:eastAsia="黑体"/>
          <w:szCs w:val="32"/>
        </w:rPr>
        <w:t>年国有资本经营预算支出情况</w:t>
      </w:r>
    </w:p>
    <w:p>
      <w:pPr>
        <w:ind w:firstLine="640"/>
        <w:rPr>
          <w:szCs w:val="32"/>
        </w:rPr>
      </w:pPr>
      <w:r>
        <w:rPr>
          <w:rFonts w:hint="eastAsia"/>
          <w:szCs w:val="32"/>
        </w:rPr>
        <w:t>本单位无国有资本经营预算拨款。</w:t>
      </w:r>
    </w:p>
    <w:p>
      <w:pPr>
        <w:ind w:firstLine="640"/>
        <w:rPr>
          <w:rFonts w:eastAsia="黑体"/>
          <w:szCs w:val="32"/>
        </w:rPr>
      </w:pPr>
      <w:r>
        <w:rPr>
          <w:rFonts w:hint="eastAsia" w:eastAsia="黑体"/>
          <w:szCs w:val="32"/>
        </w:rPr>
        <w:t>十、其他重要事项的说明情况</w:t>
      </w:r>
    </w:p>
    <w:p>
      <w:pPr>
        <w:spacing w:line="540" w:lineRule="exact"/>
        <w:ind w:firstLine="640" w:firstLineChars="200"/>
        <w:rPr>
          <w:rFonts w:eastAsia="楷体"/>
          <w:szCs w:val="32"/>
        </w:rPr>
      </w:pPr>
      <w:r>
        <w:rPr>
          <w:rFonts w:hint="eastAsia" w:eastAsia="楷体"/>
          <w:szCs w:val="32"/>
        </w:rPr>
        <w:t>（一）机关运行经费</w:t>
      </w:r>
    </w:p>
    <w:p>
      <w:pPr>
        <w:spacing w:line="576" w:lineRule="exact"/>
        <w:ind w:firstLine="640" w:firstLineChars="200"/>
        <w:rPr>
          <w:szCs w:val="32"/>
        </w:rPr>
      </w:pPr>
      <w:r>
        <w:rPr>
          <w:szCs w:val="32"/>
        </w:rPr>
        <w:t>2024</w:t>
      </w:r>
      <w:r>
        <w:rPr>
          <w:rFonts w:hint="eastAsia"/>
          <w:szCs w:val="32"/>
        </w:rPr>
        <w:t>年本单位的机关运行经费财政拨款预算</w:t>
      </w:r>
      <w:r>
        <w:rPr>
          <w:szCs w:val="32"/>
        </w:rPr>
        <w:t>19.06</w:t>
      </w:r>
      <w:r>
        <w:rPr>
          <w:rFonts w:hint="eastAsia"/>
          <w:szCs w:val="32"/>
        </w:rPr>
        <w:t>万元，比</w:t>
      </w:r>
      <w:r>
        <w:rPr>
          <w:szCs w:val="32"/>
        </w:rPr>
        <w:t>2023</w:t>
      </w:r>
      <w:r>
        <w:rPr>
          <w:rFonts w:hint="eastAsia"/>
          <w:szCs w:val="32"/>
        </w:rPr>
        <w:t>年预算减少</w:t>
      </w:r>
      <w:r>
        <w:rPr>
          <w:szCs w:val="32"/>
        </w:rPr>
        <w:t>1.15</w:t>
      </w:r>
      <w:r>
        <w:rPr>
          <w:rFonts w:hint="eastAsia"/>
          <w:szCs w:val="32"/>
        </w:rPr>
        <w:t>万元，下降</w:t>
      </w:r>
      <w:r>
        <w:rPr>
          <w:szCs w:val="32"/>
        </w:rPr>
        <w:t>5.69%</w:t>
      </w:r>
      <w:r>
        <w:rPr>
          <w:rFonts w:hint="eastAsia"/>
          <w:szCs w:val="32"/>
        </w:rPr>
        <w:t>，主要原因是认真贯彻落实中央八项规定精神，坚持厉行勤俭节约，落实过紧日子要求，压减机关运行经费支出。</w:t>
      </w:r>
    </w:p>
    <w:p>
      <w:pPr>
        <w:spacing w:line="540" w:lineRule="exact"/>
        <w:ind w:firstLine="640" w:firstLineChars="200"/>
        <w:rPr>
          <w:rFonts w:eastAsia="楷体"/>
          <w:szCs w:val="32"/>
        </w:rPr>
      </w:pPr>
      <w:r>
        <w:rPr>
          <w:rFonts w:hint="eastAsia" w:eastAsia="楷体"/>
          <w:szCs w:val="32"/>
        </w:rPr>
        <w:t>（二）政府采购情况</w:t>
      </w:r>
    </w:p>
    <w:p>
      <w:pPr>
        <w:spacing w:line="540" w:lineRule="exact"/>
        <w:ind w:firstLine="640" w:firstLineChars="200"/>
        <w:rPr>
          <w:szCs w:val="32"/>
        </w:rPr>
      </w:pPr>
      <w:r>
        <w:rPr>
          <w:rFonts w:hint="eastAsia"/>
          <w:szCs w:val="32"/>
        </w:rPr>
        <w:t>本单位无政府采购预算。</w:t>
      </w:r>
    </w:p>
    <w:p>
      <w:pPr>
        <w:spacing w:line="540" w:lineRule="exact"/>
        <w:ind w:firstLine="640" w:firstLineChars="200"/>
        <w:rPr>
          <w:rFonts w:eastAsia="楷体"/>
          <w:szCs w:val="32"/>
        </w:rPr>
      </w:pPr>
      <w:r>
        <w:rPr>
          <w:rFonts w:hint="eastAsia" w:eastAsia="楷体"/>
          <w:szCs w:val="32"/>
        </w:rPr>
        <w:t>（三）国有资产占有使用情况</w:t>
      </w:r>
    </w:p>
    <w:p>
      <w:pPr>
        <w:spacing w:line="540" w:lineRule="exact"/>
        <w:ind w:firstLine="640" w:firstLineChars="200"/>
        <w:rPr>
          <w:szCs w:val="32"/>
        </w:rPr>
      </w:pPr>
      <w:r>
        <w:rPr>
          <w:rFonts w:hint="eastAsia"/>
          <w:szCs w:val="32"/>
        </w:rPr>
        <w:t>本单位无国有资产占有使用情况。</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2024</w:t>
      </w:r>
      <w:r>
        <w:rPr>
          <w:rFonts w:hint="eastAsia"/>
        </w:rPr>
        <w:t>年单位项目支出</w:t>
      </w:r>
      <w:r>
        <w:rPr>
          <w:szCs w:val="32"/>
        </w:rPr>
        <w:t>77.84</w:t>
      </w:r>
      <w:r>
        <w:rPr>
          <w:rFonts w:hint="eastAsia"/>
          <w:szCs w:val="32"/>
        </w:rPr>
        <w:t>万元，其中：一级项目</w:t>
      </w:r>
      <w:r>
        <w:rPr>
          <w:szCs w:val="32"/>
        </w:rPr>
        <w:t>2</w:t>
      </w:r>
      <w:r>
        <w:rPr>
          <w:rFonts w:hint="eastAsia"/>
          <w:szCs w:val="32"/>
        </w:rPr>
        <w:t>个，二级项目</w:t>
      </w:r>
      <w:r>
        <w:rPr>
          <w:szCs w:val="32"/>
        </w:rPr>
        <w:t>2</w:t>
      </w:r>
      <w:r>
        <w:rPr>
          <w:rFonts w:hint="eastAsia"/>
          <w:szCs w:val="32"/>
        </w:rPr>
        <w:t>个；使用本年拨款</w:t>
      </w:r>
      <w:r>
        <w:rPr>
          <w:szCs w:val="32"/>
        </w:rPr>
        <w:t>77.84</w:t>
      </w:r>
      <w:r>
        <w:rPr>
          <w:rFonts w:hint="eastAsia"/>
          <w:szCs w:val="32"/>
        </w:rPr>
        <w:t>万元，财政拨款结转</w:t>
      </w:r>
      <w:r>
        <w:rPr>
          <w:szCs w:val="32"/>
        </w:rPr>
        <w:t>0</w:t>
      </w:r>
      <w:r>
        <w:rPr>
          <w:rFonts w:hint="eastAsia"/>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w:t>
      </w:r>
      <w:r>
        <w:t>2024</w:t>
      </w:r>
      <w:r>
        <w:rPr>
          <w:rFonts w:hint="eastAsia" w:ascii="宋体" w:hAnsi="宋体"/>
        </w:rPr>
        <w:t>年将</w:t>
      </w:r>
      <w:r>
        <w:rPr>
          <w:szCs w:val="32"/>
        </w:rPr>
        <w:t>2</w:t>
      </w:r>
      <w:r>
        <w:rPr>
          <w:rFonts w:hint="eastAsia" w:ascii="宋体" w:hAnsi="宋体"/>
        </w:rPr>
        <w:t>个项目支出的绩效目标和指标向社会公开，涉及金额</w:t>
      </w:r>
      <w:r>
        <w:rPr>
          <w:szCs w:val="32"/>
        </w:rPr>
        <w:t>77.84</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jc w:val="center"/>
        <w:rPr>
          <w:rFonts w:eastAsia="黑体"/>
        </w:rPr>
      </w:pPr>
      <w:r>
        <w:rPr>
          <w:rFonts w:eastAsia="楷体"/>
          <w:szCs w:val="32"/>
        </w:rPr>
        <w:br w:type="page"/>
      </w:r>
      <w:r>
        <w:rPr>
          <w:rFonts w:hint="eastAsia" w:eastAsia="黑体"/>
        </w:rPr>
        <w:t>第四部分</w:t>
      </w:r>
      <w:r>
        <w:rPr>
          <w:rFonts w:eastAsia="黑体"/>
        </w:rPr>
        <w:t xml:space="preserve"> </w:t>
      </w:r>
      <w:r>
        <w:rPr>
          <w:rFonts w:hint="eastAsia" w:eastAsia="黑体"/>
        </w:rPr>
        <w:t>名词解释</w:t>
      </w:r>
    </w:p>
    <w:p>
      <w:pPr>
        <w:ind w:firstLine="640" w:firstLineChars="200"/>
        <w:jc w:val="center"/>
        <w:rPr>
          <w:rFonts w:eastAsia="黑体"/>
        </w:rPr>
      </w:pPr>
    </w:p>
    <w:p>
      <w:pPr>
        <w:ind w:firstLine="640" w:firstLineChars="200"/>
        <w:rPr>
          <w:szCs w:val="32"/>
        </w:rPr>
      </w:pPr>
      <w:r>
        <w:rPr>
          <w:rFonts w:hint="eastAsia" w:eastAsia="楷体"/>
          <w:szCs w:val="32"/>
        </w:rPr>
        <w:t>（一）一般公共预算拨款收入：</w:t>
      </w:r>
      <w:r>
        <w:rPr>
          <w:rFonts w:hint="eastAsia"/>
          <w:szCs w:val="32"/>
        </w:rPr>
        <w:t>指省级财政通过当年一般公共预算拨付的资金。</w:t>
      </w:r>
    </w:p>
    <w:p>
      <w:pPr>
        <w:ind w:firstLine="640" w:firstLineChars="200"/>
        <w:rPr>
          <w:szCs w:val="32"/>
        </w:rPr>
      </w:pPr>
      <w:r>
        <w:rPr>
          <w:rFonts w:hint="eastAsia" w:eastAsia="楷体"/>
          <w:szCs w:val="32"/>
        </w:rPr>
        <w:t>（二）政府性基金预算拨款收入：</w:t>
      </w:r>
      <w:r>
        <w:rPr>
          <w:rFonts w:hint="eastAsia"/>
          <w:szCs w:val="32"/>
        </w:rPr>
        <w:t>指省级财政通过当年政府性基金预算拨付的资金。</w:t>
      </w:r>
    </w:p>
    <w:p>
      <w:pPr>
        <w:ind w:firstLine="640" w:firstLineChars="200"/>
        <w:rPr>
          <w:szCs w:val="32"/>
        </w:rPr>
      </w:pPr>
      <w:r>
        <w:rPr>
          <w:rFonts w:hint="eastAsia" w:eastAsia="楷体"/>
          <w:szCs w:val="32"/>
        </w:rPr>
        <w:t>（三）国有资本经营预算拨款收入：</w:t>
      </w:r>
      <w:r>
        <w:rPr>
          <w:rFonts w:hint="eastAsia"/>
          <w:szCs w:val="32"/>
        </w:rPr>
        <w:t>指省级财政通过当年国有资本经营预算拨付的资金。</w:t>
      </w:r>
    </w:p>
    <w:p>
      <w:pPr>
        <w:ind w:firstLine="640"/>
        <w:rPr>
          <w:szCs w:val="32"/>
        </w:rPr>
      </w:pPr>
      <w:r>
        <w:rPr>
          <w:rFonts w:hint="eastAsia" w:eastAsia="楷体"/>
          <w:szCs w:val="32"/>
        </w:rPr>
        <w:t>（四）财政专户管理资金收入：</w:t>
      </w:r>
      <w:r>
        <w:rPr>
          <w:rFonts w:hint="eastAsia"/>
          <w:szCs w:val="32"/>
        </w:rPr>
        <w:t>指缴入财政专户并实行财政专项管理的资金收入。</w:t>
      </w:r>
    </w:p>
    <w:p>
      <w:pPr>
        <w:ind w:firstLine="640"/>
        <w:rPr>
          <w:szCs w:val="32"/>
        </w:rPr>
      </w:pPr>
      <w:r>
        <w:rPr>
          <w:rFonts w:hint="eastAsia" w:eastAsia="楷体"/>
          <w:szCs w:val="32"/>
        </w:rPr>
        <w:t>（五）事业收入：</w:t>
      </w:r>
      <w:r>
        <w:rPr>
          <w:rFonts w:hint="eastAsia"/>
          <w:szCs w:val="32"/>
        </w:rPr>
        <w:t>指事业单位开展专业业务活动及辅助活动所取得的收入。</w:t>
      </w:r>
    </w:p>
    <w:p>
      <w:pPr>
        <w:ind w:firstLine="640"/>
        <w:rPr>
          <w:szCs w:val="32"/>
        </w:rPr>
      </w:pPr>
      <w:r>
        <w:rPr>
          <w:rFonts w:hint="eastAsia" w:eastAsia="楷体"/>
          <w:szCs w:val="32"/>
        </w:rPr>
        <w:t>（六）上级补助收入：</w:t>
      </w:r>
      <w:r>
        <w:rPr>
          <w:rFonts w:hint="eastAsia"/>
          <w:szCs w:val="32"/>
        </w:rPr>
        <w:t>指预算单位从主管部门或上级单位取得的非财政拨款补助收入。</w:t>
      </w:r>
    </w:p>
    <w:p>
      <w:pPr>
        <w:ind w:firstLine="640"/>
        <w:rPr>
          <w:szCs w:val="32"/>
        </w:rPr>
      </w:pPr>
      <w:r>
        <w:rPr>
          <w:rFonts w:hint="eastAsia" w:eastAsia="楷体"/>
          <w:szCs w:val="32"/>
        </w:rPr>
        <w:t>（七）附属单位上缴收入：</w:t>
      </w:r>
      <w:r>
        <w:rPr>
          <w:rFonts w:hint="eastAsia"/>
          <w:szCs w:val="32"/>
        </w:rPr>
        <w:t>指本单位所属下级单位（包含独立核算和非独立核算的，相关支出纳入和未纳入单位预算的下级单位）上缴给本单位的全部收入（包括下级事业单位上缴的事业收入、其他收入和下级企业单位上缴的利润等）。</w:t>
      </w:r>
    </w:p>
    <w:p>
      <w:pPr>
        <w:ind w:firstLine="640"/>
        <w:rPr>
          <w:szCs w:val="32"/>
        </w:rPr>
      </w:pPr>
      <w:r>
        <w:rPr>
          <w:rFonts w:hint="eastAsia" w:eastAsia="楷体"/>
          <w:szCs w:val="32"/>
        </w:rPr>
        <w:t>（八）事业单位经营收入：</w:t>
      </w:r>
      <w:r>
        <w:rPr>
          <w:rFonts w:hint="eastAsia"/>
          <w:szCs w:val="32"/>
        </w:rPr>
        <w:t>指事业单位在专业业务活动及其辅助活动之外开展非独立核算经营活动取得的收入。</w:t>
      </w:r>
    </w:p>
    <w:p>
      <w:pPr>
        <w:ind w:firstLine="640"/>
        <w:rPr>
          <w:szCs w:val="32"/>
        </w:rPr>
      </w:pPr>
      <w:r>
        <w:rPr>
          <w:rFonts w:hint="eastAsia" w:eastAsia="楷体"/>
          <w:szCs w:val="32"/>
        </w:rPr>
        <w:t>（九）其他收入：</w:t>
      </w:r>
      <w:r>
        <w:rPr>
          <w:rFonts w:hint="eastAsia"/>
          <w:szCs w:val="32"/>
        </w:rPr>
        <w:t>指除上述收入以外的各项收入，主要包括非本级财政拨款、事业单位的投资收益等收入。</w:t>
      </w:r>
    </w:p>
    <w:p>
      <w:pPr>
        <w:ind w:firstLine="640"/>
        <w:rPr>
          <w:szCs w:val="32"/>
        </w:rPr>
      </w:pPr>
      <w:r>
        <w:rPr>
          <w:rFonts w:hint="eastAsia" w:eastAsia="楷体"/>
          <w:szCs w:val="32"/>
        </w:rPr>
        <w:t>（十）上年结转：</w:t>
      </w:r>
      <w:r>
        <w:rPr>
          <w:rFonts w:hint="eastAsia"/>
          <w:szCs w:val="32"/>
        </w:rPr>
        <w:t>指以前年度尚未完成、结转到本年仍按原规定用途继续使用的资金。</w:t>
      </w:r>
    </w:p>
    <w:p>
      <w:pPr>
        <w:ind w:firstLine="640"/>
        <w:rPr>
          <w:szCs w:val="32"/>
        </w:rPr>
      </w:pPr>
      <w:r>
        <w:rPr>
          <w:rFonts w:hint="eastAsia" w:eastAsia="楷体"/>
          <w:szCs w:val="32"/>
        </w:rPr>
        <w:t>（十一）结转下年：</w:t>
      </w:r>
      <w:r>
        <w:rPr>
          <w:rFonts w:hint="eastAsia"/>
          <w:szCs w:val="32"/>
        </w:rPr>
        <w:t>指以前年度预算安排、因客观条件发生变化无法按原计划实施，需延迟到以后年度按原规定用途继续使用的资金。</w:t>
      </w:r>
    </w:p>
    <w:p>
      <w:pPr>
        <w:ind w:firstLine="640"/>
        <w:rPr>
          <w:szCs w:val="32"/>
        </w:rPr>
      </w:pPr>
      <w:r>
        <w:rPr>
          <w:rFonts w:hint="eastAsia" w:eastAsia="楷体"/>
          <w:szCs w:val="32"/>
        </w:rPr>
        <w:t>（十二）基本支出：</w:t>
      </w:r>
      <w:r>
        <w:rPr>
          <w:rFonts w:hint="eastAsia"/>
          <w:szCs w:val="32"/>
        </w:rPr>
        <w:t>指为保障机构正常运转、完成日常工作任务而发生的人员支出和公用支出。</w:t>
      </w:r>
    </w:p>
    <w:p>
      <w:pPr>
        <w:ind w:firstLine="640"/>
        <w:rPr>
          <w:szCs w:val="32"/>
        </w:rPr>
      </w:pPr>
      <w:r>
        <w:rPr>
          <w:rFonts w:hint="eastAsia" w:eastAsia="楷体"/>
          <w:szCs w:val="32"/>
        </w:rPr>
        <w:t>（十三）项目支出：</w:t>
      </w:r>
      <w:r>
        <w:rPr>
          <w:rFonts w:hint="eastAsia"/>
          <w:szCs w:val="32"/>
        </w:rPr>
        <w:t>指在基本支出之外为完成特定行政任务和事业发展目标所发生的支出。</w:t>
      </w:r>
    </w:p>
    <w:p>
      <w:pPr>
        <w:ind w:firstLine="640"/>
        <w:rPr>
          <w:szCs w:val="32"/>
        </w:rPr>
      </w:pPr>
      <w:r>
        <w:rPr>
          <w:rFonts w:hint="eastAsia" w:eastAsia="楷体"/>
          <w:szCs w:val="32"/>
        </w:rPr>
        <w:t>（十四）上缴上级支出：</w:t>
      </w:r>
      <w:r>
        <w:rPr>
          <w:rFonts w:hint="eastAsia"/>
          <w:szCs w:val="32"/>
        </w:rPr>
        <w:t>指附属单位上缴上级的支出。</w:t>
      </w:r>
    </w:p>
    <w:p>
      <w:pPr>
        <w:ind w:firstLine="640"/>
        <w:rPr>
          <w:szCs w:val="32"/>
        </w:rPr>
      </w:pPr>
      <w:r>
        <w:rPr>
          <w:rFonts w:hint="eastAsia" w:eastAsia="楷体"/>
          <w:szCs w:val="32"/>
        </w:rPr>
        <w:t>（十五）事业单位经营支出：</w:t>
      </w:r>
      <w:r>
        <w:rPr>
          <w:rFonts w:hint="eastAsia"/>
          <w:szCs w:val="32"/>
        </w:rPr>
        <w:t>指事业单位在专业业务活动及其辅助活动之外开展非独立核算经营活动发生的支出。</w:t>
      </w:r>
    </w:p>
    <w:p>
      <w:pPr>
        <w:ind w:firstLine="640"/>
        <w:rPr>
          <w:szCs w:val="32"/>
        </w:rPr>
      </w:pPr>
      <w:r>
        <w:rPr>
          <w:rFonts w:hint="eastAsia" w:eastAsia="楷体"/>
          <w:szCs w:val="32"/>
        </w:rPr>
        <w:t>（十六）对附属单位补助支出：</w:t>
      </w:r>
      <w:r>
        <w:rPr>
          <w:rFonts w:hint="eastAsia"/>
          <w:szCs w:val="32"/>
        </w:rPr>
        <w:t>指对附属单位补助发生的支出。</w:t>
      </w:r>
    </w:p>
    <w:p>
      <w:pPr>
        <w:ind w:firstLine="640"/>
        <w:rPr>
          <w:szCs w:val="32"/>
        </w:rPr>
      </w:pPr>
      <w:r>
        <w:rPr>
          <w:rFonts w:hint="eastAsia" w:eastAsia="楷体"/>
          <w:szCs w:val="32"/>
        </w:rPr>
        <w:t>（十七）</w:t>
      </w:r>
      <w:r>
        <w:rPr>
          <w:rFonts w:eastAsia="楷体"/>
          <w:szCs w:val="32"/>
        </w:rPr>
        <w:t>“</w:t>
      </w:r>
      <w:r>
        <w:rPr>
          <w:rFonts w:hint="eastAsia" w:eastAsia="楷体"/>
          <w:szCs w:val="32"/>
        </w:rPr>
        <w:t>三公</w:t>
      </w:r>
      <w:r>
        <w:rPr>
          <w:rFonts w:eastAsia="楷体"/>
          <w:szCs w:val="32"/>
        </w:rPr>
        <w:t>”</w:t>
      </w:r>
      <w:r>
        <w:rPr>
          <w:rFonts w:hint="eastAsia" w:eastAsia="楷体"/>
          <w:szCs w:val="32"/>
        </w:rPr>
        <w:t>经费：</w:t>
      </w:r>
      <w:r>
        <w:rPr>
          <w:rFonts w:hint="eastAsia"/>
          <w:szCs w:val="32"/>
        </w:rPr>
        <w:t>纳入财政预决算管理的</w:t>
      </w:r>
      <w:r>
        <w:rPr>
          <w:szCs w:val="32"/>
        </w:rPr>
        <w:t>“</w:t>
      </w:r>
      <w:r>
        <w:rPr>
          <w:rFonts w:hint="eastAsia"/>
          <w:szCs w:val="32"/>
        </w:rPr>
        <w:t>三公</w:t>
      </w:r>
      <w:r>
        <w:rPr>
          <w:szCs w:val="32"/>
        </w:rPr>
        <w:t>”</w:t>
      </w:r>
      <w:r>
        <w:rPr>
          <w:rFonts w:hint="eastAsia"/>
          <w:szCs w:val="32"/>
        </w:rPr>
        <w:t>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hint="eastAsia" w:eastAsia="楷体"/>
          <w:szCs w:val="32"/>
        </w:rPr>
        <w:t>（十八）机关运行经费：</w:t>
      </w:r>
      <w:r>
        <w:rPr>
          <w:rFonts w:hint="eastAsia"/>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hint="eastAsia" w:eastAsia="楷体"/>
          <w:szCs w:val="32"/>
        </w:rPr>
        <w:t>（十九）项目支出绩效目标：</w:t>
      </w:r>
      <w:r>
        <w:rPr>
          <w:rFonts w:hint="eastAsia"/>
        </w:rPr>
        <w:t>项目支出绩效目标是指单位预算安排的项目支出在一定期限内预期达到的产出和效果。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bookmarkStart w:id="0" w:name="_GoBack"/>
      <w:bookmarkEnd w:id="0"/>
    </w:p>
    <w:sectPr>
      <w:footerReference r:id="rId9" w:type="first"/>
      <w:footerReference r:id="rId8" w:type="default"/>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- 13 -</w:t>
                </w:r>
                <w:r>
                  <w:rPr>
                    <w:rFonts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mY3ZDI0ZDE1MmZiNzU1ZWFkNTc3YzJjNjI1YmUifQ=="/>
  </w:docVars>
  <w:rsids>
    <w:rsidRoot w:val="48674ED2"/>
    <w:rsid w:val="000014B4"/>
    <w:rsid w:val="00013E9B"/>
    <w:rsid w:val="00031EFE"/>
    <w:rsid w:val="00081146"/>
    <w:rsid w:val="00084189"/>
    <w:rsid w:val="000C6D48"/>
    <w:rsid w:val="000D7FB8"/>
    <w:rsid w:val="000E46F6"/>
    <w:rsid w:val="00102492"/>
    <w:rsid w:val="0011632A"/>
    <w:rsid w:val="00122B14"/>
    <w:rsid w:val="00137FDE"/>
    <w:rsid w:val="00145456"/>
    <w:rsid w:val="002300BA"/>
    <w:rsid w:val="00246EB4"/>
    <w:rsid w:val="00260BF8"/>
    <w:rsid w:val="00261771"/>
    <w:rsid w:val="00292A39"/>
    <w:rsid w:val="002A2118"/>
    <w:rsid w:val="002A5441"/>
    <w:rsid w:val="002B3CE8"/>
    <w:rsid w:val="002B46A4"/>
    <w:rsid w:val="002C56E6"/>
    <w:rsid w:val="002E7CD8"/>
    <w:rsid w:val="002F3C5E"/>
    <w:rsid w:val="00300D03"/>
    <w:rsid w:val="00350F10"/>
    <w:rsid w:val="00366104"/>
    <w:rsid w:val="0036764B"/>
    <w:rsid w:val="00367BC1"/>
    <w:rsid w:val="00383351"/>
    <w:rsid w:val="00385851"/>
    <w:rsid w:val="00396D8D"/>
    <w:rsid w:val="003B5F7C"/>
    <w:rsid w:val="003C6735"/>
    <w:rsid w:val="003F1BB6"/>
    <w:rsid w:val="003F7C44"/>
    <w:rsid w:val="00407246"/>
    <w:rsid w:val="00426F96"/>
    <w:rsid w:val="00427386"/>
    <w:rsid w:val="0047470E"/>
    <w:rsid w:val="004869EB"/>
    <w:rsid w:val="00487479"/>
    <w:rsid w:val="00496602"/>
    <w:rsid w:val="004C6F5E"/>
    <w:rsid w:val="004D7317"/>
    <w:rsid w:val="004E2F59"/>
    <w:rsid w:val="004E4144"/>
    <w:rsid w:val="00514321"/>
    <w:rsid w:val="0052338F"/>
    <w:rsid w:val="00545F43"/>
    <w:rsid w:val="0056285A"/>
    <w:rsid w:val="00584D1B"/>
    <w:rsid w:val="00586A56"/>
    <w:rsid w:val="005A66ED"/>
    <w:rsid w:val="005B386A"/>
    <w:rsid w:val="005B4799"/>
    <w:rsid w:val="005C552A"/>
    <w:rsid w:val="005D5B16"/>
    <w:rsid w:val="005F314F"/>
    <w:rsid w:val="005F5DAD"/>
    <w:rsid w:val="0061387B"/>
    <w:rsid w:val="00623896"/>
    <w:rsid w:val="006358AE"/>
    <w:rsid w:val="006474B7"/>
    <w:rsid w:val="006B3914"/>
    <w:rsid w:val="006B75B9"/>
    <w:rsid w:val="006E0884"/>
    <w:rsid w:val="006F7322"/>
    <w:rsid w:val="0075009A"/>
    <w:rsid w:val="007638E0"/>
    <w:rsid w:val="007C4FC2"/>
    <w:rsid w:val="007E54F5"/>
    <w:rsid w:val="007E6851"/>
    <w:rsid w:val="008008CC"/>
    <w:rsid w:val="00800CCD"/>
    <w:rsid w:val="00812796"/>
    <w:rsid w:val="00822D82"/>
    <w:rsid w:val="00825722"/>
    <w:rsid w:val="00841DA8"/>
    <w:rsid w:val="00851A6F"/>
    <w:rsid w:val="008641CA"/>
    <w:rsid w:val="00870789"/>
    <w:rsid w:val="0087390C"/>
    <w:rsid w:val="00876AFD"/>
    <w:rsid w:val="00896C22"/>
    <w:rsid w:val="00897568"/>
    <w:rsid w:val="008C034B"/>
    <w:rsid w:val="008C034F"/>
    <w:rsid w:val="008F60C8"/>
    <w:rsid w:val="0091631A"/>
    <w:rsid w:val="00932BEF"/>
    <w:rsid w:val="00942508"/>
    <w:rsid w:val="009655F8"/>
    <w:rsid w:val="00983A8D"/>
    <w:rsid w:val="009A1AAE"/>
    <w:rsid w:val="009A2B46"/>
    <w:rsid w:val="009B2F41"/>
    <w:rsid w:val="009E093A"/>
    <w:rsid w:val="00A01B27"/>
    <w:rsid w:val="00A15B92"/>
    <w:rsid w:val="00A23B65"/>
    <w:rsid w:val="00A34894"/>
    <w:rsid w:val="00A54759"/>
    <w:rsid w:val="00A67EC5"/>
    <w:rsid w:val="00A73E5D"/>
    <w:rsid w:val="00A74672"/>
    <w:rsid w:val="00A96058"/>
    <w:rsid w:val="00AB4F71"/>
    <w:rsid w:val="00AC51B1"/>
    <w:rsid w:val="00AD4E96"/>
    <w:rsid w:val="00AE26C7"/>
    <w:rsid w:val="00AF5C3E"/>
    <w:rsid w:val="00AF68F8"/>
    <w:rsid w:val="00B029FE"/>
    <w:rsid w:val="00B05DD3"/>
    <w:rsid w:val="00B06E81"/>
    <w:rsid w:val="00B463BD"/>
    <w:rsid w:val="00B50A1B"/>
    <w:rsid w:val="00B600CA"/>
    <w:rsid w:val="00B60748"/>
    <w:rsid w:val="00B62F90"/>
    <w:rsid w:val="00B668F4"/>
    <w:rsid w:val="00B7570C"/>
    <w:rsid w:val="00BA7D5D"/>
    <w:rsid w:val="00BB6FD3"/>
    <w:rsid w:val="00BD3CEB"/>
    <w:rsid w:val="00BE1CDD"/>
    <w:rsid w:val="00C03605"/>
    <w:rsid w:val="00C04226"/>
    <w:rsid w:val="00C30694"/>
    <w:rsid w:val="00C36C22"/>
    <w:rsid w:val="00C42306"/>
    <w:rsid w:val="00C55740"/>
    <w:rsid w:val="00C67628"/>
    <w:rsid w:val="00C83460"/>
    <w:rsid w:val="00CA1FFF"/>
    <w:rsid w:val="00CC6E11"/>
    <w:rsid w:val="00CC7209"/>
    <w:rsid w:val="00D205EE"/>
    <w:rsid w:val="00D3221E"/>
    <w:rsid w:val="00D33284"/>
    <w:rsid w:val="00D43DA0"/>
    <w:rsid w:val="00D44841"/>
    <w:rsid w:val="00D55467"/>
    <w:rsid w:val="00D64290"/>
    <w:rsid w:val="00D71247"/>
    <w:rsid w:val="00D868CF"/>
    <w:rsid w:val="00DC0C1D"/>
    <w:rsid w:val="00DC0CD5"/>
    <w:rsid w:val="00DF0F79"/>
    <w:rsid w:val="00E00855"/>
    <w:rsid w:val="00E14F40"/>
    <w:rsid w:val="00E22C47"/>
    <w:rsid w:val="00E33072"/>
    <w:rsid w:val="00E357E0"/>
    <w:rsid w:val="00E4573E"/>
    <w:rsid w:val="00E47922"/>
    <w:rsid w:val="00E51E2C"/>
    <w:rsid w:val="00E55D3B"/>
    <w:rsid w:val="00E56F79"/>
    <w:rsid w:val="00E60D50"/>
    <w:rsid w:val="00E6424C"/>
    <w:rsid w:val="00E67450"/>
    <w:rsid w:val="00E82D48"/>
    <w:rsid w:val="00EA7CE8"/>
    <w:rsid w:val="00EB7D94"/>
    <w:rsid w:val="00EC16A5"/>
    <w:rsid w:val="00EC73B7"/>
    <w:rsid w:val="00ED4246"/>
    <w:rsid w:val="00EE1F67"/>
    <w:rsid w:val="00EF3B78"/>
    <w:rsid w:val="00F038E6"/>
    <w:rsid w:val="00F47B19"/>
    <w:rsid w:val="00F703D0"/>
    <w:rsid w:val="00F7193F"/>
    <w:rsid w:val="00F8523B"/>
    <w:rsid w:val="00F9772E"/>
    <w:rsid w:val="00FE6548"/>
    <w:rsid w:val="00FF0F6C"/>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14D2012"/>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11">
    <w:name w:val="Default Paragraph Font"/>
    <w:autoRedefine/>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99"/>
    <w:pPr>
      <w:tabs>
        <w:tab w:val="left" w:pos="8372"/>
      </w:tabs>
      <w:spacing w:line="540" w:lineRule="exact"/>
      <w:ind w:firstLine="630"/>
    </w:pPr>
    <w:rPr>
      <w:rFonts w:eastAsia="黑体"/>
    </w:rPr>
  </w:style>
  <w:style w:type="paragraph" w:styleId="3">
    <w:name w:val="Date"/>
    <w:basedOn w:val="1"/>
    <w:next w:val="1"/>
    <w:link w:val="14"/>
    <w:uiPriority w:val="99"/>
  </w:style>
  <w:style w:type="paragraph" w:styleId="4">
    <w:name w:val="Body Text Indent 2"/>
    <w:basedOn w:val="1"/>
    <w:link w:val="15"/>
    <w:uiPriority w:val="99"/>
    <w:pPr>
      <w:tabs>
        <w:tab w:val="left" w:pos="8372"/>
      </w:tabs>
      <w:spacing w:line="540" w:lineRule="exact"/>
      <w:ind w:firstLine="630"/>
    </w:pPr>
    <w:rPr>
      <w:b/>
      <w:bCs/>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autoRedefine/>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Body Text Indent Char"/>
    <w:basedOn w:val="11"/>
    <w:link w:val="2"/>
    <w:semiHidden/>
    <w:locked/>
    <w:uiPriority w:val="99"/>
    <w:rPr>
      <w:rFonts w:eastAsia="仿宋_GB2312" w:cs="Times New Roman"/>
      <w:sz w:val="20"/>
      <w:szCs w:val="20"/>
    </w:rPr>
  </w:style>
  <w:style w:type="character" w:customStyle="1" w:styleId="14">
    <w:name w:val="Date Char"/>
    <w:basedOn w:val="11"/>
    <w:link w:val="3"/>
    <w:semiHidden/>
    <w:locked/>
    <w:uiPriority w:val="99"/>
    <w:rPr>
      <w:rFonts w:eastAsia="仿宋_GB2312" w:cs="Times New Roman"/>
      <w:sz w:val="20"/>
      <w:szCs w:val="20"/>
    </w:rPr>
  </w:style>
  <w:style w:type="character" w:customStyle="1" w:styleId="15">
    <w:name w:val="Body Text Indent 2 Char"/>
    <w:basedOn w:val="11"/>
    <w:link w:val="4"/>
    <w:autoRedefine/>
    <w:semiHidden/>
    <w:locked/>
    <w:uiPriority w:val="99"/>
    <w:rPr>
      <w:rFonts w:eastAsia="仿宋_GB2312" w:cs="Times New Roman"/>
      <w:sz w:val="20"/>
      <w:szCs w:val="20"/>
    </w:rPr>
  </w:style>
  <w:style w:type="character" w:customStyle="1" w:styleId="16">
    <w:name w:val="Balloon Text Char"/>
    <w:basedOn w:val="11"/>
    <w:link w:val="5"/>
    <w:autoRedefine/>
    <w:locked/>
    <w:uiPriority w:val="99"/>
    <w:rPr>
      <w:rFonts w:eastAsia="仿宋_GB2312" w:cs="Times New Roman"/>
      <w:kern w:val="2"/>
      <w:sz w:val="18"/>
    </w:rPr>
  </w:style>
  <w:style w:type="character" w:customStyle="1" w:styleId="17">
    <w:name w:val="Footer Char"/>
    <w:basedOn w:val="11"/>
    <w:link w:val="6"/>
    <w:locked/>
    <w:uiPriority w:val="99"/>
    <w:rPr>
      <w:rFonts w:eastAsia="仿宋_GB2312" w:cs="Times New Roman"/>
      <w:kern w:val="2"/>
      <w:sz w:val="18"/>
    </w:rPr>
  </w:style>
  <w:style w:type="character" w:customStyle="1" w:styleId="18">
    <w:name w:val="Header Char"/>
    <w:basedOn w:val="11"/>
    <w:link w:val="7"/>
    <w:autoRedefine/>
    <w:semiHidden/>
    <w:locked/>
    <w:uiPriority w:val="99"/>
    <w:rPr>
      <w:rFonts w:eastAsia="仿宋_GB2312" w:cs="Times New Roman"/>
      <w:sz w:val="18"/>
      <w:szCs w:val="18"/>
    </w:rPr>
  </w:style>
  <w:style w:type="character" w:customStyle="1" w:styleId="19">
    <w:name w:val="font61"/>
    <w:uiPriority w:val="99"/>
    <w:rPr>
      <w:rFonts w:ascii="宋体" w:hAnsi="宋体" w:eastAsia="宋体"/>
      <w:color w:val="000000"/>
      <w:sz w:val="24"/>
      <w:u w:val="none"/>
    </w:rPr>
  </w:style>
  <w:style w:type="character" w:customStyle="1" w:styleId="20">
    <w:name w:val="font41"/>
    <w:uiPriority w:val="99"/>
    <w:rPr>
      <w:rFonts w:ascii="华文细黑" w:hAnsi="华文细黑" w:eastAsia="华文细黑"/>
      <w:color w:val="000000"/>
      <w:sz w:val="20"/>
      <w:u w:val="none"/>
    </w:rPr>
  </w:style>
  <w:style w:type="character" w:customStyle="1" w:styleId="21">
    <w:name w:val="font11"/>
    <w:uiPriority w:val="99"/>
    <w:rPr>
      <w:rFonts w:ascii="Arial" w:hAnsi="Arial"/>
      <w:color w:val="000000"/>
      <w:sz w:val="24"/>
      <w:u w:val="none"/>
    </w:rPr>
  </w:style>
  <w:style w:type="character" w:customStyle="1" w:styleId="22">
    <w:name w:val="font21"/>
    <w:uiPriority w:val="99"/>
    <w:rPr>
      <w:rFonts w:ascii="Arial" w:hAnsi="Arial"/>
      <w:color w:val="000000"/>
      <w:sz w:val="20"/>
      <w:u w:val="none"/>
    </w:rPr>
  </w:style>
  <w:style w:type="character" w:customStyle="1" w:styleId="23">
    <w:name w:val="font01"/>
    <w:uiPriority w:val="99"/>
    <w:rPr>
      <w:rFonts w:ascii="Times New Roman" w:hAnsi="Times New Roman"/>
      <w:color w:val="000000"/>
      <w:sz w:val="24"/>
      <w:u w:val="none"/>
    </w:rPr>
  </w:style>
  <w:style w:type="paragraph" w:customStyle="1" w:styleId="24">
    <w:name w:val="页脚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25">
    <w:name w:val="页脚 New New New New New New New New New New New"/>
    <w:basedOn w:val="1"/>
    <w:uiPriority w:val="99"/>
    <w:pPr>
      <w:tabs>
        <w:tab w:val="center" w:pos="4153"/>
        <w:tab w:val="right" w:pos="8306"/>
      </w:tabs>
      <w:snapToGrid w:val="0"/>
      <w:jc w:val="left"/>
    </w:pPr>
    <w:rPr>
      <w:sz w:val="18"/>
    </w:rPr>
  </w:style>
  <w:style w:type="paragraph" w:customStyle="1" w:styleId="26">
    <w:name w:val="页眉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27">
    <w:name w:val="页眉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28">
    <w:name w:val="页脚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29">
    <w:name w:val="页脚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30">
    <w:name w:val="页眉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New New New New New New New New New New"/>
    <w:basedOn w:val="1"/>
    <w:uiPriority w:val="99"/>
    <w:pPr>
      <w:tabs>
        <w:tab w:val="center" w:pos="4153"/>
        <w:tab w:val="right" w:pos="8306"/>
      </w:tabs>
      <w:snapToGrid w:val="0"/>
      <w:jc w:val="left"/>
    </w:pPr>
    <w:rPr>
      <w:sz w:val="18"/>
    </w:rPr>
  </w:style>
  <w:style w:type="paragraph" w:customStyle="1" w:styleId="32">
    <w:name w:val="页脚 New"/>
    <w:basedOn w:val="1"/>
    <w:uiPriority w:val="99"/>
    <w:pPr>
      <w:tabs>
        <w:tab w:val="center" w:pos="4153"/>
        <w:tab w:val="right" w:pos="8306"/>
      </w:tabs>
      <w:snapToGrid w:val="0"/>
      <w:jc w:val="left"/>
    </w:pPr>
    <w:rPr>
      <w:sz w:val="18"/>
    </w:rPr>
  </w:style>
  <w:style w:type="paragraph" w:customStyle="1" w:styleId="33">
    <w:name w:val="页眉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4">
    <w:name w:val="页眉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5">
    <w:name w:val="页眉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6">
    <w:name w:val="页脚 New New New New New New New New New New New New New New New"/>
    <w:basedOn w:val="1"/>
    <w:uiPriority w:val="99"/>
    <w:pPr>
      <w:tabs>
        <w:tab w:val="center" w:pos="4153"/>
        <w:tab w:val="right" w:pos="8306"/>
      </w:tabs>
      <w:snapToGrid w:val="0"/>
      <w:jc w:val="left"/>
    </w:pPr>
    <w:rPr>
      <w:sz w:val="18"/>
    </w:rPr>
  </w:style>
  <w:style w:type="paragraph" w:customStyle="1" w:styleId="37">
    <w:name w:val="页脚 New New New"/>
    <w:basedOn w:val="1"/>
    <w:uiPriority w:val="99"/>
    <w:pPr>
      <w:tabs>
        <w:tab w:val="center" w:pos="4153"/>
        <w:tab w:val="right" w:pos="8306"/>
      </w:tabs>
      <w:snapToGrid w:val="0"/>
      <w:jc w:val="left"/>
    </w:pPr>
    <w:rPr>
      <w:sz w:val="18"/>
    </w:rPr>
  </w:style>
  <w:style w:type="paragraph" w:customStyle="1" w:styleId="38">
    <w:name w:val="页眉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9">
    <w:name w:val="页眉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0">
    <w:name w:val="页眉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w:basedOn w:val="1"/>
    <w:uiPriority w:val="99"/>
    <w:pPr>
      <w:tabs>
        <w:tab w:val="center" w:pos="4153"/>
        <w:tab w:val="right" w:pos="8306"/>
      </w:tabs>
      <w:snapToGrid w:val="0"/>
      <w:jc w:val="left"/>
    </w:pPr>
    <w:rPr>
      <w:sz w:val="18"/>
    </w:rPr>
  </w:style>
  <w:style w:type="paragraph" w:customStyle="1" w:styleId="43">
    <w:name w:val="页脚 New New New New New New New New New New New New New New New New"/>
    <w:basedOn w:val="1"/>
    <w:uiPriority w:val="99"/>
    <w:pPr>
      <w:tabs>
        <w:tab w:val="center" w:pos="4153"/>
        <w:tab w:val="right" w:pos="8306"/>
      </w:tabs>
      <w:snapToGrid w:val="0"/>
      <w:jc w:val="left"/>
    </w:pPr>
    <w:rPr>
      <w:sz w:val="18"/>
    </w:rPr>
  </w:style>
  <w:style w:type="paragraph" w:customStyle="1" w:styleId="44">
    <w:name w:val="页脚 New New New New New New"/>
    <w:basedOn w:val="1"/>
    <w:uiPriority w:val="99"/>
    <w:pPr>
      <w:tabs>
        <w:tab w:val="center" w:pos="4153"/>
        <w:tab w:val="right" w:pos="8306"/>
      </w:tabs>
      <w:snapToGrid w:val="0"/>
      <w:jc w:val="left"/>
    </w:pPr>
    <w:rPr>
      <w:sz w:val="18"/>
    </w:rPr>
  </w:style>
  <w:style w:type="paragraph" w:customStyle="1" w:styleId="45">
    <w:name w:val="页眉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6">
    <w:name w:val="页眉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8">
    <w:name w:val="页眉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New New New New"/>
    <w:basedOn w:val="1"/>
    <w:uiPriority w:val="99"/>
    <w:pPr>
      <w:tabs>
        <w:tab w:val="center" w:pos="4153"/>
        <w:tab w:val="right" w:pos="8306"/>
      </w:tabs>
      <w:snapToGrid w:val="0"/>
      <w:jc w:val="left"/>
    </w:pPr>
    <w:rPr>
      <w:sz w:val="18"/>
    </w:rPr>
  </w:style>
  <w:style w:type="paragraph" w:customStyle="1" w:styleId="51">
    <w:name w:val="页眉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2">
    <w:name w:val="p0"/>
    <w:basedOn w:val="1"/>
    <w:uiPriority w:val="99"/>
    <w:pPr>
      <w:widowControl/>
    </w:pPr>
    <w:rPr>
      <w:rFonts w:eastAsia="宋体"/>
      <w:kern w:val="0"/>
      <w:szCs w:val="32"/>
    </w:rPr>
  </w:style>
  <w:style w:type="paragraph" w:customStyle="1" w:styleId="53">
    <w:name w:val="页脚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54">
    <w:name w:val="页脚 New New New New New New New New"/>
    <w:basedOn w:val="1"/>
    <w:uiPriority w:val="99"/>
    <w:pPr>
      <w:tabs>
        <w:tab w:val="center" w:pos="4153"/>
        <w:tab w:val="right" w:pos="8306"/>
      </w:tabs>
      <w:snapToGrid w:val="0"/>
      <w:jc w:val="left"/>
    </w:pPr>
    <w:rPr>
      <w:sz w:val="18"/>
    </w:rPr>
  </w:style>
  <w:style w:type="paragraph" w:customStyle="1" w:styleId="55">
    <w:name w:val="页脚 New New New New New New New New New"/>
    <w:basedOn w:val="1"/>
    <w:uiPriority w:val="99"/>
    <w:pPr>
      <w:tabs>
        <w:tab w:val="center" w:pos="4153"/>
        <w:tab w:val="right" w:pos="8306"/>
      </w:tabs>
      <w:snapToGrid w:val="0"/>
      <w:jc w:val="left"/>
    </w:pPr>
    <w:rPr>
      <w:sz w:val="18"/>
    </w:rPr>
  </w:style>
  <w:style w:type="paragraph" w:customStyle="1" w:styleId="56">
    <w:name w:val="页脚 New New New New New New New New New New New New"/>
    <w:basedOn w:val="1"/>
    <w:uiPriority w:val="99"/>
    <w:pPr>
      <w:tabs>
        <w:tab w:val="center" w:pos="4153"/>
        <w:tab w:val="right" w:pos="8306"/>
      </w:tabs>
      <w:snapToGrid w:val="0"/>
      <w:jc w:val="left"/>
    </w:pPr>
    <w:rPr>
      <w:sz w:val="18"/>
    </w:rPr>
  </w:style>
  <w:style w:type="paragraph" w:customStyle="1" w:styleId="57">
    <w:name w:val="页脚 New New New New New New New"/>
    <w:basedOn w:val="1"/>
    <w:uiPriority w:val="99"/>
    <w:pPr>
      <w:tabs>
        <w:tab w:val="center" w:pos="4153"/>
        <w:tab w:val="right" w:pos="8306"/>
      </w:tabs>
      <w:snapToGrid w:val="0"/>
      <w:jc w:val="left"/>
    </w:pPr>
    <w:rPr>
      <w:sz w:val="18"/>
    </w:rPr>
  </w:style>
  <w:style w:type="paragraph" w:customStyle="1" w:styleId="58">
    <w:name w:val="页脚 New New New New"/>
    <w:basedOn w:val="1"/>
    <w:uiPriority w:val="99"/>
    <w:pPr>
      <w:tabs>
        <w:tab w:val="center" w:pos="4153"/>
        <w:tab w:val="right" w:pos="8306"/>
      </w:tabs>
      <w:snapToGrid w:val="0"/>
      <w:jc w:val="left"/>
    </w:pPr>
    <w:rPr>
      <w:sz w:val="18"/>
    </w:rPr>
  </w:style>
  <w:style w:type="paragraph" w:customStyle="1" w:styleId="59">
    <w:name w:val="页脚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60">
    <w:name w:val="页眉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63">
    <w:name w:val="页眉 New New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w:basedOn w:val="1"/>
    <w:uiPriority w:val="99"/>
    <w:pPr>
      <w:tabs>
        <w:tab w:val="center" w:pos="4153"/>
        <w:tab w:val="right" w:pos="8306"/>
      </w:tabs>
      <w:snapToGrid w:val="0"/>
      <w:jc w:val="left"/>
    </w:pPr>
    <w:rPr>
      <w:sz w:val="18"/>
    </w:rPr>
  </w:style>
  <w:style w:type="paragraph" w:customStyle="1" w:styleId="65">
    <w:name w:val="页眉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6">
    <w:name w:val="正文文本 21"/>
    <w:basedOn w:val="1"/>
    <w:uiPriority w:val="99"/>
    <w:pPr>
      <w:adjustRightInd w:val="0"/>
      <w:ind w:firstLine="630"/>
      <w:jc w:val="left"/>
      <w:textAlignment w:val="baseline"/>
    </w:pPr>
    <w:rPr>
      <w:rFonts w:eastAsia="黑体"/>
    </w:rPr>
  </w:style>
  <w:style w:type="paragraph" w:customStyle="1" w:styleId="67">
    <w:name w:val="页眉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69">
    <w:name w:val="页脚 New New New New New New New New New New"/>
    <w:basedOn w:val="1"/>
    <w:uiPriority w:val="99"/>
    <w:pPr>
      <w:tabs>
        <w:tab w:val="center" w:pos="4153"/>
        <w:tab w:val="right" w:pos="8306"/>
      </w:tabs>
      <w:snapToGrid w:val="0"/>
      <w:jc w:val="left"/>
    </w:pPr>
    <w:rPr>
      <w:sz w:val="18"/>
    </w:rPr>
  </w:style>
  <w:style w:type="paragraph" w:customStyle="1" w:styleId="70">
    <w:name w:val="页眉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2">
    <w:name w:val="页脚 New New"/>
    <w:basedOn w:val="1"/>
    <w:uiPriority w:val="99"/>
    <w:pPr>
      <w:tabs>
        <w:tab w:val="center" w:pos="4153"/>
        <w:tab w:val="right" w:pos="8306"/>
      </w:tabs>
      <w:snapToGrid w:val="0"/>
      <w:jc w:val="left"/>
    </w:pPr>
    <w:rPr>
      <w:sz w:val="18"/>
    </w:rPr>
  </w:style>
  <w:style w:type="paragraph" w:customStyle="1" w:styleId="73">
    <w:name w:val="页眉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4">
    <w:name w:val="页眉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76">
    <w:name w:val="页眉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78">
    <w:name w:val="页眉 New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2">
    <w:name w:val="页眉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83">
    <w:name w:val="Char"/>
    <w:basedOn w:val="1"/>
    <w:uiPriority w:val="99"/>
    <w:rPr>
      <w:rFonts w:eastAsia="宋体"/>
      <w:sz w:val="21"/>
      <w:szCs w:val="21"/>
    </w:rPr>
  </w:style>
  <w:style w:type="paragraph" w:customStyle="1" w:styleId="84">
    <w:name w:val="页脚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5">
    <w:name w:val="页脚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6">
    <w:name w:val="页眉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23</Pages>
  <Words>5731</Words>
  <Characters>6891</Characters>
  <Lines>0</Lines>
  <Paragraphs>0</Paragraphs>
  <TotalTime>1817</TotalTime>
  <ScaleCrop>false</ScaleCrop>
  <LinksUpToDate>false</LinksUpToDate>
  <CharactersWithSpaces>7481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软软</cp:lastModifiedBy>
  <cp:lastPrinted>2024-01-23T03:39:00Z</cp:lastPrinted>
  <dcterms:modified xsi:type="dcterms:W3CDTF">2024-02-26T01:57:32Z</dcterms:modified>
  <dc:title>主  持  词</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