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简体" w:hint="eastAsia"/>
          <w:sz w:val="44"/>
          <w:szCs w:val="44"/>
          <w:u w:val="none"/>
          <w:lang w:val="en-US" w:eastAsia="zh-CN"/>
        </w:rPr>
      </w:pPr>
      <w:r>
        <w:rPr>
          <w:rFonts w:eastAsia="方正小标宋简体" w:hint="eastAsia"/>
          <w:sz w:val="44"/>
          <w:szCs w:val="44"/>
          <w:u w:val="none"/>
          <w:lang w:val="en-US" w:eastAsia="zh-CN"/>
        </w:rPr>
        <w:t>农安县统计局</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lang w:val="en-US" w:eastAsia="zh-CN"/>
        </w:rPr>
        <w:t>4</w:t>
      </w:r>
      <w:r>
        <w:rPr>
          <w:rFonts w:eastAsia="方正小标宋简体"/>
          <w:sz w:val="44"/>
          <w:szCs w:val="44"/>
        </w:rPr>
        <w:t>年</w:t>
      </w:r>
      <w:r>
        <w:rPr>
          <w:rFonts w:eastAsia="方正小标宋简体" w:hint="eastAsia"/>
          <w:sz w:val="44"/>
          <w:szCs w:val="44"/>
          <w:lang w:val="en-US" w:eastAsia="zh-CN"/>
        </w:rPr>
        <w:t>单位</w:t>
      </w:r>
      <w:r>
        <w:rPr>
          <w:rFonts w:eastAsia="方正小标宋简体"/>
          <w:sz w:val="44"/>
          <w:szCs w:val="44"/>
        </w:rPr>
        <w:t>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pPr>
      <w:r>
        <w:rPr>
          <w:rFonts w:eastAsia="华文细黑"/>
        </w:rPr>
        <w:t>二〇二</w:t>
      </w:r>
      <w:r>
        <w:rPr>
          <w:rFonts w:eastAsia="华文细黑" w:hint="eastAsia"/>
          <w:lang w:eastAsia="zh-CN"/>
        </w:rPr>
        <w:t>四</w:t>
      </w:r>
      <w:r>
        <w:rPr>
          <w:rFonts w:eastAsia="华文细黑"/>
        </w:rPr>
        <w:t>年</w:t>
      </w:r>
      <w:r>
        <w:rPr>
          <w:rFonts w:eastAsia="华文细黑" w:hint="eastAsia"/>
          <w:lang w:val="en-US" w:eastAsia="zh-CN"/>
        </w:rPr>
        <w:t>二</w:t>
      </w:r>
      <w:r>
        <w:rPr>
          <w:rFonts w:eastAsia="华文细黑"/>
        </w:rPr>
        <w:t>月</w:t>
      </w:r>
      <w:r>
        <w:rPr>
          <w:rFonts w:eastAsia="华文细黑" w:hint="eastAsia"/>
          <w:lang w:val="en-US" w:eastAsia="zh-CN"/>
        </w:rPr>
        <w:t>二十六</w:t>
      </w:r>
      <w:r>
        <w:rPr>
          <w:rFonts w:eastAsia="华文细黑"/>
        </w:rPr>
        <w:t>日</w:t>
      </w:r>
    </w:p>
    <w:p>
      <w:pPr>
        <w:rPr>
          <w:rFonts w:eastAsia="黑体"/>
        </w:rPr>
      </w:pPr>
    </w:p>
    <w:p>
      <w:pPr>
        <w:ind w:firstLineChars="200" w:firstLine="640"/>
        <w:rPr>
          <w:rFonts w:eastAsia="黑体"/>
        </w:rPr>
      </w:pPr>
    </w:p>
    <w:p>
      <w:pPr>
        <w:ind w:firstLineChars="200" w:firstLine="640"/>
        <w:rPr>
          <w:rFonts w:eastAsia="黑体"/>
        </w:rPr>
        <w:sectPr>
          <w:headerReference w:type="default" r:id="rId2"/>
          <w:headerReference w:type="even" r:id="rId3"/>
          <w:headerReference w:type="first" r:id="rId4"/>
          <w:footerReference w:type="default" r:id="rId5"/>
          <w:footerReference w:type="even" r:id="rId6"/>
          <w:type w:val="evenPage"/>
          <w:pgSz w:w="11907" w:h="16840"/>
          <w:pgMar w:top="2041" w:right="1588" w:bottom="2041" w:left="1588" w:header="851" w:footer="1588" w:gutter="0"/>
          <w:pgNumType w:fmt="numberInDash" w:start="1"/>
          <w:titlePg/>
          <w:docGrid w:type="lines" w:linePitch="574" w:charSpace="-1675"/>
        </w:sect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eastAsia="黑体" w:hint="eastAsia"/>
          <w:lang w:val="en-US" w:eastAsia="zh-CN"/>
        </w:rPr>
        <w:t>单位</w:t>
      </w:r>
      <w:r>
        <w:rPr>
          <w:rFonts w:eastAsia="黑体"/>
        </w:rPr>
        <w:t>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highlight w:val="auto"/>
        </w:rPr>
      </w:pPr>
      <w:r>
        <w:rPr>
          <w:rFonts w:hint="eastAsia"/>
          <w:lang w:eastAsia="zh-CN"/>
          <w:highlight w:val="auto"/>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jc w:val="center"/>
        <w:rPr>
          <w:rFonts w:eastAsia="黑体"/>
        </w:rPr>
      </w:pPr>
      <w:r>
        <w:rPr>
          <w:rFonts w:eastAsia="黑体"/>
        </w:rPr>
        <w:t xml:space="preserve">第一部分 </w:t>
      </w:r>
      <w:r>
        <w:rPr>
          <w:rFonts w:eastAsia="黑体" w:hint="eastAsia"/>
          <w:lang w:val="en-US" w:eastAsia="zh-CN"/>
        </w:rPr>
        <w:t>单位</w:t>
      </w:r>
      <w:r>
        <w:rPr>
          <w:rFonts w:eastAsia="黑体"/>
        </w:rPr>
        <w:t>概况</w:t>
      </w:r>
    </w:p>
    <w:p>
      <w:pPr>
        <w:ind w:firstLineChars="200" w:firstLine="640"/>
        <w:rPr>
          <w:rFonts w:eastAsia="楷体_GB2312"/>
        </w:rPr>
      </w:pPr>
    </w:p>
    <w:p>
      <w:pPr>
        <w:ind w:firstLineChars="300" w:firstLine="960"/>
        <w:rPr>
          <w:rFonts w:eastAsia="楷体_GB2312"/>
        </w:rPr>
      </w:pPr>
      <w:r>
        <w:rPr>
          <w:rFonts w:eastAsia="楷体_GB2312"/>
        </w:rPr>
        <w:t>一、主要职能</w:t>
      </w:r>
    </w:p>
    <w:p>
      <w:pPr>
        <w:ind w:leftChars="100" w:left="320" w:firstLineChars="200" w:firstLine="640"/>
      </w:pPr>
      <w:r>
        <w:rPr>
          <w:rFonts w:hint="eastAsia"/>
        </w:rPr>
        <w:t>（一）贯彻执行国家和省、市统计方针、政策以及法律、法规，制定全县统计规划及全县性统计调查计划，起草地方性统计法规和县政府规章草案；监督检查统计法律、法规的实施。组织领导全县统计工作，承担确保统计数据真实、准确、及时的责任。</w:t>
      </w:r>
    </w:p>
    <w:p>
      <w:pPr>
        <w:ind w:leftChars="100" w:left="320" w:firstLineChars="200" w:firstLine="640"/>
      </w:pPr>
      <w:r>
        <w:rPr>
          <w:rFonts w:hint="eastAsia"/>
        </w:rPr>
        <w:t>（二）根据全国统一的基本统计制度，建立健全全市国民经济核算体系和统计指标体系，制定全县统一的基本统计报表制度和统计标准；汇编提供全县国民经济核算资料，监督管理全县各级统计机关国民经济核算工作。</w:t>
      </w:r>
    </w:p>
    <w:p>
      <w:pPr>
        <w:ind w:leftChars="100" w:left="320" w:firstLineChars="200" w:firstLine="640"/>
      </w:pPr>
      <w:r>
        <w:rPr>
          <w:rFonts w:hint="eastAsia"/>
        </w:rPr>
        <w:t>（三）研究提出重大的县情县力普查计划，并组织实施；统一组织协调各乡镇及各单位的社会经济统计调查；对国民经济各行业、科技、资源环境和社会发展等情况进行统计分析、统计预测预警和统计监督，向县委、县政府及有关单位提供统计信息和咨询建议；收集、整理、提供国家及其他城市的统计资料，并进行对比分析和研究。</w:t>
      </w:r>
    </w:p>
    <w:p>
      <w:pPr>
        <w:ind w:leftChars="100" w:left="320" w:firstLineChars="200" w:firstLine="640"/>
      </w:pPr>
      <w:r>
        <w:rPr>
          <w:rFonts w:hint="eastAsia"/>
        </w:rPr>
        <w:t>（四）统一核定、管理、公布全县性的基本统计资料，定期向社会公布全市国民经济和社会发展情况的统计信息。</w:t>
      </w:r>
    </w:p>
    <w:p>
      <w:pPr>
        <w:ind w:leftChars="100" w:left="320" w:firstLineChars="200" w:firstLine="640"/>
      </w:pPr>
      <w:r>
        <w:rPr>
          <w:rFonts w:hint="eastAsia"/>
        </w:rPr>
        <w:t>（五）建立、完善和管理全县统计信息自动化系统和全县统计数据库体系；组织指导各乡镇统计信息自动化网络和数据库系统建设。</w:t>
      </w:r>
    </w:p>
    <w:p>
      <w:pPr>
        <w:ind w:leftChars="100" w:left="320" w:firstLineChars="200" w:firstLine="640"/>
      </w:pPr>
      <w:r>
        <w:rPr>
          <w:rFonts w:hint="eastAsia"/>
        </w:rPr>
        <w:t>（六）依法管理各单位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pPr>
        <w:ind w:leftChars="100" w:left="320" w:firstLineChars="200" w:firstLine="640"/>
      </w:pPr>
      <w:r>
        <w:rPr>
          <w:rFonts w:hint="eastAsia"/>
        </w:rPr>
        <w:t>（七）负责全县统计系统的干部人事、机构编制和财务经费、审计监督及资产设施管理。</w:t>
      </w:r>
    </w:p>
    <w:p>
      <w:pPr>
        <w:ind w:leftChars="100" w:left="320" w:firstLineChars="200" w:firstLine="640"/>
      </w:pPr>
      <w:r>
        <w:rPr>
          <w:rFonts w:hint="eastAsia"/>
        </w:rPr>
        <w:t>（八）承办县政府交办的其他事项。</w:t>
      </w:r>
    </w:p>
    <w:p>
      <w:pPr>
        <w:ind w:firstLineChars="300" w:firstLine="960"/>
      </w:pPr>
      <w:r>
        <w:rPr>
          <w:rFonts w:eastAsia="楷体_GB2312"/>
        </w:rPr>
        <w:t>二、机构设置</w:t>
      </w:r>
    </w:p>
    <w:p>
      <w:pPr>
        <w:pStyle w:val="56"/>
        <w:ind w:firstLineChars="200" w:firstLine="640"/>
        <w:rPr>
          <w:rFonts w:ascii="Times New Roman" w:eastAsia="仿宋_GB2312" w:cs="Times New Roman" w:hAnsi="Times New Roman" w:hint="eastAsia"/>
          <w:kern w:val="2"/>
          <w:sz w:val="32"/>
          <w:szCs w:val="22"/>
          <w:lang w:val="en-US" w:eastAsia="zh-CN" w:bidi="ar-SA"/>
        </w:rPr>
      </w:pPr>
      <w:r>
        <w:rPr>
          <w:rFonts w:ascii="Times New Roman" w:eastAsia="仿宋_GB2312" w:cs="Times New Roman" w:hAnsi="Times New Roman" w:hint="eastAsia"/>
          <w:kern w:val="2"/>
          <w:sz w:val="32"/>
          <w:szCs w:val="22"/>
          <w:lang w:val="en-US" w:eastAsia="zh-CN" w:bidi="ar-SA"/>
        </w:rPr>
        <w:t>根据上述职责，农安县统计局设3个内设机构。分别为：办公室、综合统计科、社会经济统计科。</w:t>
      </w:r>
    </w:p>
    <w:p>
      <w:pPr>
        <w:pStyle w:val="56"/>
        <w:ind w:firstLineChars="200" w:firstLine="640"/>
        <w:rPr>
          <w:rFonts w:eastAsia="黑体"/>
        </w:rPr>
      </w:pPr>
      <w:r>
        <w:rPr>
          <w:rFonts w:eastAsia="仿宋_GB2312" w:cs="Times New Roman" w:hint="eastAsia"/>
          <w:kern w:val="2"/>
          <w:sz w:val="32"/>
          <w:szCs w:val="22"/>
          <w:lang w:val="en-US" w:eastAsia="zh-CN" w:bidi="ar-SA"/>
        </w:rPr>
        <w:t>本单位无下设预算单位。</w:t>
      </w:r>
      <w:r>
        <w:rPr>
          <w:rFonts w:eastAsia="楷体" w:hint="eastAsia"/>
        </w:rPr>
        <w:br w:type="page"/>
      </w:r>
    </w:p>
    <w:p>
      <w:pPr>
        <w:jc w:val="center"/>
        <w:rPr>
          <w:rFonts w:eastAsia="黑体"/>
        </w:rPr>
      </w:pPr>
      <w:r>
        <w:rPr>
          <w:rFonts w:eastAsia="黑体"/>
        </w:rPr>
        <w:t>第二部分 预算表格</w:t>
      </w:r>
    </w:p>
    <w:tbl>
      <w:tblPr>
        <w:tblpPr w:leftFromText="180" w:rightFromText="180" w:vertAnchor="text" w:horzAnchor="page" w:tblpX="1126" w:tblpY="698"/>
        <w:tblOverlap w:val="never"/>
        <w:tblW w:w="99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ascii="宋体" w:eastAsia="宋体" w:cs="宋体" w:hint="eastAsia"/>
                <w:kern w:val="0"/>
                <w:sz w:val="20"/>
              </w:rPr>
            </w:pPr>
          </w:p>
        </w:tc>
        <w:tc>
          <w:tcPr>
            <w:tcW w:w="1200" w:type="dxa"/>
            <w:gridSpan w:val="2"/>
            <w:tcBorders>
              <w:top w:val="nil"/>
              <w:left w:val="nil"/>
              <w:bottom w:val="nil"/>
              <w:right w:val="nil"/>
            </w:tcBorders>
            <w:noWrap/>
            <w:vAlign w:val="center"/>
          </w:tcPr>
          <w:p>
            <w:pPr>
              <w:widowControl/>
              <w:jc w:val="center"/>
              <w:rPr>
                <w:rFonts w:ascii="宋体" w:eastAsia="宋体" w:cs="宋体" w:hint="eastAsia"/>
                <w:kern w:val="0"/>
                <w:sz w:val="20"/>
              </w:rPr>
            </w:pPr>
          </w:p>
        </w:tc>
        <w:tc>
          <w:tcPr>
            <w:tcW w:w="2498" w:type="dxa"/>
            <w:gridSpan w:val="2"/>
            <w:tcBorders>
              <w:top w:val="nil"/>
              <w:left w:val="nil"/>
              <w:bottom w:val="nil"/>
              <w:right w:val="nil"/>
            </w:tcBorders>
            <w:noWrap/>
            <w:vAlign w:val="center"/>
          </w:tcPr>
          <w:p>
            <w:pPr>
              <w:widowControl/>
              <w:jc w:val="center"/>
              <w:rPr>
                <w:rFonts w:ascii="宋体" w:eastAsia="宋体" w:cs="宋体" w:hint="eastAsia"/>
                <w:kern w:val="0"/>
                <w:sz w:val="20"/>
              </w:rPr>
            </w:pPr>
          </w:p>
        </w:tc>
        <w:tc>
          <w:tcPr>
            <w:tcW w:w="2340" w:type="dxa"/>
            <w:gridSpan w:val="3"/>
            <w:tcBorders>
              <w:top w:val="nil"/>
              <w:left w:val="nil"/>
              <w:bottom w:val="nil"/>
              <w:right w:val="nil"/>
            </w:tcBorders>
            <w:noWrap/>
            <w:vAlign w:val="bottom"/>
          </w:tcPr>
          <w:p>
            <w:pPr>
              <w:widowControl/>
              <w:jc w:val="right"/>
              <w:rPr>
                <w:rFonts w:ascii="宋体" w:eastAsia="宋体" w:cs="宋体" w:hint="eastAsia"/>
                <w:kern w:val="0"/>
                <w:sz w:val="20"/>
              </w:rPr>
            </w:pPr>
            <w:r>
              <w:rPr>
                <w:rFonts w:ascii="宋体" w:eastAsia="宋体" w:cs="宋体" w:hint="eastAsia"/>
                <w:kern w:val="0"/>
                <w:sz w:val="20"/>
                <w:lang w:val="en-US" w:eastAsia="zh-CN"/>
              </w:rPr>
              <w:t xml:space="preserve">            </w:t>
            </w:r>
            <w:r>
              <w:rPr>
                <w:rFonts w:ascii="宋体" w:eastAsia="宋体" w:cs="宋体" w:hint="eastAsia"/>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支        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202</w:t>
            </w:r>
            <w:r>
              <w:rPr>
                <w:rFonts w:ascii="宋体" w:eastAsia="宋体" w:cs="宋体" w:hint="eastAsia"/>
                <w:kern w:val="0"/>
                <w:sz w:val="20"/>
                <w:lang w:val="en-US" w:eastAsia="zh-CN"/>
              </w:rPr>
              <w:t>4</w:t>
            </w:r>
            <w:r>
              <w:rPr>
                <w:rFonts w:ascii="宋体" w:eastAsia="宋体" w:cs="宋体" w:hint="eastAsia"/>
                <w:kern w:val="0"/>
                <w:sz w:val="20"/>
              </w:rPr>
              <w:t>年</w:t>
            </w:r>
            <w:r>
              <w:rPr>
                <w:rFonts w:ascii="宋体" w:eastAsia="宋体" w:cs="宋体" w:hint="eastAsia"/>
                <w:kern w:val="0"/>
                <w:sz w:val="20"/>
                <w:lang w:val="en-US" w:eastAsia="zh-CN"/>
              </w:rPr>
              <w:t xml:space="preserve">  </w:t>
            </w:r>
            <w:r>
              <w:rPr>
                <w:rFonts w:ascii="宋体" w:eastAsia="宋体" w:cs="宋体" w:hint="eastAsia"/>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eastAsia="zh-CN"/>
              </w:rPr>
              <w:t>本年</w:t>
            </w:r>
            <w:r>
              <w:rPr>
                <w:rFonts w:ascii="宋体" w:eastAsia="宋体" w:cs="宋体" w:hint="eastAsia"/>
                <w:kern w:val="0"/>
                <w:sz w:val="20"/>
                <w:lang w:val="en-US" w:eastAsia="zh-CN"/>
              </w:rPr>
              <w:t xml:space="preserve">    </w:t>
            </w:r>
            <w:r>
              <w:rPr>
                <w:rFonts w:ascii="宋体" w:eastAsia="宋体" w:cs="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上年</w:t>
            </w:r>
            <w:r>
              <w:rPr>
                <w:rFonts w:ascii="宋体" w:eastAsia="宋体" w:cs="宋体" w:hint="eastAsia"/>
                <w:kern w:val="0"/>
                <w:sz w:val="20"/>
                <w:lang w:val="en-US" w:eastAsia="zh-CN"/>
              </w:rPr>
              <w:t xml:space="preserve">    </w:t>
            </w:r>
            <w:r>
              <w:rPr>
                <w:rFonts w:ascii="宋体" w:eastAsia="宋体" w:cs="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202</w:t>
            </w:r>
            <w:r>
              <w:rPr>
                <w:rFonts w:ascii="宋体" w:eastAsia="宋体" w:cs="宋体" w:hint="eastAsia"/>
                <w:kern w:val="0"/>
                <w:sz w:val="20"/>
                <w:lang w:val="en-US" w:eastAsia="zh-CN"/>
              </w:rPr>
              <w:t>4</w:t>
            </w:r>
            <w:r>
              <w:rPr>
                <w:rFonts w:ascii="宋体" w:eastAsia="宋体" w:cs="宋体" w:hint="eastAsia"/>
                <w:kern w:val="0"/>
                <w:sz w:val="20"/>
              </w:rPr>
              <w:t>年</w:t>
            </w:r>
            <w:r>
              <w:rPr>
                <w:rFonts w:ascii="宋体" w:eastAsia="宋体" w:cs="宋体" w:hint="eastAsia"/>
                <w:kern w:val="0"/>
                <w:sz w:val="20"/>
                <w:lang w:val="en-US" w:eastAsia="zh-CN"/>
              </w:rPr>
              <w:t xml:space="preserve">  </w:t>
            </w:r>
            <w:r>
              <w:rPr>
                <w:rFonts w:ascii="宋体" w:eastAsia="宋体" w:cs="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eastAsia="zh-CN"/>
              </w:rPr>
              <w:t>本</w:t>
            </w:r>
            <w:r>
              <w:rPr>
                <w:rFonts w:ascii="宋体" w:eastAsia="宋体" w:cs="宋体" w:hint="eastAsia"/>
                <w:kern w:val="0"/>
                <w:sz w:val="20"/>
              </w:rPr>
              <w:t>年</w:t>
            </w:r>
            <w:r>
              <w:rPr>
                <w:rFonts w:ascii="宋体" w:eastAsia="宋体" w:cs="宋体" w:hint="eastAsia"/>
                <w:kern w:val="0"/>
                <w:sz w:val="20"/>
                <w:lang w:val="en-US" w:eastAsia="zh-CN"/>
              </w:rPr>
              <w:t xml:space="preserve">     </w:t>
            </w:r>
            <w:r>
              <w:rPr>
                <w:rFonts w:ascii="宋体" w:eastAsia="宋体" w:cs="宋体" w:hint="eastAsia"/>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上年</w:t>
            </w:r>
            <w:r>
              <w:rPr>
                <w:rFonts w:ascii="宋体" w:eastAsia="宋体" w:cs="宋体" w:hint="eastAsia"/>
                <w:kern w:val="0"/>
                <w:sz w:val="20"/>
                <w:lang w:val="en-US" w:eastAsia="zh-CN"/>
              </w:rPr>
              <w:t xml:space="preserve">     </w:t>
            </w:r>
            <w:r>
              <w:rPr>
                <w:rFonts w:ascii="宋体" w:eastAsia="宋体" w:cs="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color w:val="000000"/>
                <w:kern w:val="0"/>
                <w:sz w:val="20"/>
                <w:lang w:val="en-US" w:eastAsia="zh-CN"/>
              </w:rPr>
              <w:t>259.73</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244.80</w:t>
            </w: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14.93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lang w:val="en-US" w:eastAsia="zh-CN"/>
              </w:rPr>
            </w:pPr>
            <w:r>
              <w:rPr>
                <w:rFonts w:ascii="宋体" w:eastAsia="宋体" w:cs="宋体" w:hint="eastAsia"/>
                <w:color w:val="000000"/>
                <w:kern w:val="0"/>
                <w:sz w:val="20"/>
                <w:lang w:val="en-US" w:eastAsia="zh-CN"/>
              </w:rPr>
              <w:t>215.44</w:t>
            </w: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205.91</w:t>
            </w: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9.53</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一般公共预算</w:t>
            </w:r>
            <w:r>
              <w:rPr>
                <w:rFonts w:ascii="宋体" w:eastAsia="宋体" w:cs="宋体" w:hint="eastAsia"/>
                <w:sz w:val="20"/>
                <w:lang w:val="en-US" w:eastAsia="zh-CN"/>
              </w:rPr>
              <w:t xml:space="preserve">    </w:t>
            </w:r>
            <w:r>
              <w:rPr>
                <w:rFonts w:ascii="宋体" w:eastAsia="宋体" w:cs="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color w:val="000000"/>
                <w:kern w:val="0"/>
                <w:sz w:val="20"/>
                <w:lang w:val="en-US" w:eastAsia="zh-CN"/>
              </w:rPr>
              <w:t>259.73</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244.80</w:t>
            </w: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14.93</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kern w:val="0"/>
                <w:sz w:val="20"/>
              </w:rPr>
            </w:pPr>
            <w:r>
              <w:rPr>
                <w:rFonts w:ascii="宋体" w:eastAsia="宋体" w:cs="宋体" w:hint="eastAsia"/>
                <w:color w:val="000000"/>
                <w:sz w:val="20"/>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kern w:val="0"/>
                <w:sz w:val="20"/>
                <w:lang w:val="en-US" w:eastAsia="zh-CN"/>
              </w:rPr>
            </w:pPr>
            <w:r>
              <w:rPr>
                <w:rFonts w:ascii="宋体" w:eastAsia="宋体" w:cs="宋体" w:hint="eastAsia"/>
                <w:color w:val="000000"/>
                <w:kern w:val="0"/>
                <w:sz w:val="20"/>
                <w:lang w:val="en-US" w:eastAsia="zh-CN"/>
              </w:rPr>
              <w:t>24.40</w:t>
            </w: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23.94</w:t>
            </w: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0.46</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政府性基金预算</w:t>
            </w:r>
            <w:r>
              <w:rPr>
                <w:rFonts w:ascii="宋体" w:eastAsia="宋体" w:cs="宋体" w:hint="eastAsia"/>
                <w:sz w:val="20"/>
                <w:lang w:val="en-US" w:eastAsia="zh-CN"/>
              </w:rPr>
              <w:t xml:space="preserve">   </w:t>
            </w:r>
            <w:r>
              <w:rPr>
                <w:rFonts w:ascii="宋体" w:eastAsia="宋体" w:cs="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textAlignment w:val="center"/>
              <w:rPr>
                <w:rFonts w:ascii="宋体" w:eastAsia="宋体" w:cs="宋体" w:hint="eastAsia"/>
                <w:color w:val="000000"/>
                <w:kern w:val="0"/>
                <w:sz w:val="20"/>
              </w:rPr>
            </w:pPr>
            <w:r>
              <w:rPr>
                <w:rFonts w:ascii="宋体" w:eastAsia="宋体" w:cs="宋体" w:hint="eastAsia"/>
                <w:color w:val="00000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kern w:val="0"/>
                <w:sz w:val="20"/>
                <w:lang w:val="en-US" w:eastAsia="zh-CN"/>
              </w:rPr>
            </w:pPr>
            <w:r>
              <w:rPr>
                <w:rFonts w:ascii="宋体" w:eastAsia="宋体" w:cs="宋体" w:hint="eastAsia"/>
                <w:color w:val="000000"/>
                <w:kern w:val="0"/>
                <w:sz w:val="20"/>
                <w:lang w:val="en-US" w:eastAsia="zh-CN"/>
              </w:rPr>
              <w:t>4.83</w:t>
            </w: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4.30</w:t>
            </w: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0.53</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textAlignment w:val="center"/>
              <w:rPr>
                <w:rFonts w:ascii="宋体" w:eastAsia="宋体" w:cs="宋体" w:hint="eastAsia"/>
                <w:color w:val="000000"/>
                <w:kern w:val="0"/>
                <w:sz w:val="20"/>
              </w:rPr>
            </w:pPr>
            <w:r>
              <w:rPr>
                <w:rFonts w:ascii="宋体" w:eastAsia="宋体" w:cs="宋体" w:hint="eastAsia"/>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kern w:val="0"/>
                <w:sz w:val="20"/>
                <w:lang w:val="en-US" w:eastAsia="zh-CN"/>
              </w:rPr>
            </w:pPr>
            <w:r>
              <w:rPr>
                <w:rFonts w:ascii="宋体" w:eastAsia="宋体" w:cs="宋体" w:hint="eastAsia"/>
                <w:color w:val="000000"/>
                <w:kern w:val="0"/>
                <w:sz w:val="20"/>
                <w:lang w:val="en-US" w:eastAsia="zh-CN"/>
              </w:rPr>
              <w:t>15.06</w:t>
            </w: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10.65</w:t>
            </w: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lang w:val="en-US" w:eastAsia="zh-CN"/>
              </w:rPr>
            </w:pPr>
            <w:r>
              <w:rPr>
                <w:rFonts w:ascii="宋体" w:eastAsia="宋体" w:cs="宋体" w:hint="eastAsia"/>
                <w:kern w:val="0"/>
                <w:sz w:val="20"/>
                <w:lang w:val="en-US" w:eastAsia="zh-CN"/>
              </w:rPr>
              <w:t>4.41</w:t>
            </w: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ascii="宋体" w:eastAsia="宋体" w:cs="宋体" w:hint="eastAsia"/>
                <w:sz w:val="20"/>
              </w:rPr>
            </w:pPr>
            <w:r>
              <w:rPr>
                <w:rFonts w:ascii="宋体" w:eastAsia="宋体" w:cs="宋体" w:hint="eastAsia"/>
                <w:sz w:val="20"/>
              </w:rPr>
              <w:t>二、财政专户管理</w:t>
            </w:r>
            <w:r>
              <w:rPr>
                <w:rFonts w:ascii="宋体" w:eastAsia="宋体" w:cs="宋体" w:hint="eastAsia"/>
                <w:sz w:val="20"/>
                <w:lang w:val="en-US" w:eastAsia="zh-CN"/>
              </w:rPr>
              <w:t xml:space="preserve">  </w:t>
            </w:r>
            <w:r>
              <w:rPr>
                <w:rFonts w:ascii="宋体" w:eastAsia="宋体" w:cs="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ascii="宋体" w:eastAsia="宋体" w:cs="宋体" w:hint="eastAsia"/>
                <w:sz w:val="20"/>
              </w:rPr>
            </w:pPr>
            <w:r>
              <w:rPr>
                <w:rFonts w:ascii="宋体" w:eastAsia="宋体" w:cs="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ascii="宋体" w:eastAsia="宋体" w:cs="宋体" w:hint="eastAsia"/>
                <w:sz w:val="20"/>
              </w:rPr>
            </w:pPr>
            <w:r>
              <w:rPr>
                <w:rFonts w:ascii="宋体" w:eastAsia="宋体" w:cs="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ascii="宋体" w:eastAsia="宋体" w:cs="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bCs/>
                <w:kern w:val="0"/>
                <w:sz w:val="20"/>
              </w:rPr>
            </w:pPr>
            <w:r>
              <w:rPr>
                <w:rFonts w:ascii="宋体" w:eastAsia="宋体" w:cs="宋体" w:hint="eastAsia"/>
                <w:b/>
                <w:bCs/>
                <w:kern w:val="0"/>
                <w:sz w:val="20"/>
              </w:rPr>
              <w:t>本年收入</w:t>
            </w:r>
            <w:r>
              <w:rPr>
                <w:rFonts w:ascii="宋体" w:eastAsia="宋体" w:cs="宋体" w:hint="eastAsia"/>
                <w:b/>
                <w:bCs/>
                <w:kern w:val="0"/>
                <w:sz w:val="20"/>
                <w:lang w:val="en-US" w:eastAsia="zh-CN"/>
              </w:rPr>
              <w:t xml:space="preserve">         </w:t>
            </w:r>
            <w:r>
              <w:rPr>
                <w:rFonts w:ascii="宋体" w:eastAsia="宋体" w:cs="宋体" w:hint="eastAsia"/>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259.73</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244.80</w:t>
            </w: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14.93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bCs/>
                <w:kern w:val="0"/>
                <w:sz w:val="20"/>
              </w:rPr>
            </w:pPr>
            <w:r>
              <w:rPr>
                <w:rFonts w:ascii="宋体" w:eastAsia="宋体" w:cs="宋体" w:hint="eastAsia"/>
                <w:b/>
                <w:bCs/>
                <w:kern w:val="0"/>
                <w:sz w:val="20"/>
              </w:rPr>
              <w:t>本年支出</w:t>
            </w:r>
            <w:r>
              <w:rPr>
                <w:rFonts w:ascii="宋体" w:eastAsia="宋体" w:cs="宋体" w:hint="eastAsia"/>
                <w:b/>
                <w:bCs/>
                <w:kern w:val="0"/>
                <w:sz w:val="20"/>
                <w:lang w:val="en-US" w:eastAsia="zh-CN"/>
              </w:rPr>
              <w:t xml:space="preserve">  </w:t>
            </w:r>
            <w:r>
              <w:rPr>
                <w:rFonts w:ascii="宋体" w:eastAsia="宋体" w:cs="宋体" w:hint="eastAsia"/>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val="0"/>
                <w:bCs w:val="0"/>
                <w:kern w:val="0"/>
                <w:sz w:val="20"/>
                <w:lang w:val="en-US" w:eastAsia="zh-CN"/>
              </w:rPr>
            </w:pPr>
            <w:r>
              <w:rPr>
                <w:rFonts w:ascii="宋体" w:eastAsia="宋体" w:cs="宋体" w:hint="eastAsia"/>
                <w:b w:val="0"/>
                <w:bCs w:val="0"/>
                <w:kern w:val="0"/>
                <w:sz w:val="20"/>
                <w:lang w:val="en-US" w:eastAsia="zh-CN"/>
              </w:rPr>
              <w:t>259.73</w:t>
            </w: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lang w:val="en-US" w:eastAsia="zh-CN"/>
              </w:rPr>
            </w:pPr>
            <w:r>
              <w:rPr>
                <w:rFonts w:ascii="宋体" w:eastAsia="宋体" w:cs="宋体" w:hint="eastAsia"/>
                <w:kern w:val="0"/>
                <w:sz w:val="20"/>
                <w:lang w:val="en-US" w:eastAsia="zh-CN"/>
              </w:rPr>
              <w:t>244.80</w:t>
            </w: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lang w:val="en-US" w:eastAsia="zh-CN"/>
              </w:rPr>
              <w:t>14.93</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结转下年</w:t>
            </w:r>
            <w:r>
              <w:rPr>
                <w:rFonts w:ascii="宋体" w:eastAsia="宋体" w:cs="宋体" w:hint="eastAsia"/>
                <w:kern w:val="0"/>
                <w:sz w:val="20"/>
                <w:lang w:val="en-US" w:eastAsia="zh-CN"/>
              </w:rPr>
              <w:t xml:space="preserve">  </w:t>
            </w:r>
            <w:r>
              <w:rPr>
                <w:rFonts w:ascii="宋体" w:eastAsia="宋体" w:cs="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val="0"/>
                <w:bCs w:val="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sz w:val="20"/>
                <w:lang w:eastAsia="zh-CN"/>
              </w:rPr>
              <w:t>非财政拨款</w:t>
            </w:r>
            <w:r>
              <w:rPr>
                <w:rFonts w:ascii="宋体" w:eastAsia="宋体" w:cs="宋体" w:hint="eastAsia"/>
                <w:sz w:val="20"/>
                <w:lang w:val="en-US" w:eastAsia="zh-CN"/>
              </w:rPr>
              <w:t xml:space="preserve">      </w:t>
            </w:r>
            <w:r>
              <w:rPr>
                <w:rFonts w:ascii="宋体" w:eastAsia="宋体" w:cs="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val="0"/>
                <w:bCs w:val="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ascii="宋体" w:eastAsia="宋体" w:cs="宋体" w:hint="eastAsia"/>
                <w:sz w:val="20"/>
              </w:rPr>
            </w:pPr>
            <w:r>
              <w:rPr>
                <w:rFonts w:ascii="宋体" w:eastAsia="宋体" w:cs="宋体" w:hint="eastAsia"/>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259.73</w:t>
            </w:r>
          </w:p>
        </w:tc>
        <w:tc>
          <w:tcPr>
            <w:tcW w:w="984"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244.80</w:t>
            </w:r>
          </w:p>
        </w:tc>
        <w:tc>
          <w:tcPr>
            <w:tcW w:w="1134" w:type="dxa"/>
            <w:tcBorders>
              <w:top w:val="nil"/>
              <w:left w:val="single" w:sz="4" w:space="0" w:color="auto"/>
              <w:bottom w:val="single" w:sz="4" w:space="0" w:color="auto"/>
              <w:right w:val="nil"/>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14.93</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b w:val="0"/>
                <w:bCs w:val="0"/>
                <w:kern w:val="0"/>
                <w:sz w:val="20"/>
              </w:rPr>
            </w:pPr>
            <w:r>
              <w:rPr>
                <w:rFonts w:ascii="宋体" w:eastAsia="宋体" w:cs="宋体" w:hint="eastAsia"/>
                <w:b w:val="0"/>
                <w:bCs w:val="0"/>
                <w:kern w:val="0"/>
                <w:sz w:val="20"/>
                <w:lang w:val="en-US" w:eastAsia="zh-CN"/>
              </w:rPr>
              <w:t>259.73</w:t>
            </w:r>
          </w:p>
        </w:tc>
        <w:tc>
          <w:tcPr>
            <w:tcW w:w="1182" w:type="dxa"/>
            <w:gridSpan w:val="2"/>
            <w:tcBorders>
              <w:top w:val="nil"/>
              <w:left w:val="nil"/>
              <w:bottom w:val="single" w:sz="4" w:space="0" w:color="auto"/>
              <w:right w:val="single" w:sz="4" w:space="0" w:color="auto"/>
            </w:tcBorders>
            <w:noWrap/>
            <w:vAlign w:val="center"/>
          </w:tcPr>
          <w:p>
            <w:pPr>
              <w:widowControl/>
              <w:jc w:val="center"/>
              <w:rPr>
                <w:rFonts w:ascii="宋体" w:eastAsia="宋体" w:cs="宋体"/>
                <w:kern w:val="0"/>
                <w:sz w:val="20"/>
                <w:lang w:val="en-US"/>
              </w:rPr>
            </w:pPr>
            <w:r>
              <w:rPr>
                <w:rFonts w:ascii="宋体" w:eastAsia="宋体" w:cs="宋体" w:hint="eastAsia"/>
                <w:kern w:val="0"/>
                <w:sz w:val="20"/>
                <w:lang w:val="en-US" w:eastAsia="zh-CN"/>
              </w:rPr>
              <w:t>244.80</w:t>
            </w:r>
          </w:p>
        </w:tc>
        <w:tc>
          <w:tcPr>
            <w:tcW w:w="1158"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val="en-US" w:eastAsia="zh-CN"/>
              </w:rPr>
              <w:t>14.93</w:t>
            </w:r>
          </w:p>
        </w:tc>
      </w:tr>
    </w:tbl>
    <w:p>
      <w:pPr>
        <w:ind w:firstLineChars="200" w:firstLine="640"/>
        <w:rPr>
          <w:rFonts w:eastAsia="楷体_GB2312"/>
          <w:strike/>
          <w:dstrike w:val="0"/>
        </w:rPr>
      </w:pPr>
    </w:p>
    <w:p>
      <w:pPr>
        <w:ind w:firstLineChars="200" w:firstLine="640"/>
        <w:rPr>
          <w:rFonts w:eastAsia="楷体_GB2312"/>
        </w:rPr>
      </w:pPr>
    </w:p>
    <w:p>
      <w:pPr>
        <w:rPr>
          <w:rFonts w:eastAsia="楷体"/>
        </w:rPr>
      </w:pPr>
    </w:p>
    <w:p>
      <w:pPr>
        <w:rPr>
          <w:rFonts w:eastAsia="楷体"/>
        </w:rPr>
      </w:pPr>
    </w:p>
    <w:p>
      <w:pPr>
        <w:rPr>
          <w:rFonts w:eastAsia="楷体"/>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996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43"/>
        <w:gridCol w:w="787"/>
        <w:gridCol w:w="760"/>
        <w:gridCol w:w="807"/>
        <w:gridCol w:w="313"/>
        <w:gridCol w:w="348"/>
        <w:gridCol w:w="421"/>
        <w:gridCol w:w="421"/>
        <w:gridCol w:w="421"/>
        <w:gridCol w:w="99"/>
        <w:gridCol w:w="321"/>
        <w:gridCol w:w="421"/>
        <w:gridCol w:w="252"/>
        <w:gridCol w:w="169"/>
        <w:gridCol w:w="329"/>
        <w:gridCol w:w="384"/>
        <w:gridCol w:w="742"/>
        <w:gridCol w:w="236"/>
        <w:gridCol w:w="272"/>
        <w:gridCol w:w="482"/>
        <w:gridCol w:w="374"/>
        <w:gridCol w:w="361"/>
      </w:tblGrid>
      <w:tr>
        <w:trPr>
          <w:trHeight w:val="335"/>
        </w:trPr>
        <w:tc>
          <w:tcPr>
            <w:tcW w:w="1243" w:type="dxa"/>
            <w:tcBorders>
              <w:bottom w:val="single" w:sz="4" w:space="0" w:color="000000"/>
            </w:tcBorders>
            <w:noWrap/>
          </w:tcPr>
          <w:p>
            <w:pPr>
              <w:autoSpaceDN w:val="0"/>
              <w:jc w:val="left"/>
              <w:textAlignment w:val="center"/>
              <w:rPr>
                <w:rFonts w:ascii="宋体" w:eastAsia="宋体" w:cs="宋体" w:hint="eastAsia"/>
                <w:color w:val="000000"/>
                <w:sz w:val="20"/>
              </w:rPr>
            </w:pPr>
          </w:p>
        </w:tc>
        <w:tc>
          <w:tcPr>
            <w:tcW w:w="4377" w:type="dxa"/>
            <w:gridSpan w:val="9"/>
            <w:tcBorders>
              <w:bottom w:val="single" w:sz="4" w:space="0" w:color="000000"/>
            </w:tcBorders>
            <w:noWrap/>
            <w:vAlign w:val="center"/>
          </w:tcPr>
          <w:p>
            <w:pPr>
              <w:autoSpaceDN w:val="0"/>
              <w:jc w:val="left"/>
              <w:textAlignment w:val="center"/>
              <w:rPr>
                <w:rFonts w:ascii="宋体" w:eastAsia="宋体" w:cs="宋体" w:hint="eastAsia"/>
                <w:color w:val="000000"/>
                <w:sz w:val="20"/>
              </w:rPr>
            </w:pPr>
          </w:p>
        </w:tc>
        <w:tc>
          <w:tcPr>
            <w:tcW w:w="994" w:type="dxa"/>
            <w:gridSpan w:val="3"/>
            <w:noWrap/>
            <w:vAlign w:val="center"/>
          </w:tcPr>
          <w:p>
            <w:pPr>
              <w:autoSpaceDN w:val="0"/>
              <w:jc w:val="left"/>
              <w:textAlignment w:val="center"/>
              <w:rPr>
                <w:rFonts w:ascii="宋体" w:eastAsia="宋体" w:cs="宋体" w:hint="eastAsia"/>
                <w:color w:val="000000"/>
                <w:sz w:val="20"/>
              </w:rPr>
            </w:pPr>
          </w:p>
        </w:tc>
        <w:tc>
          <w:tcPr>
            <w:tcW w:w="498" w:type="dxa"/>
            <w:gridSpan w:val="2"/>
            <w:noWrap/>
            <w:vAlign w:val="center"/>
          </w:tcPr>
          <w:p>
            <w:pPr>
              <w:autoSpaceDN w:val="0"/>
              <w:jc w:val="left"/>
              <w:textAlignment w:val="center"/>
              <w:rPr>
                <w:rFonts w:ascii="宋体" w:eastAsia="宋体" w:cs="宋体" w:hint="eastAsia"/>
                <w:color w:val="000000"/>
                <w:sz w:val="20"/>
              </w:rPr>
            </w:pPr>
          </w:p>
        </w:tc>
        <w:tc>
          <w:tcPr>
            <w:tcW w:w="1126" w:type="dxa"/>
            <w:gridSpan w:val="2"/>
            <w:noWrap/>
            <w:vAlign w:val="center"/>
          </w:tcPr>
          <w:p>
            <w:pPr>
              <w:autoSpaceDN w:val="0"/>
              <w:jc w:val="left"/>
              <w:textAlignment w:val="center"/>
              <w:rPr>
                <w:rFonts w:ascii="宋体" w:eastAsia="宋体" w:cs="宋体" w:hint="eastAsia"/>
                <w:color w:val="000000"/>
                <w:sz w:val="20"/>
              </w:rPr>
            </w:pPr>
          </w:p>
        </w:tc>
        <w:tc>
          <w:tcPr>
            <w:tcW w:w="236" w:type="dxa"/>
            <w:noWrap/>
            <w:vAlign w:val="bottom"/>
          </w:tcPr>
          <w:p>
            <w:pPr>
              <w:autoSpaceDN w:val="0"/>
              <w:jc w:val="right"/>
              <w:textAlignment w:val="bottom"/>
              <w:rPr>
                <w:rFonts w:ascii="宋体" w:eastAsia="宋体" w:cs="宋体" w:hint="eastAsia"/>
                <w:color w:val="000000"/>
                <w:sz w:val="20"/>
              </w:rPr>
            </w:pPr>
          </w:p>
        </w:tc>
        <w:tc>
          <w:tcPr>
            <w:tcW w:w="1489" w:type="dxa"/>
            <w:gridSpan w:val="4"/>
            <w:noWrap/>
            <w:vAlign w:val="bottom"/>
          </w:tcPr>
          <w:p>
            <w:pPr>
              <w:wordWrap/>
              <w:autoSpaceDN w:val="0"/>
              <w:jc w:val="right"/>
              <w:textAlignment w:val="center"/>
              <w:rPr>
                <w:rFonts w:ascii="宋体" w:eastAsia="宋体" w:cs="宋体" w:hint="eastAsia"/>
                <w:color w:val="000000"/>
                <w:sz w:val="20"/>
              </w:rPr>
            </w:pPr>
            <w:r>
              <w:rPr>
                <w:rFonts w:ascii="宋体" w:eastAsia="宋体" w:cs="宋体" w:hint="eastAsia"/>
                <w:color w:val="000000"/>
                <w:sz w:val="20"/>
              </w:rPr>
              <w:t>单位：万元</w:t>
            </w:r>
          </w:p>
        </w:tc>
      </w:tr>
      <w:tr>
        <w:trPr>
          <w:trHeight w:val="517"/>
        </w:trPr>
        <w:tc>
          <w:tcPr>
            <w:tcW w:w="1243" w:type="dxa"/>
            <w:vMerge w:val="restart"/>
            <w:tcBorders>
              <w:left w:val="single" w:sz="4" w:space="0" w:color="000000"/>
              <w:right w:val="single" w:sz="4" w:space="0" w:color="000000"/>
            </w:tcBorders>
            <w:noWrap/>
            <w:vAlign w:val="center"/>
          </w:tcPr>
          <w:p>
            <w:pPr>
              <w:widowControl/>
              <w:jc w:val="center"/>
              <w:rPr>
                <w:rFonts w:ascii="宋体" w:eastAsia="宋体" w:cs="宋体" w:hint="eastAsia"/>
                <w:color w:val="000000"/>
                <w:sz w:val="20"/>
                <w:lang w:eastAsia="zh-CN"/>
              </w:rPr>
            </w:pPr>
            <w:r>
              <w:rPr>
                <w:rFonts w:ascii="宋体" w:eastAsia="宋体" w:cs="宋体" w:hint="eastAsia"/>
                <w:color w:val="000000"/>
                <w:sz w:val="20"/>
                <w:lang w:eastAsia="zh-CN"/>
              </w:rPr>
              <w:t>部门（单位）名称</w:t>
            </w:r>
          </w:p>
        </w:tc>
        <w:tc>
          <w:tcPr>
            <w:tcW w:w="787" w:type="dxa"/>
            <w:vMerge w:val="restart"/>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总计</w:t>
            </w:r>
          </w:p>
        </w:tc>
        <w:tc>
          <w:tcPr>
            <w:tcW w:w="4753" w:type="dxa"/>
            <w:gridSpan w:val="12"/>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lang w:eastAsia="zh-CN"/>
              </w:rPr>
              <w:t>本年预算</w:t>
            </w:r>
          </w:p>
        </w:tc>
        <w:tc>
          <w:tcPr>
            <w:tcW w:w="3180" w:type="dxa"/>
            <w:gridSpan w:val="8"/>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上年结转结余</w:t>
            </w:r>
          </w:p>
        </w:tc>
      </w:tr>
      <w:tr>
        <w:trPr>
          <w:trHeight w:val="517"/>
        </w:trPr>
        <w:tc>
          <w:tcPr>
            <w:tcW w:w="1243" w:type="dxa"/>
            <w:vMerge/>
            <w:tcBorders>
              <w:left w:val="single" w:sz="4" w:space="0" w:color="000000"/>
              <w:right w:val="single" w:sz="4" w:space="0" w:color="000000"/>
            </w:tcBorders>
            <w:noWrap/>
            <w:vAlign w:val="center"/>
          </w:tcPr>
          <w:p/>
        </w:tc>
        <w:tc>
          <w:tcPr>
            <w:tcW w:w="787" w:type="dxa"/>
            <w:vMerge/>
            <w:tcBorders>
              <w:left w:val="single" w:sz="4" w:space="0" w:color="000000"/>
              <w:right w:val="single" w:sz="4" w:space="0" w:color="000000"/>
            </w:tcBorders>
            <w:noWrap/>
            <w:vAlign w:val="center"/>
          </w:tcPr>
          <w:p/>
        </w:tc>
        <w:tc>
          <w:tcPr>
            <w:tcW w:w="760"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468"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款收入</w:t>
            </w:r>
          </w:p>
        </w:tc>
        <w:tc>
          <w:tcPr>
            <w:tcW w:w="421" w:type="dxa"/>
            <w:vMerge w:val="restart"/>
            <w:tcBorders>
              <w:top w:val="single" w:sz="4" w:space="0" w:color="000000"/>
              <w:left w:val="single" w:sz="4" w:space="0" w:color="auto"/>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财政专户管理资金收入</w:t>
            </w:r>
          </w:p>
        </w:tc>
        <w:tc>
          <w:tcPr>
            <w:tcW w:w="2104" w:type="dxa"/>
            <w:gridSpan w:val="7"/>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单位资</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金收入</w:t>
            </w:r>
          </w:p>
        </w:tc>
        <w:tc>
          <w:tcPr>
            <w:tcW w:w="713" w:type="dxa"/>
            <w:gridSpan w:val="2"/>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732" w:type="dxa"/>
            <w:gridSpan w:val="4"/>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款结转</w:t>
            </w:r>
          </w:p>
        </w:tc>
        <w:tc>
          <w:tcPr>
            <w:tcW w:w="735" w:type="dxa"/>
            <w:gridSpan w:val="2"/>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非财政拨款结转结余</w:t>
            </w:r>
          </w:p>
        </w:tc>
      </w:tr>
      <w:tr>
        <w:trPr>
          <w:trHeight w:val="2818"/>
        </w:trPr>
        <w:tc>
          <w:tcPr>
            <w:tcW w:w="1243" w:type="dxa"/>
            <w:vMerge/>
            <w:tcBorders>
              <w:left w:val="single" w:sz="4" w:space="0" w:color="000000"/>
              <w:bottom w:val="single" w:sz="4" w:space="0" w:color="000000"/>
              <w:right w:val="single" w:sz="4" w:space="0" w:color="000000"/>
            </w:tcBorders>
            <w:shd w:val="solid" w:color="FFFFFF" w:fill="auto"/>
            <w:noWrap/>
            <w:vAlign w:val="center"/>
          </w:tcPr>
          <w:p/>
        </w:tc>
        <w:tc>
          <w:tcPr>
            <w:tcW w:w="787" w:type="dxa"/>
            <w:vMerge/>
            <w:tcBorders>
              <w:left w:val="single" w:sz="4" w:space="0" w:color="000000"/>
              <w:bottom w:val="single" w:sz="4" w:space="0" w:color="000000"/>
              <w:right w:val="single" w:sz="4" w:space="0" w:color="000000"/>
            </w:tcBorders>
            <w:shd w:val="solid" w:color="FFFFFF" w:fill="auto"/>
            <w:noWrap/>
            <w:vAlign w:val="center"/>
          </w:tcPr>
          <w:p/>
        </w:tc>
        <w:tc>
          <w:tcPr>
            <w:tcW w:w="760"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807"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一般公共预算收入</w:t>
            </w:r>
          </w:p>
        </w:tc>
        <w:tc>
          <w:tcPr>
            <w:tcW w:w="313" w:type="dxa"/>
            <w:tcBorders>
              <w:top w:val="single" w:sz="4" w:space="0" w:color="000000"/>
              <w:left w:val="single" w:sz="4" w:space="0" w:color="000000"/>
              <w:bottom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政府性基金预算收入</w:t>
            </w: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国有资本经营预算收入</w:t>
            </w:r>
          </w:p>
        </w:tc>
        <w:tc>
          <w:tcPr>
            <w:tcW w:w="421" w:type="dxa"/>
            <w:vMerge/>
            <w:tcBorders>
              <w:left w:val="single" w:sz="4" w:space="0" w:color="auto"/>
              <w:bottom w:val="single" w:sz="4" w:space="0" w:color="000000"/>
              <w:right w:val="single" w:sz="4" w:space="0" w:color="auto"/>
            </w:tcBorders>
            <w:shd w:val="solid" w:color="FFFFFF" w:fill="auto"/>
            <w:noWrap/>
            <w:textDirection w:val="tbLrV"/>
          </w:tc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事业单位经营收入</w:t>
            </w: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上级补助收入</w:t>
            </w: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附属单位上缴收入</w:t>
            </w: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其他收入</w:t>
            </w:r>
          </w:p>
        </w:tc>
        <w:tc>
          <w:tcPr>
            <w:tcW w:w="713" w:type="dxa"/>
            <w:gridSpan w:val="2"/>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一般公共预算拨款结转</w:t>
            </w: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政府性基金预算拨款结转</w:t>
            </w:r>
          </w:p>
        </w:tc>
        <w:tc>
          <w:tcPr>
            <w:tcW w:w="482"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国有资本经营预算拨款结转</w:t>
            </w:r>
          </w:p>
        </w:tc>
        <w:tc>
          <w:tcPr>
            <w:tcW w:w="374"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rPr>
            </w:pPr>
            <w:r>
              <w:rPr>
                <w:rFonts w:ascii="宋体" w:eastAsia="宋体" w:cs="宋体" w:hint="eastAsia"/>
                <w:color w:val="000000"/>
                <w:sz w:val="20"/>
                <w:shd w:val="clear" w:color="auto" w:fill="FFFFFF"/>
                <w:lang w:eastAsia="zh-CN"/>
              </w:rPr>
              <w:t>财政专户管理资金结转结余</w:t>
            </w: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单位资金结转结余</w:t>
            </w:r>
          </w:p>
        </w:tc>
      </w:tr>
      <w:tr>
        <w:trPr>
          <w:trHeight w:val="517"/>
        </w:trPr>
        <w:tc>
          <w:tcPr>
            <w:tcW w:w="124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ascii="宋体" w:eastAsia="宋体" w:cs="宋体" w:hint="eastAsia"/>
                <w:color w:val="000000"/>
                <w:sz w:val="20"/>
                <w:shd w:val="clear" w:color="auto" w:fill="FFFFFF"/>
              </w:rPr>
            </w:pPr>
            <w:r>
              <w:rPr>
                <w:rFonts w:ascii="宋体" w:eastAsia="宋体" w:cs="宋体" w:hint="eastAsia"/>
                <w:sz w:val="16"/>
                <w:szCs w:val="16"/>
              </w:rPr>
              <w:t>农安县统计局</w:t>
            </w:r>
          </w:p>
        </w:tc>
        <w:tc>
          <w:tcPr>
            <w:tcW w:w="7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lang w:val="en-US" w:eastAsia="zh-CN"/>
              </w:rPr>
            </w:pPr>
            <w:r>
              <w:rPr>
                <w:rFonts w:ascii="宋体" w:eastAsia="宋体" w:cs="宋体" w:hint="eastAsia"/>
                <w:color w:val="000000"/>
                <w:sz w:val="18"/>
                <w:szCs w:val="18"/>
                <w:shd w:val="clear" w:color="auto" w:fill="FFFFFF"/>
                <w:lang w:val="en-US" w:eastAsia="zh-CN"/>
              </w:rPr>
              <w:t>259.73</w:t>
            </w:r>
          </w:p>
        </w:tc>
        <w:tc>
          <w:tcPr>
            <w:tcW w:w="7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lang w:val="en-US" w:eastAsia="zh-CN"/>
              </w:rPr>
            </w:pPr>
            <w:r>
              <w:rPr>
                <w:rFonts w:ascii="宋体" w:eastAsia="宋体" w:cs="宋体" w:hint="eastAsia"/>
                <w:color w:val="000000"/>
                <w:sz w:val="18"/>
                <w:szCs w:val="18"/>
                <w:shd w:val="clear" w:color="auto" w:fill="FFFFFF"/>
                <w:lang w:val="en-US" w:eastAsia="zh-CN"/>
              </w:rPr>
              <w:t>244.80</w:t>
            </w:r>
          </w:p>
        </w:tc>
        <w:tc>
          <w:tcPr>
            <w:tcW w:w="80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lang w:val="en-US" w:eastAsia="zh-CN"/>
              </w:rPr>
            </w:pPr>
            <w:r>
              <w:rPr>
                <w:rFonts w:ascii="宋体" w:eastAsia="宋体" w:cs="宋体" w:hint="eastAsia"/>
                <w:color w:val="000000"/>
                <w:sz w:val="18"/>
                <w:szCs w:val="18"/>
                <w:shd w:val="clear" w:color="auto" w:fill="FFFFFF"/>
                <w:lang w:val="en-US" w:eastAsia="zh-CN"/>
              </w:rPr>
              <w:t>244.80</w:t>
            </w:r>
          </w:p>
        </w:tc>
        <w:tc>
          <w:tcPr>
            <w:tcW w:w="31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1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lang w:val="en-US" w:eastAsia="zh-CN"/>
              </w:rPr>
            </w:pPr>
            <w:r>
              <w:rPr>
                <w:rFonts w:ascii="宋体" w:eastAsia="宋体" w:cs="宋体" w:hint="eastAsia"/>
                <w:color w:val="000000"/>
                <w:sz w:val="18"/>
                <w:szCs w:val="18"/>
                <w:shd w:val="clear" w:color="auto" w:fill="FFFFFF"/>
                <w:lang w:val="en-US" w:eastAsia="zh-CN"/>
              </w:rPr>
              <w:t>14.93</w:t>
            </w: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lang w:val="en-US" w:eastAsia="zh-CN"/>
              </w:rPr>
            </w:pPr>
            <w:r>
              <w:rPr>
                <w:rFonts w:ascii="宋体" w:eastAsia="宋体" w:cs="宋体" w:hint="eastAsia"/>
                <w:color w:val="000000"/>
                <w:sz w:val="18"/>
                <w:szCs w:val="18"/>
                <w:shd w:val="clear" w:color="auto" w:fill="FFFFFF"/>
                <w:lang w:val="en-US" w:eastAsia="zh-CN"/>
              </w:rPr>
              <w:t>14.93</w:t>
            </w: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8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r>
      <w:tr>
        <w:trPr>
          <w:trHeight w:val="517"/>
        </w:trPr>
        <w:tc>
          <w:tcPr>
            <w:tcW w:w="124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ascii="宋体" w:eastAsia="宋体" w:cs="宋体" w:hint="eastAsia"/>
                <w:color w:val="000000"/>
                <w:sz w:val="20"/>
                <w:shd w:val="clear" w:color="auto" w:fill="FFFFFF"/>
              </w:rPr>
            </w:pPr>
          </w:p>
        </w:tc>
        <w:tc>
          <w:tcPr>
            <w:tcW w:w="7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80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1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1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8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r>
      <w:tr>
        <w:trPr>
          <w:trHeight w:val="517"/>
        </w:trPr>
        <w:tc>
          <w:tcPr>
            <w:tcW w:w="124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ascii="宋体" w:eastAsia="宋体" w:cs="宋体" w:hint="eastAsia"/>
                <w:color w:val="000000"/>
                <w:sz w:val="20"/>
                <w:shd w:val="clear" w:color="auto" w:fill="FFFFFF"/>
              </w:rPr>
            </w:pPr>
          </w:p>
        </w:tc>
        <w:tc>
          <w:tcPr>
            <w:tcW w:w="7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80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1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1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8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r>
      <w:tr>
        <w:trPr>
          <w:trHeight w:val="517"/>
        </w:trPr>
        <w:tc>
          <w:tcPr>
            <w:tcW w:w="1243"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ascii="宋体" w:eastAsia="宋体" w:cs="宋体" w:hint="eastAsia"/>
                <w:color w:val="000000"/>
                <w:sz w:val="20"/>
                <w:shd w:val="clear" w:color="auto" w:fill="FFFFFF"/>
              </w:rPr>
            </w:pPr>
          </w:p>
        </w:tc>
        <w:tc>
          <w:tcPr>
            <w:tcW w:w="7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80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1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1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8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r>
      <w:tr>
        <w:trPr>
          <w:trHeight w:val="530"/>
        </w:trPr>
        <w:tc>
          <w:tcPr>
            <w:tcW w:w="124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left"/>
              <w:textAlignment w:val="center"/>
              <w:rPr>
                <w:rFonts w:ascii="宋体" w:eastAsia="宋体" w:cs="宋体" w:hint="eastAsia"/>
                <w:color w:val="000000"/>
                <w:sz w:val="20"/>
                <w:shd w:val="clear" w:color="auto" w:fill="FFFFFF"/>
              </w:rPr>
            </w:pPr>
            <w:r>
              <w:rPr>
                <w:rFonts w:ascii="宋体" w:eastAsia="宋体" w:cs="宋体" w:hint="eastAsia"/>
                <w:kern w:val="0"/>
                <w:sz w:val="20"/>
              </w:rPr>
              <w:t>合计</w:t>
            </w:r>
          </w:p>
        </w:tc>
        <w:tc>
          <w:tcPr>
            <w:tcW w:w="78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r>
              <w:rPr>
                <w:rFonts w:ascii="宋体" w:eastAsia="宋体" w:cs="宋体" w:hint="eastAsia"/>
                <w:color w:val="000000"/>
                <w:sz w:val="18"/>
                <w:szCs w:val="18"/>
                <w:shd w:val="clear" w:color="auto" w:fill="FFFFFF"/>
                <w:lang w:val="en-US" w:eastAsia="zh-CN"/>
              </w:rPr>
              <w:t>259.73</w:t>
            </w:r>
          </w:p>
        </w:tc>
        <w:tc>
          <w:tcPr>
            <w:tcW w:w="7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r>
              <w:rPr>
                <w:rFonts w:ascii="宋体" w:eastAsia="宋体" w:cs="宋体" w:hint="eastAsia"/>
                <w:color w:val="000000"/>
                <w:sz w:val="18"/>
                <w:szCs w:val="18"/>
                <w:shd w:val="clear" w:color="auto" w:fill="FFFFFF"/>
                <w:lang w:val="en-US" w:eastAsia="zh-CN"/>
              </w:rPr>
              <w:t>244.80</w:t>
            </w:r>
          </w:p>
        </w:tc>
        <w:tc>
          <w:tcPr>
            <w:tcW w:w="807"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r>
              <w:rPr>
                <w:rFonts w:ascii="宋体" w:eastAsia="宋体" w:cs="宋体" w:hint="eastAsia"/>
                <w:color w:val="000000"/>
                <w:sz w:val="18"/>
                <w:szCs w:val="18"/>
                <w:shd w:val="clear" w:color="auto" w:fill="FFFFFF"/>
                <w:lang w:val="en-US" w:eastAsia="zh-CN"/>
              </w:rPr>
              <w:t>244.80</w:t>
            </w:r>
          </w:p>
        </w:tc>
        <w:tc>
          <w:tcPr>
            <w:tcW w:w="313"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348"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0"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21"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713"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r>
              <w:rPr>
                <w:rFonts w:ascii="宋体" w:eastAsia="宋体" w:cs="宋体" w:hint="eastAsia"/>
                <w:color w:val="000000"/>
                <w:sz w:val="18"/>
                <w:szCs w:val="18"/>
                <w:shd w:val="clear" w:color="auto" w:fill="FFFFFF"/>
                <w:lang w:val="en-US" w:eastAsia="zh-CN"/>
              </w:rPr>
              <w:t>14.93</w:t>
            </w:r>
          </w:p>
        </w:tc>
        <w:tc>
          <w:tcPr>
            <w:tcW w:w="74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18"/>
                <w:szCs w:val="18"/>
                <w:shd w:val="clear" w:color="auto" w:fill="FFFFFF"/>
              </w:rPr>
            </w:pPr>
            <w:r>
              <w:rPr>
                <w:rFonts w:ascii="宋体" w:eastAsia="宋体" w:cs="宋体" w:hint="eastAsia"/>
                <w:color w:val="000000"/>
                <w:sz w:val="18"/>
                <w:szCs w:val="18"/>
                <w:shd w:val="clear" w:color="auto" w:fill="FFFFFF"/>
                <w:lang w:val="en-US" w:eastAsia="zh-CN"/>
              </w:rPr>
              <w:t>14.93</w:t>
            </w:r>
          </w:p>
        </w:tc>
        <w:tc>
          <w:tcPr>
            <w:tcW w:w="508" w:type="dxa"/>
            <w:gridSpan w:val="2"/>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ascii="宋体" w:eastAsia="宋体" w:cs="宋体" w:hint="eastAsia"/>
                <w:color w:val="000000"/>
                <w:sz w:val="18"/>
                <w:szCs w:val="18"/>
                <w:shd w:val="clear" w:color="auto" w:fill="FFFFFF"/>
              </w:rPr>
            </w:pPr>
          </w:p>
        </w:tc>
        <w:tc>
          <w:tcPr>
            <w:tcW w:w="48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74"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c>
          <w:tcPr>
            <w:tcW w:w="361"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ascii="宋体" w:eastAsia="宋体" w:cs="宋体" w:hint="eastAsia"/>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ind w:firstLineChars="200" w:firstLine="640"/>
        <w:rPr>
          <w:rFonts w:eastAsia="楷体"/>
        </w:rPr>
      </w:pPr>
    </w:p>
    <w:p>
      <w:pPr>
        <w:ind w:firstLineChars="200" w:firstLine="640"/>
        <w:rPr>
          <w:rFonts w:eastAsia="楷体"/>
        </w:rPr>
      </w:pPr>
      <w:r>
        <w:rPr>
          <w:rFonts w:eastAsia="楷体"/>
        </w:rPr>
        <w:br w:type="page"/>
      </w:r>
    </w:p>
    <w:tbl>
      <w:tblPr>
        <w:jc w:val="center"/>
        <w:tblW w:w="1040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15"/>
        </w:trPr>
        <w:tc>
          <w:tcPr>
            <w:tcW w:w="10405" w:type="dxa"/>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bl>
            <w:tblPr>
              <w:jc w:val="left"/>
              <w:tblInd w:w="430" w:type="dxa"/>
              <w:tblW w:w="985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258"/>
              <w:gridCol w:w="1173"/>
              <w:gridCol w:w="1306"/>
              <w:gridCol w:w="1090"/>
              <w:gridCol w:w="1297"/>
              <w:gridCol w:w="1266"/>
              <w:gridCol w:w="30"/>
              <w:gridCol w:w="1435"/>
            </w:tblGrid>
            <w:tr>
              <w:trPr>
                <w:trHeight w:val="636"/>
              </w:trPr>
              <w:tc>
                <w:tcPr>
                  <w:tcW w:w="5827" w:type="dxa"/>
                  <w:gridSpan w:val="4"/>
                  <w:tcBorders>
                    <w:bottom w:val="single" w:sz="4" w:space="0" w:color="000000"/>
                  </w:tcBorders>
                  <w:noWrap/>
                  <w:vAlign w:val="center"/>
                </w:tcPr>
                <w:p>
                  <w:pPr>
                    <w:widowControl/>
                    <w:jc w:val="left"/>
                    <w:rPr>
                      <w:rFonts w:eastAsia="华文细黑"/>
                      <w:color w:val="000000"/>
                      <w:kern w:val="0"/>
                      <w:sz w:val="20"/>
                    </w:rPr>
                  </w:pPr>
                </w:p>
              </w:tc>
              <w:tc>
                <w:tcPr>
                  <w:tcW w:w="1297" w:type="dxa"/>
                  <w:tcBorders>
                    <w:bottom w:val="single" w:sz="4" w:space="0" w:color="000000"/>
                  </w:tcBorders>
                  <w:noWrap/>
                  <w:vAlign w:val="center"/>
                </w:tcPr>
                <w:p>
                  <w:pPr>
                    <w:widowControl/>
                    <w:jc w:val="right"/>
                    <w:rPr>
                      <w:rFonts w:eastAsia="华文细黑"/>
                      <w:color w:val="000000"/>
                      <w:kern w:val="0"/>
                      <w:sz w:val="20"/>
                    </w:rPr>
                  </w:pPr>
                </w:p>
              </w:tc>
              <w:tc>
                <w:tcPr>
                  <w:tcW w:w="1296" w:type="dxa"/>
                  <w:gridSpan w:val="2"/>
                  <w:tcBorders>
                    <w:bottom w:val="single" w:sz="4" w:space="0" w:color="000000"/>
                  </w:tcBorders>
                  <w:noWrap/>
                  <w:vAlign w:val="center"/>
                </w:tcPr>
                <w:p>
                  <w:pPr>
                    <w:widowControl/>
                    <w:jc w:val="right"/>
                    <w:rPr>
                      <w:rFonts w:eastAsia="华文细黑"/>
                      <w:color w:val="000000"/>
                      <w:kern w:val="0"/>
                      <w:sz w:val="20"/>
                    </w:rPr>
                  </w:pPr>
                </w:p>
              </w:tc>
              <w:tc>
                <w:tcPr>
                  <w:tcW w:w="1435" w:type="dxa"/>
                  <w:tcBorders>
                    <w:bottom w:val="single" w:sz="4" w:space="0" w:color="000000"/>
                  </w:tcBorders>
                  <w:noWrap/>
                  <w:vAlign w:val="bottom"/>
                </w:tcPr>
                <w:p>
                  <w:pPr>
                    <w:widowControl/>
                    <w:jc w:val="right"/>
                    <w:rPr>
                      <w:rFonts w:eastAsia="华文细黑"/>
                      <w:color w:val="000000"/>
                      <w:kern w:val="0"/>
                      <w:sz w:val="20"/>
                    </w:rPr>
                  </w:pPr>
                  <w:r>
                    <w:rPr>
                      <w:rFonts w:ascii="宋体" w:eastAsia="宋体" w:cs="宋体" w:hint="eastAsia"/>
                      <w:color w:val="000000"/>
                      <w:kern w:val="0"/>
                      <w:sz w:val="20"/>
                    </w:rPr>
                    <w:t>单位：万元</w:t>
                  </w:r>
                </w:p>
              </w:tc>
            </w:tr>
            <w:tr>
              <w:trPr>
                <w:trHeight w:val="1524"/>
              </w:trPr>
              <w:tc>
                <w:tcPr>
                  <w:tcW w:w="2258" w:type="dxa"/>
                  <w:tcBorders>
                    <w:left w:val="single" w:sz="4" w:space="0" w:color="000000"/>
                    <w:bottom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szCs w:val="20"/>
                    </w:rPr>
                  </w:pPr>
                  <w:r>
                    <w:rPr>
                      <w:rFonts w:ascii="宋体" w:eastAsia="宋体" w:cs="宋体" w:hint="eastAsia"/>
                      <w:color w:val="000000"/>
                      <w:sz w:val="20"/>
                      <w:szCs w:val="20"/>
                    </w:rPr>
                    <w:t>功能分类</w:t>
                  </w:r>
                </w:p>
                <w:p>
                  <w:pPr>
                    <w:widowControl/>
                    <w:jc w:val="center"/>
                    <w:rPr>
                      <w:rFonts w:ascii="宋体" w:eastAsia="宋体" w:cs="宋体" w:hint="eastAsia"/>
                      <w:color w:val="000000"/>
                      <w:kern w:val="0"/>
                      <w:sz w:val="20"/>
                      <w:szCs w:val="20"/>
                    </w:rPr>
                  </w:pPr>
                  <w:r>
                    <w:rPr>
                      <w:rFonts w:ascii="宋体" w:eastAsia="宋体" w:cs="宋体" w:hint="eastAsia"/>
                      <w:color w:val="000000"/>
                      <w:sz w:val="20"/>
                      <w:szCs w:val="20"/>
                    </w:rPr>
                    <w:t>科目名称</w:t>
                  </w:r>
                </w:p>
              </w:tc>
              <w:tc>
                <w:tcPr>
                  <w:tcW w:w="1173" w:type="dxa"/>
                  <w:tcBorders>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总计</w:t>
                  </w:r>
                </w:p>
              </w:tc>
              <w:tc>
                <w:tcPr>
                  <w:tcW w:w="130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p>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基本</w:t>
                  </w:r>
                </w:p>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支出</w:t>
                  </w:r>
                </w:p>
                <w:p>
                  <w:pPr>
                    <w:widowControl/>
                    <w:jc w:val="center"/>
                    <w:rPr>
                      <w:rFonts w:ascii="宋体" w:eastAsia="宋体" w:cs="宋体" w:hint="eastAsia"/>
                      <w:color w:val="000000"/>
                      <w:kern w:val="0"/>
                      <w:sz w:val="20"/>
                      <w:szCs w:val="20"/>
                    </w:rPr>
                  </w:pPr>
                </w:p>
              </w:tc>
              <w:tc>
                <w:tcPr>
                  <w:tcW w:w="109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项目                                                               支出</w:t>
                  </w:r>
                </w:p>
              </w:tc>
              <w:tc>
                <w:tcPr>
                  <w:tcW w:w="12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事业单位</w:t>
                  </w:r>
                </w:p>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经营支出</w:t>
                  </w:r>
                </w:p>
              </w:tc>
              <w:tc>
                <w:tcPr>
                  <w:tcW w:w="1266"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上缴                                            上级                                                         支出</w:t>
                  </w:r>
                </w:p>
              </w:tc>
              <w:tc>
                <w:tcPr>
                  <w:tcW w:w="1465"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对附属                                           单位补                                      助支出</w:t>
                  </w:r>
                </w:p>
              </w:tc>
            </w:tr>
            <w:tr>
              <w:trPr>
                <w:trHeight w:val="701"/>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一、一般公共服务支出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215.44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ind w:firstLineChars="100" w:firstLine="20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统计信息事务</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215.44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行政运行</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一般行政管理事务</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16.72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16.72</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sz w:val="20"/>
                      <w:szCs w:val="20"/>
                      <w:lang w:val="en-US" w:eastAsia="zh-CN"/>
                    </w:rPr>
                  </w:pPr>
                  <w:r>
                    <w:rPr>
                      <w:rFonts w:ascii="宋体" w:eastAsia="宋体" w:cs="宋体" w:hint="eastAsia"/>
                      <w:i w:val="0"/>
                      <w:color w:val="000000"/>
                      <w:kern w:val="0"/>
                      <w:sz w:val="20"/>
                      <w:szCs w:val="20"/>
                      <w:u w:val="none"/>
                      <w:lang w:val="en-US" w:eastAsia="zh-CN"/>
                    </w:rPr>
                    <w:t>　　专项普查活动</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87.31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87.31</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二、社会保障和就业支出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行政事业单位养老支出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行政单位离退休</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12.25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12.25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机关事业单位基本养老保险缴费支出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12.15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12.15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三、卫生健康支出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行政事业单位医疗</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行政单位医疗</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四、住房保障支出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60"/>
              </w:trPr>
              <w:tc>
                <w:tcPr>
                  <w:tcW w:w="2258"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住房改革支出</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r>
              <w:trPr>
                <w:trHeight w:val="575"/>
              </w:trPr>
              <w:tc>
                <w:tcPr>
                  <w:tcW w:w="2258"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合计</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259.73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155.70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szCs w:val="20"/>
                    </w:rPr>
                  </w:pPr>
                </w:p>
              </w:tc>
            </w:tr>
          </w:tbl>
          <w:p>
            <w:pPr>
              <w:widowControl/>
              <w:jc w:val="center"/>
              <w:rPr>
                <w:rFonts w:eastAsia="方正小标宋简体"/>
                <w:kern w:val="0"/>
                <w:sz w:val="44"/>
                <w:szCs w:val="44"/>
              </w:rPr>
            </w:pPr>
          </w:p>
        </w:tc>
      </w:tr>
    </w:tbl>
    <w:p>
      <w:pPr>
        <w:ind w:firstLineChars="200" w:firstLine="640"/>
      </w:pPr>
    </w:p>
    <w:tbl>
      <w:tblPr>
        <w:jc w:val="center"/>
        <w:tblW w:w="99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960"/>
      </w:tblGrid>
      <w:tr>
        <w:trPr>
          <w:trHeight w:val="11083"/>
        </w:trPr>
        <w:tc>
          <w:tcPr>
            <w:tcW w:w="9960" w:type="dxa"/>
            <w:tcBorders>
              <w:top w:val="nil"/>
              <w:left w:val="nil"/>
              <w:bottom w:val="nil"/>
              <w:right w:val="nil"/>
            </w:tcBorders>
            <w:noWrap/>
            <w:vAlign w:val="bottom"/>
          </w:tcPr>
          <w:tbl>
            <w:tblPr>
              <w:tblpPr w:leftFromText="180" w:rightFromText="180" w:vertAnchor="page" w:horzAnchor="page" w:tblpX="114" w:tblpY="657"/>
              <w:tblOverlap w:val="never"/>
              <w:tblW w:w="96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trPr>
              <w:tc>
                <w:tcPr>
                  <w:tcW w:w="9640" w:type="dxa"/>
                  <w:gridSpan w:val="8"/>
                  <w:tcBorders>
                    <w:top w:val="nil"/>
                    <w:left w:val="nil"/>
                    <w:bottom w:val="nil"/>
                    <w:right w:val="nil"/>
                  </w:tcBorders>
                  <w:noWrap/>
                  <w:vAlign w:val="center"/>
                </w:tcPr>
                <w:p>
                  <w:pPr>
                    <w:ind w:firstLineChars="600" w:firstLine="2640"/>
                    <w:rPr>
                      <w:rFonts w:eastAsia="方正小标宋简体"/>
                      <w:kern w:val="0"/>
                      <w:sz w:val="44"/>
                      <w:szCs w:val="44"/>
                    </w:rPr>
                  </w:pPr>
                  <w:r>
                    <w:rPr>
                      <w:rFonts w:eastAsia="方正小标宋简体"/>
                      <w:kern w:val="0"/>
                      <w:sz w:val="44"/>
                      <w:szCs w:val="44"/>
                    </w:rPr>
                    <w:t>财政拨款收支</w:t>
                  </w:r>
                  <w:r>
                    <w:rPr>
                      <w:rFonts w:eastAsia="方正小标宋简体" w:hint="eastAsia"/>
                      <w:kern w:val="0"/>
                      <w:sz w:val="44"/>
                      <w:szCs w:val="44"/>
                      <w:lang w:eastAsia="zh-CN"/>
                    </w:rPr>
                    <w:t>预算总</w:t>
                  </w:r>
                  <w:r>
                    <w:rPr>
                      <w:rFonts w:eastAsia="方正小标宋简体"/>
                      <w:kern w:val="0"/>
                      <w:sz w:val="44"/>
                      <w:szCs w:val="44"/>
                    </w:rPr>
                    <w:t>表</w:t>
                  </w:r>
                </w:p>
              </w:tc>
            </w:tr>
            <w:tr>
              <w:trPr>
                <w:trHeight w:val="502"/>
              </w:trPr>
              <w:tc>
                <w:tcPr>
                  <w:tcW w:w="9640" w:type="dxa"/>
                  <w:gridSpan w:val="8"/>
                  <w:tcBorders>
                    <w:top w:val="nil"/>
                    <w:left w:val="nil"/>
                    <w:bottom w:val="nil"/>
                    <w:right w:val="nil"/>
                  </w:tcBorders>
                  <w:noWrap/>
                  <w:vAlign w:val="bottom"/>
                </w:tcPr>
                <w:p>
                  <w:pPr>
                    <w:widowControl/>
                    <w:jc w:val="right"/>
                    <w:rPr>
                      <w:rFonts w:eastAsia="华文细黑"/>
                      <w:color w:val="000000"/>
                      <w:kern w:val="0"/>
                      <w:sz w:val="20"/>
                    </w:rPr>
                  </w:pPr>
                  <w:r>
                    <w:rPr>
                      <w:rFonts w:ascii="宋体" w:eastAsia="宋体" w:cs="宋体" w:hint="eastAsia"/>
                      <w:color w:val="000000"/>
                      <w:kern w:val="0"/>
                      <w:sz w:val="20"/>
                    </w:rPr>
                    <w:t xml:space="preserve"> 单位：万元</w:t>
                  </w:r>
                </w:p>
              </w:tc>
            </w:tr>
            <w:tr>
              <w:trPr>
                <w:trHeight w:val="493"/>
              </w:trPr>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42"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项  目</w:t>
                  </w:r>
                </w:p>
              </w:tc>
              <w:tc>
                <w:tcPr>
                  <w:tcW w:w="1126"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lang w:val="en-US" w:eastAsia="zh-CN"/>
                    </w:rPr>
                  </w:pPr>
                  <w:r>
                    <w:rPr>
                      <w:rFonts w:ascii="宋体" w:eastAsia="宋体" w:cs="宋体" w:hint="eastAsia"/>
                      <w:kern w:val="0"/>
                      <w:sz w:val="20"/>
                    </w:rPr>
                    <w:t>202</w:t>
                  </w:r>
                  <w:r>
                    <w:rPr>
                      <w:rFonts w:ascii="宋体" w:eastAsia="宋体" w:cs="宋体" w:hint="eastAsia"/>
                      <w:kern w:val="0"/>
                      <w:sz w:val="20"/>
                      <w:lang w:val="en-US" w:eastAsia="zh-CN"/>
                    </w:rPr>
                    <w:t>4</w:t>
                  </w:r>
                  <w:r>
                    <w:rPr>
                      <w:rFonts w:ascii="宋体" w:eastAsia="宋体" w:cs="宋体" w:hint="eastAsia"/>
                      <w:kern w:val="0"/>
                      <w:sz w:val="20"/>
                    </w:rPr>
                    <w:t>年</w:t>
                  </w:r>
                  <w:r>
                    <w:rPr>
                      <w:rFonts w:ascii="宋体" w:eastAsia="宋体" w:cs="宋体" w:hint="eastAsia"/>
                      <w:kern w:val="0"/>
                      <w:sz w:val="20"/>
                      <w:lang w:val="en-US" w:eastAsia="zh-CN"/>
                    </w:rPr>
                    <w:t xml:space="preserve">   </w:t>
                  </w:r>
                  <w:r>
                    <w:rPr>
                      <w:rFonts w:ascii="宋体" w:eastAsia="宋体" w:cs="宋体" w:hint="eastAsia"/>
                      <w:kern w:val="0"/>
                      <w:sz w:val="20"/>
                    </w:rPr>
                    <w:t>预算</w:t>
                  </w:r>
                  <w:r>
                    <w:rPr>
                      <w:rFonts w:ascii="宋体" w:eastAsia="宋体" w:cs="宋体" w:hint="eastAsia"/>
                      <w:kern w:val="0"/>
                      <w:sz w:val="20"/>
                      <w:lang w:eastAsia="zh-CN"/>
                    </w:rPr>
                    <w:t>数</w:t>
                  </w:r>
                </w:p>
              </w:tc>
              <w:tc>
                <w:tcPr>
                  <w:tcW w:w="1126"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eastAsia="zh-CN"/>
                    </w:rPr>
                    <w:t>本</w:t>
                  </w:r>
                  <w:r>
                    <w:rPr>
                      <w:rFonts w:ascii="宋体" w:eastAsia="宋体" w:cs="宋体" w:hint="eastAsia"/>
                      <w:kern w:val="0"/>
                      <w:sz w:val="20"/>
                    </w:rPr>
                    <w:t>年预算</w:t>
                  </w:r>
                </w:p>
              </w:tc>
              <w:tc>
                <w:tcPr>
                  <w:tcW w:w="1126"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上年结转</w:t>
                  </w:r>
                </w:p>
              </w:tc>
              <w:tc>
                <w:tcPr>
                  <w:tcW w:w="1374"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项  目</w:t>
                  </w:r>
                </w:p>
              </w:tc>
              <w:tc>
                <w:tcPr>
                  <w:tcW w:w="1148"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lang w:eastAsia="zh-CN"/>
                    </w:rPr>
                  </w:pPr>
                  <w:r>
                    <w:rPr>
                      <w:rFonts w:ascii="宋体" w:eastAsia="宋体" w:cs="宋体" w:hint="eastAsia"/>
                      <w:kern w:val="0"/>
                      <w:sz w:val="20"/>
                    </w:rPr>
                    <w:t>202</w:t>
                  </w:r>
                  <w:r>
                    <w:rPr>
                      <w:rFonts w:ascii="宋体" w:eastAsia="宋体" w:cs="宋体" w:hint="eastAsia"/>
                      <w:kern w:val="0"/>
                      <w:sz w:val="20"/>
                      <w:lang w:val="en-US" w:eastAsia="zh-CN"/>
                    </w:rPr>
                    <w:t>4</w:t>
                  </w:r>
                  <w:r>
                    <w:rPr>
                      <w:rFonts w:ascii="宋体" w:eastAsia="宋体" w:cs="宋体" w:hint="eastAsia"/>
                      <w:kern w:val="0"/>
                      <w:sz w:val="20"/>
                    </w:rPr>
                    <w:t>年</w:t>
                  </w:r>
                  <w:r>
                    <w:rPr>
                      <w:rFonts w:ascii="宋体" w:eastAsia="宋体" w:cs="宋体" w:hint="eastAsia"/>
                      <w:kern w:val="0"/>
                      <w:sz w:val="20"/>
                      <w:lang w:val="en-US" w:eastAsia="zh-CN"/>
                    </w:rPr>
                    <w:t xml:space="preserve">   </w:t>
                  </w:r>
                  <w:r>
                    <w:rPr>
                      <w:rFonts w:ascii="宋体" w:eastAsia="宋体" w:cs="宋体" w:hint="eastAsia"/>
                      <w:kern w:val="0"/>
                      <w:sz w:val="20"/>
                    </w:rPr>
                    <w:t>预算</w:t>
                  </w:r>
                  <w:r>
                    <w:rPr>
                      <w:rFonts w:ascii="宋体" w:eastAsia="宋体" w:cs="宋体" w:hint="eastAsia"/>
                      <w:kern w:val="0"/>
                      <w:sz w:val="20"/>
                      <w:lang w:eastAsia="zh-CN"/>
                    </w:rPr>
                    <w:t>数</w:t>
                  </w:r>
                </w:p>
              </w:tc>
              <w:tc>
                <w:tcPr>
                  <w:tcW w:w="1148"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lang w:eastAsia="zh-CN"/>
                    </w:rPr>
                    <w:t>本</w:t>
                  </w:r>
                  <w:r>
                    <w:rPr>
                      <w:rFonts w:ascii="宋体" w:eastAsia="宋体" w:cs="宋体" w:hint="eastAsia"/>
                      <w:kern w:val="0"/>
                      <w:sz w:val="20"/>
                    </w:rPr>
                    <w:t>年预算</w:t>
                  </w:r>
                </w:p>
              </w:tc>
              <w:tc>
                <w:tcPr>
                  <w:tcW w:w="115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hint="eastAsia"/>
                      <w:kern w:val="0"/>
                      <w:sz w:val="20"/>
                    </w:rPr>
                  </w:pPr>
                  <w:r>
                    <w:rPr>
                      <w:rFonts w:ascii="宋体" w:eastAsia="宋体" w:cs="宋体" w:hint="eastAsia"/>
                      <w:kern w:val="0"/>
                      <w:sz w:val="20"/>
                    </w:rPr>
                    <w:t>上年结转</w:t>
                  </w:r>
                </w:p>
              </w:tc>
            </w:tr>
            <w:tr>
              <w:trPr>
                <w:trHeight w:val="433"/>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259.73</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244.80</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14.93</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hint="eastAsia"/>
                      <w:color w:val="000000"/>
                      <w:kern w:val="0"/>
                      <w:sz w:val="20"/>
                      <w:lang w:eastAsia="zh-CN"/>
                    </w:rPr>
                  </w:pPr>
                  <w:r>
                    <w:rPr>
                      <w:rFonts w:eastAsia="宋体" w:hint="eastAsia"/>
                      <w:color w:val="000000"/>
                      <w:kern w:val="0"/>
                      <w:sz w:val="20"/>
                      <w:lang w:eastAsia="zh-CN"/>
                    </w:rPr>
                    <w:t>一、本年支出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259.73</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244.80</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14.93</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259.73</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244.80</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14.93</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ascii="宋体" w:eastAsia="宋体"/>
                      <w:color w:val="000000"/>
                      <w:kern w:val="0"/>
                      <w:sz w:val="20"/>
                    </w:rPr>
                    <w:t>一、一般公共服务</w:t>
                  </w:r>
                  <w:r>
                    <w:rPr>
                      <w:rFonts w:ascii="宋体" w:eastAsia="宋体" w:hint="eastAsia"/>
                      <w:color w:val="000000"/>
                      <w:kern w:val="0"/>
                      <w:sz w:val="20"/>
                    </w:rPr>
                    <w:t>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215.44</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205.91</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9.53</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ascii="宋体" w:eastAsia="宋体"/>
                      <w:color w:val="000000"/>
                      <w:sz w:val="20"/>
                    </w:rPr>
                    <w:t>二、</w:t>
                  </w:r>
                  <w:r>
                    <w:rPr>
                      <w:rFonts w:ascii="宋体" w:eastAsia="宋体" w:hint="eastAsia"/>
                      <w:color w:val="00000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24.40</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23.94</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0.46</w:t>
                  </w: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textAlignment w:val="center"/>
                    <w:rPr>
                      <w:rFonts w:eastAsia="宋体"/>
                      <w:color w:val="000000"/>
                      <w:kern w:val="0"/>
                      <w:sz w:val="20"/>
                    </w:rPr>
                  </w:pPr>
                  <w:r>
                    <w:rPr>
                      <w:rFonts w:ascii="宋体" w:eastAsia="宋体"/>
                      <w:color w:val="000000"/>
                      <w:sz w:val="20"/>
                    </w:rPr>
                    <w:t>三、</w:t>
                  </w:r>
                  <w:r>
                    <w:rPr>
                      <w:rFonts w:ascii="宋体" w:eastAsia="宋体" w:hint="eastAsia"/>
                      <w:color w:val="000000"/>
                      <w:sz w:val="20"/>
                    </w:rPr>
                    <w:t>卫生健康</w:t>
                  </w:r>
                  <w:r>
                    <w:rPr>
                      <w:rFonts w:ascii="宋体" w:eastAsia="宋体"/>
                      <w:color w:val="000000"/>
                      <w:sz w:val="20"/>
                    </w:rPr>
                    <w:t>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4.83</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4.30</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0.53</w:t>
                  </w: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autoSpaceDN w:val="0"/>
                    <w:textAlignment w:val="center"/>
                    <w:rPr>
                      <w:rFonts w:eastAsia="宋体"/>
                      <w:color w:val="000000"/>
                      <w:kern w:val="0"/>
                      <w:sz w:val="20"/>
                    </w:rPr>
                  </w:pPr>
                  <w:r>
                    <w:rPr>
                      <w:rFonts w:ascii="宋体" w:eastAsia="宋体" w:hint="eastAsia"/>
                      <w:color w:val="000000"/>
                      <w:kern w:val="0"/>
                      <w:sz w:val="20"/>
                    </w:rPr>
                    <w:t>四、住房保障支出</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15.06</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10.65</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4.41</w:t>
                  </w:r>
                </w:p>
              </w:tc>
            </w:tr>
            <w:tr>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5"/>
              </w:trPr>
              <w:tc>
                <w:tcPr>
                  <w:tcW w:w="1442"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kern w:val="0"/>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1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1148"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widowControl/>
                    <w:jc w:val="right"/>
                    <w:rPr>
                      <w:rFonts w:ascii="宋体" w:eastAsia="宋体" w:cs="宋体" w:hint="eastAsia"/>
                      <w:kern w:val="0"/>
                      <w:sz w:val="20"/>
                      <w:szCs w:val="20"/>
                    </w:rPr>
                  </w:pPr>
                </w:p>
              </w:tc>
            </w:tr>
            <w:tr>
              <w:trPr>
                <w:trHeight w:val="491"/>
              </w:trPr>
              <w:tc>
                <w:tcPr>
                  <w:tcW w:w="1442"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宋体" w:eastAsia="宋体" w:cs="宋体" w:hint="eastAsia"/>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宋体" w:eastAsia="宋体" w:cs="宋体" w:hint="eastAsia"/>
                      <w:sz w:val="20"/>
                      <w:szCs w:val="20"/>
                    </w:rPr>
                  </w:pPr>
                </w:p>
              </w:tc>
              <w:tc>
                <w:tcPr>
                  <w:tcW w:w="1126"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宋体" w:eastAsia="宋体" w:cs="宋体" w:hint="eastAsia"/>
                      <w:sz w:val="20"/>
                      <w:szCs w:val="20"/>
                    </w:rPr>
                  </w:pPr>
                </w:p>
              </w:tc>
              <w:tc>
                <w:tcPr>
                  <w:tcW w:w="1374"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lang w:eastAsia="zh-CN"/>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ascii="宋体" w:eastAsia="宋体" w:cs="宋体" w:hint="eastAsia"/>
                      <w:sz w:val="20"/>
                      <w:szCs w:val="20"/>
                    </w:rPr>
                  </w:pPr>
                </w:p>
              </w:tc>
              <w:tc>
                <w:tcPr>
                  <w:tcW w:w="1148" w:type="dxa"/>
                  <w:tcBorders>
                    <w:top w:val="single" w:sz="4" w:space="0" w:color="auto"/>
                    <w:left w:val="single" w:sz="4" w:space="0" w:color="auto"/>
                    <w:bottom w:val="single" w:sz="4" w:space="0" w:color="auto"/>
                    <w:right w:val="single" w:sz="4" w:space="0" w:color="auto"/>
                  </w:tcBorders>
                  <w:noWrap/>
                </w:tcPr>
                <w:p>
                  <w:pPr>
                    <w:ind w:firstLineChars="100" w:firstLine="200"/>
                    <w:rPr>
                      <w:rFonts w:ascii="宋体" w:eastAsia="宋体" w:cs="宋体" w:hint="eastAsia"/>
                      <w:sz w:val="20"/>
                      <w:szCs w:val="20"/>
                    </w:rPr>
                  </w:pPr>
                </w:p>
              </w:tc>
              <w:tc>
                <w:tcPr>
                  <w:tcW w:w="1150" w:type="dxa"/>
                  <w:tcBorders>
                    <w:top w:val="single" w:sz="4" w:space="0" w:color="auto"/>
                    <w:left w:val="single" w:sz="4" w:space="0" w:color="auto"/>
                    <w:bottom w:val="single" w:sz="4" w:space="0" w:color="auto"/>
                    <w:right w:val="single" w:sz="4" w:space="0" w:color="auto"/>
                  </w:tcBorders>
                  <w:noWrap/>
                </w:tcPr>
                <w:p>
                  <w:pPr>
                    <w:ind w:firstLineChars="100" w:firstLine="200"/>
                    <w:rPr>
                      <w:rFonts w:ascii="宋体" w:eastAsia="宋体" w:cs="宋体" w:hint="eastAsia"/>
                      <w:sz w:val="20"/>
                      <w:szCs w:val="20"/>
                    </w:rPr>
                  </w:pPr>
                </w:p>
              </w:tc>
            </w:tr>
            <w:tr>
              <w:trPr>
                <w:trHeight w:val="500"/>
              </w:trPr>
              <w:tc>
                <w:tcPr>
                  <w:tcW w:w="1442"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259.73</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244.80</w:t>
                  </w:r>
                </w:p>
              </w:tc>
              <w:tc>
                <w:tcPr>
                  <w:tcW w:w="112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14.93</w:t>
                  </w:r>
                </w:p>
              </w:tc>
              <w:tc>
                <w:tcPr>
                  <w:tcW w:w="1374"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259.73</w:t>
                  </w:r>
                </w:p>
              </w:tc>
              <w:tc>
                <w:tcPr>
                  <w:tcW w:w="114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244.80</w:t>
                  </w:r>
                </w:p>
              </w:tc>
              <w:tc>
                <w:tcPr>
                  <w:tcW w:w="115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14.93</w:t>
                  </w:r>
                </w:p>
              </w:tc>
            </w:tr>
          </w:tbl>
          <w:p>
            <w:pPr>
              <w:widowControl/>
              <w:rPr>
                <w:rFonts w:eastAsia="方正小标宋简体"/>
                <w:kern w:val="0"/>
                <w:sz w:val="44"/>
                <w:szCs w:val="44"/>
              </w:rPr>
            </w:pPr>
          </w:p>
        </w:tc>
      </w:tr>
    </w:tbl>
    <w:p>
      <w:pPr>
        <w:ind w:firstLineChars="200" w:firstLine="640"/>
        <w:rPr>
          <w:rFonts w:eastAsia="楷体"/>
        </w:rPr>
      </w:pPr>
    </w:p>
    <w:p>
      <w:pPr>
        <w:ind w:firstLineChars="200" w:firstLine="640"/>
        <w:rPr>
          <w:rFonts w:eastAsia="楷体"/>
        </w:rPr>
      </w:pPr>
      <w:r>
        <w:rPr>
          <w:rFonts w:eastAsia="楷体"/>
        </w:rPr>
        <w:br w:type="page"/>
      </w:r>
    </w:p>
    <w:tbl>
      <w:tblPr>
        <w:jc w:val="center"/>
        <w:tblW w:w="1040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5"/>
      </w:tblGrid>
      <w:tr>
        <w:trPr>
          <w:trHeight w:val="6081"/>
        </w:trPr>
        <w:tc>
          <w:tcPr>
            <w:tcW w:w="10405" w:type="dxa"/>
            <w:tcBorders>
              <w:top w:val="nil"/>
              <w:left w:val="nil"/>
              <w:bottom w:val="nil"/>
              <w:right w:val="nil"/>
            </w:tcBorders>
            <w:noWrap/>
            <w:vAlign w:val="bottom"/>
          </w:tcPr>
          <w:p>
            <w:pPr>
              <w:widowControl/>
              <w:rPr>
                <w:rFonts w:eastAsia="方正小标宋简体"/>
                <w:kern w:val="0"/>
                <w:sz w:val="44"/>
                <w:szCs w:val="44"/>
              </w:rPr>
            </w:pPr>
          </w:p>
          <w:tbl>
            <w:tblPr>
              <w:jc w:val="left"/>
              <w:tblInd w:w="871" w:type="dxa"/>
              <w:tblW w:w="878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552"/>
              <w:gridCol w:w="1134"/>
              <w:gridCol w:w="1134"/>
              <w:gridCol w:w="1134"/>
              <w:gridCol w:w="1134"/>
              <w:gridCol w:w="1701"/>
            </w:tblGrid>
            <w:tr>
              <w:trPr>
                <w:trHeight w:val="390"/>
              </w:trPr>
              <w:tc>
                <w:tcPr>
                  <w:tcW w:w="8789" w:type="dxa"/>
                  <w:gridSpan w:val="6"/>
                  <w:tcBorders>
                    <w:bottom w:val="single" w:sz="4" w:space="0" w:color="000000"/>
                  </w:tcBorders>
                  <w:noWrap/>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ascii="宋体" w:eastAsia="宋体" w:cs="宋体" w:hint="eastAsia"/>
                      <w:color w:val="000000"/>
                      <w:kern w:val="0"/>
                      <w:sz w:val="20"/>
                    </w:rPr>
                    <w:t>单位：万元</w:t>
                  </w:r>
                </w:p>
              </w:tc>
            </w:tr>
            <w:tr>
              <w:trPr>
                <w:trHeight w:val="390"/>
              </w:trPr>
              <w:tc>
                <w:tcPr>
                  <w:tcW w:w="2552"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rPr>
                    <w:t>功能分类</w:t>
                  </w:r>
                </w:p>
                <w:p>
                  <w:pPr>
                    <w:widowControl/>
                    <w:jc w:val="center"/>
                    <w:rPr>
                      <w:rFonts w:ascii="宋体" w:eastAsia="宋体" w:cs="宋体" w:hint="eastAsia"/>
                      <w:color w:val="000000"/>
                      <w:kern w:val="0"/>
                      <w:sz w:val="20"/>
                    </w:rPr>
                  </w:pPr>
                  <w:r>
                    <w:rPr>
                      <w:rFonts w:ascii="宋体" w:eastAsia="宋体" w:cs="宋体" w:hint="eastAsia"/>
                      <w:color w:val="000000"/>
                      <w:sz w:val="20"/>
                    </w:rPr>
                    <w:t>科目名称</w:t>
                  </w:r>
                </w:p>
              </w:tc>
              <w:tc>
                <w:tcPr>
                  <w:tcW w:w="1134" w:type="dxa"/>
                  <w:vMerge w:val="restart"/>
                  <w:tcBorders>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ascii="宋体" w:eastAsia="宋体" w:cs="宋体" w:hint="eastAsia"/>
                      <w:color w:val="000000"/>
                      <w:kern w:val="0"/>
                      <w:sz w:val="20"/>
                    </w:rPr>
                    <w:t>项目                                                               支出</w:t>
                  </w:r>
                </w:p>
              </w:tc>
            </w:tr>
            <w:tr>
              <w:trPr>
                <w:trHeight w:val="281"/>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3402" w:type="dxa"/>
                  <w:gridSpan w:val="3"/>
                  <w:vMerge/>
                  <w:tcBorders>
                    <w:top w:val="single" w:sz="4" w:space="0" w:color="000000"/>
                    <w:left w:val="single" w:sz="4" w:space="0" w:color="000000"/>
                    <w:bottom w:val="single" w:sz="4" w:space="0" w:color="000000"/>
                    <w:right w:val="single" w:sz="4" w:space="0" w:color="000000"/>
                  </w:tcBorders>
                  <w:noWrap/>
                  <w:vAlign w:val="center"/>
                </w:tc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一、一般公共服务支出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215.44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23.41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215.44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23.41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111.41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88.00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23.41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16.72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16.72</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专项普查活动</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87.31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87.31</w:t>
                  </w: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二、社会保障和就业支出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24.40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12.15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4.83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jc w:val="center"/>
                    <w:rPr>
                      <w:rFonts w:ascii="宋体" w:eastAsia="宋体" w:cs="宋体" w:hint="eastAsia"/>
                      <w:color w:val="000000"/>
                      <w:kern w:val="0"/>
                      <w:sz w:val="20"/>
                      <w:szCs w:val="20"/>
                    </w:rPr>
                  </w:pPr>
                </w:p>
              </w:tc>
            </w:tr>
            <w:tr>
              <w:trPr>
                <w:trHeight w:val="330"/>
              </w:trPr>
              <w:tc>
                <w:tcPr>
                  <w:tcW w:w="2552"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szCs w:val="20"/>
                    </w:rPr>
                  </w:pPr>
                  <w:r>
                    <w:rPr>
                      <w:rFonts w:ascii="宋体" w:eastAsia="宋体" w:cs="宋体" w:hint="eastAsia"/>
                      <w:color w:val="000000"/>
                      <w:kern w:val="0"/>
                      <w:sz w:val="20"/>
                      <w:szCs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259.73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155.70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132.29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23.41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keepNext w:val="0"/>
                    <w:keepLines w:val="0"/>
                    <w:widowControl/>
                    <w:suppressLineNumbers w:val="0"/>
                    <w:jc w:val="center"/>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104.03</w:t>
                  </w:r>
                </w:p>
              </w:tc>
            </w:tr>
          </w:tbl>
          <w:p>
            <w:pPr>
              <w:widowControl/>
              <w:jc w:val="center"/>
              <w:rPr>
                <w:rFonts w:eastAsia="方正小标宋简体"/>
                <w:kern w:val="0"/>
                <w:sz w:val="44"/>
                <w:szCs w:val="44"/>
              </w:rPr>
            </w:pPr>
          </w:p>
        </w:tc>
      </w:tr>
    </w:tbl>
    <w:p>
      <w:pPr>
        <w:ind w:firstLineChars="200" w:firstLine="640"/>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center"/>
        <w:tblW w:w="917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263"/>
        <w:gridCol w:w="2280"/>
        <w:gridCol w:w="1751"/>
        <w:gridCol w:w="1881"/>
      </w:tblGrid>
      <w:tr>
        <w:trPr>
          <w:trHeight w:val="615"/>
        </w:trPr>
        <w:tc>
          <w:tcPr>
            <w:tcW w:w="9175" w:type="dxa"/>
            <w:gridSpan w:val="4"/>
            <w:tcBorders>
              <w:top w:val="nil"/>
              <w:left w:val="nil"/>
              <w:bottom w:val="nil"/>
              <w:right w:val="nil"/>
            </w:tcBorders>
            <w:noWrap/>
            <w:vAlign w:val="bottom"/>
          </w:tcPr>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tc>
      </w:tr>
      <w:tr>
        <w:trPr>
          <w:trHeight w:val="390"/>
        </w:trPr>
        <w:tc>
          <w:tcPr>
            <w:tcW w:w="3263" w:type="dxa"/>
            <w:tcBorders>
              <w:top w:val="nil"/>
              <w:left w:val="nil"/>
              <w:bottom w:val="single" w:sz="4" w:space="0" w:color="auto"/>
              <w:right w:val="nil"/>
            </w:tcBorders>
            <w:noWrap/>
            <w:vAlign w:val="center"/>
          </w:tcPr>
          <w:p>
            <w:pPr>
              <w:widowControl/>
              <w:jc w:val="left"/>
              <w:rPr>
                <w:rFonts w:ascii="宋体" w:eastAsia="宋体" w:cs="宋体" w:hint="eastAsia"/>
                <w:kern w:val="0"/>
                <w:sz w:val="20"/>
                <w:szCs w:val="20"/>
              </w:rPr>
            </w:pPr>
            <w:r>
              <w:rPr>
                <w:rFonts w:ascii="宋体" w:eastAsia="宋体" w:cs="宋体" w:hint="eastAsia"/>
                <w:kern w:val="0"/>
                <w:sz w:val="20"/>
                <w:szCs w:val="20"/>
              </w:rPr>
              <w:t>　</w:t>
            </w:r>
          </w:p>
        </w:tc>
        <w:tc>
          <w:tcPr>
            <w:tcW w:w="2280" w:type="dxa"/>
            <w:tcBorders>
              <w:top w:val="nil"/>
              <w:left w:val="nil"/>
              <w:bottom w:val="single" w:sz="4" w:space="0" w:color="auto"/>
              <w:right w:val="nil"/>
            </w:tcBorders>
            <w:noWrap/>
            <w:vAlign w:val="center"/>
          </w:tcPr>
          <w:p>
            <w:pPr>
              <w:widowControl/>
              <w:jc w:val="right"/>
              <w:rPr>
                <w:rFonts w:ascii="宋体" w:eastAsia="宋体" w:cs="宋体" w:hint="eastAsia"/>
                <w:kern w:val="0"/>
                <w:sz w:val="20"/>
                <w:szCs w:val="20"/>
              </w:rPr>
            </w:pPr>
            <w:r>
              <w:rPr>
                <w:rFonts w:ascii="宋体" w:eastAsia="宋体" w:cs="宋体" w:hint="eastAsia"/>
                <w:kern w:val="0"/>
                <w:sz w:val="20"/>
                <w:szCs w:val="20"/>
              </w:rPr>
              <w:t>　</w:t>
            </w:r>
          </w:p>
        </w:tc>
        <w:tc>
          <w:tcPr>
            <w:tcW w:w="3632" w:type="dxa"/>
            <w:gridSpan w:val="2"/>
            <w:tcBorders>
              <w:top w:val="nil"/>
              <w:left w:val="nil"/>
              <w:bottom w:val="single" w:sz="4" w:space="0" w:color="auto"/>
              <w:right w:val="nil"/>
            </w:tcBorders>
            <w:noWrap/>
            <w:vAlign w:val="bottom"/>
          </w:tcPr>
          <w:p>
            <w:pPr>
              <w:widowControl/>
              <w:jc w:val="right"/>
              <w:rPr>
                <w:rFonts w:ascii="宋体" w:eastAsia="宋体" w:cs="宋体" w:hint="eastAsia"/>
                <w:kern w:val="0"/>
                <w:sz w:val="20"/>
                <w:szCs w:val="20"/>
              </w:rPr>
            </w:pPr>
            <w:r>
              <w:rPr>
                <w:rFonts w:ascii="宋体" w:eastAsia="宋体" w:cs="宋体" w:hint="eastAsia"/>
                <w:kern w:val="0"/>
                <w:sz w:val="20"/>
                <w:szCs w:val="20"/>
              </w:rPr>
              <w:t>　单位：万元</w:t>
            </w:r>
          </w:p>
        </w:tc>
      </w:tr>
      <w:tr>
        <w:trPr>
          <w:trHeight w:val="812"/>
        </w:trPr>
        <w:tc>
          <w:tcPr>
            <w:tcW w:w="3263"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kern w:val="0"/>
                <w:sz w:val="20"/>
                <w:szCs w:val="20"/>
                <w:lang w:val="en-US" w:eastAsia="zh-CN"/>
              </w:rPr>
              <w:t>单位</w:t>
            </w:r>
            <w:r>
              <w:rPr>
                <w:rFonts w:ascii="宋体" w:eastAsia="宋体" w:cs="宋体" w:hint="eastAsia"/>
                <w:kern w:val="0"/>
                <w:sz w:val="20"/>
                <w:szCs w:val="20"/>
                <w:lang w:eastAsia="zh-CN"/>
              </w:rPr>
              <w:t>预算支出</w:t>
            </w:r>
            <w:r>
              <w:rPr>
                <w:rFonts w:ascii="宋体" w:eastAsia="宋体" w:cs="宋体" w:hint="eastAsia"/>
                <w:kern w:val="0"/>
                <w:sz w:val="20"/>
                <w:szCs w:val="20"/>
              </w:rPr>
              <w:t>经济分类科目</w:t>
            </w:r>
          </w:p>
        </w:tc>
        <w:tc>
          <w:tcPr>
            <w:tcW w:w="2280"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kern w:val="0"/>
                <w:sz w:val="20"/>
                <w:szCs w:val="20"/>
              </w:rPr>
            </w:pPr>
            <w:r>
              <w:rPr>
                <w:rFonts w:ascii="宋体" w:eastAsia="宋体" w:cs="宋体" w:hint="eastAsia"/>
                <w:color w:val="000000"/>
                <w:kern w:val="0"/>
                <w:sz w:val="20"/>
                <w:szCs w:val="20"/>
              </w:rPr>
              <w:t>合计</w:t>
            </w:r>
          </w:p>
        </w:tc>
        <w:tc>
          <w:tcPr>
            <w:tcW w:w="1751" w:type="dxa"/>
            <w:tcBorders>
              <w:top w:val="single" w:sz="4" w:space="0" w:color="auto"/>
              <w:left w:val="single" w:sz="4" w:space="0" w:color="auto"/>
              <w:right w:val="single" w:sz="4" w:space="0" w:color="auto"/>
            </w:tcBorders>
            <w:noWrap/>
            <w:vAlign w:val="center"/>
          </w:tcPr>
          <w:p>
            <w:pPr>
              <w:widowControl/>
              <w:jc w:val="center"/>
              <w:rPr>
                <w:rFonts w:ascii="宋体" w:eastAsia="宋体" w:cs="宋体" w:hint="eastAsia"/>
                <w:sz w:val="20"/>
                <w:szCs w:val="20"/>
              </w:rPr>
            </w:pPr>
            <w:r>
              <w:rPr>
                <w:rFonts w:ascii="宋体" w:eastAsia="宋体" w:cs="宋体" w:hint="eastAsia"/>
                <w:color w:val="000000"/>
                <w:kern w:val="0"/>
                <w:sz w:val="20"/>
                <w:szCs w:val="20"/>
              </w:rPr>
              <w:t>人员经费</w:t>
            </w:r>
          </w:p>
        </w:tc>
        <w:tc>
          <w:tcPr>
            <w:tcW w:w="1881"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hint="eastAsia"/>
                <w:sz w:val="20"/>
                <w:szCs w:val="20"/>
              </w:rPr>
            </w:pPr>
            <w:r>
              <w:rPr>
                <w:rFonts w:ascii="宋体" w:eastAsia="宋体" w:cs="宋体" w:hint="eastAsia"/>
                <w:color w:val="000000"/>
                <w:kern w:val="0"/>
                <w:sz w:val="20"/>
                <w:szCs w:val="20"/>
              </w:rPr>
              <w:t>公用经费</w:t>
            </w: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一、工资福利支出</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119.24</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119.24</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基本工资</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34.64</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34.64</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津贴补贴</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22.79</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22.79</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奖金</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26.50</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26.50</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　机关事业单位基本养老保险缴费</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12.15</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12.15</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　职工基本医疗保险缴费</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4.63</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4.63</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　其他社会保障缴费</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1.77</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1.77</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　住房公积金</w:t>
            </w:r>
          </w:p>
        </w:tc>
        <w:tc>
          <w:tcPr>
            <w:tcW w:w="228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15.06</w:t>
            </w:r>
          </w:p>
        </w:tc>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15.06</w:t>
            </w:r>
          </w:p>
        </w:tc>
        <w:tc>
          <w:tcPr>
            <w:tcW w:w="188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　医疗费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1.68</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1.68</w:t>
            </w:r>
          </w:p>
        </w:tc>
        <w:tc>
          <w:tcPr>
            <w:tcW w:w="188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其他工资福利支出</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0.02</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0.02</w:t>
            </w:r>
          </w:p>
        </w:tc>
        <w:tc>
          <w:tcPr>
            <w:tcW w:w="188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二、商品和服务支出</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22.51</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22.51</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办公费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4.15</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4.15</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印刷费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0.15</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0.15</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差旅费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4.00</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4.00</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会议费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0.40</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0.40</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培训费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0.30</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0.30</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工会经费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1.13</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1.13</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福利费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4.25</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4.25</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其他交通费用</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6.24</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6.24</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其他商品和服务支出</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1.89</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1.89</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三、对个人和家庭的补助</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13.05</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13.05</w:t>
            </w:r>
          </w:p>
        </w:tc>
        <w:tc>
          <w:tcPr>
            <w:tcW w:w="188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退休费</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12.25</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12.25</w:t>
            </w:r>
          </w:p>
        </w:tc>
        <w:tc>
          <w:tcPr>
            <w:tcW w:w="188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其他对个人和家庭的补助</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kern w:val="0"/>
                <w:sz w:val="20"/>
                <w:szCs w:val="20"/>
                <w:lang w:val="en-US"/>
              </w:rPr>
            </w:pPr>
            <w:r>
              <w:rPr>
                <w:rFonts w:ascii="宋体" w:eastAsia="宋体" w:cs="宋体" w:hint="eastAsia"/>
                <w:i w:val="0"/>
                <w:color w:val="000000"/>
                <w:kern w:val="0"/>
                <w:sz w:val="20"/>
                <w:szCs w:val="20"/>
                <w:u w:val="none"/>
                <w:lang w:val="en-US" w:eastAsia="zh-CN"/>
              </w:rPr>
              <w:t>0.80</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sz w:val="20"/>
                <w:szCs w:val="20"/>
                <w:lang w:val="en-US"/>
              </w:rPr>
            </w:pPr>
            <w:r>
              <w:rPr>
                <w:rFonts w:ascii="宋体" w:eastAsia="宋体" w:cs="宋体" w:hint="eastAsia"/>
                <w:i w:val="0"/>
                <w:color w:val="000000"/>
                <w:kern w:val="0"/>
                <w:sz w:val="20"/>
                <w:szCs w:val="20"/>
                <w:u w:val="none"/>
                <w:lang w:val="en-US" w:eastAsia="zh-CN"/>
              </w:rPr>
              <w:t>0.80</w:t>
            </w:r>
          </w:p>
        </w:tc>
        <w:tc>
          <w:tcPr>
            <w:tcW w:w="188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四、资本性支出</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0.90</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0.90</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color w:val="000000"/>
                <w:kern w:val="0"/>
                <w:sz w:val="20"/>
                <w:szCs w:val="20"/>
              </w:rPr>
            </w:pPr>
            <w:r>
              <w:rPr>
                <w:rFonts w:ascii="宋体" w:eastAsia="宋体" w:cs="宋体" w:hint="eastAsia"/>
                <w:i w:val="0"/>
                <w:color w:val="000000"/>
                <w:kern w:val="0"/>
                <w:sz w:val="20"/>
                <w:szCs w:val="20"/>
                <w:u w:val="none"/>
                <w:lang w:val="en-US" w:eastAsia="zh-CN"/>
              </w:rPr>
              <w:t>　办公设备购置</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20"/>
                <w:szCs w:val="20"/>
              </w:rPr>
            </w:pPr>
            <w:r>
              <w:rPr>
                <w:rFonts w:ascii="宋体" w:eastAsia="宋体" w:cs="宋体" w:hint="eastAsia"/>
                <w:i w:val="0"/>
                <w:color w:val="000000"/>
                <w:kern w:val="0"/>
                <w:sz w:val="20"/>
                <w:szCs w:val="20"/>
                <w:u w:val="none"/>
                <w:lang w:val="en-US" w:eastAsia="zh-CN"/>
              </w:rPr>
              <w:t>0.90</w:t>
            </w:r>
          </w:p>
        </w:tc>
        <w:tc>
          <w:tcPr>
            <w:tcW w:w="1751" w:type="dxa"/>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sz w:val="20"/>
                <w:szCs w:val="20"/>
              </w:rPr>
            </w:pP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0.90</w:t>
            </w:r>
          </w:p>
        </w:tc>
      </w:tr>
      <w:tr>
        <w:trPr>
          <w:trHeight w:val="363"/>
        </w:trPr>
        <w:tc>
          <w:tcPr>
            <w:tcW w:w="3263"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ascii="宋体" w:eastAsia="宋体" w:cs="宋体" w:hint="eastAsia"/>
                <w:color w:val="000000"/>
                <w:kern w:val="0"/>
                <w:sz w:val="20"/>
                <w:szCs w:val="20"/>
              </w:rPr>
            </w:pPr>
            <w:r>
              <w:rPr>
                <w:rFonts w:ascii="宋体" w:eastAsia="宋体" w:cs="宋体" w:hint="eastAsia"/>
                <w:sz w:val="20"/>
                <w:szCs w:val="20"/>
              </w:rPr>
              <w:t>合计</w:t>
            </w:r>
          </w:p>
        </w:tc>
        <w:tc>
          <w:tcPr>
            <w:tcW w:w="22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kern w:val="0"/>
                <w:sz w:val="20"/>
                <w:szCs w:val="20"/>
                <w:lang w:val="en-US"/>
              </w:rPr>
            </w:pPr>
            <w:r>
              <w:rPr>
                <w:rFonts w:ascii="宋体" w:eastAsia="宋体" w:cs="宋体" w:hint="eastAsia"/>
                <w:i w:val="0"/>
                <w:color w:val="000000"/>
                <w:kern w:val="0"/>
                <w:sz w:val="20"/>
                <w:szCs w:val="20"/>
                <w:u w:val="none"/>
                <w:lang w:val="en-US" w:eastAsia="zh-CN"/>
              </w:rPr>
              <w:t>155.70</w:t>
            </w:r>
          </w:p>
        </w:tc>
        <w:tc>
          <w:tcPr>
            <w:tcW w:w="175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132.29</w:t>
            </w:r>
          </w:p>
        </w:tc>
        <w:tc>
          <w:tcPr>
            <w:tcW w:w="1881"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sz w:val="20"/>
                <w:szCs w:val="20"/>
              </w:rPr>
            </w:pPr>
            <w:r>
              <w:rPr>
                <w:rFonts w:ascii="宋体" w:eastAsia="宋体" w:cs="宋体" w:hint="eastAsia"/>
                <w:i w:val="0"/>
                <w:color w:val="000000"/>
                <w:kern w:val="0"/>
                <w:sz w:val="20"/>
                <w:szCs w:val="20"/>
                <w:u w:val="none"/>
                <w:lang w:val="en-US" w:eastAsia="zh-CN"/>
              </w:rPr>
              <w:t>23.41</w:t>
            </w:r>
          </w:p>
        </w:tc>
      </w:tr>
    </w:tbl>
    <w:p>
      <w:pPr>
        <w:rPr>
          <w:rFonts w:ascii="宋体" w:eastAsia="宋体" w:cs="宋体" w:hint="eastAsia"/>
          <w:sz w:val="20"/>
          <w:szCs w:val="20"/>
        </w:rPr>
      </w:pPr>
    </w:p>
    <w:p>
      <w:pPr>
        <w:rPr>
          <w:rFonts w:ascii="宋体" w:eastAsia="宋体" w:cs="宋体" w:hint="eastAsia"/>
          <w:sz w:val="20"/>
          <w:szCs w:val="20"/>
        </w:rPr>
      </w:pPr>
    </w:p>
    <w:tbl>
      <w:tblPr>
        <w:jc w:val="center"/>
        <w:tblW w:w="91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ascii="宋体" w:eastAsia="宋体" w:cs="宋体" w:hint="eastAsia"/>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202</w:t>
            </w:r>
            <w:r>
              <w:rPr>
                <w:rFonts w:ascii="宋体" w:eastAsia="宋体" w:cs="宋体" w:hint="eastAsia"/>
                <w:color w:val="000000"/>
                <w:kern w:val="0"/>
                <w:sz w:val="20"/>
                <w:lang w:val="en-US" w:eastAsia="zh-CN"/>
              </w:rPr>
              <w:t>4</w:t>
            </w:r>
            <w:r>
              <w:rPr>
                <w:rFonts w:ascii="宋体" w:eastAsia="宋体" w:cs="宋体" w:hint="eastAsia"/>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ascii="宋体" w:eastAsia="宋体" w:cs="宋体" w:hint="eastAsia"/>
                <w:color w:val="000000"/>
                <w:kern w:val="0"/>
                <w:sz w:val="20"/>
              </w:rPr>
            </w:pPr>
            <w:r>
              <w:rPr>
                <w:rFonts w:ascii="宋体" w:eastAsia="宋体" w:cs="宋体" w:hint="eastAsia"/>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ascii="宋体" w:eastAsia="宋体" w:cs="宋体" w:hint="eastAsia"/>
                <w:color w:val="000000"/>
                <w:kern w:val="0"/>
                <w:sz w:val="20"/>
              </w:rPr>
            </w:pPr>
            <w:r>
              <w:rPr>
                <w:rFonts w:ascii="宋体" w:eastAsia="宋体" w:cs="宋体" w:hint="eastAsia"/>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ascii="宋体" w:eastAsia="宋体" w:cs="宋体" w:hint="eastAsia"/>
                <w:color w:val="000000"/>
                <w:kern w:val="0"/>
                <w:sz w:val="20"/>
              </w:rPr>
            </w:pPr>
            <w:r>
              <w:rPr>
                <w:rFonts w:ascii="宋体" w:eastAsia="宋体" w:cs="宋体" w:hint="eastAsia"/>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ascii="宋体" w:eastAsia="宋体" w:cs="宋体" w:hint="eastAsia"/>
                <w:color w:val="000000"/>
                <w:kern w:val="0"/>
                <w:sz w:val="20"/>
              </w:rPr>
            </w:pPr>
            <w:r>
              <w:rPr>
                <w:rFonts w:ascii="宋体" w:eastAsia="宋体" w:cs="宋体" w:hint="eastAsia"/>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ascii="宋体" w:eastAsia="宋体" w:cs="宋体" w:hint="eastAsia"/>
                <w:color w:val="000000"/>
                <w:kern w:val="0"/>
                <w:sz w:val="20"/>
              </w:rPr>
            </w:pPr>
            <w:r>
              <w:rPr>
                <w:rFonts w:ascii="宋体" w:eastAsia="宋体" w:cs="宋体" w:hint="eastAsia"/>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ascii="宋体" w:eastAsia="宋体" w:cs="宋体" w:hint="eastAsia"/>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ind w:firstLineChars="200" w:firstLine="560"/>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说明：</w:t>
      </w:r>
    </w:p>
    <w:p>
      <w:pPr>
        <w:keepNext w:val="0"/>
        <w:keepLines w:val="0"/>
        <w:pageBreakBefore w:val="0"/>
        <w:widowControl w:val="0"/>
        <w:kinsoku/>
        <w:wordWrap/>
        <w:overflowPunct/>
        <w:topLinePunct w:val="0"/>
        <w:autoSpaceDE/>
        <w:autoSpaceDN/>
        <w:bidi w:val="0"/>
        <w:adjustRightInd/>
        <w:snapToGrid/>
        <w:ind w:firstLineChars="400" w:firstLine="1120"/>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1、“2024年预算数”的单位范围包括</w:t>
      </w:r>
      <w:r>
        <w:rPr>
          <w:rFonts w:ascii="宋体" w:eastAsia="宋体" w:cs="宋体"/>
          <w:kern w:val="0"/>
          <w:sz w:val="28"/>
          <w:szCs w:val="28"/>
          <w:lang w:val="en-US" w:eastAsia="zh-CN"/>
        </w:rPr>
        <w:t>本单位</w:t>
      </w:r>
      <w:r>
        <w:rPr>
          <w:rFonts w:ascii="宋体" w:eastAsia="宋体" w:cs="宋体" w:hint="eastAsia"/>
          <w:kern w:val="0"/>
          <w:sz w:val="28"/>
          <w:szCs w:val="28"/>
          <w:lang w:val="en-US" w:eastAsia="zh-CN"/>
        </w:rPr>
        <w:t>1个预算单位。</w:t>
      </w:r>
    </w:p>
    <w:p>
      <w:pPr>
        <w:keepNext w:val="0"/>
        <w:keepLines w:val="0"/>
        <w:pageBreakBefore w:val="0"/>
        <w:widowControl w:val="0"/>
        <w:kinsoku/>
        <w:wordWrap/>
        <w:overflowPunct/>
        <w:topLinePunct w:val="0"/>
        <w:autoSpaceDE/>
        <w:autoSpaceDN/>
        <w:bidi w:val="0"/>
        <w:adjustRightInd/>
        <w:snapToGrid/>
        <w:ind w:firstLineChars="400" w:firstLine="1120"/>
        <w:textAlignment w:val="auto"/>
        <w:rPr>
          <w:rFonts w:ascii="宋体" w:eastAsia="宋体" w:cs="宋体" w:hint="eastAsia"/>
          <w:kern w:val="0"/>
          <w:sz w:val="28"/>
          <w:szCs w:val="28"/>
          <w:lang w:val="en-US" w:eastAsia="zh-CN"/>
        </w:rPr>
      </w:pPr>
      <w:r>
        <w:rPr>
          <w:rFonts w:ascii="宋体" w:eastAsia="宋体" w:cs="宋体" w:hint="eastAsia"/>
          <w:kern w:val="0"/>
          <w:sz w:val="28"/>
          <w:szCs w:val="28"/>
          <w:lang w:val="en-US" w:eastAsia="zh-CN"/>
        </w:rPr>
        <w:t>2、“2024年预算数”的实有人员21人，其中：在职人员9人，离退休人员12人。</w:t>
      </w:r>
    </w:p>
    <w:p>
      <w:pPr>
        <w:ind w:firstLineChars="200" w:firstLine="640"/>
        <w:rPr>
          <w:rFonts w:eastAsia="楷体"/>
          <w:kern w:val="0"/>
          <w:szCs w:val="32"/>
        </w:rPr>
      </w:pPr>
      <w:bookmarkStart w:id="0" w:name="_GoBack"/>
      <w:bookmarkEnd w:id="0"/>
    </w:p>
    <w:p>
      <w:pPr>
        <w:ind w:firstLineChars="200" w:firstLine="640"/>
        <w:rPr>
          <w:rFonts w:eastAsia="楷体"/>
          <w:kern w:val="0"/>
          <w:szCs w:val="32"/>
        </w:rPr>
      </w:pPr>
      <w:r>
        <w:rPr>
          <w:rFonts w:eastAsia="楷体"/>
          <w:kern w:val="0"/>
          <w:szCs w:val="32"/>
        </w:rPr>
        <w:t xml:space="preserve">    </w:t>
      </w:r>
    </w:p>
    <w:tbl>
      <w:tblPr>
        <w:tblpPr w:leftFromText="180" w:rightFromText="180" w:horzAnchor="margin" w:tblpXSpec="left" w:tblpY="321"/>
        <w:tblW w:w="878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ascii="宋体" w:eastAsia="宋体" w:cs="宋体" w:hint="eastAsia"/>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rPr>
              <w:t>功能分类</w:t>
            </w:r>
          </w:p>
          <w:p>
            <w:pPr>
              <w:widowControl/>
              <w:jc w:val="center"/>
              <w:rPr>
                <w:rFonts w:ascii="宋体" w:eastAsia="宋体" w:cs="宋体" w:hint="eastAsia"/>
                <w:color w:val="000000"/>
                <w:kern w:val="0"/>
                <w:sz w:val="20"/>
              </w:rPr>
            </w:pPr>
            <w:r>
              <w:rPr>
                <w:rFonts w:ascii="宋体" w:eastAsia="宋体" w:cs="宋体" w:hint="eastAsia"/>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tbl>
      <w:tblPr>
        <w:tblpPr w:leftFromText="180" w:rightFromText="180" w:vertAnchor="page" w:horzAnchor="page" w:tblpX="1573" w:tblpY="3079"/>
        <w:tblW w:w="8789"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ascii="宋体" w:eastAsia="宋体" w:cs="宋体" w:hint="eastAsia"/>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rPr>
              <w:t>功能分类</w:t>
            </w:r>
          </w:p>
          <w:p>
            <w:pPr>
              <w:widowControl/>
              <w:jc w:val="center"/>
              <w:rPr>
                <w:rFonts w:ascii="宋体" w:eastAsia="宋体" w:cs="宋体" w:hint="eastAsia"/>
                <w:color w:val="000000"/>
                <w:kern w:val="0"/>
                <w:sz w:val="20"/>
              </w:rPr>
            </w:pPr>
            <w:r>
              <w:rPr>
                <w:rFonts w:ascii="宋体" w:eastAsia="宋体" w:cs="宋体" w:hint="eastAsia"/>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ascii="宋体" w:eastAsia="宋体" w:cs="宋体" w:hint="eastAsia"/>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ascii="宋体" w:eastAsia="宋体" w:cs="宋体" w:hint="eastAsia"/>
                <w:color w:val="000000"/>
                <w:kern w:val="0"/>
                <w:sz w:val="20"/>
              </w:rPr>
            </w:pPr>
            <w:r>
              <w:rPr>
                <w:rFonts w:ascii="宋体" w:eastAsia="宋体" w:cs="宋体"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ascii="宋体" w:eastAsia="宋体" w:cs="宋体" w:hint="eastAsia"/>
                <w:color w:val="000000"/>
                <w:kern w:val="0"/>
                <w:sz w:val="20"/>
              </w:rPr>
            </w:pPr>
          </w:p>
        </w:tc>
      </w:tr>
    </w:tbl>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0"/>
        <w:gridCol w:w="534"/>
        <w:gridCol w:w="659"/>
        <w:gridCol w:w="652"/>
        <w:gridCol w:w="608"/>
        <w:gridCol w:w="766"/>
        <w:gridCol w:w="495"/>
        <w:gridCol w:w="692"/>
        <w:gridCol w:w="568"/>
        <w:gridCol w:w="568"/>
        <w:gridCol w:w="455"/>
        <w:gridCol w:w="495"/>
        <w:gridCol w:w="613"/>
        <w:gridCol w:w="656"/>
        <w:gridCol w:w="656"/>
      </w:tblGrid>
      <w:tr>
        <w:trPr>
          <w:trHeight w:val="1273"/>
        </w:trPr>
        <w:tc>
          <w:tcPr>
            <w:tcW w:w="8947" w:type="dxa"/>
            <w:gridSpan w:val="15"/>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530" w:type="dxa"/>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534" w:type="dxa"/>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659" w:type="dxa"/>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652" w:type="dxa"/>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608" w:type="dxa"/>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3089" w:type="dxa"/>
            <w:gridSpan w:val="5"/>
            <w:tcBorders>
              <w:top w:val="nil"/>
              <w:left w:val="nil"/>
              <w:bottom w:val="single" w:sz="4" w:space="0" w:color="auto"/>
              <w:right w:val="nil"/>
            </w:tcBorders>
            <w:noWrap/>
            <w:vAlign w:val="center"/>
          </w:tcPr>
          <w:p>
            <w:pPr>
              <w:autoSpaceDN w:val="0"/>
              <w:jc w:val="center"/>
              <w:textAlignment w:val="center"/>
              <w:rPr>
                <w:rFonts w:ascii="宋体" w:eastAsia="宋体" w:cs="宋体" w:hint="eastAsia"/>
                <w:color w:val="000000"/>
                <w:sz w:val="20"/>
                <w:szCs w:val="22"/>
              </w:rPr>
            </w:pPr>
          </w:p>
        </w:tc>
        <w:tc>
          <w:tcPr>
            <w:tcW w:w="2875" w:type="dxa"/>
            <w:gridSpan w:val="5"/>
            <w:tcBorders>
              <w:top w:val="nil"/>
              <w:left w:val="nil"/>
              <w:bottom w:val="single" w:sz="4" w:space="0" w:color="auto"/>
              <w:right w:val="nil"/>
            </w:tcBorders>
            <w:noWrap/>
            <w:vAlign w:val="bottom"/>
          </w:tcPr>
          <w:p>
            <w:pPr>
              <w:autoSpaceDN w:val="0"/>
              <w:jc w:val="right"/>
              <w:textAlignment w:val="center"/>
              <w:rPr>
                <w:rFonts w:ascii="宋体" w:eastAsia="宋体" w:cs="宋体" w:hint="eastAsia"/>
                <w:color w:val="000000"/>
                <w:sz w:val="20"/>
                <w:szCs w:val="22"/>
              </w:rPr>
            </w:pPr>
            <w:r>
              <w:rPr>
                <w:rFonts w:ascii="宋体" w:eastAsia="宋体" w:cs="宋体" w:hint="eastAsia"/>
                <w:color w:val="000000"/>
                <w:sz w:val="20"/>
                <w:szCs w:val="22"/>
              </w:rPr>
              <w:t>单位：万元</w:t>
            </w:r>
          </w:p>
        </w:tc>
      </w:tr>
      <w:tr>
        <w:trPr>
          <w:trHeight w:val="836"/>
        </w:trPr>
        <w:tc>
          <w:tcPr>
            <w:tcW w:w="53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类型</w:t>
            </w:r>
          </w:p>
        </w:tc>
        <w:tc>
          <w:tcPr>
            <w:tcW w:w="1193" w:type="dxa"/>
            <w:gridSpan w:val="2"/>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项目名称</w:t>
            </w:r>
          </w:p>
        </w:tc>
        <w:tc>
          <w:tcPr>
            <w:tcW w:w="652"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部门（单位）名称</w:t>
            </w:r>
          </w:p>
        </w:tc>
        <w:tc>
          <w:tcPr>
            <w:tcW w:w="608"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合计</w:t>
            </w:r>
          </w:p>
        </w:tc>
        <w:tc>
          <w:tcPr>
            <w:tcW w:w="3089"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本年预算</w:t>
            </w:r>
          </w:p>
        </w:tc>
        <w:tc>
          <w:tcPr>
            <w:tcW w:w="2875"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上年结转结余</w:t>
            </w:r>
          </w:p>
        </w:tc>
      </w:tr>
      <w:tr>
        <w:trPr>
          <w:trHeight w:val="836"/>
        </w:trPr>
        <w:tc>
          <w:tcPr>
            <w:tcW w:w="530" w:type="dxa"/>
            <w:vMerge/>
            <w:tcBorders>
              <w:top w:val="single" w:sz="4" w:space="0" w:color="auto"/>
              <w:left w:val="single" w:sz="4" w:space="0" w:color="auto"/>
              <w:bottom w:val="single" w:sz="4" w:space="0" w:color="auto"/>
              <w:right w:val="single" w:sz="4" w:space="0" w:color="auto"/>
            </w:tcBorders>
            <w:noWrap/>
            <w:vAlign w:val="center"/>
          </w:tcPr>
          <w:p/>
        </w:tc>
        <w:tc>
          <w:tcPr>
            <w:tcW w:w="534"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一级项目</w:t>
            </w:r>
          </w:p>
        </w:tc>
        <w:tc>
          <w:tcPr>
            <w:tcW w:w="659"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二级</w:t>
            </w:r>
            <w:r>
              <w:rPr>
                <w:rFonts w:ascii="宋体" w:eastAsia="宋体" w:cs="宋体" w:hint="eastAsia"/>
                <w:color w:val="000000"/>
                <w:sz w:val="20"/>
                <w:szCs w:val="22"/>
                <w:lang w:val="en-US" w:eastAsia="zh-CN"/>
              </w:rPr>
              <w:t xml:space="preserve">  </w:t>
            </w:r>
            <w:r>
              <w:rPr>
                <w:rFonts w:ascii="宋体" w:eastAsia="宋体" w:cs="宋体" w:hint="eastAsia"/>
                <w:color w:val="000000"/>
                <w:sz w:val="20"/>
                <w:szCs w:val="22"/>
              </w:rPr>
              <w:t>项目</w:t>
            </w:r>
          </w:p>
        </w:tc>
        <w:tc>
          <w:tcPr>
            <w:tcW w:w="652"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608" w:type="dxa"/>
            <w:vMerge/>
            <w:tcBorders>
              <w:top w:val="single" w:sz="4" w:space="0" w:color="auto"/>
              <w:left w:val="single" w:sz="4" w:space="0" w:color="auto"/>
              <w:bottom w:val="single" w:sz="4" w:space="0" w:color="auto"/>
              <w:right w:val="single" w:sz="4" w:space="0" w:color="auto"/>
            </w:tcBorders>
            <w:noWrap/>
            <w:vAlign w:val="center"/>
          </w:tcPr>
          <w:p/>
        </w:tc>
        <w:tc>
          <w:tcPr>
            <w:tcW w:w="1953"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w:t>
            </w:r>
          </w:p>
        </w:tc>
        <w:tc>
          <w:tcPr>
            <w:tcW w:w="568"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568"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lang w:eastAsia="zh-CN"/>
              </w:rPr>
              <w:t>单位资金</w:t>
            </w:r>
          </w:p>
        </w:tc>
        <w:tc>
          <w:tcPr>
            <w:tcW w:w="1563"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财政拨款结转</w:t>
            </w:r>
          </w:p>
        </w:tc>
        <w:tc>
          <w:tcPr>
            <w:tcW w:w="1312"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非财政拨款结转结余</w:t>
            </w:r>
          </w:p>
        </w:tc>
      </w:tr>
      <w:tr>
        <w:trPr>
          <w:trHeight w:val="2876"/>
        </w:trPr>
        <w:tc>
          <w:tcPr>
            <w:tcW w:w="530" w:type="dxa"/>
            <w:vMerge/>
            <w:tcBorders>
              <w:top w:val="single" w:sz="4" w:space="0" w:color="auto"/>
              <w:left w:val="single" w:sz="4" w:space="0" w:color="auto"/>
              <w:bottom w:val="single" w:sz="4" w:space="0" w:color="auto"/>
              <w:right w:val="single" w:sz="4" w:space="0" w:color="auto"/>
            </w:tcBorders>
            <w:noWrap/>
            <w:vAlign w:val="center"/>
          </w:tcPr>
          <w:p/>
        </w:tc>
        <w:tc>
          <w:tcPr>
            <w:tcW w:w="534" w:type="dxa"/>
            <w:vMerge/>
            <w:tcBorders>
              <w:top w:val="single" w:sz="4" w:space="0" w:color="auto"/>
              <w:left w:val="single" w:sz="4" w:space="0" w:color="auto"/>
              <w:bottom w:val="single" w:sz="4" w:space="0" w:color="auto"/>
              <w:right w:val="single" w:sz="4" w:space="0" w:color="auto"/>
            </w:tcBorders>
            <w:noWrap/>
            <w:vAlign w:val="center"/>
          </w:tcPr>
          <w:p/>
        </w:tc>
        <w:tc>
          <w:tcPr>
            <w:tcW w:w="659" w:type="dxa"/>
            <w:vMerge/>
            <w:tcBorders>
              <w:top w:val="single" w:sz="4" w:space="0" w:color="auto"/>
              <w:left w:val="single" w:sz="4" w:space="0" w:color="auto"/>
              <w:bottom w:val="single" w:sz="4" w:space="0" w:color="auto"/>
              <w:right w:val="single" w:sz="4" w:space="0" w:color="auto"/>
            </w:tcBorders>
            <w:noWrap/>
            <w:vAlign w:val="center"/>
          </w:tcPr>
          <w:p/>
        </w:tc>
        <w:tc>
          <w:tcPr>
            <w:tcW w:w="652" w:type="dxa"/>
            <w:vMerge/>
            <w:tcBorders>
              <w:top w:val="single" w:sz="4" w:space="0" w:color="auto"/>
              <w:left w:val="single" w:sz="4" w:space="0" w:color="auto"/>
              <w:bottom w:val="single" w:sz="4" w:space="0" w:color="auto"/>
              <w:right w:val="single" w:sz="4" w:space="0" w:color="auto"/>
            </w:tcBorders>
            <w:noWrap/>
            <w:vAlign w:val="center"/>
          </w:tcPr>
          <w:p/>
        </w:tc>
        <w:tc>
          <w:tcPr>
            <w:tcW w:w="608" w:type="dxa"/>
            <w:vMerge/>
            <w:tcBorders>
              <w:top w:val="single" w:sz="4" w:space="0" w:color="auto"/>
              <w:left w:val="single" w:sz="4" w:space="0" w:color="auto"/>
              <w:bottom w:val="single" w:sz="4" w:space="0" w:color="auto"/>
              <w:right w:val="single" w:sz="4" w:space="0" w:color="auto"/>
            </w:tcBorders>
            <w:noWrap/>
            <w:vAlign w:val="center"/>
          </w:tcPr>
          <w:p/>
        </w:tc>
        <w:tc>
          <w:tcPr>
            <w:tcW w:w="766"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一般公共预算</w:t>
            </w:r>
          </w:p>
        </w:tc>
        <w:tc>
          <w:tcPr>
            <w:tcW w:w="49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基金</w:t>
            </w:r>
          </w:p>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预算</w:t>
            </w:r>
          </w:p>
        </w:tc>
        <w:tc>
          <w:tcPr>
            <w:tcW w:w="69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国有资本经营预算</w:t>
            </w:r>
          </w:p>
        </w:tc>
        <w:tc>
          <w:tcPr>
            <w:tcW w:w="568"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68"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45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一般</w:t>
              <w:br/>
              <w:t>公共</w:t>
              <w:br/>
              <w:t>预算</w:t>
            </w:r>
          </w:p>
        </w:tc>
        <w:tc>
          <w:tcPr>
            <w:tcW w:w="495"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政府性</w:t>
              <w:br/>
              <w:t>基金</w:t>
              <w:br/>
              <w:t>预算</w:t>
            </w:r>
          </w:p>
        </w:tc>
        <w:tc>
          <w:tcPr>
            <w:tcW w:w="613"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szCs w:val="22"/>
              </w:rPr>
            </w:pPr>
            <w:r>
              <w:rPr>
                <w:rFonts w:ascii="宋体" w:eastAsia="宋体" w:cs="宋体" w:hint="eastAsia"/>
                <w:color w:val="000000"/>
                <w:sz w:val="20"/>
                <w:szCs w:val="22"/>
              </w:rPr>
              <w:t>国有资本经营</w:t>
              <w:br/>
              <w:t>预算</w:t>
            </w:r>
          </w:p>
        </w:tc>
        <w:tc>
          <w:tcPr>
            <w:tcW w:w="656"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宋体" w:eastAsia="宋体" w:cs="宋体" w:hint="eastAsia"/>
                <w:color w:val="000000"/>
                <w:sz w:val="20"/>
                <w:szCs w:val="22"/>
                <w:lang w:eastAsia="zh-CN"/>
              </w:rPr>
            </w:pPr>
            <w:r>
              <w:rPr>
                <w:rFonts w:ascii="宋体" w:eastAsia="宋体" w:cs="宋体" w:hint="eastAsia"/>
                <w:color w:val="000000"/>
                <w:sz w:val="20"/>
                <w:szCs w:val="22"/>
                <w:lang w:eastAsia="zh-CN"/>
              </w:rPr>
              <w:t>财政专户管理资金</w:t>
            </w:r>
          </w:p>
        </w:tc>
        <w:tc>
          <w:tcPr>
            <w:tcW w:w="656"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宋体" w:eastAsia="宋体" w:cs="宋体" w:hint="eastAsia"/>
                <w:color w:val="000000"/>
                <w:sz w:val="20"/>
                <w:szCs w:val="22"/>
              </w:rPr>
            </w:pPr>
            <w:r>
              <w:rPr>
                <w:rFonts w:ascii="宋体" w:eastAsia="宋体" w:cs="宋体" w:hint="eastAsia"/>
                <w:color w:val="000000"/>
                <w:sz w:val="20"/>
                <w:szCs w:val="22"/>
              </w:rPr>
              <w:t>单位资金</w:t>
            </w:r>
          </w:p>
        </w:tc>
      </w:tr>
      <w:tr>
        <w:trPr>
          <w:trHeight w:val="490"/>
        </w:trPr>
        <w:tc>
          <w:tcPr>
            <w:tcW w:w="530" w:type="dxa"/>
            <w:tcBorders>
              <w:top w:val="single" w:sz="4" w:space="0" w:color="auto"/>
              <w:left w:val="single" w:sz="4" w:space="0" w:color="auto"/>
              <w:bottom w:val="single" w:sz="4" w:space="0" w:color="auto"/>
              <w:right w:val="single" w:sz="4" w:space="0" w:color="auto"/>
            </w:tcBorders>
            <w:noWrap/>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专项业务支出</w:t>
            </w:r>
          </w:p>
        </w:tc>
        <w:tc>
          <w:tcPr>
            <w:tcW w:w="534"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9"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2"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104.03</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104.03</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r>
        <w:trPr>
          <w:trHeight w:val="700"/>
        </w:trPr>
        <w:tc>
          <w:tcPr>
            <w:tcW w:w="530"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53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专项普查活动</w:t>
            </w:r>
          </w:p>
        </w:tc>
        <w:tc>
          <w:tcPr>
            <w:tcW w:w="659"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2"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87.31</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87.31</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r>
        <w:trPr>
          <w:trHeight w:val="543"/>
        </w:trPr>
        <w:tc>
          <w:tcPr>
            <w:tcW w:w="530"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534"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第五次全国经济普查经费</w:t>
            </w:r>
          </w:p>
        </w:tc>
        <w:tc>
          <w:tcPr>
            <w:tcW w:w="65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农安县统计局</w:t>
            </w: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87.31</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87.31</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r>
        <w:trPr>
          <w:trHeight w:val="610"/>
        </w:trPr>
        <w:tc>
          <w:tcPr>
            <w:tcW w:w="530"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53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专项统计业务</w:t>
            </w:r>
          </w:p>
        </w:tc>
        <w:tc>
          <w:tcPr>
            <w:tcW w:w="659"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2"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16.72</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16.72</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r>
        <w:trPr>
          <w:trHeight w:val="700"/>
        </w:trPr>
        <w:tc>
          <w:tcPr>
            <w:tcW w:w="530"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534"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kern w:val="0"/>
                <w:sz w:val="13"/>
                <w:szCs w:val="13"/>
              </w:rPr>
            </w:pPr>
          </w:p>
        </w:tc>
        <w:tc>
          <w:tcPr>
            <w:tcW w:w="659"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统计调查经费</w:t>
            </w:r>
          </w:p>
        </w:tc>
        <w:tc>
          <w:tcPr>
            <w:tcW w:w="65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农安县统计局</w:t>
            </w: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16.72</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16.72</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r>
        <w:trPr>
          <w:trHeight w:val="700"/>
        </w:trPr>
        <w:tc>
          <w:tcPr>
            <w:tcW w:w="53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13"/>
                <w:szCs w:val="13"/>
              </w:rPr>
            </w:pPr>
            <w:r>
              <w:rPr>
                <w:rFonts w:ascii="宋体" w:eastAsia="宋体" w:cs="宋体" w:hint="eastAsia"/>
                <w:color w:val="000000"/>
                <w:sz w:val="13"/>
                <w:szCs w:val="13"/>
              </w:rPr>
              <w:t>合计</w:t>
            </w:r>
          </w:p>
        </w:tc>
        <w:tc>
          <w:tcPr>
            <w:tcW w:w="53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13"/>
                <w:szCs w:val="13"/>
              </w:rPr>
            </w:pPr>
          </w:p>
        </w:tc>
        <w:tc>
          <w:tcPr>
            <w:tcW w:w="659"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3"/>
                <w:szCs w:val="13"/>
              </w:rPr>
            </w:pPr>
          </w:p>
        </w:tc>
        <w:tc>
          <w:tcPr>
            <w:tcW w:w="6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3"/>
                <w:szCs w:val="13"/>
              </w:rPr>
            </w:pPr>
          </w:p>
        </w:tc>
        <w:tc>
          <w:tcPr>
            <w:tcW w:w="608"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104.03</w:t>
            </w:r>
          </w:p>
        </w:tc>
        <w:tc>
          <w:tcPr>
            <w:tcW w:w="766"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3"/>
                <w:szCs w:val="13"/>
              </w:rPr>
            </w:pPr>
            <w:r>
              <w:rPr>
                <w:rFonts w:ascii="宋体" w:eastAsia="宋体" w:cs="宋体" w:hint="eastAsia"/>
                <w:i w:val="0"/>
                <w:color w:val="000000"/>
                <w:kern w:val="0"/>
                <w:sz w:val="13"/>
                <w:szCs w:val="13"/>
                <w:u w:val="none"/>
                <w:lang w:val="en-US" w:eastAsia="zh-CN"/>
              </w:rPr>
              <w:t>104.03</w:t>
            </w:r>
          </w:p>
        </w:tc>
        <w:tc>
          <w:tcPr>
            <w:tcW w:w="49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right"/>
              <w:textAlignment w:val="center"/>
              <w:rPr>
                <w:rFonts w:ascii="宋体" w:eastAsia="宋体" w:cs="宋体" w:hint="eastAsia"/>
                <w:kern w:val="0"/>
                <w:sz w:val="16"/>
                <w:szCs w:val="16"/>
              </w:rPr>
            </w:pPr>
          </w:p>
        </w:tc>
        <w:tc>
          <w:tcPr>
            <w:tcW w:w="69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5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5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13"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c>
          <w:tcPr>
            <w:tcW w:w="656"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宋体" w:eastAsia="宋体" w:cs="宋体" w:hint="eastAsia"/>
                <w:kern w:val="0"/>
                <w:sz w:val="16"/>
                <w:szCs w:val="16"/>
              </w:rPr>
            </w:pPr>
          </w:p>
        </w:tc>
      </w:tr>
    </w:tbl>
    <w:p>
      <w:pPr>
        <w:ind w:firstLineChars="200" w:firstLine="640"/>
        <w:rPr>
          <w:rFonts w:eastAsia="楷体"/>
        </w:rPr>
        <w:sectPr>
          <w:footerReference w:type="default" r:id="rId7"/>
          <w:footerReference w:type="first" r:id="rId8"/>
          <w:pgSz w:w="11907" w:h="16840"/>
          <w:pgMar w:top="2041" w:right="1588" w:bottom="2041" w:left="1588" w:header="851" w:footer="1588" w:gutter="0"/>
          <w:pgNumType w:fmt="numberInDash"/>
          <w:titlePg/>
          <w:docGrid w:type="lines" w:linePitch="574" w:charSpace="-1675"/>
        </w:sectPr>
      </w:pPr>
    </w:p>
    <w:tbl>
      <w:tblPr>
        <w:tblpPr w:leftFromText="180" w:rightFromText="180" w:vertAnchor="text" w:tblpX="90" w:tblpY="337"/>
        <w:tblOverlap w:val="never"/>
        <w:tblW w:w="87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Calibri" w:eastAsia="方正小标宋简体" w:cs="Times New Roman" w:hAnsi="Calibri"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ascii="宋体" w:eastAsia="宋体" w:cs="宋体" w:hint="eastAsia"/>
                <w:color w:val="000000"/>
                <w:kern w:val="0"/>
                <w:sz w:val="20"/>
                <w:szCs w:val="22"/>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color w:val="000000"/>
                <w:sz w:val="20"/>
                <w:szCs w:val="20"/>
                <w:lang w:val="en-US" w:eastAsia="zh-CN"/>
              </w:rPr>
            </w:pPr>
            <w:r>
              <w:rPr>
                <w:rFonts w:ascii="宋体" w:eastAsia="宋体" w:cs="宋体" w:hint="eastAsia"/>
                <w:color w:val="000000"/>
                <w:sz w:val="20"/>
                <w:szCs w:val="20"/>
                <w:lang w:eastAsia="zh-CN"/>
              </w:rPr>
              <w:t>部门</w:t>
            </w:r>
            <w:r>
              <w:rPr>
                <w:rFonts w:ascii="宋体" w:eastAsia="宋体" w:cs="宋体" w:hint="eastAsia"/>
                <w:color w:val="000000"/>
                <w:sz w:val="20"/>
                <w:szCs w:val="20"/>
                <w:lang w:val="en-US" w:eastAsia="zh-CN"/>
              </w:rPr>
              <w:t>/单位/</w:t>
            </w:r>
          </w:p>
          <w:p>
            <w:pPr>
              <w:spacing w:line="240" w:lineRule="auto"/>
              <w:jc w:val="center"/>
              <w:rPr>
                <w:rFonts w:ascii="宋体" w:eastAsia="宋体" w:cs="宋体" w:hint="eastAsia"/>
                <w:kern w:val="0"/>
                <w:sz w:val="20"/>
                <w:szCs w:val="20"/>
                <w:vertAlign w:val="baseline"/>
              </w:rPr>
            </w:pPr>
            <w:r>
              <w:rPr>
                <w:rFonts w:ascii="宋体" w:eastAsia="宋体" w:cs="宋体"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rPr>
            </w:pPr>
            <w:r>
              <w:rPr>
                <w:rFonts w:ascii="宋体" w:eastAsia="宋体" w:cs="宋体" w:hint="eastAsia"/>
                <w:color w:val="000000"/>
                <w:sz w:val="20"/>
                <w:szCs w:val="20"/>
                <w:lang w:eastAsia="zh-CN"/>
              </w:rPr>
              <w:t>委托事</w:t>
            </w:r>
            <w:r>
              <w:rPr>
                <w:rFonts w:ascii="宋体" w:eastAsia="宋体" w:cs="宋体" w:hint="eastAsia"/>
                <w:color w:val="000000"/>
                <w:sz w:val="20"/>
                <w:szCs w:val="20"/>
                <w:lang w:val="en-US" w:eastAsia="zh-CN"/>
              </w:rPr>
              <w:t xml:space="preserve">    </w:t>
            </w:r>
            <w:r>
              <w:rPr>
                <w:rFonts w:ascii="宋体" w:eastAsia="宋体" w:cs="宋体"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rPr>
            </w:pPr>
            <w:r>
              <w:rPr>
                <w:rFonts w:ascii="宋体" w:eastAsia="宋体" w:cs="宋体"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是否政府购买服务</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（是</w:t>
            </w:r>
            <w:r>
              <w:rPr>
                <w:rFonts w:ascii="宋体" w:eastAsia="宋体" w:cs="宋体" w:hint="eastAsia"/>
                <w:kern w:val="0"/>
                <w:sz w:val="20"/>
                <w:szCs w:val="20"/>
                <w:vertAlign w:val="baseline"/>
                <w:lang w:val="en-US" w:eastAsia="zh-CN"/>
              </w:rPr>
              <w:t>/否</w:t>
            </w:r>
            <w:r>
              <w:rPr>
                <w:rFonts w:ascii="宋体" w:eastAsia="宋体" w:cs="宋体"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是否政</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府采购</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（是</w:t>
            </w:r>
            <w:r>
              <w:rPr>
                <w:rFonts w:ascii="宋体" w:eastAsia="宋体" w:cs="宋体" w:hint="eastAsia"/>
                <w:kern w:val="0"/>
                <w:sz w:val="20"/>
                <w:szCs w:val="20"/>
                <w:vertAlign w:val="baseline"/>
                <w:lang w:val="en-US" w:eastAsia="zh-CN"/>
              </w:rPr>
              <w:t>/否</w:t>
            </w:r>
            <w:r>
              <w:rPr>
                <w:rFonts w:ascii="宋体" w:eastAsia="宋体" w:cs="宋体"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eastAsia="zh-CN"/>
              </w:rPr>
              <w:t>单位名称</w:t>
            </w:r>
            <w:r>
              <w:rPr>
                <w:rFonts w:ascii="宋体" w:eastAsia="宋体" w:cs="宋体"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eastAsia="zh-CN"/>
              </w:rPr>
              <w:t>项目名称</w:t>
            </w:r>
            <w:r>
              <w:rPr>
                <w:rFonts w:ascii="宋体" w:eastAsia="宋体" w:cs="宋体"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eastAsia="zh-CN"/>
              </w:rPr>
              <w:t>项目名称</w:t>
            </w:r>
            <w:r>
              <w:rPr>
                <w:rFonts w:ascii="宋体" w:eastAsia="宋体" w:cs="宋体"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eastAsia="zh-CN"/>
              </w:rPr>
              <w:t>单位名称</w:t>
            </w:r>
            <w:r>
              <w:rPr>
                <w:rFonts w:ascii="宋体" w:eastAsia="宋体" w:cs="宋体"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宋体" w:eastAsia="宋体" w:cs="宋体" w:hint="eastAsia"/>
                <w:kern w:val="0"/>
                <w:sz w:val="20"/>
                <w:szCs w:val="20"/>
                <w:vertAlign w:val="baseline"/>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pPr>
    </w:p>
    <w:p>
      <w:pPr>
        <w:ind w:firstLineChars="200" w:firstLine="640"/>
        <w:rPr>
          <w:rFonts w:eastAsia="楷体"/>
        </w:rPr>
      </w:pPr>
    </w:p>
    <w:p>
      <w:pPr>
        <w:ind w:firstLineChars="200" w:firstLine="640"/>
        <w:rPr>
          <w:rFonts w:eastAsia="楷体"/>
        </w:rPr>
      </w:pPr>
    </w:p>
    <w:tbl>
      <w:tblPr>
        <w:jc w:val="left"/>
        <w:tblInd w:w="0" w:type="dxa"/>
        <w:tblW w:w="894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038"/>
        <w:gridCol w:w="789"/>
        <w:gridCol w:w="960"/>
        <w:gridCol w:w="1365"/>
        <w:gridCol w:w="755"/>
        <w:gridCol w:w="1013"/>
        <w:gridCol w:w="1014"/>
        <w:gridCol w:w="840"/>
        <w:gridCol w:w="680"/>
        <w:gridCol w:w="487"/>
      </w:tblGrid>
      <w:tr>
        <w:trPr>
          <w:trHeight w:val="1012"/>
        </w:trPr>
        <w:tc>
          <w:tcPr>
            <w:tcW w:w="8941" w:type="dxa"/>
            <w:gridSpan w:val="10"/>
            <w:tcBorders>
              <w:top w:val="nil"/>
              <w:left w:val="nil"/>
              <w:bottom w:val="single" w:sz="4" w:space="0" w:color="000000"/>
              <w:right w:val="nil"/>
            </w:tcBorders>
            <w:noWrap/>
          </w:tcPr>
          <w:p>
            <w:pPr>
              <w:widowControl/>
              <w:jc w:val="center"/>
              <w:rPr>
                <w:rFonts w:ascii="Calibri" w:eastAsia="方正小标宋简体" w:cs="Times New Roman" w:hAnsi="Calibri"/>
                <w:kern w:val="0"/>
                <w:sz w:val="44"/>
                <w:szCs w:val="44"/>
              </w:rPr>
            </w:pPr>
            <w:r>
              <w:rPr>
                <w:rFonts w:ascii="Calibri" w:eastAsia="方正小标宋简体" w:cs="Times New Roman" w:hAnsi="Calibri" w:hint="eastAsia"/>
                <w:kern w:val="0"/>
                <w:sz w:val="44"/>
                <w:szCs w:val="44"/>
              </w:rPr>
              <w:t>项目支出</w:t>
            </w:r>
            <w:r>
              <w:rPr>
                <w:rFonts w:ascii="Calibri" w:eastAsia="方正小标宋简体" w:cs="Times New Roman" w:hAnsi="Calibri" w:hint="eastAsia"/>
                <w:kern w:val="0"/>
                <w:sz w:val="44"/>
                <w:szCs w:val="44"/>
                <w:lang w:eastAsia="zh-CN"/>
              </w:rPr>
              <w:t>绩效目标</w:t>
            </w:r>
            <w:r>
              <w:rPr>
                <w:rFonts w:ascii="Calibri" w:eastAsia="方正小标宋简体" w:cs="Times New Roman" w:hAnsi="Calibri"/>
                <w:kern w:val="0"/>
                <w:sz w:val="44"/>
                <w:szCs w:val="44"/>
              </w:rPr>
              <w:t>表</w:t>
            </w:r>
          </w:p>
          <w:p>
            <w:pPr>
              <w:spacing w:line="700" w:lineRule="exact"/>
              <w:jc w:val="right"/>
              <w:rPr>
                <w:rFonts w:ascii="Calibri" w:eastAsia="楷体" w:cs="Times New Roman" w:hAnsi="Calibri"/>
                <w:kern w:val="0"/>
                <w:szCs w:val="32"/>
                <w:vertAlign w:val="baseline"/>
              </w:rPr>
            </w:pPr>
            <w:r>
              <w:rPr>
                <w:rFonts w:ascii="宋体" w:eastAsia="宋体" w:cs="宋体" w:hint="eastAsia"/>
                <w:color w:val="000000"/>
                <w:sz w:val="20"/>
                <w:szCs w:val="22"/>
              </w:rPr>
              <w:t>单位：万元</w:t>
            </w:r>
          </w:p>
        </w:tc>
      </w:tr>
      <w:tr>
        <w:trPr>
          <w:trHeight w:val="1071"/>
        </w:trPr>
        <w:tc>
          <w:tcPr>
            <w:tcW w:w="1038"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宋体" w:eastAsia="宋体" w:cs="宋体" w:hint="eastAsia"/>
                <w:kern w:val="0"/>
                <w:sz w:val="20"/>
                <w:szCs w:val="20"/>
                <w:vertAlign w:val="baseline"/>
                <w:lang w:val="en-US" w:eastAsia="zh-CN"/>
              </w:rPr>
            </w:pPr>
            <w:r>
              <w:rPr>
                <w:rFonts w:ascii="宋体" w:eastAsia="宋体" w:cs="宋体" w:hint="eastAsia"/>
                <w:kern w:val="0"/>
                <w:sz w:val="20"/>
                <w:szCs w:val="20"/>
                <w:vertAlign w:val="baseline"/>
                <w:lang w:val="en-US" w:eastAsia="zh-CN"/>
              </w:rPr>
              <w:t>单位名称</w:t>
            </w:r>
          </w:p>
        </w:tc>
        <w:tc>
          <w:tcPr>
            <w:tcW w:w="789"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项目名称</w:t>
            </w:r>
          </w:p>
        </w:tc>
        <w:tc>
          <w:tcPr>
            <w:tcW w:w="96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年度资</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金总额</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（万元）</w:t>
            </w:r>
          </w:p>
        </w:tc>
        <w:tc>
          <w:tcPr>
            <w:tcW w:w="136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年度绩</w:t>
            </w:r>
            <w:r>
              <w:rPr>
                <w:rFonts w:ascii="宋体" w:eastAsia="宋体" w:cs="宋体" w:hint="eastAsia"/>
                <w:kern w:val="0"/>
                <w:sz w:val="20"/>
                <w:szCs w:val="20"/>
                <w:vertAlign w:val="baseline"/>
                <w:lang w:val="en-US" w:eastAsia="zh-CN"/>
              </w:rPr>
              <w:t xml:space="preserve">  </w:t>
            </w:r>
            <w:r>
              <w:rPr>
                <w:rFonts w:ascii="宋体" w:eastAsia="宋体" w:cs="宋体" w:hint="eastAsia"/>
                <w:kern w:val="0"/>
                <w:sz w:val="20"/>
                <w:szCs w:val="20"/>
                <w:vertAlign w:val="baseline"/>
                <w:lang w:eastAsia="zh-CN"/>
              </w:rPr>
              <w:t>效目标</w:t>
            </w:r>
          </w:p>
        </w:tc>
        <w:tc>
          <w:tcPr>
            <w:tcW w:w="755"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一级指标</w:t>
            </w:r>
          </w:p>
        </w:tc>
        <w:tc>
          <w:tcPr>
            <w:tcW w:w="1013"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二级指标</w:t>
            </w:r>
          </w:p>
        </w:tc>
        <w:tc>
          <w:tcPr>
            <w:tcW w:w="1014"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三级指标</w:t>
            </w:r>
          </w:p>
        </w:tc>
        <w:tc>
          <w:tcPr>
            <w:tcW w:w="84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指标解释</w:t>
            </w:r>
          </w:p>
        </w:tc>
        <w:tc>
          <w:tcPr>
            <w:tcW w:w="680"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指标值</w:t>
            </w:r>
          </w:p>
        </w:tc>
        <w:tc>
          <w:tcPr>
            <w:tcW w:w="48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宋体" w:eastAsia="宋体" w:cs="宋体" w:hint="eastAsia"/>
                <w:kern w:val="0"/>
                <w:sz w:val="20"/>
                <w:szCs w:val="20"/>
                <w:vertAlign w:val="baseline"/>
                <w:lang w:eastAsia="zh-CN"/>
              </w:rPr>
            </w:pPr>
            <w:r>
              <w:rPr>
                <w:rFonts w:ascii="宋体" w:eastAsia="宋体" w:cs="宋体" w:hint="eastAsia"/>
                <w:kern w:val="0"/>
                <w:sz w:val="20"/>
                <w:szCs w:val="20"/>
                <w:vertAlign w:val="baseline"/>
                <w:lang w:eastAsia="zh-CN"/>
              </w:rPr>
              <w:t>权重</w:t>
            </w:r>
          </w:p>
        </w:tc>
      </w:tr>
      <w:tr>
        <w:trPr>
          <w:trHeight w:val="1599"/>
        </w:trPr>
        <w:tc>
          <w:tcPr>
            <w:tcW w:w="1038"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农安县统计局</w:t>
            </w:r>
          </w:p>
        </w:tc>
        <w:tc>
          <w:tcPr>
            <w:tcW w:w="789"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第五次全国经济普查经费</w:t>
            </w:r>
          </w:p>
        </w:tc>
        <w:tc>
          <w:tcPr>
            <w:tcW w:w="960"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87.31</w:t>
            </w:r>
          </w:p>
        </w:tc>
        <w:tc>
          <w:tcPr>
            <w:tcW w:w="1365"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left"/>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组建、组织省级综合试点、普查细则制订、普查员选调及培训、普查区划分及电子地图绘制、PDA软件及地图加载、单位清查摸底并形成单位底册、入户登记、数据质量控制及抽查、数据处理、成果发布、普查年鉴编辑和印刷、资料开发应用，公布普查公报，为县域内经济决策提供支撑。</w:t>
            </w: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15"/>
                <w:szCs w:val="15"/>
                <w:vertAlign w:val="baseline"/>
                <w:lang w:eastAsia="zh-CN"/>
              </w:rPr>
            </w:pPr>
            <w:r>
              <w:rPr>
                <w:rFonts w:ascii="宋体" w:eastAsia="宋体" w:cs="宋体" w:hint="eastAsia"/>
                <w:kern w:val="0"/>
                <w:sz w:val="15"/>
                <w:szCs w:val="15"/>
                <w:vertAlign w:val="baseline"/>
                <w:lang w:eastAsia="zh-CN"/>
              </w:rPr>
              <w:t>产出指标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15"/>
                <w:szCs w:val="15"/>
                <w:vertAlign w:val="baseline"/>
                <w:lang w:eastAsia="zh-CN"/>
              </w:rPr>
            </w:pPr>
            <w:r>
              <w:rPr>
                <w:rFonts w:ascii="宋体" w:eastAsia="宋体" w:cs="宋体" w:hint="eastAsia"/>
                <w:kern w:val="0"/>
                <w:sz w:val="15"/>
                <w:szCs w:val="15"/>
                <w:vertAlign w:val="baseline"/>
                <w:lang w:eastAsia="zh-CN"/>
              </w:rPr>
              <w:t>数量指标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普查员、普查指导员补贴发放人数</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反映普查员、普查指导员补贴发放人数。</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&gt;=1000人</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50</w:t>
            </w:r>
          </w:p>
        </w:tc>
      </w:tr>
      <w:tr>
        <w:trPr>
          <w:trHeight w:val="1977"/>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tcBorders>
              <w:top w:val="single" w:sz="4" w:space="0" w:color="auto"/>
              <w:left w:val="single" w:sz="4" w:space="0" w:color="000000"/>
              <w:bottom w:val="single" w:sz="4" w:space="0" w:color="auto"/>
              <w:right w:val="single" w:sz="4" w:space="0" w:color="000000"/>
            </w:tcBorders>
            <w:noWrap/>
            <w:vAlign w:val="center"/>
          </w:tcPr>
          <w:p/>
        </w:tc>
        <w:tc>
          <w:tcPr>
            <w:tcW w:w="960" w:type="dxa"/>
            <w:vMerge/>
            <w:tcBorders>
              <w:top w:val="single" w:sz="4" w:space="0" w:color="auto"/>
              <w:left w:val="single" w:sz="4" w:space="0" w:color="000000"/>
              <w:bottom w:val="single" w:sz="4" w:space="0" w:color="auto"/>
              <w:right w:val="single" w:sz="4" w:space="0" w:color="000000"/>
            </w:tcBorders>
            <w:noWrap/>
            <w:vAlign w:val="center"/>
          </w:tcPr>
          <w:p/>
        </w:tc>
        <w:tc>
          <w:tcPr>
            <w:tcW w:w="1365" w:type="dxa"/>
            <w:vMerge/>
            <w:tcBorders>
              <w:top w:val="single" w:sz="4" w:space="0" w:color="auto"/>
              <w:left w:val="single" w:sz="4" w:space="0" w:color="000000"/>
              <w:bottom w:val="single" w:sz="4" w:space="0" w:color="auto"/>
              <w:right w:val="single" w:sz="4" w:space="0" w:color="000000"/>
            </w:tcBorders>
            <w:noWrap/>
            <w:vAlign w:val="center"/>
          </w:tcPr>
          <w:p/>
        </w:tc>
        <w:tc>
          <w:tcPr>
            <w:tcW w:w="75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效益指标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宋体" w:eastAsia="宋体" w:cs="宋体" w:hint="eastAsia"/>
                <w:kern w:val="0"/>
                <w:sz w:val="15"/>
                <w:szCs w:val="15"/>
                <w:vertAlign w:val="baseline"/>
                <w:lang w:eastAsia="zh-CN"/>
              </w:rPr>
            </w:pPr>
            <w:r>
              <w:rPr>
                <w:rFonts w:ascii="宋体" w:eastAsia="宋体" w:cs="宋体" w:hint="eastAsia"/>
                <w:kern w:val="0"/>
                <w:sz w:val="15"/>
                <w:szCs w:val="15"/>
                <w:vertAlign w:val="baseline"/>
                <w:lang w:eastAsia="zh-CN"/>
              </w:rPr>
              <w:t>社会效益指标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普查员、普查指导员补贴发放覆盖率</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反映普查员、普查指导员补贴发放覆盖率情况。</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=100%</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40</w:t>
            </w:r>
          </w:p>
        </w:tc>
      </w:tr>
      <w:tr>
        <w:trPr>
          <w:trHeight w:val="1189"/>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统计调查经费</w:t>
            </w:r>
          </w:p>
        </w:tc>
        <w:tc>
          <w:tcPr>
            <w:tcW w:w="960"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16.72</w:t>
            </w:r>
          </w:p>
        </w:tc>
        <w:tc>
          <w:tcPr>
            <w:tcW w:w="1365" w:type="dxa"/>
            <w:vMerge w:val="restart"/>
            <w:tcBorders>
              <w:top w:val="single" w:sz="4" w:space="0" w:color="auto"/>
              <w:left w:val="single" w:sz="4" w:space="0" w:color="000000"/>
              <w:bottom w:val="single" w:sz="4" w:space="0" w:color="auto"/>
              <w:right w:val="single" w:sz="4" w:space="0" w:color="000000"/>
            </w:tcBorders>
            <w:noWrap/>
            <w:vAlign w:val="center"/>
          </w:tcPr>
          <w:p>
            <w:pPr>
              <w:keepNext w:val="0"/>
              <w:keepLines w:val="0"/>
              <w:widowControl/>
              <w:suppressLineNumbers w:val="0"/>
              <w:jc w:val="left"/>
              <w:textAlignment w:val="center"/>
              <w:rPr>
                <w:rFonts w:ascii="宋体" w:eastAsia="宋体" w:cs="宋体" w:hint="eastAsia"/>
                <w:kern w:val="0"/>
                <w:sz w:val="15"/>
                <w:szCs w:val="15"/>
                <w:vertAlign w:val="baseline"/>
              </w:rPr>
            </w:pPr>
            <w:r>
              <w:rPr>
                <w:rFonts w:ascii="宋体" w:eastAsia="宋体" w:cs="宋体" w:hint="eastAsia"/>
                <w:i w:val="0"/>
                <w:color w:val="000000"/>
                <w:kern w:val="0"/>
                <w:sz w:val="15"/>
                <w:szCs w:val="15"/>
                <w:u w:val="none"/>
                <w:lang w:val="en-US" w:eastAsia="zh-CN"/>
              </w:rPr>
              <w:t>目标1：按照上级统计部门工作要求，组织实施年度统计调查任务，全年、及时准确地上报各专业统计报表。</w:t>
              <w:br/>
              <w:t>目标2：及时发布统计公报，为社会公众需要和政府决策提供详实的统计数据。</w:t>
              <w:br/>
              <w:t>目标3：把统计法制工作与日常统计工作结合起来，认真履行职责，有效提升依法统计的能力和水平。</w:t>
            </w:r>
          </w:p>
        </w:tc>
        <w:tc>
          <w:tcPr>
            <w:tcW w:w="75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成本指标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lang w:eastAsia="zh-CN"/>
              </w:rPr>
            </w:pPr>
            <w:r>
              <w:rPr>
                <w:rFonts w:ascii="宋体" w:eastAsia="宋体" w:cs="宋体" w:hint="eastAsia"/>
                <w:i w:val="0"/>
                <w:color w:val="000000"/>
                <w:kern w:val="0"/>
                <w:sz w:val="15"/>
                <w:szCs w:val="15"/>
                <w:u w:val="none"/>
                <w:lang w:val="en-US" w:eastAsia="zh-CN"/>
              </w:rPr>
              <w:t>经济成本指标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调查成本</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反映统计调查全部成本</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&lt;=16.72万</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20</w:t>
            </w:r>
          </w:p>
        </w:tc>
      </w:tr>
      <w:tr>
        <w:trPr>
          <w:trHeight w:val="1180"/>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tcBorders>
              <w:top w:val="single" w:sz="4" w:space="0" w:color="auto"/>
              <w:left w:val="single" w:sz="4" w:space="0" w:color="000000"/>
              <w:bottom w:val="single" w:sz="4" w:space="0" w:color="auto"/>
              <w:right w:val="single" w:sz="4" w:space="0" w:color="000000"/>
            </w:tcBorders>
            <w:noWrap/>
            <w:vAlign w:val="center"/>
          </w:tcPr>
          <w:p/>
        </w:tc>
        <w:tc>
          <w:tcPr>
            <w:tcW w:w="960" w:type="dxa"/>
            <w:vMerge/>
            <w:tcBorders>
              <w:top w:val="single" w:sz="4" w:space="0" w:color="auto"/>
              <w:left w:val="single" w:sz="4" w:space="0" w:color="000000"/>
              <w:bottom w:val="single" w:sz="4" w:space="0" w:color="auto"/>
              <w:right w:val="single" w:sz="4" w:space="0" w:color="000000"/>
            </w:tcBorders>
            <w:noWrap/>
            <w:vAlign w:val="center"/>
          </w:tcPr>
          <w:p/>
        </w:tc>
        <w:tc>
          <w:tcPr>
            <w:tcW w:w="1365" w:type="dxa"/>
            <w:vMerge/>
            <w:tcBorders>
              <w:top w:val="single" w:sz="4" w:space="0" w:color="auto"/>
              <w:left w:val="single" w:sz="4" w:space="0" w:color="000000"/>
              <w:bottom w:val="single" w:sz="4" w:space="0" w:color="auto"/>
              <w:right w:val="single" w:sz="4" w:space="0" w:color="000000"/>
            </w:tcBorders>
            <w:noWrap/>
            <w:vAlign w:val="center"/>
          </w:tcPr>
          <w:p/>
        </w:tc>
        <w:tc>
          <w:tcPr>
            <w:tcW w:w="755"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产出指标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lang w:eastAsia="zh-CN"/>
              </w:rPr>
            </w:pPr>
            <w:r>
              <w:rPr>
                <w:rFonts w:ascii="宋体" w:eastAsia="宋体" w:cs="宋体" w:hint="eastAsia"/>
                <w:i w:val="0"/>
                <w:color w:val="000000"/>
                <w:kern w:val="0"/>
                <w:sz w:val="15"/>
                <w:szCs w:val="15"/>
                <w:u w:val="none"/>
                <w:lang w:val="en-US" w:eastAsia="zh-CN"/>
              </w:rPr>
              <w:t>数量指标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统计人员培训人次</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反映统计人员培训的人次情况</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&gt;=100人</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20</w:t>
            </w:r>
          </w:p>
        </w:tc>
      </w:tr>
      <w:tr>
        <w:trPr>
          <w:trHeight w:val="1126"/>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tcBorders>
              <w:top w:val="single" w:sz="4" w:space="0" w:color="auto"/>
              <w:left w:val="single" w:sz="4" w:space="0" w:color="000000"/>
              <w:bottom w:val="single" w:sz="4" w:space="0" w:color="auto"/>
              <w:right w:val="single" w:sz="4" w:space="0" w:color="000000"/>
            </w:tcBorders>
            <w:noWrap/>
            <w:vAlign w:val="center"/>
          </w:tcPr>
          <w:p/>
        </w:tc>
        <w:tc>
          <w:tcPr>
            <w:tcW w:w="960" w:type="dxa"/>
            <w:vMerge/>
            <w:tcBorders>
              <w:top w:val="single" w:sz="4" w:space="0" w:color="auto"/>
              <w:left w:val="single" w:sz="4" w:space="0" w:color="000000"/>
              <w:bottom w:val="single" w:sz="4" w:space="0" w:color="auto"/>
              <w:right w:val="single" w:sz="4" w:space="0" w:color="000000"/>
            </w:tcBorders>
            <w:noWrap/>
            <w:vAlign w:val="center"/>
          </w:tcPr>
          <w:p/>
        </w:tc>
        <w:tc>
          <w:tcPr>
            <w:tcW w:w="1365" w:type="dxa"/>
            <w:vMerge/>
            <w:tcBorders>
              <w:top w:val="single" w:sz="4" w:space="0" w:color="auto"/>
              <w:left w:val="single" w:sz="4" w:space="0" w:color="000000"/>
              <w:bottom w:val="single" w:sz="4" w:space="0" w:color="auto"/>
              <w:right w:val="single" w:sz="4" w:space="0" w:color="000000"/>
            </w:tcBorders>
            <w:noWrap/>
            <w:vAlign w:val="center"/>
          </w:tcPr>
          <w:p/>
        </w:tc>
        <w:tc>
          <w:tcPr>
            <w:tcW w:w="755" w:type="dxa"/>
            <w:vMerge/>
            <w:tcBorders>
              <w:top w:val="single" w:sz="4" w:space="0" w:color="auto"/>
              <w:left w:val="single" w:sz="4" w:space="0" w:color="auto"/>
              <w:bottom w:val="single" w:sz="4" w:space="0" w:color="auto"/>
              <w:right w:val="single" w:sz="4" w:space="0" w:color="auto"/>
            </w:tcBorders>
            <w:noWrap/>
            <w:vAlign w:val="center"/>
          </w:tcPr>
          <w:p/>
        </w:tc>
        <w:tc>
          <w:tcPr>
            <w:tcW w:w="101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lang w:eastAsia="zh-CN"/>
              </w:rPr>
            </w:pPr>
            <w:r>
              <w:rPr>
                <w:rFonts w:ascii="宋体" w:eastAsia="宋体" w:cs="宋体" w:hint="eastAsia"/>
                <w:i w:val="0"/>
                <w:color w:val="000000"/>
                <w:kern w:val="0"/>
                <w:sz w:val="15"/>
                <w:szCs w:val="15"/>
                <w:u w:val="none"/>
                <w:lang w:val="en-US" w:eastAsia="zh-CN"/>
              </w:rPr>
              <w:t>时效指标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培训完成及时率</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反映培训及时完成的情况。</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&gt;=100%</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20</w:t>
            </w:r>
          </w:p>
        </w:tc>
      </w:tr>
      <w:tr>
        <w:trPr>
          <w:trHeight w:val="1033"/>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tcBorders>
              <w:top w:val="single" w:sz="4" w:space="0" w:color="auto"/>
              <w:left w:val="single" w:sz="4" w:space="0" w:color="000000"/>
              <w:bottom w:val="single" w:sz="4" w:space="0" w:color="auto"/>
              <w:right w:val="single" w:sz="4" w:space="0" w:color="000000"/>
            </w:tcBorders>
            <w:noWrap/>
            <w:vAlign w:val="center"/>
          </w:tcPr>
          <w:p/>
        </w:tc>
        <w:tc>
          <w:tcPr>
            <w:tcW w:w="960" w:type="dxa"/>
            <w:vMerge/>
            <w:tcBorders>
              <w:top w:val="single" w:sz="4" w:space="0" w:color="auto"/>
              <w:left w:val="single" w:sz="4" w:space="0" w:color="000000"/>
              <w:bottom w:val="single" w:sz="4" w:space="0" w:color="auto"/>
              <w:right w:val="single" w:sz="4" w:space="0" w:color="000000"/>
            </w:tcBorders>
            <w:noWrap/>
            <w:vAlign w:val="center"/>
          </w:tcPr>
          <w:p/>
        </w:tc>
        <w:tc>
          <w:tcPr>
            <w:tcW w:w="1365" w:type="dxa"/>
            <w:vMerge/>
            <w:tcBorders>
              <w:top w:val="single" w:sz="4" w:space="0" w:color="auto"/>
              <w:left w:val="single" w:sz="4" w:space="0" w:color="000000"/>
              <w:bottom w:val="single" w:sz="4" w:space="0" w:color="auto"/>
              <w:right w:val="single" w:sz="4" w:space="0" w:color="000000"/>
            </w:tcBorders>
            <w:noWrap/>
            <w:vAlign w:val="center"/>
          </w:tcPr>
          <w:p/>
        </w:tc>
        <w:tc>
          <w:tcPr>
            <w:tcW w:w="75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效益指标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lang w:eastAsia="zh-CN"/>
              </w:rPr>
            </w:pPr>
            <w:r>
              <w:rPr>
                <w:rFonts w:ascii="宋体" w:eastAsia="宋体" w:cs="宋体" w:hint="eastAsia"/>
                <w:i w:val="0"/>
                <w:color w:val="000000"/>
                <w:kern w:val="0"/>
                <w:sz w:val="15"/>
                <w:szCs w:val="15"/>
                <w:u w:val="none"/>
                <w:lang w:val="en-US" w:eastAsia="zh-CN"/>
              </w:rPr>
              <w:t>社会效益指标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向社会公众提供数据服务</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向政府各相关部门及社会公众提供数据服务</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&gt;=1次</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20</w:t>
            </w:r>
          </w:p>
        </w:tc>
      </w:tr>
      <w:tr>
        <w:trPr>
          <w:trHeight w:val="1390"/>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89" w:type="dxa"/>
            <w:vMerge/>
            <w:tcBorders>
              <w:top w:val="single" w:sz="4" w:space="0" w:color="auto"/>
              <w:left w:val="single" w:sz="4" w:space="0" w:color="000000"/>
              <w:bottom w:val="single" w:sz="4" w:space="0" w:color="auto"/>
              <w:right w:val="single" w:sz="4" w:space="0" w:color="000000"/>
            </w:tcBorders>
            <w:noWrap/>
            <w:vAlign w:val="center"/>
          </w:tcPr>
          <w:p/>
        </w:tc>
        <w:tc>
          <w:tcPr>
            <w:tcW w:w="960" w:type="dxa"/>
            <w:vMerge/>
            <w:tcBorders>
              <w:top w:val="single" w:sz="4" w:space="0" w:color="auto"/>
              <w:left w:val="single" w:sz="4" w:space="0" w:color="000000"/>
              <w:bottom w:val="single" w:sz="4" w:space="0" w:color="auto"/>
              <w:right w:val="single" w:sz="4" w:space="0" w:color="000000"/>
            </w:tcBorders>
            <w:noWrap/>
            <w:vAlign w:val="center"/>
          </w:tcPr>
          <w:p/>
        </w:tc>
        <w:tc>
          <w:tcPr>
            <w:tcW w:w="1365" w:type="dxa"/>
            <w:vMerge/>
            <w:tcBorders>
              <w:top w:val="single" w:sz="4" w:space="0" w:color="auto"/>
              <w:left w:val="single" w:sz="4" w:space="0" w:color="000000"/>
              <w:bottom w:val="single" w:sz="4" w:space="0" w:color="auto"/>
              <w:right w:val="single" w:sz="4" w:space="0" w:color="000000"/>
            </w:tcBorders>
            <w:noWrap/>
            <w:vAlign w:val="center"/>
          </w:tcPr>
          <w:p/>
        </w:tc>
        <w:tc>
          <w:tcPr>
            <w:tcW w:w="755"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满意度指标</w:t>
            </w:r>
          </w:p>
        </w:tc>
        <w:tc>
          <w:tcPr>
            <w:tcW w:w="1013"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kern w:val="0"/>
                <w:sz w:val="15"/>
                <w:szCs w:val="15"/>
                <w:vertAlign w:val="baseline"/>
                <w:lang w:eastAsia="zh-CN"/>
              </w:rPr>
            </w:pPr>
            <w:r>
              <w:rPr>
                <w:rFonts w:ascii="宋体" w:eastAsia="宋体" w:cs="宋体" w:hint="eastAsia"/>
                <w:i w:val="0"/>
                <w:color w:val="000000"/>
                <w:kern w:val="0"/>
                <w:sz w:val="15"/>
                <w:szCs w:val="15"/>
                <w:u w:val="none"/>
                <w:lang w:val="en-US" w:eastAsia="zh-CN"/>
              </w:rPr>
              <w:t>服务对象满意度指标</w:t>
            </w:r>
          </w:p>
        </w:tc>
        <w:tc>
          <w:tcPr>
            <w:tcW w:w="1014"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数据使用部门满意度</w:t>
            </w:r>
          </w:p>
        </w:tc>
        <w:tc>
          <w:tcPr>
            <w:tcW w:w="84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反映数据使用部门的满意度情况</w:t>
            </w:r>
          </w:p>
        </w:tc>
        <w:tc>
          <w:tcPr>
            <w:tcW w:w="680"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&gt;=90%</w:t>
            </w:r>
          </w:p>
        </w:tc>
        <w:tc>
          <w:tcPr>
            <w:tcW w:w="487" w:type="dxa"/>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int="eastAsia"/>
                <w:i w:val="0"/>
                <w:color w:val="000000"/>
                <w:kern w:val="0"/>
                <w:sz w:val="15"/>
                <w:szCs w:val="15"/>
                <w:u w:val="none"/>
                <w:lang w:val="en-US" w:eastAsia="zh-CN"/>
              </w:rPr>
            </w:pPr>
            <w:r>
              <w:rPr>
                <w:rFonts w:ascii="宋体" w:eastAsia="宋体" w:cs="宋体" w:hint="eastAsia"/>
                <w:i w:val="0"/>
                <w:color w:val="000000"/>
                <w:kern w:val="0"/>
                <w:sz w:val="15"/>
                <w:szCs w:val="15"/>
                <w:u w:val="none"/>
                <w:lang w:val="en-US" w:eastAsia="zh-CN"/>
              </w:rPr>
              <w:t>10</w:t>
            </w:r>
          </w:p>
        </w:tc>
      </w:tr>
    </w:tbl>
    <w:p>
      <w:pPr>
        <w:spacing w:line="700" w:lineRule="exact"/>
        <w:rPr>
          <w:rFonts w:ascii="宋体" w:eastAsia="宋体" w:cs="宋体" w:hint="eastAsia"/>
          <w:kern w:val="0"/>
          <w:sz w:val="13"/>
          <w:szCs w:val="13"/>
        </w:rPr>
      </w:pPr>
    </w:p>
    <w:p>
      <w:pPr>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4</w:t>
      </w:r>
      <w:r>
        <w:rPr>
          <w:rFonts w:eastAsia="黑体"/>
          <w:szCs w:val="32"/>
        </w:rPr>
        <w:t>年收支预算总体情况</w:t>
      </w:r>
    </w:p>
    <w:p>
      <w:pPr>
        <w:ind w:firstLineChars="200" w:firstLine="64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w:t>
      </w:r>
      <w:r>
        <w:rPr>
          <w:rFonts w:hint="eastAsia"/>
          <w:szCs w:val="32"/>
        </w:rPr>
        <w:t>和</w:t>
      </w:r>
      <w:r>
        <w:rPr>
          <w:szCs w:val="32"/>
        </w:rPr>
        <w:t>上年结转</w:t>
      </w:r>
      <w:r>
        <w:rPr>
          <w:rFonts w:hint="eastAsia"/>
          <w:szCs w:val="32"/>
        </w:rPr>
        <w:t>结余</w:t>
      </w:r>
      <w:r>
        <w:rPr>
          <w:szCs w:val="32"/>
        </w:rPr>
        <w:t>；支出包括：一般公共服务支出、社会保障和就业支出、</w:t>
      </w:r>
      <w:r>
        <w:rPr>
          <w:rFonts w:hint="eastAsia"/>
          <w:szCs w:val="32"/>
        </w:rPr>
        <w:t>卫生健康支出</w:t>
      </w:r>
      <w:r>
        <w:rPr>
          <w:rFonts w:hint="eastAsia"/>
          <w:szCs w:val="32"/>
          <w:lang w:eastAsia="zh-CN"/>
        </w:rPr>
        <w:t>、</w:t>
      </w:r>
      <w:r>
        <w:rPr>
          <w:szCs w:val="32"/>
        </w:rPr>
        <w:t>住房保障支出</w:t>
      </w:r>
      <w:r>
        <w:rPr>
          <w:rFonts w:hint="eastAsia"/>
          <w:szCs w:val="32"/>
        </w:rPr>
        <w:t>等</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259.73</w:t>
      </w:r>
      <w:r>
        <w:rPr>
          <w:szCs w:val="32"/>
        </w:rPr>
        <w:t>万元</w:t>
      </w:r>
      <w:r>
        <w:rPr>
          <w:rFonts w:hint="eastAsia"/>
          <w:szCs w:val="32"/>
          <w:lang w:eastAsia="zh-CN"/>
        </w:rPr>
        <w:t>，其中：本年预算</w:t>
      </w:r>
      <w:r>
        <w:rPr>
          <w:rFonts w:hint="eastAsia"/>
          <w:szCs w:val="32"/>
          <w:lang w:val="en-US" w:eastAsia="zh-CN"/>
        </w:rPr>
        <w:t>244.80</w:t>
      </w:r>
      <w:r>
        <w:rPr>
          <w:rFonts w:hint="eastAsia"/>
          <w:szCs w:val="32"/>
          <w:lang w:eastAsia="zh-CN"/>
        </w:rPr>
        <w:t>万元；上年结转</w:t>
      </w:r>
      <w:r>
        <w:rPr>
          <w:rFonts w:hint="eastAsia"/>
          <w:szCs w:val="32"/>
          <w:lang w:val="en-US" w:eastAsia="zh-CN"/>
        </w:rPr>
        <w:t>14.93</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129.00</w:t>
      </w:r>
      <w:r>
        <w:rPr>
          <w:szCs w:val="32"/>
        </w:rPr>
        <w:t>万元，主要原因是</w:t>
      </w:r>
      <w:r>
        <w:rPr>
          <w:rFonts w:hint="eastAsia"/>
          <w:szCs w:val="32"/>
          <w:lang w:val="en-US" w:eastAsia="zh-CN"/>
        </w:rPr>
        <w:t>2024年有第五次全国经济普查项目，项目经费增加87.31万元；同时新晋三名公务员，相关经费有所增加</w:t>
      </w:r>
      <w:r>
        <w:rPr>
          <w:szCs w:val="32"/>
        </w:rPr>
        <w:t>。</w:t>
      </w:r>
    </w:p>
    <w:p>
      <w:pPr>
        <w:ind w:firstLineChars="200" w:firstLine="640"/>
        <w:rPr>
          <w:rFonts w:eastAsia="黑体"/>
          <w:szCs w:val="32"/>
        </w:rPr>
      </w:pPr>
      <w:r>
        <w:rPr>
          <w:rFonts w:eastAsia="黑体"/>
          <w:szCs w:val="32"/>
        </w:rPr>
        <w:t>二、20</w:t>
      </w:r>
      <w:r>
        <w:rPr>
          <w:rFonts w:eastAsia="黑体" w:hint="eastAsia"/>
          <w:szCs w:val="32"/>
        </w:rPr>
        <w:t>2</w:t>
      </w:r>
      <w:r>
        <w:rPr>
          <w:rFonts w:eastAsia="黑体" w:hint="eastAsia"/>
          <w:szCs w:val="32"/>
          <w:lang w:val="en-US" w:eastAsia="zh-CN"/>
        </w:rPr>
        <w:t>4</w:t>
      </w:r>
      <w:r>
        <w:rPr>
          <w:rFonts w:eastAsia="黑体"/>
          <w:szCs w:val="32"/>
        </w:rPr>
        <w:t>年收入预算情况</w:t>
      </w:r>
    </w:p>
    <w:p>
      <w:pPr>
        <w:ind w:firstLineChars="200" w:firstLine="640"/>
        <w:rPr>
          <w:rFonts w:eastAsia="仿宋_GB2312" w:hint="eastAsia"/>
          <w:szCs w:val="30"/>
          <w:lang w:eastAsia="zh-CN"/>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259.73</w:t>
      </w:r>
      <w:r>
        <w:rPr>
          <w:szCs w:val="32"/>
        </w:rPr>
        <w:t>万元，其中：本年收入</w:t>
      </w:r>
      <w:r>
        <w:rPr>
          <w:rFonts w:hint="eastAsia"/>
          <w:szCs w:val="32"/>
          <w:lang w:val="en-US" w:eastAsia="zh-CN"/>
        </w:rPr>
        <w:t>244.80</w:t>
      </w:r>
      <w:r>
        <w:rPr>
          <w:szCs w:val="32"/>
        </w:rPr>
        <w:t>万元，占</w:t>
      </w:r>
      <w:r>
        <w:rPr>
          <w:rFonts w:hint="eastAsia"/>
          <w:szCs w:val="32"/>
          <w:lang w:val="en-US" w:eastAsia="zh-CN"/>
        </w:rPr>
        <w:t>94.25</w:t>
      </w:r>
      <w:r>
        <w:rPr>
          <w:szCs w:val="32"/>
        </w:rPr>
        <w:t>%；上年结转</w:t>
      </w:r>
      <w:r>
        <w:rPr>
          <w:rFonts w:hint="eastAsia"/>
          <w:szCs w:val="32"/>
          <w:lang w:eastAsia="zh-CN"/>
        </w:rPr>
        <w:t>结余</w:t>
      </w:r>
      <w:r>
        <w:rPr>
          <w:rFonts w:hint="eastAsia"/>
          <w:szCs w:val="32"/>
          <w:lang w:val="en-US" w:eastAsia="zh-CN"/>
        </w:rPr>
        <w:t>14.93</w:t>
      </w:r>
      <w:r>
        <w:rPr>
          <w:szCs w:val="32"/>
        </w:rPr>
        <w:t>万元，占</w:t>
      </w:r>
      <w:r>
        <w:rPr>
          <w:rFonts w:hint="eastAsia"/>
          <w:szCs w:val="32"/>
          <w:lang w:val="en-US" w:eastAsia="zh-CN"/>
        </w:rPr>
        <w:t>5.75</w:t>
      </w:r>
      <w:r>
        <w:rPr>
          <w:szCs w:val="32"/>
        </w:rPr>
        <w:t>%。本年收入中，一般公共预算拨款收入</w:t>
      </w:r>
      <w:r>
        <w:rPr>
          <w:rFonts w:hint="eastAsia"/>
          <w:szCs w:val="32"/>
          <w:lang w:val="en-US" w:eastAsia="zh-CN"/>
        </w:rPr>
        <w:t>244.80</w:t>
      </w:r>
      <w:r>
        <w:rPr>
          <w:szCs w:val="32"/>
        </w:rPr>
        <w:t>万元，占</w:t>
      </w:r>
      <w:r>
        <w:rPr>
          <w:rFonts w:hint="eastAsia"/>
          <w:szCs w:val="32"/>
          <w:lang w:val="en-US" w:eastAsia="zh-CN"/>
        </w:rPr>
        <w:t>100</w:t>
      </w:r>
      <w:r>
        <w:rPr>
          <w:szCs w:val="32"/>
        </w:rPr>
        <w:t>%；上年结转</w:t>
      </w:r>
      <w:r>
        <w:rPr>
          <w:rFonts w:hint="eastAsia"/>
          <w:szCs w:val="32"/>
        </w:rPr>
        <w:t>中，一般公共预算拨款结转</w:t>
      </w:r>
      <w:r>
        <w:rPr>
          <w:rFonts w:hint="eastAsia"/>
          <w:szCs w:val="32"/>
          <w:lang w:val="en-US" w:eastAsia="zh-CN"/>
        </w:rPr>
        <w:t>14.93</w:t>
      </w:r>
      <w:r>
        <w:rPr>
          <w:szCs w:val="32"/>
        </w:rPr>
        <w:t>万元，占</w:t>
      </w:r>
      <w:r>
        <w:rPr>
          <w:rFonts w:hint="eastAsia"/>
          <w:szCs w:val="32"/>
          <w:lang w:val="en-US" w:eastAsia="zh-CN"/>
        </w:rPr>
        <w:t>100</w:t>
      </w:r>
      <w:r>
        <w:rPr>
          <w:szCs w:val="32"/>
        </w:rPr>
        <w:t>%</w:t>
      </w:r>
      <w:r>
        <w:rPr>
          <w:rFonts w:hint="eastAsia"/>
          <w:szCs w:val="32"/>
          <w:lang w:eastAsia="zh-CN"/>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4</w:t>
      </w:r>
      <w:r>
        <w:rPr>
          <w:rFonts w:eastAsia="黑体"/>
          <w:szCs w:val="32"/>
        </w:rPr>
        <w:t>年支出预算情况</w:t>
      </w:r>
    </w:p>
    <w:p>
      <w:pPr>
        <w:ind w:firstLineChars="200" w:firstLine="640"/>
        <w:rPr>
          <w:rFonts w:eastAsia="仿宋_GB2312" w:hint="eastAsia"/>
          <w:szCs w:val="32"/>
          <w:lang w:eastAsia="zh-CN"/>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259.73</w:t>
      </w:r>
      <w:r>
        <w:rPr>
          <w:szCs w:val="32"/>
        </w:rPr>
        <w:t>万元，其中：基本支出</w:t>
      </w:r>
      <w:r>
        <w:rPr>
          <w:rFonts w:hint="eastAsia"/>
          <w:szCs w:val="32"/>
          <w:lang w:val="en-US" w:eastAsia="zh-CN"/>
        </w:rPr>
        <w:t>155.70</w:t>
      </w:r>
      <w:r>
        <w:rPr>
          <w:szCs w:val="32"/>
        </w:rPr>
        <w:t>万元，占</w:t>
      </w:r>
      <w:r>
        <w:rPr>
          <w:rFonts w:hint="eastAsia"/>
          <w:szCs w:val="32"/>
          <w:lang w:val="en-US" w:eastAsia="zh-CN"/>
        </w:rPr>
        <w:t>59.95</w:t>
      </w:r>
      <w:r>
        <w:rPr>
          <w:szCs w:val="32"/>
        </w:rPr>
        <w:t>%；项目支出</w:t>
      </w:r>
      <w:r>
        <w:rPr>
          <w:rFonts w:hint="eastAsia"/>
          <w:szCs w:val="32"/>
          <w:lang w:val="en-US" w:eastAsia="zh-CN"/>
        </w:rPr>
        <w:t>104.03</w:t>
      </w:r>
      <w:r>
        <w:rPr>
          <w:szCs w:val="32"/>
        </w:rPr>
        <w:t>万元，占</w:t>
      </w:r>
      <w:r>
        <w:rPr>
          <w:rFonts w:hint="eastAsia"/>
          <w:szCs w:val="32"/>
          <w:lang w:val="en-US" w:eastAsia="zh-CN"/>
        </w:rPr>
        <w:t>40.05</w:t>
      </w:r>
      <w:r>
        <w:rPr>
          <w:szCs w:val="32"/>
        </w:rPr>
        <w:t>%</w:t>
      </w:r>
      <w:r>
        <w:rPr>
          <w:rFonts w:hint="eastAsia"/>
          <w:szCs w:val="32"/>
          <w:lang w:eastAsia="zh-CN"/>
        </w:rPr>
        <w:t>。</w:t>
      </w:r>
    </w:p>
    <w:p>
      <w:pPr>
        <w:ind w:firstLine="600"/>
        <w:rPr>
          <w:rFonts w:eastAsia="黑体"/>
          <w:szCs w:val="32"/>
        </w:rPr>
      </w:pPr>
      <w:r>
        <w:rPr>
          <w:rFonts w:eastAsia="黑体"/>
          <w:szCs w:val="32"/>
        </w:rPr>
        <w:t>四、20</w:t>
      </w:r>
      <w:r>
        <w:rPr>
          <w:rFonts w:eastAsia="黑体" w:hint="eastAsia"/>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259.73</w:t>
      </w:r>
      <w:r>
        <w:rPr>
          <w:szCs w:val="32"/>
        </w:rPr>
        <w:t>万元，其中：</w:t>
      </w:r>
      <w:r>
        <w:rPr>
          <w:rFonts w:hint="eastAsia"/>
          <w:szCs w:val="32"/>
        </w:rPr>
        <w:t>本年</w:t>
      </w:r>
      <w:r>
        <w:rPr>
          <w:rFonts w:hint="eastAsia"/>
          <w:szCs w:val="32"/>
          <w:lang w:eastAsia="zh-CN"/>
        </w:rPr>
        <w:t>预算</w:t>
      </w:r>
      <w:r>
        <w:rPr>
          <w:rFonts w:hint="eastAsia"/>
          <w:szCs w:val="32"/>
          <w:lang w:val="en-US" w:eastAsia="zh-CN"/>
        </w:rPr>
        <w:t>244.80</w:t>
      </w:r>
      <w:r>
        <w:rPr>
          <w:szCs w:val="32"/>
        </w:rPr>
        <w:t>万元</w:t>
      </w:r>
      <w:r>
        <w:rPr>
          <w:rFonts w:hint="eastAsia"/>
          <w:szCs w:val="32"/>
        </w:rPr>
        <w:t>，上年结转</w:t>
      </w:r>
      <w:r>
        <w:rPr>
          <w:rFonts w:hint="eastAsia"/>
          <w:szCs w:val="32"/>
          <w:lang w:val="en-US" w:eastAsia="zh-CN"/>
        </w:rPr>
        <w:t>14.93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215.44</w:t>
      </w:r>
      <w:r>
        <w:rPr>
          <w:szCs w:val="32"/>
        </w:rPr>
        <w:t>万元，</w:t>
      </w:r>
      <w:r>
        <w:rPr>
          <w:kern w:val="0"/>
          <w:szCs w:val="32"/>
        </w:rPr>
        <w:t>社会保障和就业支出</w:t>
      </w:r>
      <w:r>
        <w:rPr>
          <w:rFonts w:hint="eastAsia"/>
          <w:szCs w:val="32"/>
          <w:lang w:val="en-US" w:eastAsia="zh-CN"/>
        </w:rPr>
        <w:t>24.40</w:t>
      </w:r>
      <w:r>
        <w:rPr>
          <w:szCs w:val="32"/>
        </w:rPr>
        <w:t>万元，</w:t>
      </w:r>
      <w:r>
        <w:rPr>
          <w:rFonts w:hint="eastAsia"/>
          <w:szCs w:val="32"/>
          <w:lang w:val="en-US" w:eastAsia="zh-CN"/>
        </w:rPr>
        <w:t>卫生健康支出4.83万元，</w:t>
      </w:r>
      <w:r>
        <w:rPr>
          <w:kern w:val="0"/>
          <w:szCs w:val="32"/>
        </w:rPr>
        <w:t>住房保障支出</w:t>
      </w:r>
      <w:r>
        <w:rPr>
          <w:rFonts w:hint="eastAsia"/>
          <w:szCs w:val="32"/>
          <w:lang w:val="en-US" w:eastAsia="zh-CN"/>
        </w:rPr>
        <w:t>15.06</w:t>
      </w:r>
      <w:r>
        <w:rPr>
          <w:szCs w:val="32"/>
        </w:rPr>
        <w:t>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支出</w:t>
      </w:r>
      <w:r>
        <w:rPr>
          <w:rFonts w:eastAsia="黑体"/>
          <w:szCs w:val="30"/>
        </w:rPr>
        <w:t>情况</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hint="eastAsia"/>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259.73</w:t>
      </w:r>
      <w:r>
        <w:rPr>
          <w:szCs w:val="32"/>
        </w:rPr>
        <w:t>万元，其中：基本支出</w:t>
      </w:r>
      <w:r>
        <w:rPr>
          <w:rFonts w:hint="eastAsia"/>
          <w:szCs w:val="32"/>
          <w:lang w:val="en-US" w:eastAsia="zh-CN"/>
        </w:rPr>
        <w:t>155.70</w:t>
      </w:r>
      <w:r>
        <w:rPr>
          <w:szCs w:val="32"/>
        </w:rPr>
        <w:t>万元，占</w:t>
      </w:r>
      <w:r>
        <w:rPr>
          <w:rFonts w:hint="eastAsia"/>
          <w:szCs w:val="32"/>
          <w:lang w:val="en-US" w:eastAsia="zh-CN"/>
        </w:rPr>
        <w:t>59.95</w:t>
      </w:r>
      <w:r>
        <w:rPr>
          <w:szCs w:val="32"/>
        </w:rPr>
        <w:t>%；项目支出</w:t>
      </w:r>
      <w:r>
        <w:rPr>
          <w:rFonts w:hint="eastAsia"/>
          <w:szCs w:val="32"/>
          <w:lang w:val="en-US" w:eastAsia="zh-CN"/>
        </w:rPr>
        <w:t>104.03</w:t>
      </w:r>
      <w:r>
        <w:rPr>
          <w:szCs w:val="32"/>
        </w:rPr>
        <w:t>万元，占</w:t>
      </w:r>
      <w:r>
        <w:rPr>
          <w:rFonts w:hint="eastAsia"/>
          <w:szCs w:val="32"/>
          <w:lang w:val="en-US" w:eastAsia="zh-CN"/>
        </w:rPr>
        <w:t>40.05</w:t>
      </w:r>
      <w:r>
        <w:rPr>
          <w:szCs w:val="32"/>
        </w:rPr>
        <w:t>%。基本支出中，人员经费</w:t>
      </w:r>
      <w:r>
        <w:rPr>
          <w:rFonts w:hint="eastAsia"/>
          <w:szCs w:val="32"/>
          <w:lang w:val="en-US" w:eastAsia="zh-CN"/>
        </w:rPr>
        <w:t>132.29</w:t>
      </w:r>
      <w:r>
        <w:rPr>
          <w:szCs w:val="32"/>
        </w:rPr>
        <w:t>万元，占</w:t>
      </w:r>
      <w:r>
        <w:rPr>
          <w:rFonts w:hint="eastAsia"/>
          <w:szCs w:val="32"/>
          <w:lang w:val="en-US" w:eastAsia="zh-CN"/>
        </w:rPr>
        <w:t>84.96</w:t>
      </w:r>
      <w:r>
        <w:rPr>
          <w:szCs w:val="32"/>
        </w:rPr>
        <w:t>%；公用经费</w:t>
      </w:r>
      <w:r>
        <w:rPr>
          <w:rFonts w:hint="eastAsia"/>
          <w:szCs w:val="32"/>
          <w:lang w:val="en-US" w:eastAsia="zh-CN"/>
        </w:rPr>
        <w:t>23.41</w:t>
      </w:r>
      <w:r>
        <w:rPr>
          <w:szCs w:val="32"/>
        </w:rPr>
        <w:t>万元，占</w:t>
      </w:r>
      <w:r>
        <w:rPr>
          <w:rFonts w:hint="eastAsia"/>
          <w:szCs w:val="32"/>
          <w:lang w:val="en-US" w:eastAsia="zh-CN"/>
        </w:rPr>
        <w:t>15.04</w:t>
      </w:r>
      <w:r>
        <w:rPr>
          <w:rFonts w:hint="eastAsia"/>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hint="eastAsia"/>
          <w:szCs w:val="32"/>
        </w:rPr>
      </w:pPr>
      <w:r>
        <w:rPr>
          <w:rFonts w:hint="eastAsia"/>
          <w:szCs w:val="32"/>
        </w:rPr>
        <w:t>一般公共服务（类）支出</w:t>
      </w:r>
      <w:r>
        <w:rPr>
          <w:rFonts w:hint="eastAsia"/>
          <w:szCs w:val="32"/>
          <w:lang w:val="en-US" w:eastAsia="zh-CN"/>
        </w:rPr>
        <w:t>215.44</w:t>
      </w:r>
      <w:r>
        <w:rPr>
          <w:rFonts w:hint="eastAsia"/>
          <w:szCs w:val="32"/>
        </w:rPr>
        <w:t>万元，占</w:t>
      </w:r>
      <w:r>
        <w:rPr>
          <w:rFonts w:hint="eastAsia"/>
          <w:szCs w:val="32"/>
          <w:lang w:val="en-US" w:eastAsia="zh-CN"/>
        </w:rPr>
        <w:t>82.95</w:t>
      </w:r>
      <w:r>
        <w:rPr>
          <w:rFonts w:hint="eastAsia"/>
          <w:szCs w:val="32"/>
        </w:rPr>
        <w:t>%，主要用于保障职工工资，维持机关正常运转以及完成年度统计工作。</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hint="eastAsia"/>
          <w:szCs w:val="32"/>
        </w:rPr>
      </w:pPr>
      <w:r>
        <w:rPr>
          <w:rFonts w:hint="eastAsia"/>
          <w:szCs w:val="32"/>
        </w:rPr>
        <w:t>社会保障和就业（类）支出</w:t>
      </w:r>
      <w:r>
        <w:rPr>
          <w:rFonts w:hint="eastAsia"/>
          <w:szCs w:val="32"/>
          <w:lang w:val="en-US" w:eastAsia="zh-CN"/>
        </w:rPr>
        <w:t>24.40</w:t>
      </w:r>
      <w:r>
        <w:rPr>
          <w:rFonts w:hint="eastAsia"/>
          <w:szCs w:val="32"/>
        </w:rPr>
        <w:t>万元，占</w:t>
      </w:r>
      <w:r>
        <w:rPr>
          <w:rFonts w:hint="eastAsia"/>
          <w:szCs w:val="32"/>
          <w:lang w:val="en-US" w:eastAsia="zh-CN"/>
        </w:rPr>
        <w:t>9.39</w:t>
      </w:r>
      <w:r>
        <w:rPr>
          <w:rFonts w:hint="eastAsia"/>
          <w:szCs w:val="32"/>
        </w:rPr>
        <w:t>%，主要用于单位</w:t>
      </w:r>
      <w:r>
        <w:rPr>
          <w:rFonts w:hint="eastAsia"/>
          <w:szCs w:val="32"/>
          <w:lang w:val="en-US" w:eastAsia="zh-CN"/>
        </w:rPr>
        <w:t>退休人员退休费支出和单位</w:t>
      </w:r>
      <w:r>
        <w:rPr>
          <w:rFonts w:hint="eastAsia"/>
          <w:szCs w:val="32"/>
        </w:rPr>
        <w:t>基本养老保险缴费支出。</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hint="eastAsia"/>
          <w:szCs w:val="32"/>
        </w:rPr>
      </w:pPr>
      <w:r>
        <w:rPr>
          <w:rFonts w:hint="eastAsia"/>
          <w:szCs w:val="32"/>
          <w:lang w:val="en-US" w:eastAsia="zh-CN"/>
        </w:rPr>
        <w:t>卫生健康</w:t>
      </w:r>
      <w:r>
        <w:rPr>
          <w:szCs w:val="32"/>
        </w:rPr>
        <w:t>（类）支出</w:t>
      </w:r>
      <w:r>
        <w:rPr>
          <w:rFonts w:hint="eastAsia"/>
          <w:szCs w:val="32"/>
          <w:lang w:val="en-US" w:eastAsia="zh-CN"/>
        </w:rPr>
        <w:t>4.83</w:t>
      </w:r>
      <w:r>
        <w:rPr>
          <w:szCs w:val="32"/>
        </w:rPr>
        <w:t>万元，占</w:t>
      </w:r>
      <w:r>
        <w:rPr>
          <w:rFonts w:hint="eastAsia"/>
          <w:szCs w:val="32"/>
          <w:lang w:val="en-US" w:eastAsia="zh-CN"/>
        </w:rPr>
        <w:t>1.86</w:t>
      </w:r>
      <w:r>
        <w:rPr>
          <w:szCs w:val="32"/>
        </w:rPr>
        <w:t>%，</w:t>
      </w:r>
      <w:r>
        <w:rPr>
          <w:rFonts w:hint="eastAsia"/>
          <w:szCs w:val="32"/>
        </w:rPr>
        <w:t>主要用于缴纳行政单位医疗。</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szCs w:val="32"/>
        </w:rPr>
      </w:pPr>
      <w:r>
        <w:rPr>
          <w:szCs w:val="32"/>
        </w:rPr>
        <w:t>住房保障（类）支出</w:t>
      </w:r>
      <w:r>
        <w:rPr>
          <w:rFonts w:hint="eastAsia"/>
          <w:szCs w:val="32"/>
          <w:lang w:val="en-US" w:eastAsia="zh-CN"/>
        </w:rPr>
        <w:t>15.06</w:t>
      </w:r>
      <w:r>
        <w:rPr>
          <w:szCs w:val="32"/>
        </w:rPr>
        <w:t>万元，占</w:t>
      </w:r>
      <w:r>
        <w:rPr>
          <w:rFonts w:hint="eastAsia"/>
          <w:szCs w:val="32"/>
          <w:lang w:val="en-US" w:eastAsia="zh-CN"/>
        </w:rPr>
        <w:t>5.80</w:t>
      </w:r>
      <w:r>
        <w:rPr>
          <w:szCs w:val="32"/>
        </w:rPr>
        <w:t>%，主要用于</w:t>
      </w:r>
      <w:r>
        <w:rPr>
          <w:rFonts w:hint="eastAsia"/>
          <w:szCs w:val="32"/>
        </w:rPr>
        <w:t>缴纳住房公积金</w:t>
      </w:r>
      <w:r>
        <w:rPr>
          <w:szCs w:val="32"/>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155.70</w:t>
      </w:r>
      <w:r>
        <w:rPr>
          <w:szCs w:val="32"/>
        </w:rPr>
        <w:t>万元，其中：</w:t>
      </w:r>
    </w:p>
    <w:p>
      <w:pPr>
        <w:ind w:firstLineChars="200" w:firstLine="640"/>
        <w:rPr>
          <w:kern w:val="0"/>
          <w:szCs w:val="32"/>
        </w:rPr>
      </w:pPr>
      <w:r>
        <w:rPr>
          <w:szCs w:val="32"/>
        </w:rPr>
        <w:t>人员经费</w:t>
      </w:r>
      <w:r>
        <w:rPr>
          <w:rFonts w:hint="eastAsia"/>
          <w:szCs w:val="32"/>
          <w:lang w:val="en-US" w:eastAsia="zh-CN"/>
        </w:rPr>
        <w:t>132.29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val="en-US" w:eastAsia="zh-CN"/>
        </w:rPr>
        <w:t>机关事业单位基本养老保险缴费</w:t>
      </w:r>
      <w:r>
        <w:rPr>
          <w:szCs w:val="32"/>
        </w:rPr>
        <w:t>、</w:t>
      </w:r>
      <w:r>
        <w:rPr>
          <w:rFonts w:hint="eastAsia"/>
          <w:szCs w:val="32"/>
          <w:lang w:val="en-US" w:eastAsia="zh-CN"/>
        </w:rPr>
        <w:t>职工基本医疗保险缴费、其他社会保障缴费、</w:t>
      </w:r>
      <w:r>
        <w:rPr>
          <w:kern w:val="0"/>
          <w:szCs w:val="32"/>
        </w:rPr>
        <w:t>住房公积金</w:t>
      </w:r>
      <w:r>
        <w:rPr>
          <w:szCs w:val="32"/>
        </w:rPr>
        <w:t>、</w:t>
      </w:r>
      <w:r>
        <w:rPr>
          <w:rFonts w:hint="eastAsia"/>
          <w:szCs w:val="32"/>
          <w:lang w:val="en-US" w:eastAsia="zh-CN"/>
        </w:rPr>
        <w:t>医疗费、其他工资福利支出、</w:t>
      </w:r>
      <w:r>
        <w:rPr>
          <w:rFonts w:hint="eastAsia"/>
          <w:kern w:val="0"/>
          <w:szCs w:val="32"/>
          <w:lang w:val="en-US" w:eastAsia="zh-CN"/>
        </w:rPr>
        <w:t>退休费</w:t>
      </w:r>
      <w:r>
        <w:rPr>
          <w:szCs w:val="32"/>
        </w:rPr>
        <w:t>、</w:t>
      </w:r>
      <w:r>
        <w:rPr>
          <w:kern w:val="0"/>
          <w:szCs w:val="32"/>
        </w:rPr>
        <w:t>其他对个人和家庭的补助。</w:t>
      </w:r>
    </w:p>
    <w:p>
      <w:pPr>
        <w:ind w:firstLineChars="200" w:firstLine="640"/>
        <w:rPr>
          <w:szCs w:val="32"/>
        </w:rPr>
      </w:pPr>
      <w:r>
        <w:rPr>
          <w:kern w:val="0"/>
          <w:szCs w:val="32"/>
        </w:rPr>
        <w:t>公用经费</w:t>
      </w:r>
      <w:r>
        <w:rPr>
          <w:rFonts w:hint="eastAsia"/>
          <w:szCs w:val="32"/>
          <w:lang w:val="en-US" w:eastAsia="zh-CN"/>
        </w:rPr>
        <w:t>23.41</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val="en-US" w:eastAsia="zh-CN"/>
        </w:rPr>
        <w:t>差旅费、会议费、培训费、工会经费、福利费、其他交通费、其他商品和服务支出、办公设备购置</w:t>
      </w:r>
      <w:r>
        <w:rPr>
          <w:rFonts w:hint="eastAsia"/>
          <w:kern w:val="0"/>
          <w:szCs w:val="32"/>
        </w:rPr>
        <w:t>。</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rFonts w:hint="eastAsia"/>
          <w:szCs w:val="32"/>
          <w:lang w:val="en-US" w:eastAsia="zh-CN"/>
        </w:rPr>
      </w:pPr>
      <w:r>
        <w:rPr>
          <w:rFonts w:hint="eastAsia"/>
          <w:szCs w:val="32"/>
          <w:lang w:val="en-US" w:eastAsia="zh-CN"/>
        </w:rPr>
        <w:t>本单位无一般公共预算拨款。</w:t>
      </w:r>
    </w:p>
    <w:p>
      <w:pPr>
        <w:ind w:firstLineChars="200" w:firstLine="640"/>
        <w:rPr>
          <w:rFonts w:eastAsia="黑体"/>
          <w:szCs w:val="32"/>
        </w:rPr>
      </w:pPr>
      <w:r>
        <w:rPr>
          <w:rFonts w:eastAsia="黑体"/>
          <w:szCs w:val="32"/>
        </w:rPr>
        <w:t>八、20</w:t>
      </w:r>
      <w:r>
        <w:rPr>
          <w:rFonts w:eastAsia="黑体" w:hint="eastAsia"/>
          <w:szCs w:val="32"/>
        </w:rPr>
        <w:t>2</w:t>
      </w:r>
      <w:r>
        <w:rPr>
          <w:rFonts w:eastAsia="黑体" w:hint="eastAsia"/>
          <w:szCs w:val="32"/>
          <w:lang w:val="en-US" w:eastAsia="zh-CN"/>
        </w:rPr>
        <w:t>4</w:t>
      </w:r>
      <w:r>
        <w:rPr>
          <w:rFonts w:eastAsia="黑体"/>
          <w:szCs w:val="32"/>
        </w:rPr>
        <w:t>年政府性基金预算支出情况</w:t>
      </w:r>
    </w:p>
    <w:p>
      <w:pPr>
        <w:ind w:firstLine="640"/>
        <w:rPr>
          <w:szCs w:val="32"/>
        </w:rPr>
      </w:pPr>
      <w:r>
        <w:rPr>
          <w:szCs w:val="32"/>
        </w:rPr>
        <w:t>本</w:t>
      </w:r>
      <w:r>
        <w:rPr>
          <w:rFonts w:hint="eastAsia"/>
          <w:szCs w:val="32"/>
        </w:rPr>
        <w:t>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hint="eastAsia"/>
          <w:szCs w:val="32"/>
          <w:lang w:val="en-US" w:eastAsia="zh-CN"/>
        </w:rPr>
        <w:t>4</w:t>
      </w:r>
      <w:r>
        <w:rPr>
          <w:rFonts w:eastAsia="黑体"/>
          <w:szCs w:val="32"/>
        </w:rPr>
        <w:t>年</w:t>
      </w:r>
      <w:r>
        <w:rPr>
          <w:rFonts w:eastAsia="黑体" w:hint="eastAsia"/>
          <w:szCs w:val="32"/>
        </w:rPr>
        <w:t>国有资本经营</w:t>
      </w:r>
      <w:r>
        <w:rPr>
          <w:rFonts w:eastAsia="黑体"/>
          <w:szCs w:val="32"/>
        </w:rPr>
        <w:t>预算支出情况</w:t>
      </w:r>
    </w:p>
    <w:p>
      <w:pPr>
        <w:ind w:firstLine="640"/>
        <w:rPr>
          <w:rFonts w:eastAsia="黑体"/>
          <w:szCs w:val="32"/>
        </w:rPr>
      </w:pPr>
      <w:r>
        <w:rPr>
          <w:szCs w:val="32"/>
        </w:rPr>
        <w:t>本</w:t>
      </w:r>
      <w:r>
        <w:rPr>
          <w:rFonts w:hint="eastAsia"/>
          <w:szCs w:val="32"/>
        </w:rPr>
        <w:t>单位</w:t>
      </w:r>
      <w:r>
        <w:rPr>
          <w:szCs w:val="32"/>
        </w:rPr>
        <w:t>无</w:t>
      </w:r>
      <w:r>
        <w:rPr>
          <w:rFonts w:hint="eastAsia"/>
          <w:szCs w:val="32"/>
        </w:rPr>
        <w:t>国有资本经营</w:t>
      </w:r>
      <w:r>
        <w:rPr>
          <w:szCs w:val="32"/>
        </w:rPr>
        <w:t>预算拨款</w:t>
      </w:r>
      <w:r>
        <w:rPr>
          <w:rFonts w:eastAsia="楷体"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spacing w:line="54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w:t>
      </w:r>
      <w:r>
        <w:rPr>
          <w:szCs w:val="32"/>
        </w:rPr>
        <w:t>机关运行经费财政拨款预算</w:t>
      </w:r>
      <w:r>
        <w:rPr>
          <w:rFonts w:hint="eastAsia"/>
          <w:szCs w:val="32"/>
          <w:lang w:val="en-US" w:eastAsia="zh-CN"/>
        </w:rPr>
        <w:t>23.41</w:t>
      </w:r>
      <w:r>
        <w:rPr>
          <w:szCs w:val="32"/>
        </w:rPr>
        <w:t>万元，比20</w:t>
      </w:r>
      <w:r>
        <w:rPr>
          <w:rFonts w:hint="eastAsia"/>
          <w:szCs w:val="32"/>
        </w:rPr>
        <w:t>2</w:t>
      </w:r>
      <w:r>
        <w:rPr>
          <w:rFonts w:hint="eastAsia"/>
          <w:szCs w:val="32"/>
          <w:lang w:val="en-US" w:eastAsia="zh-CN"/>
        </w:rPr>
        <w:t>3</w:t>
      </w:r>
      <w:r>
        <w:rPr>
          <w:szCs w:val="32"/>
        </w:rPr>
        <w:t>年预算增加</w:t>
      </w:r>
      <w:r>
        <w:rPr>
          <w:rFonts w:hint="eastAsia"/>
          <w:szCs w:val="32"/>
          <w:lang w:val="en-US" w:eastAsia="zh-CN"/>
        </w:rPr>
        <w:t>0.54</w:t>
      </w:r>
      <w:r>
        <w:rPr>
          <w:szCs w:val="32"/>
        </w:rPr>
        <w:t>万元，增长</w:t>
      </w:r>
      <w:r>
        <w:rPr>
          <w:rFonts w:hint="eastAsia"/>
          <w:szCs w:val="32"/>
          <w:lang w:val="en-US" w:eastAsia="zh-CN"/>
        </w:rPr>
        <w:t>2.36</w:t>
      </w:r>
      <w:r>
        <w:rPr>
          <w:szCs w:val="32"/>
        </w:rPr>
        <w:t>%</w:t>
      </w:r>
      <w:r>
        <w:rPr>
          <w:rFonts w:hint="eastAsia"/>
          <w:szCs w:val="32"/>
        </w:rPr>
        <w:t>，主要原因是</w:t>
      </w:r>
      <w:r>
        <w:rPr>
          <w:rFonts w:hint="eastAsia"/>
          <w:szCs w:val="32"/>
          <w:lang w:val="en-US" w:eastAsia="zh-CN"/>
        </w:rPr>
        <w:t>2024年新晋三名公务员，人数较上年有所增加，</w:t>
      </w:r>
      <w:r>
        <w:rPr>
          <w:rFonts w:hint="eastAsia"/>
          <w:szCs w:val="32"/>
        </w:rPr>
        <w:t>核定的公共经费较上年有所</w:t>
      </w:r>
      <w:r>
        <w:rPr>
          <w:rFonts w:hint="eastAsia"/>
          <w:szCs w:val="32"/>
          <w:lang w:val="en-US" w:eastAsia="zh-CN"/>
        </w:rPr>
        <w:t>增加</w:t>
      </w:r>
      <w:r>
        <w:rPr>
          <w:szCs w:val="32"/>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szCs w:val="32"/>
          <w:lang w:val="en-US" w:eastAsia="zh-CN"/>
        </w:rPr>
      </w:pPr>
      <w:r>
        <w:rPr>
          <w:rFonts w:hint="eastAsia"/>
          <w:szCs w:val="32"/>
          <w:lang w:val="en-US" w:eastAsia="zh-CN"/>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104.03</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104.03</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Chars="200" w:firstLine="640"/>
        <w:rPr>
          <w:rFonts w:eastAsia="楷体"/>
          <w:szCs w:val="32"/>
        </w:rPr>
      </w:pPr>
      <w:r>
        <w:rPr>
          <w:rFonts w:eastAsia="楷体" w:hint="eastAsia"/>
          <w:szCs w:val="32"/>
        </w:rPr>
        <w:t>（五）项目支出绩效目标情况说明</w:t>
      </w:r>
    </w:p>
    <w:p>
      <w:pPr>
        <w:ind w:firstLine="645"/>
        <w:rPr>
          <w:rFonts w:eastAsia="楷体"/>
          <w:szCs w:val="32"/>
        </w:rPr>
      </w:pPr>
      <w:r>
        <w:rPr>
          <w:rFonts w:ascii="宋体" w:hAnsi="宋体" w:hint="eastAsia"/>
        </w:rPr>
        <w:t>按照全面实施预算绩效管理的要求，结合本</w:t>
      </w:r>
      <w:r>
        <w:rPr>
          <w:rFonts w:ascii="宋体" w:hAnsi="宋体" w:hint="eastAsia"/>
          <w:lang w:val="en-US" w:eastAsia="zh-CN"/>
        </w:rPr>
        <w:t>单位</w:t>
      </w:r>
      <w:r>
        <w:rPr>
          <w:rFonts w:ascii="宋体" w:hAnsi="宋体" w:hint="eastAsia"/>
        </w:rPr>
        <w:t>职能和重点工作，202</w:t>
      </w:r>
      <w:r>
        <w:rPr>
          <w:rFonts w:ascii="宋体" w:hAnsi="宋体" w:hint="eastAsia"/>
          <w:lang w:val="en-US" w:eastAsia="zh-CN"/>
        </w:rPr>
        <w:t>4</w:t>
      </w:r>
      <w:r>
        <w:rPr>
          <w:rFonts w:ascii="宋体" w:hAnsi="宋体" w:hint="eastAsia"/>
        </w:rPr>
        <w:t>年确定</w:t>
      </w:r>
      <w:r>
        <w:rPr>
          <w:rFonts w:hint="eastAsia"/>
          <w:szCs w:val="32"/>
          <w:lang w:val="en-US" w:eastAsia="zh-CN"/>
        </w:rPr>
        <w:t>2</w:t>
      </w:r>
      <w:r>
        <w:rPr>
          <w:rFonts w:ascii="宋体" w:hAnsi="宋体" w:hint="eastAsia"/>
        </w:rPr>
        <w:t>个一级项目支出的绩效目标和指标向社会公开，涉及金额</w:t>
      </w:r>
      <w:r>
        <w:rPr>
          <w:rFonts w:hint="eastAsia"/>
          <w:szCs w:val="32"/>
          <w:lang w:val="en-US" w:eastAsia="zh-CN"/>
        </w:rPr>
        <w:t>104.03</w:t>
      </w:r>
      <w:r>
        <w:rPr>
          <w:rFonts w:ascii="宋体" w:hAnsi="宋体" w:hint="eastAsia"/>
        </w:rPr>
        <w:t>万元。</w:t>
      </w: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ind w:firstLineChars="200" w:firstLine="640"/>
        <w:rPr>
          <w:szCs w:val="32"/>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w:t>
      </w:r>
      <w:r>
        <w:rPr>
          <w:rFonts w:hint="eastAsia"/>
          <w:szCs w:val="32"/>
          <w:lang w:val="en-US" w:eastAsia="zh-CN"/>
        </w:rPr>
        <w:t>单位</w:t>
      </w:r>
      <w:r>
        <w:rPr>
          <w:rFonts w:hint="eastAsia"/>
          <w:szCs w:val="32"/>
        </w:rPr>
        <w:t>或上级单位取得的非财政拨款补助收入。</w:t>
      </w:r>
    </w:p>
    <w:p>
      <w:pPr>
        <w:ind w:firstLine="640"/>
        <w:rPr>
          <w:rFonts w:hint="eastAsia"/>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rFonts w:hint="eastAsia"/>
          <w:szCs w:val="32"/>
          <w:lang w:val="en-US" w:eastAsia="zh-CN"/>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00" w:usb3="00000000" w:csb0="00040000" w:csb1="00000000"/>
  </w:font>
  <w:font w:name="华文细黑">
    <w:altName w:val="微软雅黑"/>
    <w:panose1 w:val="02010600040101010101"/>
    <w:charset w:val="86"/>
    <w:family w:val="auto"/>
    <w:pitch w:val="variable"/>
    <w:sig w:usb0="00000000" w:usb1="00000000" w:usb2="00000000" w:usb3="00000000" w:csb0="0004009F" w:csb1="DFD7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r>
      <w:rPr>
        <w:sz w:val="1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5334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533400" cy="230251"/>
                      </a:xfrm>
                      <a:prstGeom prst="rect"/>
                      <a:noFill/>
                      <a:ln w="9525"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21 3" o:spid="_x0000_s3" filled="f" stroked="f" style="position:absolute;margin-left:0.0pt;margin-top:0.0pt;width:42.0pt;height:18.130003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v:textbox>
            </v:shape>
          </w:pict>
        </mc:Fallback>
      </mc:AlternateContent>
    </w:r>
  </w:p>
  <w:p>
    <w:pPr>
      <w:pStyle w:val="19"/>
      <w:tabs>
        <w:tab w:val="clear" w:pos="4153"/>
        <w:tab w:val="clear" w:pos="8306"/>
        <w:tab w:val="left" w:pos="5124"/>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round/>
                      </a:ln>
                    </wps:spPr>
                    <wps:txbx id="5">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8 6" o:spid="_x0000_s6" filled="f" stroked="f" style="position:absolute;margin-left:0.0pt;margin-top:0.0pt;width:19.494003pt;height:10.35898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doNotUseIndentAsNumberingTabStop/>
    <w:useAltKinsokuLineBreakRules/>
    <w:compatSetting w:name="compatibilityMode" w:uri="http://schemas.microsoft.com/office/word" w:val="14"/>
  </w:compat>
  <w:docVars>
    <w:docVar w:name="commondata" w:val="eyJoZGlkIjoiODRlMGJmY2I5NmM4ZDMwMzBjZWMwOWMxYmYxNWExYjEifQ=="/>
    <w:docVar w:name="KSO_WPS_MARK_KEY" w:val="5dad5784-bdc4-4f83-9891-0af1e2f2ef04"/>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61"/>
    <w:rPr>
      <w:rFonts w:ascii="宋体" w:eastAsia="宋体" w:cs="宋体"/>
      <w:color w:val="000000"/>
      <w:sz w:val="24"/>
      <w:szCs w:val="24"/>
      <w:u w:val="none"/>
    </w:rPr>
  </w:style>
  <w:style w:type="character" w:customStyle="1" w:styleId="24">
    <w:name w:val="font41"/>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0">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脚 New"/>
    <w:basedOn w:val="0"/>
    <w:pPr>
      <w:tabs>
        <w:tab w:val="center" w:pos="4153"/>
        <w:tab w:val="right" w:pos="8306"/>
      </w:tabs>
      <w:snapToGrid w:val="0"/>
      <w:jc w:val="left"/>
    </w:pPr>
    <w:rPr>
      <w:rFonts w:eastAsia="仿宋_GB2312"/>
      <w:kern w:val="2"/>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w:basedOn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8">
    <w:name w:val="页脚 New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8">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0">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1">
    <w:name w:val="页脚 New New New New New New New"/>
    <w:basedOn w:val="0"/>
    <w:pPr>
      <w:tabs>
        <w:tab w:val="center" w:pos="4153"/>
        <w:tab w:val="right" w:pos="8306"/>
      </w:tabs>
      <w:snapToGrid w:val="0"/>
      <w:jc w:val="left"/>
    </w:pPr>
    <w:rPr>
      <w:rFonts w:eastAsia="仿宋_GB2312"/>
      <w:kern w:val="2"/>
      <w:sz w:val="18"/>
    </w:rPr>
  </w:style>
  <w:style w:type="paragraph" w:customStyle="1" w:styleId="62">
    <w:name w:val="页脚 New New New New"/>
    <w:basedOn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pPr>
      <w:tabs>
        <w:tab w:val="center" w:pos="4153"/>
        <w:tab w:val="right" w:pos="8306"/>
      </w:tabs>
      <w:snapToGrid w:val="0"/>
      <w:jc w:val="left"/>
    </w:pPr>
    <w:rPr>
      <w:rFonts w:eastAsia="仿宋_GB2312"/>
      <w:kern w:val="2"/>
      <w:sz w:val="18"/>
    </w:rPr>
  </w:style>
  <w:style w:type="paragraph" w:customStyle="1" w:styleId="69">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pPr>
      <w:adjustRightInd w:val="0"/>
      <w:ind w:firstLine="630"/>
      <w:jc w:val="left"/>
      <w:textAlignment w:val="baseline"/>
    </w:pPr>
    <w:rPr>
      <w:rFonts w:eastAsia="黑体"/>
    </w:rPr>
  </w:style>
  <w:style w:type="paragraph" w:customStyle="1" w:styleId="71">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Char"/>
    <w:basedOn w:val="0"/>
    <w:rPr>
      <w:rFonts w:eastAsia="宋体"/>
      <w:sz w:val="21"/>
      <w:szCs w:val="21"/>
    </w:rPr>
  </w:style>
  <w:style w:type="paragraph" w:customStyle="1" w:styleId="88">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Yozo_Office27021597764231179</Application>
  <Pages>23</Pages>
  <Words>5727</Words>
  <Characters>6983</Characters>
  <Lines>1567</Lines>
  <Paragraphs>624</Paragraphs>
  <CharactersWithSpaces>7573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2024-01-23T03:39:00Z</cp:lastPrinted>
  <dcterms:created xsi:type="dcterms:W3CDTF">2022-02-20T09:24:00Z</dcterms:created>
  <dcterms:modified xsi:type="dcterms:W3CDTF">2024-02-26T02:38:51Z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y fmtid="{D5CDD505-2E9C-101B-9397-08002B2CF9AE}" pid="3" name="ICV">
    <vt:lpwstr>2778DE0D3D1747E5A61F757C22D63E49_13</vt:lpwstr>
  </property>
</Properties>
</file>