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宋体" w:eastAsia="宋体" w:cs="宋体" w:hint="eastAsia"/>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hint="eastAsia"/>
          <w:sz w:val="44"/>
          <w:szCs w:val="44"/>
          <w:u w:val="none"/>
          <w:lang w:eastAsia="zh-CN"/>
        </w:rPr>
      </w:pPr>
      <w:r>
        <w:rPr>
          <w:rFonts w:eastAsia="方正小标宋简体" w:hint="eastAsia"/>
          <w:sz w:val="44"/>
          <w:szCs w:val="44"/>
          <w:u w:val="none"/>
          <w:lang w:eastAsia="zh-CN"/>
        </w:rPr>
        <w:t>榆树市统计局</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4</w:t>
      </w:r>
      <w:r>
        <w:rPr>
          <w:rFonts w:eastAsia="方正小标宋简体"/>
          <w:sz w:val="44"/>
          <w:szCs w:val="44"/>
        </w:rPr>
        <w:t>年</w:t>
      </w:r>
      <w:r>
        <w:rPr>
          <w:rFonts w:eastAsia="方正小标宋简体" w:hint="eastAsia"/>
          <w:sz w:val="44"/>
          <w:szCs w:val="44"/>
          <w:lang w:eastAsia="zh-CN"/>
        </w:rPr>
        <w:t>单位</w:t>
      </w:r>
      <w:r>
        <w:rPr>
          <w:rFonts w:eastAsia="方正小标宋简体"/>
          <w:sz w:val="44"/>
          <w:szCs w:val="44"/>
        </w:rPr>
        <w:t>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pPr>
      <w:r>
        <w:rPr>
          <w:rFonts w:eastAsia="华文细黑"/>
        </w:rPr>
        <w:t>二〇二</w:t>
      </w:r>
      <w:r>
        <w:rPr>
          <w:rFonts w:eastAsia="华文细黑" w:hint="eastAsia"/>
          <w:lang w:eastAsia="zh-CN"/>
        </w:rPr>
        <w:t>四</w:t>
      </w:r>
      <w:r>
        <w:rPr>
          <w:rFonts w:eastAsia="华文细黑"/>
        </w:rPr>
        <w:t>年</w:t>
      </w:r>
      <w:r>
        <w:rPr>
          <w:rFonts w:eastAsia="华文细黑" w:hint="eastAsia"/>
          <w:lang w:val="en-US" w:eastAsia="zh-CN"/>
        </w:rPr>
        <w:t>二</w:t>
      </w:r>
      <w:r>
        <w:rPr>
          <w:rFonts w:eastAsia="华文细黑"/>
        </w:rPr>
        <w:t>月</w:t>
      </w:r>
      <w:r>
        <w:rPr>
          <w:rFonts w:eastAsia="华文细黑" w:hint="eastAsia"/>
          <w:lang w:val="en-US" w:eastAsia="zh-CN"/>
        </w:rPr>
        <w:t>二十六</w:t>
      </w:r>
      <w:r>
        <w:rPr>
          <w:rFonts w:eastAsia="华文细黑"/>
        </w:rPr>
        <w:t>日</w:t>
      </w:r>
    </w:p>
    <w:p>
      <w:pPr>
        <w:rPr>
          <w:rFonts w:eastAsia="黑体"/>
        </w:rPr>
      </w:pPr>
    </w:p>
    <w:p>
      <w:pPr>
        <w:ind w:firstLineChars="200" w:firstLine="640"/>
        <w:rPr>
          <w:rFonts w:eastAsia="黑体"/>
        </w:rPr>
      </w:pPr>
    </w:p>
    <w:p>
      <w:pPr>
        <w:ind w:firstLineChars="200" w:firstLine="640"/>
        <w:rPr>
          <w:rFonts w:eastAsia="黑体"/>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p>
    <w:p>
      <w:pPr>
        <w:ind w:firstLineChars="200" w:firstLine="64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eastAsia="黑体" w:hint="eastAsia"/>
          <w:lang w:eastAsia="zh-CN"/>
        </w:rPr>
        <w:t>单位</w:t>
      </w:r>
      <w:r>
        <w:rPr>
          <w:rFonts w:eastAsia="黑体"/>
        </w:rPr>
        <w:t>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jc w:val="center"/>
        <w:rPr>
          <w:rFonts w:eastAsia="黑体"/>
        </w:rPr>
      </w:pPr>
      <w:r>
        <w:rPr>
          <w:rFonts w:eastAsia="黑体"/>
        </w:rPr>
        <w:t xml:space="preserve">第一部分 </w:t>
      </w:r>
      <w:r>
        <w:rPr>
          <w:rFonts w:eastAsia="黑体" w:hint="eastAsia"/>
          <w:lang w:eastAsia="zh-CN"/>
        </w:rPr>
        <w:t>单位</w:t>
      </w:r>
      <w:r>
        <w:rPr>
          <w:rFonts w:eastAsia="黑体"/>
        </w:rPr>
        <w:t>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（一）</w:t>
      </w:r>
      <w:r>
        <w:rPr>
          <w:rFonts w:eastAsia="仿宋_GB2312" w:hint="eastAsia"/>
          <w:kern w:val="0"/>
          <w:sz w:val="32"/>
          <w:szCs w:val="32"/>
          <w:lang w:val="en-US" w:eastAsia="zh-CN" w:bidi="ar-SA"/>
        </w:rPr>
        <w:t>贯彻执行国家和省、市统计方针、政策以及法律、法规，制定全市统计规划及全市统计调查计划，起草地方性统计法规和市政府规章草案；监督检查统计法律、法规的实施。组织领导全市统计工作，承担确保统计数据真实、准确、及时的责任。</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（二）</w:t>
      </w:r>
      <w:r>
        <w:rPr>
          <w:rFonts w:eastAsia="仿宋_GB2312" w:hint="eastAsia"/>
          <w:kern w:val="0"/>
          <w:sz w:val="32"/>
          <w:szCs w:val="32"/>
          <w:lang w:val="en-US" w:eastAsia="zh-CN" w:bidi="ar-SA"/>
        </w:rPr>
        <w:t>根据国家统一的基本统计制度，建立健全全市国民经济核算体系和统计指标体系，贯彻执行全省统一的基本统计报表制度和统计标准；汇编提供全市国民经济核算资料。</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（三）</w:t>
      </w:r>
      <w:r>
        <w:rPr>
          <w:rFonts w:eastAsia="仿宋_GB2312" w:hint="eastAsia"/>
          <w:kern w:val="0"/>
          <w:sz w:val="32"/>
          <w:szCs w:val="32"/>
          <w:lang w:val="en-US" w:eastAsia="zh-CN" w:bidi="ar-SA"/>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（四）</w:t>
      </w:r>
      <w:r>
        <w:rPr>
          <w:rFonts w:eastAsia="仿宋_GB2312" w:hint="eastAsia"/>
          <w:kern w:val="0"/>
          <w:sz w:val="32"/>
          <w:szCs w:val="32"/>
          <w:lang w:val="en-US" w:eastAsia="zh-CN" w:bidi="ar-SA"/>
        </w:rPr>
        <w:t>统一核定、管理、公布全市基本统计资料，定期向社会公布全市国民经济和社会发展情况的统计信息。</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（五）</w:t>
      </w:r>
      <w:r>
        <w:rPr>
          <w:rFonts w:eastAsia="仿宋_GB2312" w:hint="eastAsia"/>
          <w:kern w:val="0"/>
          <w:sz w:val="32"/>
          <w:szCs w:val="32"/>
          <w:lang w:val="en-US" w:eastAsia="zh-CN" w:bidi="ar-SA"/>
        </w:rPr>
        <w:t>建立、完善和管理全市统计信息自动化系统和全市统计数据库体系。</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（六）</w:t>
      </w:r>
      <w:r>
        <w:rPr>
          <w:rFonts w:eastAsia="仿宋_GB2312" w:hint="eastAsia"/>
          <w:kern w:val="0"/>
          <w:sz w:val="32"/>
          <w:szCs w:val="32"/>
          <w:lang w:val="en-US" w:eastAsia="zh-CN" w:bidi="ar-SA"/>
        </w:rPr>
        <w:t>负责全市统计系统的干部人事、劳动工资、机构编制和财务经费、审计监督及资产设施管理。</w:t>
      </w:r>
    </w:p>
    <w:p>
      <w:pPr>
        <w:ind w:firstLineChars="200" w:firstLine="640"/>
        <w:rPr>
          <w:rFonts w:eastAsia="仿宋_GB2312" w:hint="eastAsia"/>
          <w:kern w:val="0"/>
          <w:sz w:val="32"/>
          <w:szCs w:val="32"/>
          <w:lang w:val="en-US" w:eastAsia="zh-CN" w:bidi="ar-SA"/>
        </w:rPr>
      </w:pPr>
      <w:r>
        <w:rPr>
          <w:rFonts w:hint="eastAsia"/>
          <w:kern w:val="0"/>
          <w:sz w:val="32"/>
          <w:szCs w:val="32"/>
          <w:lang w:val="en-US" w:eastAsia="zh-CN" w:bidi="ar-SA"/>
        </w:rPr>
        <w:t>（七）</w:t>
      </w:r>
      <w:r>
        <w:rPr>
          <w:rFonts w:eastAsia="仿宋_GB2312" w:hint="eastAsia"/>
          <w:kern w:val="0"/>
          <w:sz w:val="32"/>
          <w:szCs w:val="32"/>
          <w:lang w:val="en-US" w:eastAsia="zh-CN" w:bidi="ar-SA"/>
        </w:rPr>
        <w:t>领导局属事业单位。</w:t>
      </w:r>
    </w:p>
    <w:p>
      <w:pPr>
        <w:ind w:firstLineChars="200" w:firstLine="640"/>
        <w:rPr>
          <w:color w:val="000000"/>
          <w:sz w:val="21"/>
          <w:szCs w:val="21"/>
        </w:rPr>
      </w:pPr>
      <w:r>
        <w:rPr>
          <w:rFonts w:hint="eastAsia"/>
          <w:kern w:val="0"/>
          <w:sz w:val="32"/>
          <w:szCs w:val="32"/>
          <w:lang w:val="en-US" w:eastAsia="zh-CN" w:bidi="ar-SA"/>
        </w:rPr>
        <w:t>（八）</w:t>
      </w:r>
      <w:r>
        <w:rPr>
          <w:rFonts w:eastAsia="仿宋_GB2312" w:hint="eastAsia"/>
          <w:kern w:val="0"/>
          <w:sz w:val="32"/>
          <w:szCs w:val="32"/>
          <w:lang w:val="en-US" w:eastAsia="zh-CN" w:bidi="ar-SA"/>
        </w:rPr>
        <w:t>承办长春市统计局和榆树市政府交办的其他事项。</w:t>
      </w:r>
    </w:p>
    <w:p>
      <w:pPr>
        <w:ind w:firstLineChars="200" w:firstLine="640"/>
      </w:pPr>
      <w:r>
        <w:rPr>
          <w:rFonts w:eastAsia="楷体_GB2312"/>
        </w:rPr>
        <w:t>二、机构设置</w:t>
      </w:r>
    </w:p>
    <w:p>
      <w:pPr>
        <w:pStyle w:val="56"/>
        <w:ind w:firstLineChars="200" w:firstLine="640"/>
        <w:rPr>
          <w:rFonts w:eastAsia="仿宋_GB2312" w:hint="eastAsia"/>
          <w:kern w:val="0"/>
          <w:sz w:val="32"/>
          <w:szCs w:val="32"/>
          <w:lang w:val="en-US" w:eastAsia="zh-CN" w:bidi="ar-SA"/>
        </w:rPr>
      </w:pPr>
      <w:r>
        <w:rPr>
          <w:rFonts w:eastAsia="仿宋_GB2312"/>
        </w:rPr>
        <w:t>根据上述职责，</w:t>
      </w:r>
      <w:r>
        <w:rPr>
          <w:rFonts w:eastAsia="仿宋_GB2312" w:hint="eastAsia"/>
          <w:u w:val="none"/>
          <w:lang w:eastAsia="zh-CN"/>
        </w:rPr>
        <w:t>榆树市统计局</w:t>
      </w:r>
      <w:r>
        <w:rPr>
          <w:rFonts w:eastAsia="仿宋_GB2312"/>
        </w:rPr>
        <w:t>内设</w:t>
      </w:r>
      <w:r>
        <w:rPr>
          <w:rFonts w:eastAsia="仿宋_GB2312" w:hint="eastAsia"/>
          <w:u w:val="none"/>
          <w:lang w:val="en-US" w:eastAsia="zh-CN"/>
        </w:rPr>
        <w:t>3</w:t>
      </w:r>
      <w:r>
        <w:rPr>
          <w:rFonts w:eastAsia="仿宋_GB2312"/>
        </w:rPr>
        <w:t>个机构，分别为</w:t>
      </w:r>
      <w:r>
        <w:rPr>
          <w:rFonts w:eastAsia="仿宋_GB2312" w:hint="eastAsia"/>
          <w:kern w:val="0"/>
          <w:sz w:val="32"/>
          <w:szCs w:val="32"/>
          <w:lang w:val="en-US" w:eastAsia="zh-CN" w:bidi="ar-SA"/>
        </w:rPr>
        <w:t>办公室、综合统计科、社会经济统计科。</w:t>
      </w:r>
    </w:p>
    <w:p>
      <w:pPr>
        <w:pStyle w:val="56"/>
        <w:ind w:firstLineChars="200" w:firstLine="640"/>
        <w:rPr>
          <w:rFonts w:eastAsia="仿宋_GB2312"/>
        </w:rPr>
      </w:pPr>
      <w:r>
        <w:rPr>
          <w:rFonts w:eastAsia="仿宋_GB2312" w:hint="eastAsia"/>
          <w:kern w:val="0"/>
          <w:sz w:val="32"/>
          <w:szCs w:val="32"/>
          <w:lang w:val="en-US" w:eastAsia="zh-CN" w:bidi="ar-SA"/>
        </w:rPr>
        <w:t>本单位无下设预算单位。</w:t>
      </w:r>
    </w:p>
    <w:p>
      <w:pPr>
        <w:pStyle w:val="56"/>
        <w:ind w:firstLineChars="200" w:firstLine="640"/>
        <w:rPr>
          <w:rFonts w:eastAsia="仿宋_GB2312"/>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hint="eastAsia"/>
        </w:rPr>
      </w:pPr>
    </w:p>
    <w:p>
      <w:pPr>
        <w:pStyle w:val="56"/>
        <w:ind w:firstLineChars="200" w:firstLine="640"/>
        <w:rPr>
          <w:rFonts w:eastAsia="黑体"/>
        </w:rPr>
      </w:pPr>
      <w:r>
        <w:rPr>
          <w:rFonts w:eastAsia="楷体" w:hint="eastAsia"/>
        </w:rPr>
        <w:br w:type="page"/>
      </w: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320.54</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302.27</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lang w:val="en-US" w:eastAsia="zh-CN"/>
              </w:rPr>
            </w:pPr>
            <w:r>
              <w:rPr>
                <w:rFonts w:eastAsia="宋体" w:hint="eastAsia"/>
                <w:kern w:val="0"/>
                <w:sz w:val="20"/>
                <w:lang w:val="en-US" w:eastAsia="zh-CN"/>
              </w:rPr>
              <w:t>18.27</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hint="eastAsia"/>
                <w:color w:val="000000"/>
                <w:kern w:val="0"/>
                <w:sz w:val="20"/>
                <w:lang w:eastAsia="zh-CN"/>
              </w:rPr>
            </w:pPr>
            <w:r>
              <w:rPr>
                <w:rFonts w:eastAsia="宋体"/>
                <w:color w:val="000000"/>
                <w:kern w:val="0"/>
                <w:sz w:val="20"/>
              </w:rPr>
              <w:t>一、一般公共服务</w:t>
            </w:r>
            <w:r>
              <w:rPr>
                <w:rFonts w:eastAsia="宋体" w:hint="eastAsia"/>
                <w:color w:val="000000"/>
                <w:kern w:val="0"/>
                <w:sz w:val="20"/>
                <w:lang w:eastAsia="zh-CN"/>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268.14</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253.14</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15.00</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302.27</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lang w:val="en-US" w:eastAsia="zh-CN"/>
              </w:rPr>
              <w:t>18.27</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hint="eastAsia"/>
                <w:color w:val="000000"/>
                <w:kern w:val="0"/>
                <w:sz w:val="20"/>
                <w:lang w:eastAsia="zh-CN"/>
              </w:rPr>
            </w:pPr>
            <w:r>
              <w:rPr>
                <w:rFonts w:eastAsia="宋体"/>
                <w:color w:val="000000"/>
                <w:sz w:val="20"/>
              </w:rPr>
              <w:t>二、</w:t>
            </w:r>
            <w:r>
              <w:rPr>
                <w:rFonts w:eastAsia="宋体" w:hint="eastAsia"/>
                <w:color w:val="000000"/>
                <w:sz w:val="20"/>
                <w:lang w:eastAsia="zh-CN"/>
              </w:rPr>
              <w:t>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lang w:val="en-US" w:eastAsia="zh-CN"/>
              </w:rPr>
            </w:pPr>
            <w:r>
              <w:rPr>
                <w:rFonts w:eastAsia="宋体" w:hint="eastAsia"/>
                <w:color w:val="000000"/>
                <w:kern w:val="0"/>
                <w:sz w:val="20"/>
                <w:lang w:val="en-US" w:eastAsia="zh-CN"/>
              </w:rPr>
              <w:t>27.51</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25.71</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1.80</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hint="eastAsia"/>
                <w:color w:val="000000"/>
                <w:kern w:val="0"/>
                <w:sz w:val="20"/>
                <w:lang w:eastAsia="zh-CN"/>
              </w:rPr>
            </w:pPr>
            <w:r>
              <w:rPr>
                <w:rFonts w:eastAsia="宋体"/>
                <w:color w:val="000000"/>
                <w:sz w:val="20"/>
              </w:rPr>
              <w:t>三、</w:t>
            </w:r>
            <w:r>
              <w:rPr>
                <w:rFonts w:eastAsia="宋体" w:hint="eastAsia"/>
                <w:color w:val="000000"/>
                <w:sz w:val="20"/>
                <w:lang w:eastAsia="zh-CN"/>
              </w:rPr>
              <w:t>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lang w:val="en-US" w:eastAsia="zh-CN"/>
              </w:rPr>
            </w:pPr>
            <w:r>
              <w:rPr>
                <w:rFonts w:eastAsia="宋体" w:hint="eastAsia"/>
                <w:color w:val="000000"/>
                <w:kern w:val="0"/>
                <w:sz w:val="20"/>
                <w:lang w:val="en-US" w:eastAsia="zh-CN"/>
              </w:rPr>
              <w:t>6.72</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6.63</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0.09</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hint="eastAsia"/>
                <w:color w:val="000000"/>
                <w:kern w:val="0"/>
                <w:sz w:val="20"/>
                <w:lang w:eastAsia="zh-CN"/>
              </w:rPr>
            </w:pPr>
            <w:r>
              <w:rPr>
                <w:rFonts w:eastAsia="宋体" w:hint="eastAsia"/>
                <w:color w:val="000000"/>
                <w:kern w:val="0"/>
                <w:sz w:val="20"/>
                <w:lang w:eastAsia="zh-CN"/>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right"/>
              <w:textAlignment w:val="center"/>
              <w:rPr>
                <w:rFonts w:eastAsia="宋体"/>
                <w:color w:val="000000"/>
                <w:kern w:val="0"/>
                <w:sz w:val="20"/>
                <w:lang w:val="en-US" w:eastAsia="zh-CN"/>
              </w:rPr>
            </w:pPr>
            <w:r>
              <w:rPr>
                <w:rFonts w:eastAsia="宋体" w:hint="eastAsia"/>
                <w:color w:val="000000"/>
                <w:kern w:val="0"/>
                <w:sz w:val="20"/>
                <w:lang w:val="en-US" w:eastAsia="zh-CN"/>
              </w:rPr>
              <w:t>18.16</w:t>
            </w: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16.79</w:t>
            </w: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1.37</w:t>
            </w: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right"/>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right"/>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302.27</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lang w:val="en-US" w:eastAsia="zh-CN"/>
              </w:rPr>
              <w:t>18.27</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b/>
                <w:bCs/>
                <w:kern w:val="0"/>
                <w:sz w:val="20"/>
              </w:rPr>
            </w:pPr>
            <w:r>
              <w:rPr>
                <w:rFonts w:eastAsia="宋体" w:hint="eastAsia"/>
                <w:kern w:val="0"/>
                <w:sz w:val="20"/>
                <w:lang w:val="en-US" w:eastAsia="zh-CN"/>
              </w:rPr>
              <w:t>320.54</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302.27</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18.27</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p>
        </w:tc>
        <w:tc>
          <w:tcPr>
            <w:tcW w:w="984"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302.27</w:t>
            </w:r>
          </w:p>
        </w:tc>
        <w:tc>
          <w:tcPr>
            <w:tcW w:w="1134" w:type="dxa"/>
            <w:tcBorders>
              <w:top w:val="nil"/>
              <w:left w:val="single" w:sz="4" w:space="0" w:color="auto"/>
              <w:bottom w:val="single" w:sz="4" w:space="0" w:color="auto"/>
              <w:right w:val="nil"/>
            </w:tcBorders>
            <w:noWrap/>
            <w:vAlign w:val="center"/>
          </w:tcPr>
          <w:p>
            <w:pPr>
              <w:widowControl/>
              <w:jc w:val="right"/>
              <w:rPr>
                <w:rFonts w:eastAsia="宋体"/>
                <w:kern w:val="0"/>
                <w:sz w:val="20"/>
              </w:rPr>
            </w:pPr>
            <w:r>
              <w:rPr>
                <w:rFonts w:eastAsia="宋体" w:hint="eastAsia"/>
                <w:kern w:val="0"/>
                <w:sz w:val="20"/>
                <w:lang w:val="en-US" w:eastAsia="zh-CN"/>
              </w:rPr>
              <w:t>18.27</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p>
        </w:tc>
        <w:tc>
          <w:tcPr>
            <w:tcW w:w="1182" w:type="dxa"/>
            <w:gridSpan w:val="2"/>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302.27</w:t>
            </w:r>
          </w:p>
        </w:tc>
        <w:tc>
          <w:tcPr>
            <w:tcW w:w="1158" w:type="dxa"/>
            <w:tcBorders>
              <w:top w:val="nil"/>
              <w:left w:val="nil"/>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18.27</w:t>
            </w: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980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28"/>
        <w:gridCol w:w="853"/>
        <w:gridCol w:w="800"/>
        <w:gridCol w:w="800"/>
        <w:gridCol w:w="347"/>
        <w:gridCol w:w="347"/>
        <w:gridCol w:w="453"/>
        <w:gridCol w:w="347"/>
        <w:gridCol w:w="178"/>
        <w:gridCol w:w="155"/>
        <w:gridCol w:w="333"/>
        <w:gridCol w:w="387"/>
        <w:gridCol w:w="119"/>
        <w:gridCol w:w="169"/>
        <w:gridCol w:w="329"/>
        <w:gridCol w:w="410"/>
        <w:gridCol w:w="739"/>
        <w:gridCol w:w="236"/>
        <w:gridCol w:w="145"/>
        <w:gridCol w:w="413"/>
        <w:gridCol w:w="387"/>
        <w:gridCol w:w="337"/>
        <w:gridCol w:w="390"/>
      </w:tblGrid>
      <w:tr>
        <w:trPr>
          <w:trHeight w:val="335"/>
        </w:trPr>
        <w:tc>
          <w:tcPr>
            <w:tcW w:w="1128" w:type="dxa"/>
            <w:tcBorders>
              <w:top w:val="nil"/>
              <w:left w:val="nil"/>
              <w:bottom w:val="single" w:sz="4" w:space="0" w:color="000000"/>
              <w:right w:val="nil"/>
            </w:tcBorders>
            <w:noWrap/>
          </w:tcPr>
          <w:p>
            <w:pPr>
              <w:autoSpaceDN w:val="0"/>
              <w:jc w:val="left"/>
              <w:textAlignment w:val="center"/>
              <w:rPr>
                <w:rFonts w:eastAsia="华文细黑"/>
                <w:color w:val="000000"/>
                <w:sz w:val="20"/>
              </w:rPr>
            </w:pPr>
          </w:p>
        </w:tc>
        <w:tc>
          <w:tcPr>
            <w:tcW w:w="4125" w:type="dxa"/>
            <w:gridSpan w:val="8"/>
            <w:tcBorders>
              <w:top w:val="nil"/>
              <w:left w:val="nil"/>
              <w:bottom w:val="single" w:sz="4" w:space="0" w:color="000000"/>
              <w:right w:val="nil"/>
            </w:tcBorders>
            <w:noWrap/>
            <w:vAlign w:val="center"/>
          </w:tcPr>
          <w:p>
            <w:pPr>
              <w:autoSpaceDN w:val="0"/>
              <w:jc w:val="left"/>
              <w:textAlignment w:val="center"/>
              <w:rPr>
                <w:rFonts w:eastAsia="华文细黑"/>
                <w:color w:val="000000"/>
                <w:sz w:val="20"/>
              </w:rPr>
            </w:pPr>
          </w:p>
        </w:tc>
        <w:tc>
          <w:tcPr>
            <w:tcW w:w="994" w:type="dxa"/>
            <w:gridSpan w:val="4"/>
            <w:tcBorders>
              <w:top w:val="nil"/>
              <w:left w:val="nil"/>
              <w:bottom w:val="nil"/>
              <w:right w:val="nil"/>
            </w:tcBorders>
            <w:noWrap/>
            <w:vAlign w:val="center"/>
          </w:tcPr>
          <w:p>
            <w:pPr>
              <w:autoSpaceDN w:val="0"/>
              <w:jc w:val="left"/>
              <w:textAlignment w:val="center"/>
              <w:rPr>
                <w:rFonts w:eastAsia="华文细黑"/>
                <w:color w:val="000000"/>
                <w:sz w:val="20"/>
              </w:rPr>
            </w:pPr>
          </w:p>
        </w:tc>
        <w:tc>
          <w:tcPr>
            <w:tcW w:w="498" w:type="dxa"/>
            <w:gridSpan w:val="2"/>
            <w:tcBorders>
              <w:top w:val="nil"/>
              <w:left w:val="nil"/>
              <w:bottom w:val="nil"/>
              <w:right w:val="nil"/>
            </w:tcBorders>
            <w:noWrap/>
            <w:vAlign w:val="center"/>
          </w:tcPr>
          <w:p>
            <w:pPr>
              <w:autoSpaceDN w:val="0"/>
              <w:jc w:val="left"/>
              <w:textAlignment w:val="center"/>
              <w:rPr>
                <w:rFonts w:eastAsia="华文细黑"/>
                <w:color w:val="000000"/>
                <w:sz w:val="20"/>
              </w:rPr>
            </w:pPr>
          </w:p>
        </w:tc>
        <w:tc>
          <w:tcPr>
            <w:tcW w:w="1149" w:type="dxa"/>
            <w:gridSpan w:val="2"/>
            <w:tcBorders>
              <w:top w:val="nil"/>
              <w:left w:val="nil"/>
              <w:bottom w:val="nil"/>
              <w:right w:val="nil"/>
            </w:tcBorders>
            <w:noWrap/>
            <w:vAlign w:val="center"/>
          </w:tcPr>
          <w:p>
            <w:pPr>
              <w:autoSpaceDN w:val="0"/>
              <w:jc w:val="left"/>
              <w:textAlignment w:val="center"/>
              <w:rPr>
                <w:rFonts w:eastAsia="华文细黑"/>
                <w:color w:val="000000"/>
                <w:sz w:val="20"/>
              </w:rPr>
            </w:pPr>
          </w:p>
        </w:tc>
        <w:tc>
          <w:tcPr>
            <w:tcW w:w="236" w:type="dxa"/>
            <w:tcBorders>
              <w:top w:val="nil"/>
              <w:left w:val="nil"/>
              <w:bottom w:val="nil"/>
              <w:right w:val="nil"/>
            </w:tcBorders>
            <w:noWrap/>
            <w:vAlign w:val="bottom"/>
          </w:tcPr>
          <w:p>
            <w:pPr>
              <w:autoSpaceDN w:val="0"/>
              <w:jc w:val="right"/>
              <w:textAlignment w:val="bottom"/>
              <w:rPr>
                <w:rFonts w:eastAsia="宋体"/>
                <w:color w:val="000000"/>
                <w:sz w:val="20"/>
              </w:rPr>
            </w:pPr>
          </w:p>
        </w:tc>
        <w:tc>
          <w:tcPr>
            <w:tcW w:w="1672" w:type="dxa"/>
            <w:gridSpan w:val="5"/>
            <w:tcBorders>
              <w:top w:val="nil"/>
              <w:left w:val="nil"/>
              <w:bottom w:val="nil"/>
              <w:right w:val="nil"/>
            </w:tcBorders>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gridAfter w:val="1"/>
          <w:wAfter w:w="390" w:type="dxa"/>
        </w:trPr>
        <w:tc>
          <w:tcPr>
            <w:tcW w:w="1128" w:type="dxa"/>
            <w:vMerge w:val="restart"/>
            <w:tcBorders>
              <w:top w:val="nil"/>
              <w:left w:val="single" w:sz="4" w:space="0" w:color="000000"/>
              <w:bottom w:val="nil"/>
              <w:right w:val="single" w:sz="4" w:space="0" w:color="000000"/>
            </w:tcBorders>
            <w:noWrap/>
            <w:vAlign w:val="center"/>
          </w:tcPr>
          <w:p>
            <w:pPr>
              <w:widowControl/>
              <w:jc w:val="center"/>
              <w:rPr>
                <w:rFonts w:ascii="宋体" w:eastAsia="宋体" w:cs="宋体" w:hint="eastAsia"/>
                <w:color w:val="000000"/>
                <w:sz w:val="20"/>
                <w:lang w:eastAsia="zh-CN"/>
              </w:rPr>
            </w:pPr>
            <w:r>
              <w:rPr>
                <w:rFonts w:ascii="宋体" w:eastAsia="宋体" w:cs="宋体" w:hint="eastAsia"/>
                <w:color w:val="000000"/>
                <w:sz w:val="20"/>
                <w:lang w:eastAsia="zh-CN"/>
              </w:rPr>
              <w:t>部门（单位）名称</w:t>
            </w:r>
          </w:p>
        </w:tc>
        <w:tc>
          <w:tcPr>
            <w:tcW w:w="853" w:type="dxa"/>
            <w:vMerge w:val="restart"/>
            <w:tcBorders>
              <w:top w:val="single" w:sz="4" w:space="0" w:color="000000"/>
              <w:left w:val="single" w:sz="4" w:space="0" w:color="000000"/>
              <w:bottom w:val="nil"/>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总计</w:t>
            </w:r>
          </w:p>
        </w:tc>
        <w:tc>
          <w:tcPr>
            <w:tcW w:w="4435" w:type="dxa"/>
            <w:gridSpan w:val="12"/>
            <w:tcBorders>
              <w:top w:val="single" w:sz="4" w:space="0" w:color="000000"/>
              <w:left w:val="single" w:sz="4" w:space="0" w:color="000000"/>
              <w:bottom w:val="nil"/>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lang w:eastAsia="zh-CN"/>
              </w:rPr>
              <w:t>本年预算</w:t>
            </w:r>
          </w:p>
        </w:tc>
        <w:tc>
          <w:tcPr>
            <w:tcW w:w="2996" w:type="dxa"/>
            <w:gridSpan w:val="8"/>
            <w:tcBorders>
              <w:top w:val="single" w:sz="4" w:space="0" w:color="000000"/>
              <w:left w:val="single" w:sz="4" w:space="0" w:color="000000"/>
              <w:bottom w:val="nil"/>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上年结转结余</w:t>
            </w:r>
          </w:p>
        </w:tc>
      </w:tr>
      <w:tr>
        <w:trPr>
          <w:trHeight w:val="517"/>
          <w:gridAfter w:val="1"/>
          <w:wAfter w:w="390" w:type="dxa"/>
        </w:trPr>
        <w:tc>
          <w:tcPr>
            <w:tcW w:w="1128" w:type="dxa"/>
            <w:vMerge/>
            <w:tcBorders>
              <w:top w:val="nil"/>
              <w:left w:val="single" w:sz="4" w:space="0" w:color="000000"/>
              <w:bottom w:val="nil"/>
              <w:right w:val="single" w:sz="4" w:space="0" w:color="000000"/>
            </w:tcBorders>
            <w:noWrap/>
            <w:vAlign w:val="center"/>
          </w:tcPr>
          <w:p/>
        </w:tc>
        <w:tc>
          <w:tcPr>
            <w:tcW w:w="853" w:type="dxa"/>
            <w:vMerge/>
            <w:tcBorders>
              <w:top w:val="nil"/>
              <w:left w:val="single" w:sz="4" w:space="0" w:color="000000"/>
              <w:bottom w:val="nil"/>
              <w:right w:val="single" w:sz="4" w:space="0" w:color="000000"/>
            </w:tcBorders>
            <w:noWrap/>
            <w:vAlign w:val="center"/>
          </w:tcPr>
          <w:p/>
        </w:tc>
        <w:tc>
          <w:tcPr>
            <w:tcW w:w="800" w:type="dxa"/>
            <w:vMerge w:val="restart"/>
            <w:tcBorders>
              <w:top w:val="single" w:sz="4" w:space="0" w:color="000000"/>
              <w:left w:val="single" w:sz="4" w:space="0" w:color="000000"/>
              <w:bottom w:val="nil"/>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494" w:type="dxa"/>
            <w:gridSpan w:val="3"/>
            <w:tcBorders>
              <w:top w:val="single" w:sz="4" w:space="0" w:color="000000"/>
              <w:left w:val="single" w:sz="4" w:space="0" w:color="auto"/>
              <w:bottom w:val="nil"/>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财政拨款收入</w:t>
            </w:r>
          </w:p>
        </w:tc>
        <w:tc>
          <w:tcPr>
            <w:tcW w:w="453" w:type="dxa"/>
            <w:vMerge w:val="restart"/>
            <w:tcBorders>
              <w:top w:val="single" w:sz="4" w:space="0" w:color="000000"/>
              <w:left w:val="single" w:sz="4" w:space="0" w:color="auto"/>
              <w:bottom w:val="nil"/>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财政专户管理资金收入</w:t>
            </w:r>
          </w:p>
        </w:tc>
        <w:tc>
          <w:tcPr>
            <w:tcW w:w="1688" w:type="dxa"/>
            <w:gridSpan w:val="7"/>
            <w:tcBorders>
              <w:top w:val="single" w:sz="4" w:space="0" w:color="000000"/>
              <w:left w:val="single" w:sz="4" w:space="0" w:color="auto"/>
              <w:bottom w:val="nil"/>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单位资</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金收入</w:t>
            </w:r>
          </w:p>
        </w:tc>
        <w:tc>
          <w:tcPr>
            <w:tcW w:w="739" w:type="dxa"/>
            <w:gridSpan w:val="2"/>
            <w:vMerge w:val="restart"/>
            <w:tcBorders>
              <w:top w:val="single" w:sz="4" w:space="0" w:color="000000"/>
              <w:left w:val="single" w:sz="4" w:space="0" w:color="000000"/>
              <w:bottom w:val="nil"/>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533" w:type="dxa"/>
            <w:gridSpan w:val="4"/>
            <w:tcBorders>
              <w:top w:val="single" w:sz="4" w:space="0" w:color="000000"/>
              <w:left w:val="single" w:sz="4" w:space="0" w:color="auto"/>
              <w:bottom w:val="nil"/>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财政拨款结转</w:t>
            </w:r>
          </w:p>
        </w:tc>
        <w:tc>
          <w:tcPr>
            <w:tcW w:w="724" w:type="dxa"/>
            <w:gridSpan w:val="2"/>
            <w:tcBorders>
              <w:top w:val="single" w:sz="4" w:space="0" w:color="000000"/>
              <w:left w:val="single" w:sz="4" w:space="0" w:color="auto"/>
              <w:bottom w:val="nil"/>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非财政拨款结转结余</w:t>
            </w:r>
          </w:p>
        </w:tc>
      </w:tr>
      <w:tr>
        <w:trPr>
          <w:trHeight w:val="2818"/>
          <w:gridAfter w:val="1"/>
          <w:wAfter w:w="390" w:type="dxa"/>
        </w:trPr>
        <w:tc>
          <w:tcPr>
            <w:tcW w:w="1128" w:type="dxa"/>
            <w:vMerge/>
            <w:tcBorders>
              <w:top w:val="nil"/>
              <w:left w:val="single" w:sz="4" w:space="0" w:color="000000"/>
              <w:bottom w:val="single" w:sz="4" w:space="0" w:color="000000"/>
              <w:right w:val="single" w:sz="4" w:space="0" w:color="000000"/>
            </w:tcBorders>
            <w:shd w:val="solid" w:color="FFFFFF" w:fill="auto"/>
            <w:noWrap/>
            <w:vAlign w:val="center"/>
          </w:tcPr>
          <w:p/>
        </w:tc>
        <w:tc>
          <w:tcPr>
            <w:tcW w:w="853" w:type="dxa"/>
            <w:vMerge/>
            <w:tcBorders>
              <w:top w:val="nil"/>
              <w:left w:val="single" w:sz="4" w:space="0" w:color="000000"/>
              <w:bottom w:val="single" w:sz="4" w:space="0" w:color="000000"/>
              <w:right w:val="single" w:sz="4" w:space="0" w:color="000000"/>
            </w:tcBorders>
            <w:shd w:val="solid" w:color="FFFFFF" w:fill="auto"/>
            <w:noWrap/>
            <w:vAlign w:val="center"/>
          </w:tcPr>
          <w:p/>
        </w:tc>
        <w:tc>
          <w:tcPr>
            <w:tcW w:w="800" w:type="dxa"/>
            <w:vMerge/>
            <w:tcBorders>
              <w:top w:val="nil"/>
              <w:left w:val="single" w:sz="4" w:space="0" w:color="000000"/>
              <w:bottom w:val="single" w:sz="4" w:space="0" w:color="000000"/>
              <w:right w:val="single" w:sz="4" w:space="0" w:color="auto"/>
            </w:tcBorders>
            <w:shd w:val="solid" w:color="FFFFFF" w:fill="auto"/>
            <w:noWrap/>
            <w:textDirection w:val="tbLrV"/>
            <w:vAlign w:val="center"/>
          </w:tcPr>
          <w:p/>
        </w:tc>
        <w:tc>
          <w:tcPr>
            <w:tcW w:w="800"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一般公共预算收入</w:t>
            </w:r>
          </w:p>
        </w:tc>
        <w:tc>
          <w:tcPr>
            <w:tcW w:w="347" w:type="dxa"/>
            <w:tcBorders>
              <w:top w:val="single" w:sz="4" w:space="0" w:color="000000"/>
              <w:left w:val="single" w:sz="4" w:space="0" w:color="000000"/>
              <w:bottom w:val="single" w:sz="4" w:space="0" w:color="000000"/>
              <w:right w:val="nil"/>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政府性基金预算收入</w:t>
            </w: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国有资本经营预算收入</w:t>
            </w:r>
          </w:p>
        </w:tc>
        <w:tc>
          <w:tcPr>
            <w:tcW w:w="453" w:type="dxa"/>
            <w:vMerge/>
            <w:tcBorders>
              <w:top w:val="nil"/>
              <w:left w:val="single" w:sz="4" w:space="0" w:color="auto"/>
              <w:bottom w:val="single" w:sz="4" w:space="0" w:color="000000"/>
              <w:right w:val="single" w:sz="4" w:space="0" w:color="auto"/>
            </w:tcBorders>
            <w:shd w:val="solid" w:color="FFFFFF" w:fill="auto"/>
            <w:noWrap/>
            <w:textDirection w:val="tbLrV"/>
          </w:tc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事业收入</w:t>
            </w: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事业单位经营收入</w:t>
            </w: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上级补助收入</w:t>
            </w: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附属单位上缴收入</w:t>
            </w: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其他收入</w:t>
            </w:r>
          </w:p>
        </w:tc>
        <w:tc>
          <w:tcPr>
            <w:tcW w:w="739" w:type="dxa"/>
            <w:gridSpan w:val="2"/>
            <w:vMerge/>
            <w:tcBorders>
              <w:top w:val="nil"/>
              <w:left w:val="single" w:sz="4" w:space="0" w:color="000000"/>
              <w:bottom w:val="single" w:sz="4" w:space="0" w:color="000000"/>
              <w:right w:val="single" w:sz="4" w:space="0" w:color="auto"/>
            </w:tcBorders>
            <w:shd w:val="solid" w:color="FFFFFF" w:fill="auto"/>
            <w:noWrap/>
            <w:textDirection w:val="tbLrV"/>
            <w:vAlign w:val="center"/>
          </w:tcP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一般公共预算拨款结转</w:t>
            </w: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政府性基金预算拨款结转</w:t>
            </w:r>
          </w:p>
        </w:tc>
        <w:tc>
          <w:tcPr>
            <w:tcW w:w="413"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国有资本经营预算拨款结转</w:t>
            </w:r>
          </w:p>
        </w:tc>
        <w:tc>
          <w:tcPr>
            <w:tcW w:w="387"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rPr>
            </w:pPr>
            <w:r>
              <w:rPr>
                <w:rFonts w:ascii="宋体" w:eastAsia="宋体" w:cs="宋体" w:hint="eastAsia"/>
                <w:color w:val="000000"/>
                <w:sz w:val="20"/>
                <w:shd w:val="clear" w:color="auto" w:fill="FFFFFF"/>
                <w:lang w:eastAsia="zh-CN"/>
              </w:rPr>
              <w:t>财政专户管理资金结转结余</w:t>
            </w: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单位资金结转结余</w:t>
            </w:r>
          </w:p>
        </w:tc>
      </w:tr>
      <w:tr>
        <w:trPr>
          <w:trHeight w:val="517"/>
          <w:gridAfter w:val="1"/>
          <w:wAfter w:w="390" w:type="dxa"/>
        </w:trPr>
        <w:tc>
          <w:tcPr>
            <w:tcW w:w="1128" w:type="dxa"/>
            <w:tcBorders>
              <w:top w:val="single" w:sz="4" w:space="0" w:color="000000"/>
              <w:left w:val="single" w:sz="4" w:space="0" w:color="000000"/>
              <w:bottom w:val="single" w:sz="4" w:space="0" w:color="000000"/>
              <w:right w:val="nil"/>
            </w:tcBorders>
            <w:shd w:val="solid" w:color="FFFFFF" w:fill="auto"/>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榆树市统计局</w:t>
            </w:r>
          </w:p>
        </w:tc>
        <w:tc>
          <w:tcPr>
            <w:tcW w:w="8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lang w:val="en-US" w:eastAsia="zh-CN"/>
              </w:rPr>
            </w:pPr>
            <w:r>
              <w:rPr>
                <w:rFonts w:eastAsia="宋体" w:hint="eastAsia"/>
                <w:color w:val="000000"/>
                <w:sz w:val="20"/>
                <w:shd w:val="clear" w:color="auto" w:fill="FFFFFF"/>
                <w:lang w:val="en-US" w:eastAsia="zh-CN"/>
              </w:rPr>
              <w:t>320.54</w:t>
            </w: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lang w:val="en-US" w:eastAsia="zh-CN"/>
              </w:rPr>
            </w:pPr>
            <w:r>
              <w:rPr>
                <w:rFonts w:eastAsia="宋体" w:hint="eastAsia"/>
                <w:color w:val="000000"/>
                <w:sz w:val="20"/>
                <w:shd w:val="clear" w:color="auto" w:fill="FFFFFF"/>
                <w:lang w:val="en-US" w:eastAsia="zh-CN"/>
              </w:rPr>
              <w:t>302.27</w:t>
            </w: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lang w:val="en-US" w:eastAsia="zh-CN"/>
              </w:rPr>
            </w:pPr>
            <w:r>
              <w:rPr>
                <w:rFonts w:eastAsia="宋体" w:hint="eastAsia"/>
                <w:color w:val="000000"/>
                <w:sz w:val="20"/>
                <w:shd w:val="clear" w:color="auto" w:fill="FFFFFF"/>
                <w:lang w:val="en-US" w:eastAsia="zh-CN"/>
              </w:rPr>
              <w:t>302.27</w:t>
            </w:r>
          </w:p>
        </w:tc>
        <w:tc>
          <w:tcPr>
            <w:tcW w:w="347"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nil"/>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lang w:val="en-US" w:eastAsia="zh-CN"/>
              </w:rPr>
            </w:pPr>
            <w:r>
              <w:rPr>
                <w:rFonts w:eastAsia="宋体" w:hint="eastAsia"/>
                <w:color w:val="000000"/>
                <w:sz w:val="20"/>
                <w:shd w:val="clear" w:color="auto" w:fill="FFFFFF"/>
                <w:lang w:val="en-US" w:eastAsia="zh-CN"/>
              </w:rPr>
              <w:t>18.27</w:t>
            </w: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lang w:val="en-US" w:eastAsia="zh-CN"/>
              </w:rPr>
            </w:pPr>
            <w:r>
              <w:rPr>
                <w:rFonts w:eastAsia="宋体" w:hint="eastAsia"/>
                <w:color w:val="000000"/>
                <w:sz w:val="20"/>
                <w:shd w:val="clear" w:color="auto" w:fill="FFFFFF"/>
                <w:lang w:val="en-US" w:eastAsia="zh-CN"/>
              </w:rPr>
              <w:t>18.27</w:t>
            </w: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21"/>
          <w:gridAfter w:val="1"/>
          <w:wAfter w:w="390" w:type="dxa"/>
        </w:trPr>
        <w:tc>
          <w:tcPr>
            <w:tcW w:w="1128" w:type="dxa"/>
            <w:tcBorders>
              <w:top w:val="single" w:sz="4" w:space="0" w:color="000000"/>
              <w:left w:val="single" w:sz="4" w:space="0" w:color="000000"/>
              <w:bottom w:val="single" w:sz="4" w:space="0" w:color="000000"/>
              <w:right w:val="nil"/>
            </w:tcBorders>
            <w:shd w:val="solid" w:color="FFFFFF" w:fill="auto"/>
            <w:noWrap/>
            <w:vAlign w:val="center"/>
          </w:tcPr>
          <w:p>
            <w:pPr>
              <w:widowControl/>
              <w:jc w:val="left"/>
              <w:rPr>
                <w:rFonts w:eastAsia="宋体"/>
                <w:color w:val="000000"/>
                <w:sz w:val="20"/>
                <w:shd w:val="clear" w:color="auto" w:fill="FFFFFF"/>
              </w:rPr>
            </w:pPr>
          </w:p>
        </w:tc>
        <w:tc>
          <w:tcPr>
            <w:tcW w:w="8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nil"/>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gridAfter w:val="1"/>
          <w:wAfter w:w="390" w:type="dxa"/>
        </w:trPr>
        <w:tc>
          <w:tcPr>
            <w:tcW w:w="1128" w:type="dxa"/>
            <w:tcBorders>
              <w:top w:val="single" w:sz="4" w:space="0" w:color="000000"/>
              <w:left w:val="single" w:sz="4" w:space="0" w:color="000000"/>
              <w:bottom w:val="single" w:sz="4" w:space="0" w:color="000000"/>
              <w:right w:val="nil"/>
            </w:tcBorders>
            <w:shd w:val="solid" w:color="FFFFFF" w:fill="auto"/>
            <w:noWrap/>
            <w:vAlign w:val="center"/>
          </w:tcPr>
          <w:p>
            <w:pPr>
              <w:widowControl/>
              <w:jc w:val="left"/>
              <w:rPr>
                <w:rFonts w:eastAsia="宋体"/>
                <w:color w:val="000000"/>
                <w:sz w:val="20"/>
                <w:shd w:val="clear" w:color="auto" w:fill="FFFFFF"/>
              </w:rPr>
            </w:pPr>
          </w:p>
        </w:tc>
        <w:tc>
          <w:tcPr>
            <w:tcW w:w="8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nil"/>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gridAfter w:val="1"/>
          <w:wAfter w:w="390" w:type="dxa"/>
        </w:trPr>
        <w:tc>
          <w:tcPr>
            <w:tcW w:w="1128" w:type="dxa"/>
            <w:tcBorders>
              <w:top w:val="single" w:sz="4" w:space="0" w:color="000000"/>
              <w:left w:val="single" w:sz="4" w:space="0" w:color="000000"/>
              <w:bottom w:val="single" w:sz="4" w:space="0" w:color="000000"/>
              <w:right w:val="nil"/>
            </w:tcBorders>
            <w:shd w:val="solid" w:color="FFFFFF" w:fill="auto"/>
            <w:noWrap/>
            <w:vAlign w:val="center"/>
          </w:tcPr>
          <w:p>
            <w:pPr>
              <w:widowControl/>
              <w:jc w:val="left"/>
              <w:rPr>
                <w:rFonts w:eastAsia="宋体"/>
                <w:color w:val="000000"/>
                <w:sz w:val="20"/>
                <w:shd w:val="clear" w:color="auto" w:fill="FFFFFF"/>
              </w:rPr>
            </w:pPr>
          </w:p>
        </w:tc>
        <w:tc>
          <w:tcPr>
            <w:tcW w:w="8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nil"/>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gridAfter w:val="1"/>
          <w:wAfter w:w="390" w:type="dxa"/>
        </w:trPr>
        <w:tc>
          <w:tcPr>
            <w:tcW w:w="1128"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hint="eastAsia"/>
                <w:color w:val="000000"/>
                <w:sz w:val="20"/>
                <w:shd w:val="clear" w:color="auto" w:fill="FFFFFF"/>
                <w:lang w:val="en-US" w:eastAsia="zh-CN"/>
              </w:rPr>
              <w:t>320.54</w:t>
            </w: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hint="eastAsia"/>
                <w:color w:val="000000"/>
                <w:sz w:val="20"/>
                <w:shd w:val="clear" w:color="auto" w:fill="FFFFFF"/>
                <w:lang w:val="en-US" w:eastAsia="zh-CN"/>
              </w:rPr>
              <w:t>302.27</w:t>
            </w:r>
          </w:p>
        </w:tc>
        <w:tc>
          <w:tcPr>
            <w:tcW w:w="8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hint="eastAsia"/>
                <w:color w:val="000000"/>
                <w:sz w:val="20"/>
                <w:shd w:val="clear" w:color="auto" w:fill="FFFFFF"/>
                <w:lang w:val="en-US" w:eastAsia="zh-CN"/>
              </w:rPr>
              <w:t>302.27</w:t>
            </w:r>
          </w:p>
        </w:tc>
        <w:tc>
          <w:tcPr>
            <w:tcW w:w="347" w:type="dxa"/>
            <w:tcBorders>
              <w:top w:val="single" w:sz="4" w:space="0" w:color="000000"/>
              <w:left w:val="single" w:sz="4" w:space="0" w:color="000000"/>
              <w:bottom w:val="single" w:sz="4" w:space="0" w:color="000000"/>
              <w:right w:val="nil"/>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3" w:type="dxa"/>
            <w:tcBorders>
              <w:top w:val="single" w:sz="4" w:space="0" w:color="000000"/>
              <w:left w:val="nil"/>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34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288"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73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hint="eastAsia"/>
                <w:color w:val="000000"/>
                <w:sz w:val="20"/>
                <w:shd w:val="clear" w:color="auto" w:fill="FFFFFF"/>
                <w:lang w:val="en-US" w:eastAsia="zh-CN"/>
              </w:rPr>
              <w:t>18.27</w:t>
            </w:r>
          </w:p>
        </w:tc>
        <w:tc>
          <w:tcPr>
            <w:tcW w:w="73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hint="eastAsia"/>
                <w:color w:val="000000"/>
                <w:sz w:val="20"/>
                <w:shd w:val="clear" w:color="auto" w:fill="FFFFFF"/>
                <w:lang w:val="en-US" w:eastAsia="zh-CN"/>
              </w:rPr>
              <w:t>18.27</w:t>
            </w:r>
          </w:p>
        </w:tc>
        <w:tc>
          <w:tcPr>
            <w:tcW w:w="381"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3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r>
        <w:rPr>
          <w:rFonts w:eastAsia="楷体"/>
        </w:rPr>
        <w:br w:type="page"/>
      </w:r>
    </w:p>
    <w:p>
      <w:pPr>
        <w:keepNext w:val="0"/>
        <w:keepLines w:val="0"/>
        <w:pageBreakBefore w:val="0"/>
        <w:widowControl/>
        <w:kinsoku/>
        <w:wordWrap/>
        <w:overflowPunct/>
        <w:topLinePunct w:val="0"/>
        <w:autoSpaceDE/>
        <w:bidi w:val="0"/>
        <w:adjustRightInd/>
        <w:snapToGrid/>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1" w:type="dxa"/>
        <w:tblW w:w="8973"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44"/>
        <w:gridCol w:w="1267"/>
        <w:gridCol w:w="1149"/>
        <w:gridCol w:w="1120"/>
        <w:gridCol w:w="1040"/>
        <w:gridCol w:w="1040"/>
        <w:gridCol w:w="1013"/>
      </w:tblGrid>
      <w:tr>
        <w:trPr>
          <w:trHeight w:val="390"/>
        </w:trPr>
        <w:tc>
          <w:tcPr>
            <w:tcW w:w="5880" w:type="dxa"/>
            <w:gridSpan w:val="4"/>
            <w:tcBorders>
              <w:top w:val="nil"/>
              <w:left w:val="nil"/>
              <w:bottom w:val="single" w:sz="4" w:space="0" w:color="000000"/>
              <w:right w:val="nil"/>
            </w:tcBorders>
            <w:noWrap/>
            <w:vAlign w:val="center"/>
          </w:tcPr>
          <w:p>
            <w:pPr>
              <w:keepNext w:val="0"/>
              <w:keepLines w:val="0"/>
              <w:pageBreakBefore w:val="0"/>
              <w:widowControl/>
              <w:kinsoku/>
              <w:wordWrap/>
              <w:overflowPunct/>
              <w:topLinePunct w:val="0"/>
              <w:autoSpaceDE/>
              <w:bidi w:val="0"/>
              <w:adjustRightInd/>
              <w:snapToGrid/>
              <w:jc w:val="left"/>
              <w:rPr>
                <w:rFonts w:eastAsia="华文细黑"/>
                <w:color w:val="000000"/>
                <w:kern w:val="0"/>
                <w:sz w:val="20"/>
              </w:rPr>
            </w:pPr>
          </w:p>
        </w:tc>
        <w:tc>
          <w:tcPr>
            <w:tcW w:w="1040" w:type="dxa"/>
            <w:tcBorders>
              <w:top w:val="nil"/>
              <w:left w:val="nil"/>
              <w:bottom w:val="single" w:sz="4" w:space="0" w:color="000000"/>
              <w:right w:val="nil"/>
            </w:tcBorders>
            <w:noWrap/>
            <w:vAlign w:val="center"/>
          </w:tcPr>
          <w:p>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p>
        </w:tc>
        <w:tc>
          <w:tcPr>
            <w:tcW w:w="1040" w:type="dxa"/>
            <w:tcBorders>
              <w:top w:val="nil"/>
              <w:left w:val="nil"/>
              <w:bottom w:val="single" w:sz="4" w:space="0" w:color="000000"/>
              <w:right w:val="nil"/>
            </w:tcBorders>
            <w:noWrap/>
            <w:vAlign w:val="center"/>
          </w:tcPr>
          <w:p>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p>
        </w:tc>
        <w:tc>
          <w:tcPr>
            <w:tcW w:w="1013" w:type="dxa"/>
            <w:tcBorders>
              <w:top w:val="nil"/>
              <w:left w:val="nil"/>
              <w:bottom w:val="single" w:sz="4" w:space="0" w:color="000000"/>
              <w:right w:val="nil"/>
            </w:tcBorders>
            <w:noWrap/>
            <w:vAlign w:val="center"/>
          </w:tcPr>
          <w:p>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r>
              <w:rPr>
                <w:rFonts w:eastAsia="华文细黑"/>
                <w:color w:val="000000"/>
                <w:kern w:val="0"/>
                <w:sz w:val="20"/>
              </w:rPr>
              <w:t>单位：万元</w:t>
            </w:r>
          </w:p>
        </w:tc>
      </w:tr>
      <w:tr>
        <w:trPr>
          <w:trHeight w:val="1420"/>
        </w:trPr>
        <w:tc>
          <w:tcPr>
            <w:tcW w:w="2344" w:type="dxa"/>
            <w:tcBorders>
              <w:top w:val="nil"/>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eastAsia="宋体"/>
                <w:color w:val="000000"/>
                <w:sz w:val="20"/>
              </w:rPr>
            </w:pPr>
            <w:r>
              <w:rPr>
                <w:rFonts w:eastAsia="宋体"/>
                <w:color w:val="000000"/>
                <w:sz w:val="20"/>
              </w:rPr>
              <w:t>功能分类</w:t>
            </w:r>
          </w:p>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宋体"/>
                <w:color w:val="000000"/>
                <w:sz w:val="20"/>
              </w:rPr>
              <w:t>科目名称</w:t>
            </w:r>
          </w:p>
        </w:tc>
        <w:tc>
          <w:tcPr>
            <w:tcW w:w="1267" w:type="dxa"/>
            <w:tcBorders>
              <w:top w:val="nil"/>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总计</w:t>
            </w:r>
          </w:p>
        </w:tc>
        <w:tc>
          <w:tcPr>
            <w:tcW w:w="1149"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p>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基本</w:t>
            </w:r>
          </w:p>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支出</w:t>
            </w:r>
          </w:p>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p>
        </w:tc>
        <w:tc>
          <w:tcPr>
            <w:tcW w:w="112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项目                                                               支出</w:t>
            </w:r>
          </w:p>
        </w:tc>
        <w:tc>
          <w:tcPr>
            <w:tcW w:w="104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hint="eastAsia"/>
                <w:color w:val="000000"/>
                <w:kern w:val="0"/>
                <w:sz w:val="20"/>
              </w:rPr>
            </w:pPr>
            <w:r>
              <w:rPr>
                <w:rFonts w:eastAsia="华文细黑" w:hint="eastAsia"/>
                <w:color w:val="000000"/>
                <w:kern w:val="0"/>
                <w:sz w:val="20"/>
              </w:rPr>
              <w:t>事业单位</w:t>
            </w:r>
          </w:p>
          <w:p>
            <w:pPr>
              <w:keepNext w:val="0"/>
              <w:keepLines w:val="0"/>
              <w:pageBreakBefore w:val="0"/>
              <w:widowControl/>
              <w:kinsoku/>
              <w:wordWrap/>
              <w:overflowPunct/>
              <w:topLinePunct w:val="0"/>
              <w:autoSpaceDE/>
              <w:bidi w:val="0"/>
              <w:adjustRightInd/>
              <w:snapToGrid/>
              <w:jc w:val="center"/>
              <w:rPr>
                <w:rFonts w:eastAsia="华文细黑" w:hint="eastAsia"/>
                <w:color w:val="000000"/>
                <w:kern w:val="0"/>
                <w:sz w:val="20"/>
              </w:rPr>
            </w:pPr>
            <w:r>
              <w:rPr>
                <w:rFonts w:eastAsia="华文细黑" w:hint="eastAsia"/>
                <w:color w:val="000000"/>
                <w:kern w:val="0"/>
                <w:sz w:val="20"/>
              </w:rPr>
              <w:t>经营支出</w:t>
            </w:r>
          </w:p>
        </w:tc>
        <w:tc>
          <w:tcPr>
            <w:tcW w:w="104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上缴                                            上级                                                         支出</w:t>
            </w:r>
          </w:p>
        </w:tc>
        <w:tc>
          <w:tcPr>
            <w:tcW w:w="1013"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对附属                                           单位补                                      助支出</w:t>
            </w:r>
          </w:p>
        </w:tc>
      </w:tr>
      <w:tr>
        <w:trPr>
          <w:trHeight w:val="423"/>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both"/>
              <w:rPr>
                <w:rFonts w:eastAsia="宋体" w:hint="eastAsia"/>
                <w:color w:val="000000"/>
                <w:kern w:val="0"/>
                <w:sz w:val="20"/>
                <w:lang w:eastAsia="zh-CN"/>
              </w:rPr>
            </w:pPr>
            <w:r>
              <w:rPr>
                <w:rFonts w:eastAsia="宋体"/>
                <w:color w:val="000000"/>
                <w:kern w:val="0"/>
                <w:sz w:val="20"/>
              </w:rPr>
              <w:t>一般公共服务</w:t>
            </w:r>
            <w:r>
              <w:rPr>
                <w:rFonts w:eastAsia="宋体" w:hint="eastAsia"/>
                <w:color w:val="000000"/>
                <w:kern w:val="0"/>
                <w:sz w:val="20"/>
                <w:lang w:eastAsia="zh-CN"/>
              </w:rPr>
              <w:t>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268.14</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163.36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104.78</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100" w:firstLine="200"/>
              <w:jc w:val="left"/>
              <w:rPr>
                <w:rFonts w:eastAsia="华文细黑"/>
                <w:color w:val="000000"/>
                <w:kern w:val="0"/>
                <w:sz w:val="20"/>
              </w:rPr>
            </w:pPr>
            <w:r>
              <w:rPr>
                <w:rFonts w:eastAsia="宋体" w:hint="eastAsia"/>
                <w:color w:val="000000"/>
                <w:kern w:val="0"/>
                <w:sz w:val="20"/>
                <w:lang w:eastAsia="zh-CN"/>
              </w:rPr>
              <w:t>统计信息</w:t>
            </w:r>
            <w:r>
              <w:rPr>
                <w:rFonts w:eastAsia="宋体"/>
                <w:color w:val="000000"/>
                <w:kern w:val="0"/>
                <w:sz w:val="20"/>
              </w:rPr>
              <w:t>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268.14</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163.36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104.78</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200" w:firstLine="400"/>
              <w:jc w:val="left"/>
              <w:rPr>
                <w:rFonts w:eastAsia="宋体"/>
                <w:color w:val="000000"/>
                <w:kern w:val="0"/>
                <w:sz w:val="20"/>
              </w:rPr>
            </w:pPr>
            <w:r>
              <w:rPr>
                <w:rFonts w:eastAsia="宋体"/>
                <w:color w:val="000000"/>
                <w:kern w:val="0"/>
                <w:sz w:val="20"/>
              </w:rPr>
              <w:t>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163.36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163.36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200" w:firstLine="400"/>
              <w:jc w:val="left"/>
              <w:rPr>
                <w:rFonts w:eastAsia="宋体" w:hint="eastAsia"/>
                <w:color w:val="000000"/>
                <w:kern w:val="0"/>
                <w:sz w:val="20"/>
                <w:lang w:eastAsia="zh-CN"/>
              </w:rPr>
            </w:pPr>
            <w:r>
              <w:rPr>
                <w:rFonts w:eastAsia="宋体" w:hint="eastAsia"/>
                <w:color w:val="000000"/>
                <w:kern w:val="0"/>
                <w:sz w:val="20"/>
                <w:lang w:eastAsia="zh-CN"/>
              </w:rPr>
              <w:t>一般行政管理事务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15.80</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15.80</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50" w:firstLine="100"/>
              <w:jc w:val="left"/>
              <w:rPr>
                <w:rFonts w:eastAsia="宋体"/>
                <w:color w:val="000000"/>
                <w:kern w:val="0"/>
                <w:sz w:val="20"/>
                <w:lang w:val="en-US" w:eastAsia="zh-CN"/>
              </w:rPr>
            </w:pPr>
            <w:r>
              <w:rPr>
                <w:rFonts w:eastAsia="宋体" w:hint="eastAsia"/>
                <w:color w:val="000000"/>
                <w:kern w:val="0"/>
                <w:sz w:val="20"/>
                <w:lang w:val="en-US" w:eastAsia="zh-CN"/>
              </w:rPr>
              <w:t xml:space="preserve">   专项普查活动</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88.98</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88.98</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eastAsia="宋体" w:hint="eastAsia"/>
                <w:color w:val="000000"/>
                <w:kern w:val="0"/>
                <w:sz w:val="20"/>
                <w:lang w:eastAsia="zh-CN"/>
              </w:rPr>
            </w:pPr>
            <w:r>
              <w:rPr>
                <w:rFonts w:eastAsia="宋体" w:hint="eastAsia"/>
                <w:color w:val="000000"/>
                <w:kern w:val="0"/>
                <w:sz w:val="20"/>
                <w:lang w:eastAsia="zh-CN"/>
              </w:rPr>
              <w:t>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27.51</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27.51</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eastAsia="宋体"/>
                <w:color w:val="000000"/>
                <w:kern w:val="0"/>
                <w:sz w:val="20"/>
                <w:lang w:val="en-US" w:eastAsia="zh-CN"/>
              </w:rPr>
            </w:pPr>
            <w:r>
              <w:rPr>
                <w:rFonts w:eastAsia="宋体" w:hint="eastAsia"/>
                <w:color w:val="000000"/>
                <w:kern w:val="0"/>
                <w:sz w:val="20"/>
                <w:lang w:val="en-US" w:eastAsia="zh-CN"/>
              </w:rPr>
              <w:t xml:space="preserve">  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27.51</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27.51</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200" w:firstLine="400"/>
              <w:jc w:val="left"/>
              <w:rPr>
                <w:rFonts w:eastAsia="宋体" w:hint="eastAsia"/>
                <w:color w:val="000000"/>
                <w:kern w:val="0"/>
                <w:sz w:val="20"/>
                <w:lang w:eastAsia="zh-CN"/>
              </w:rPr>
            </w:pPr>
            <w:r>
              <w:rPr>
                <w:rFonts w:eastAsia="宋体" w:hint="eastAsia"/>
                <w:color w:val="000000"/>
                <w:kern w:val="0"/>
                <w:sz w:val="20"/>
                <w:lang w:eastAsia="zh-CN"/>
              </w:rPr>
              <w:t>行政单位离退休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7.93</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7.93</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 xml:space="preserve">    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ascii="Times New Roman" w:eastAsia="宋体" w:cs="Times New Roman" w:hAnsi="Times New Roman"/>
                <w:color w:val="000000"/>
                <w:kern w:val="0"/>
                <w:sz w:val="20"/>
                <w:lang w:val="en-US" w:eastAsia="zh-CN" w:bidi="ar-SA"/>
              </w:rPr>
              <w:t>19.</w:t>
            </w:r>
            <w:r>
              <w:rPr>
                <w:rFonts w:eastAsia="宋体" w:cs="Times New Roman" w:hint="eastAsia"/>
                <w:color w:val="000000"/>
                <w:kern w:val="0"/>
                <w:sz w:val="20"/>
                <w:lang w:val="en-US" w:eastAsia="zh-CN" w:bidi="ar-SA"/>
              </w:rPr>
              <w:t>58</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ascii="Times New Roman" w:eastAsia="宋体" w:cs="Times New Roman" w:hAnsi="Times New Roman"/>
                <w:color w:val="000000"/>
                <w:kern w:val="0"/>
                <w:sz w:val="20"/>
                <w:lang w:val="en-US" w:eastAsia="zh-CN" w:bidi="ar-SA"/>
              </w:rPr>
              <w:t>19.</w:t>
            </w:r>
            <w:r>
              <w:rPr>
                <w:rFonts w:eastAsia="宋体" w:cs="Times New Roman" w:hint="eastAsia"/>
                <w:color w:val="000000"/>
                <w:kern w:val="0"/>
                <w:sz w:val="20"/>
                <w:lang w:val="en-US" w:eastAsia="zh-CN" w:bidi="ar-SA"/>
              </w:rPr>
              <w:t>58</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ascii="Times New Roman" w:eastAsia="华文细黑" w:cs="Times New Roman" w:hAnsi="Times New Roman" w:hint="eastAsia"/>
                <w:color w:val="000000"/>
                <w:kern w:val="0"/>
                <w:sz w:val="20"/>
                <w:lang w:val="en-US" w:eastAsia="zh-CN" w:bidi="ar-SA"/>
              </w:rPr>
            </w:pPr>
            <w:r>
              <w:rPr>
                <w:rFonts w:eastAsia="宋体" w:hint="eastAsia"/>
                <w:color w:val="000000"/>
                <w:kern w:val="0"/>
                <w:sz w:val="20"/>
                <w:lang w:eastAsia="zh-CN"/>
              </w:rPr>
              <w:t>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ascii="宋体" w:eastAsia="宋体" w:cs="宋体" w:hint="eastAsia"/>
                <w:color w:val="000000"/>
                <w:kern w:val="0"/>
                <w:sz w:val="20"/>
                <w:lang w:val="en-US" w:eastAsia="zh-CN" w:bidi="ar-SA"/>
              </w:rPr>
            </w:pPr>
            <w:r>
              <w:rPr>
                <w:rFonts w:ascii="宋体" w:eastAsia="宋体" w:cs="宋体" w:hint="eastAsia"/>
                <w:color w:val="000000"/>
                <w:kern w:val="0"/>
                <w:sz w:val="20"/>
                <w:lang w:val="en-US" w:eastAsia="zh-CN" w:bidi="ar-SA"/>
              </w:rPr>
              <w:t xml:space="preserve">  </w:t>
            </w:r>
            <w:r>
              <w:rPr>
                <w:rFonts w:ascii="宋体" w:eastAsia="宋体" w:cs="宋体" w:hint="eastAsia"/>
                <w:color w:val="000000"/>
                <w:kern w:val="0"/>
                <w:sz w:val="20"/>
                <w:lang w:eastAsia="zh-CN" w:bidi="ar-SA"/>
              </w:rPr>
              <w:t>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ascii="宋体" w:eastAsia="宋体" w:cs="宋体" w:hint="eastAsia"/>
                <w:color w:val="000000"/>
                <w:kern w:val="0"/>
                <w:sz w:val="20"/>
                <w:lang w:val="en-US" w:eastAsia="zh-CN" w:bidi="ar-SA"/>
              </w:rPr>
            </w:pPr>
            <w:r>
              <w:rPr>
                <w:rFonts w:ascii="宋体" w:eastAsia="宋体" w:cs="宋体" w:hint="eastAsia"/>
                <w:color w:val="000000"/>
                <w:kern w:val="0"/>
                <w:sz w:val="20"/>
                <w:lang w:val="en-US" w:eastAsia="zh-CN" w:bidi="ar-SA"/>
              </w:rPr>
              <w:t xml:space="preserve">    </w:t>
            </w:r>
            <w:r>
              <w:rPr>
                <w:rFonts w:ascii="宋体" w:eastAsia="宋体" w:cs="宋体" w:hint="eastAsia"/>
                <w:color w:val="000000"/>
                <w:kern w:val="0"/>
                <w:sz w:val="20"/>
                <w:lang w:eastAsia="zh-CN" w:bidi="ar-SA"/>
              </w:rPr>
              <w:t>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6.72</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left"/>
              <w:rPr>
                <w:rFonts w:ascii="宋体" w:eastAsia="宋体" w:cs="宋体" w:hint="eastAsia"/>
                <w:color w:val="000000"/>
                <w:kern w:val="0"/>
                <w:sz w:val="20"/>
                <w:lang w:val="en-US" w:eastAsia="zh-CN" w:bidi="ar-SA"/>
              </w:rPr>
            </w:pPr>
            <w:r>
              <w:rPr>
                <w:rFonts w:ascii="宋体" w:eastAsia="宋体" w:cs="宋体" w:hint="eastAsia"/>
                <w:color w:val="000000"/>
                <w:kern w:val="0"/>
                <w:sz w:val="20"/>
                <w:lang w:eastAsia="zh-CN" w:bidi="ar-SA"/>
              </w:rPr>
              <w:t>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100" w:firstLine="200"/>
              <w:jc w:val="left"/>
              <w:rPr>
                <w:rFonts w:ascii="宋体" w:eastAsia="宋体" w:cs="宋体" w:hint="eastAsia"/>
                <w:color w:val="000000"/>
                <w:kern w:val="0"/>
                <w:sz w:val="20"/>
                <w:lang w:val="en-US" w:eastAsia="zh-CN" w:bidi="ar-SA"/>
              </w:rPr>
            </w:pPr>
            <w:r>
              <w:rPr>
                <w:rFonts w:ascii="宋体" w:eastAsia="宋体" w:cs="宋体" w:hint="eastAsia"/>
                <w:color w:val="000000"/>
                <w:kern w:val="0"/>
                <w:sz w:val="20"/>
                <w:lang w:eastAsia="zh-CN" w:bidi="ar-SA"/>
              </w:rPr>
              <w:t>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ind w:firstLineChars="200" w:firstLine="400"/>
              <w:jc w:val="left"/>
              <w:rPr>
                <w:rFonts w:ascii="宋体" w:eastAsia="宋体" w:cs="宋体" w:hint="eastAsia"/>
                <w:color w:val="000000"/>
                <w:kern w:val="0"/>
                <w:sz w:val="20"/>
                <w:lang w:val="en-US" w:eastAsia="zh-CN" w:bidi="ar-SA"/>
              </w:rPr>
            </w:pPr>
            <w:r>
              <w:rPr>
                <w:rFonts w:ascii="宋体" w:eastAsia="宋体" w:cs="宋体" w:hint="eastAsia"/>
                <w:color w:val="000000"/>
                <w:kern w:val="0"/>
                <w:sz w:val="20"/>
                <w:lang w:eastAsia="zh-CN" w:bidi="ar-SA"/>
              </w:rPr>
              <w:t>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18.16</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r>
        <w:trPr>
          <w:trHeight w:val="330"/>
        </w:trPr>
        <w:tc>
          <w:tcPr>
            <w:tcW w:w="2344" w:type="dxa"/>
            <w:tcBorders>
              <w:top w:val="single" w:sz="4" w:space="0" w:color="000000"/>
              <w:left w:val="single" w:sz="4" w:space="0" w:color="000000"/>
              <w:bottom w:val="single" w:sz="4" w:space="0" w:color="000000"/>
              <w:right w:val="nil"/>
            </w:tcBorders>
            <w:shd w:val="clear" w:color="000000" w:fill="FFFFFF"/>
            <w:noWrap/>
            <w:vAlign w:val="center"/>
          </w:tcPr>
          <w:p>
            <w:pPr>
              <w:keepNext w:val="0"/>
              <w:keepLines w:val="0"/>
              <w:pageBreakBefore w:val="0"/>
              <w:widowControl/>
              <w:kinsoku/>
              <w:wordWrap/>
              <w:overflowPunct/>
              <w:topLinePunct w:val="0"/>
              <w:autoSpaceDE/>
              <w:bidi w:val="0"/>
              <w:adjustRightInd/>
              <w:snapToGrid/>
              <w:jc w:val="center"/>
              <w:rPr>
                <w:rFonts w:ascii="Times New Roman" w:eastAsia="华文细黑" w:cs="Times New Roman" w:hAnsi="Times New Roman"/>
                <w:color w:val="000000"/>
                <w:kern w:val="0"/>
                <w:sz w:val="20"/>
                <w:lang w:val="en-US" w:eastAsia="zh-CN" w:bidi="ar-SA"/>
              </w:rPr>
            </w:pPr>
            <w:r>
              <w:rPr>
                <w:rFonts w:eastAsia="华文细黑"/>
                <w:color w:val="000000"/>
                <w:kern w:val="0"/>
                <w:sz w:val="20"/>
              </w:rPr>
              <w:t>合</w:t>
            </w:r>
            <w:r>
              <w:rPr>
                <w:rFonts w:eastAsia="华文细黑" w:hint="eastAsia"/>
                <w:color w:val="000000"/>
                <w:kern w:val="0"/>
                <w:sz w:val="20"/>
                <w:lang w:val="en-US" w:eastAsia="zh-CN"/>
              </w:rPr>
              <w:t xml:space="preserve">    </w:t>
            </w:r>
            <w:r>
              <w:rPr>
                <w:rFonts w:eastAsia="华文细黑"/>
                <w:color w:val="000000"/>
                <w:kern w:val="0"/>
                <w:sz w:val="20"/>
              </w:rPr>
              <w:t>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320.53</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215.75</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r>
              <w:rPr>
                <w:rFonts w:eastAsia="宋体" w:cs="Times New Roman" w:hint="eastAsia"/>
                <w:color w:val="000000"/>
                <w:kern w:val="0"/>
                <w:sz w:val="20"/>
                <w:lang w:val="en-US" w:eastAsia="zh-CN" w:bidi="ar-SA"/>
              </w:rPr>
              <w:t>104.78</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c>
          <w:tcPr>
            <w:tcW w:w="101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pageBreakBefore w:val="0"/>
              <w:widowControl/>
              <w:kinsoku/>
              <w:wordWrap/>
              <w:overflowPunct/>
              <w:topLinePunct w:val="0"/>
              <w:autoSpaceDE/>
              <w:bidi w:val="0"/>
              <w:adjustRightInd/>
              <w:snapToGrid/>
              <w:jc w:val="right"/>
              <w:rPr>
                <w:rFonts w:ascii="Times New Roman" w:eastAsia="宋体" w:cs="Times New Roman" w:hAnsi="Times New Roman"/>
                <w:color w:val="000000"/>
                <w:kern w:val="0"/>
                <w:sz w:val="20"/>
                <w:lang w:val="en-US" w:eastAsia="zh-CN" w:bidi="ar-SA"/>
              </w:rPr>
            </w:pPr>
          </w:p>
        </w:tc>
      </w:tr>
    </w:tbl>
    <w:p>
      <w:pPr>
        <w:ind w:firstLineChars="200" w:firstLine="640"/>
      </w:pPr>
    </w:p>
    <w:p>
      <w:pPr>
        <w:ind w:firstLineChars="200" w:firstLine="640"/>
      </w:pPr>
    </w:p>
    <w:p>
      <w:pPr>
        <w:ind w:firstLineChars="200" w:firstLine="640"/>
      </w:pPr>
    </w:p>
    <w:p>
      <w:pPr>
        <w:ind w:firstLineChars="200" w:firstLine="640"/>
      </w:pPr>
    </w:p>
    <w:p>
      <w:pPr>
        <w:ind w:firstLineChars="200" w:firstLine="640"/>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tblGrid>
      <w:tr>
        <w:trPr>
          <w:trHeight w:val="11083"/>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bottom w:val="nil"/>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sz="4" w:space="0" w:color="auto"/>
                    <w:left w:val="single" w:sz="4" w:space="0" w:color="auto"/>
                    <w:bottom w:val="nil"/>
                    <w:right w:val="single" w:sz="4" w:space="0" w:color="auto"/>
                  </w:tcBorders>
                  <w:noWrap/>
                  <w:vAlign w:val="center"/>
                </w:tcPr>
                <w:p>
                  <w:pPr>
                    <w:widowControl/>
                    <w:jc w:val="center"/>
                    <w:rPr>
                      <w:rFonts w:eastAsia="宋体" w:hint="eastAsia"/>
                      <w:kern w:val="0"/>
                      <w:sz w:val="20"/>
                      <w:lang w:val="en-US"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26" w:type="dxa"/>
                  <w:tcBorders>
                    <w:top w:val="single" w:sz="4" w:space="0" w:color="auto"/>
                    <w:left w:val="single" w:sz="4" w:space="0" w:color="auto"/>
                    <w:bottom w:val="nil"/>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26" w:type="dxa"/>
                  <w:tcBorders>
                    <w:top w:val="single" w:sz="4" w:space="0" w:color="auto"/>
                    <w:left w:val="single" w:sz="4" w:space="0" w:color="auto"/>
                    <w:bottom w:val="nil"/>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bottom w:val="nil"/>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sz="4" w:space="0" w:color="auto"/>
                    <w:left w:val="single" w:sz="4" w:space="0" w:color="auto"/>
                    <w:bottom w:val="nil"/>
                    <w:right w:val="single" w:sz="4" w:space="0" w:color="auto"/>
                  </w:tcBorders>
                  <w:noWrap/>
                  <w:vAlign w:val="center"/>
                </w:tcPr>
                <w:p>
                  <w:pPr>
                    <w:widowControl/>
                    <w:jc w:val="center"/>
                    <w:rPr>
                      <w:rFonts w:eastAsia="宋体" w:hint="eastAsia"/>
                      <w:kern w:val="0"/>
                      <w:sz w:val="20"/>
                      <w:lang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48" w:type="dxa"/>
                  <w:tcBorders>
                    <w:top w:val="single" w:sz="4" w:space="0" w:color="auto"/>
                    <w:left w:val="single" w:sz="4" w:space="0" w:color="auto"/>
                    <w:bottom w:val="nil"/>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302.27</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18.27</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302.27</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szCs w:val="22"/>
                    </w:rPr>
                  </w:pPr>
                  <w:r>
                    <w:rPr>
                      <w:rFonts w:eastAsia="宋体" w:hint="eastAsia"/>
                      <w:kern w:val="0"/>
                      <w:sz w:val="20"/>
                      <w:lang w:val="en-US" w:eastAsia="zh-CN"/>
                    </w:rPr>
                    <w:t>18.27</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302.27</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lang w:val="en-US" w:eastAsia="zh-CN"/>
                    </w:rPr>
                  </w:pPr>
                  <w:r>
                    <w:rPr>
                      <w:rFonts w:eastAsia="宋体" w:hint="eastAsia"/>
                      <w:kern w:val="0"/>
                      <w:sz w:val="20"/>
                      <w:lang w:val="en-US" w:eastAsia="zh-CN"/>
                    </w:rPr>
                    <w:t>18.27</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w:t>
                  </w:r>
                  <w:r>
                    <w:rPr>
                      <w:rFonts w:eastAsia="宋体"/>
                      <w:color w:val="000000"/>
                      <w:kern w:val="0"/>
                      <w:sz w:val="20"/>
                    </w:rPr>
                    <w:t>一般公共服务</w:t>
                  </w:r>
                  <w:r>
                    <w:rPr>
                      <w:rFonts w:eastAsia="宋体" w:hint="eastAsia"/>
                      <w:color w:val="000000"/>
                      <w:kern w:val="0"/>
                      <w:sz w:val="20"/>
                      <w:lang w:eastAsia="zh-CN"/>
                    </w:rPr>
                    <w:t>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268.14</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253.14</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15.00</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hint="eastAsia"/>
                      <w:color w:val="000000"/>
                      <w:kern w:val="0"/>
                      <w:sz w:val="20"/>
                      <w:lang w:eastAsia="zh-CN"/>
                    </w:rPr>
                  </w:pPr>
                  <w:r>
                    <w:rPr>
                      <w:rFonts w:eastAsia="宋体" w:hint="eastAsia"/>
                      <w:color w:val="000000"/>
                      <w:sz w:val="20"/>
                      <w:lang w:eastAsia="zh-CN"/>
                    </w:rPr>
                    <w:t>（</w:t>
                  </w:r>
                  <w:r>
                    <w:rPr>
                      <w:rFonts w:eastAsia="宋体"/>
                      <w:color w:val="000000"/>
                      <w:sz w:val="20"/>
                    </w:rPr>
                    <w:t>二</w:t>
                  </w:r>
                  <w:r>
                    <w:rPr>
                      <w:rFonts w:eastAsia="宋体" w:hint="eastAsia"/>
                      <w:color w:val="000000"/>
                      <w:sz w:val="20"/>
                      <w:lang w:eastAsia="zh-CN"/>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27.51</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hint="eastAsia"/>
                      <w:kern w:val="0"/>
                      <w:sz w:val="20"/>
                      <w:lang w:val="en-US" w:eastAsia="zh-CN"/>
                    </w:rPr>
                    <w:t>25.71</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hint="eastAsia"/>
                      <w:kern w:val="0"/>
                      <w:sz w:val="20"/>
                      <w:lang w:val="en-US" w:eastAsia="zh-CN"/>
                    </w:rPr>
                    <w:t>1.80</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hint="eastAsia"/>
                      <w:color w:val="000000"/>
                      <w:kern w:val="0"/>
                      <w:sz w:val="20"/>
                      <w:lang w:eastAsia="zh-CN"/>
                    </w:rPr>
                  </w:pPr>
                  <w:r>
                    <w:rPr>
                      <w:rFonts w:eastAsia="宋体" w:hint="eastAsia"/>
                      <w:color w:val="000000"/>
                      <w:sz w:val="20"/>
                      <w:lang w:eastAsia="zh-CN"/>
                    </w:rPr>
                    <w:t>（</w:t>
                  </w:r>
                  <w:r>
                    <w:rPr>
                      <w:rFonts w:eastAsia="宋体"/>
                      <w:color w:val="000000"/>
                      <w:sz w:val="20"/>
                    </w:rPr>
                    <w:t>三</w:t>
                  </w:r>
                  <w:r>
                    <w:rPr>
                      <w:rFonts w:eastAsia="宋体" w:hint="eastAsia"/>
                      <w:color w:val="000000"/>
                      <w:sz w:val="20"/>
                      <w:lang w:eastAsia="zh-CN"/>
                    </w:rPr>
                    <w:t>）卫生健康支出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6.72</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6.63</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0.09</w:t>
                  </w: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hint="eastAsia"/>
                      <w:color w:val="000000"/>
                      <w:kern w:val="0"/>
                      <w:sz w:val="20"/>
                      <w:lang w:eastAsia="zh-CN"/>
                    </w:rPr>
                  </w:pPr>
                  <w:r>
                    <w:rPr>
                      <w:rFonts w:eastAsia="宋体" w:hint="eastAsia"/>
                      <w:color w:val="000000"/>
                      <w:kern w:val="0"/>
                      <w:sz w:val="20"/>
                      <w:lang w:eastAsia="zh-CN"/>
                    </w:rPr>
                    <w:t>（四）住房保障支出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18.16</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hint="eastAsia"/>
                      <w:kern w:val="0"/>
                      <w:sz w:val="20"/>
                      <w:lang w:val="en-US" w:eastAsia="zh-CN"/>
                    </w:rPr>
                    <w:t>16.79</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hint="eastAsia"/>
                      <w:kern w:val="0"/>
                      <w:sz w:val="20"/>
                      <w:lang w:val="en-US" w:eastAsia="zh-CN"/>
                    </w:rPr>
                    <w:t>1.37</w:t>
                  </w: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r>
                    <w:rPr>
                      <w:rFonts w:eastAsia="宋体" w:hint="eastAsia"/>
                      <w:kern w:val="0"/>
                      <w:sz w:val="20"/>
                      <w:lang w:val="en-US" w:eastAsia="zh-CN"/>
                    </w:rPr>
                    <w:t>320.54</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黑体"/>
                      <w:kern w:val="0"/>
                      <w:sz w:val="20"/>
                    </w:rPr>
                  </w:pPr>
                  <w:r>
                    <w:rPr>
                      <w:rFonts w:eastAsia="宋体" w:hint="eastAsia"/>
                      <w:kern w:val="0"/>
                      <w:sz w:val="20"/>
                      <w:lang w:val="en-US" w:eastAsia="zh-CN"/>
                    </w:rPr>
                    <w:t>302.27</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黑体"/>
                      <w:kern w:val="0"/>
                      <w:sz w:val="20"/>
                    </w:rPr>
                  </w:pPr>
                  <w:r>
                    <w:rPr>
                      <w:rFonts w:eastAsia="宋体" w:hint="eastAsia"/>
                      <w:kern w:val="0"/>
                      <w:sz w:val="20"/>
                      <w:lang w:val="en-US" w:eastAsia="zh-CN"/>
                    </w:rPr>
                    <w:t>18.27</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320.54</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lang w:val="en-US" w:eastAsia="zh-CN"/>
                    </w:rPr>
                    <w:t>302.27</w:t>
                  </w:r>
                </w:p>
              </w:tc>
              <w:tc>
                <w:tcPr>
                  <w:tcW w:w="1150"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r>
                    <w:rPr>
                      <w:rFonts w:eastAsia="宋体" w:hint="eastAsia"/>
                      <w:kern w:val="0"/>
                      <w:sz w:val="20"/>
                      <w:lang w:val="en-US" w:eastAsia="zh-CN"/>
                    </w:rPr>
                    <w:t>18.27</w:t>
                  </w:r>
                </w:p>
              </w:tc>
            </w:tr>
          </w:tbl>
          <w:p>
            <w:pPr>
              <w:widowControl/>
              <w:rPr>
                <w:rFonts w:eastAsia="方正小标宋简体"/>
                <w:kern w:val="0"/>
                <w:sz w:val="44"/>
                <w:szCs w:val="44"/>
              </w:rPr>
            </w:pPr>
          </w:p>
        </w:tc>
      </w:tr>
    </w:tbl>
    <w:p>
      <w:pPr>
        <w:ind w:firstLineChars="200" w:firstLine="640"/>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15"/>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jc w:val="left"/>
              <w:tblInd w:w="871"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top w:val="nil"/>
                    <w:left w:val="nil"/>
                    <w:bottom w:val="single" w:sz="4" w:space="0" w:color="000000"/>
                    <w:right w:val="nil"/>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552" w:type="dxa"/>
                  <w:vMerge w:val="restart"/>
                  <w:tcBorders>
                    <w:top w:val="nil"/>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nil"/>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281"/>
              </w:trPr>
              <w:tc>
                <w:tcPr>
                  <w:tcW w:w="2552" w:type="dxa"/>
                  <w:vMerge/>
                  <w:tcBorders>
                    <w:top w:val="nil"/>
                    <w:left w:val="single" w:sz="4" w:space="0" w:color="000000"/>
                    <w:bottom w:val="single" w:sz="4" w:space="0" w:color="000000"/>
                    <w:right w:val="single" w:sz="4" w:space="0" w:color="000000"/>
                  </w:tcBorders>
                  <w:noWrap/>
                  <w:vAlign w:val="center"/>
                </w:tcPr>
                <w:p/>
              </w:tc>
              <w:tc>
                <w:tcPr>
                  <w:tcW w:w="1134" w:type="dxa"/>
                  <w:vMerge/>
                  <w:tcBorders>
                    <w:top w:val="nil"/>
                    <w:left w:val="single" w:sz="4" w:space="0" w:color="000000"/>
                    <w:bottom w:val="single" w:sz="4" w:space="0" w:color="000000"/>
                    <w:right w:val="single" w:sz="4" w:space="0" w:color="000000"/>
                  </w:tcBorders>
                  <w:noWrap/>
                  <w:vAlign w:val="center"/>
                </w:tcPr>
                <w:p/>
              </w:tc>
              <w:tc>
                <w:tcPr>
                  <w:tcW w:w="3402"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30"/>
              </w:trPr>
              <w:tc>
                <w:tcPr>
                  <w:tcW w:w="2552" w:type="dxa"/>
                  <w:vMerge/>
                  <w:tcBorders>
                    <w:top w:val="nil"/>
                    <w:left w:val="single" w:sz="4" w:space="0" w:color="000000"/>
                    <w:bottom w:val="single" w:sz="4" w:space="0" w:color="000000"/>
                    <w:right w:val="single" w:sz="4" w:space="0" w:color="000000"/>
                  </w:tcBorders>
                  <w:noWrap/>
                  <w:vAlign w:val="center"/>
                </w:tcPr>
                <w:p/>
              </w:tc>
              <w:tc>
                <w:tcPr>
                  <w:tcW w:w="1134" w:type="dxa"/>
                  <w:vMerge/>
                  <w:tcBorders>
                    <w:top w:val="nil"/>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both"/>
                    <w:rPr>
                      <w:rFonts w:eastAsia="华文细黑"/>
                      <w:color w:val="000000"/>
                      <w:kern w:val="0"/>
                      <w:sz w:val="20"/>
                    </w:rPr>
                  </w:pPr>
                  <w:r>
                    <w:rPr>
                      <w:rFonts w:eastAsia="宋体"/>
                      <w:color w:val="000000"/>
                      <w:kern w:val="0"/>
                      <w:sz w:val="20"/>
                    </w:rPr>
                    <w:t>一般公共服务</w:t>
                  </w:r>
                  <w:r>
                    <w:rPr>
                      <w:rFonts w:eastAsia="宋体" w:hint="eastAsia"/>
                      <w:color w:val="000000"/>
                      <w:kern w:val="0"/>
                      <w:sz w:val="20"/>
                      <w:lang w:eastAsia="zh-CN"/>
                    </w:rPr>
                    <w:t>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268.14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163.36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122.40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40.96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104.78</w:t>
                  </w: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w:t>
                  </w:r>
                  <w:r>
                    <w:rPr>
                      <w:rFonts w:eastAsia="宋体" w:hint="eastAsia"/>
                      <w:color w:val="000000"/>
                      <w:kern w:val="0"/>
                      <w:sz w:val="20"/>
                      <w:lang w:eastAsia="zh-CN"/>
                    </w:rPr>
                    <w:t>统计信息</w:t>
                  </w:r>
                  <w:r>
                    <w:rPr>
                      <w:rFonts w:eastAsia="宋体"/>
                      <w:color w:val="000000"/>
                      <w:kern w:val="0"/>
                      <w:sz w:val="20"/>
                    </w:rPr>
                    <w:t>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268.14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163.36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122.40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40.96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104.78</w:t>
                  </w: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rPr>
                  </w:pPr>
                  <w:r>
                    <w:rPr>
                      <w:rFonts w:eastAsia="宋体" w:hint="eastAsia"/>
                      <w:color w:val="000000"/>
                      <w:kern w:val="0"/>
                      <w:sz w:val="20"/>
                      <w:lang w:val="en-US" w:eastAsia="zh-CN"/>
                    </w:rPr>
                    <w:t>163.36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163.36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122.40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40.96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lang w:eastAsia="zh-CN"/>
                    </w:rPr>
                    <w:t>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15.80</w:t>
                  </w: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r>
                    <w:rPr>
                      <w:rFonts w:eastAsia="宋体" w:hint="eastAsia"/>
                      <w:color w:val="000000"/>
                      <w:kern w:val="0"/>
                      <w:sz w:val="20"/>
                      <w:lang w:val="en-US" w:eastAsia="zh-CN"/>
                    </w:rPr>
                    <w:t xml:space="preserve">    专项普查活动</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88.98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88.98</w:t>
                  </w: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both"/>
                    <w:rPr>
                      <w:rFonts w:eastAsia="宋体"/>
                      <w:color w:val="000000"/>
                      <w:kern w:val="0"/>
                      <w:sz w:val="20"/>
                    </w:rPr>
                  </w:pPr>
                  <w:r>
                    <w:rPr>
                      <w:rFonts w:eastAsia="宋体" w:hint="eastAsia"/>
                      <w:color w:val="000000"/>
                      <w:kern w:val="0"/>
                      <w:sz w:val="20"/>
                      <w:lang w:eastAsia="zh-CN"/>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50" w:firstLine="100"/>
                    <w:jc w:val="left"/>
                    <w:rPr>
                      <w:rFonts w:eastAsia="宋体"/>
                      <w:color w:val="000000"/>
                      <w:kern w:val="0"/>
                      <w:sz w:val="20"/>
                    </w:rPr>
                  </w:pPr>
                  <w:r>
                    <w:rPr>
                      <w:rFonts w:eastAsia="宋体" w:hint="eastAsia"/>
                      <w:color w:val="000000"/>
                      <w:kern w:val="0"/>
                      <w:sz w:val="20"/>
                      <w:lang w:val="en-US" w:eastAsia="zh-CN"/>
                    </w:rPr>
                    <w:t xml:space="preserve"> 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27.51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200" w:firstLine="400"/>
                    <w:jc w:val="left"/>
                    <w:rPr>
                      <w:rFonts w:eastAsia="宋体" w:hint="eastAsia"/>
                      <w:color w:val="000000"/>
                      <w:kern w:val="0"/>
                      <w:sz w:val="20"/>
                      <w:lang w:val="en-US" w:eastAsia="zh-CN"/>
                    </w:rPr>
                  </w:pPr>
                  <w:r>
                    <w:rPr>
                      <w:rFonts w:eastAsia="宋体" w:hint="eastAsia"/>
                      <w:color w:val="000000"/>
                      <w:kern w:val="0"/>
                      <w:sz w:val="20"/>
                      <w:lang w:val="en-US" w:eastAsia="zh-CN"/>
                    </w:rPr>
                    <w:t>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7.93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hint="eastAsia"/>
                      <w:color w:val="000000"/>
                      <w:kern w:val="0"/>
                      <w:sz w:val="20"/>
                      <w:lang w:val="en-US" w:eastAsia="zh-CN"/>
                    </w:rPr>
                  </w:pPr>
                  <w:r>
                    <w:rPr>
                      <w:rFonts w:eastAsia="宋体" w:hint="eastAsia"/>
                      <w:color w:val="000000"/>
                      <w:kern w:val="0"/>
                      <w:sz w:val="20"/>
                      <w:lang w:val="en-US" w:eastAsia="zh-CN"/>
                    </w:rPr>
                    <w:t>7.93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hint="eastAsia"/>
                      <w:color w:val="000000"/>
                      <w:kern w:val="0"/>
                      <w:sz w:val="20"/>
                      <w:lang w:val="en-US" w:eastAsia="zh-CN"/>
                    </w:rPr>
                  </w:pPr>
                  <w:r>
                    <w:rPr>
                      <w:rFonts w:eastAsia="宋体" w:hint="eastAsia"/>
                      <w:color w:val="000000"/>
                      <w:kern w:val="0"/>
                      <w:sz w:val="20"/>
                      <w:lang w:val="en-US" w:eastAsia="zh-CN"/>
                    </w:rPr>
                    <w:t>7.93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r>
                    <w:rPr>
                      <w:rFonts w:eastAsia="宋体" w:hint="eastAsia"/>
                      <w:color w:val="000000"/>
                      <w:kern w:val="0"/>
                      <w:sz w:val="20"/>
                      <w:lang w:val="en-US" w:eastAsia="zh-CN"/>
                    </w:rPr>
                    <w:t xml:space="preserve">    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rPr>
                  </w:pPr>
                  <w:r>
                    <w:rPr>
                      <w:rFonts w:eastAsia="宋体" w:hint="eastAsia"/>
                      <w:color w:val="000000"/>
                      <w:kern w:val="0"/>
                      <w:sz w:val="20"/>
                      <w:lang w:val="en-US" w:eastAsia="zh-CN"/>
                    </w:rPr>
                    <w:t>19.58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19.58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19.58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both"/>
                    <w:rPr>
                      <w:rFonts w:eastAsia="华文细黑"/>
                      <w:color w:val="000000"/>
                      <w:kern w:val="0"/>
                      <w:sz w:val="20"/>
                    </w:rPr>
                  </w:pPr>
                  <w:r>
                    <w:rPr>
                      <w:rFonts w:ascii="宋体" w:eastAsia="宋体" w:cs="宋体" w:hint="eastAsia"/>
                      <w:color w:val="000000"/>
                      <w:kern w:val="0"/>
                      <w:sz w:val="20"/>
                      <w:lang w:eastAsia="zh-CN" w:bidi="ar-SA"/>
                    </w:rPr>
                    <w:t>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r>
                    <w:rPr>
                      <w:rFonts w:ascii="宋体" w:eastAsia="宋体" w:cs="宋体" w:hint="eastAsia"/>
                      <w:color w:val="000000"/>
                      <w:kern w:val="0"/>
                      <w:sz w:val="20"/>
                      <w:lang w:val="en-US" w:eastAsia="zh-CN" w:bidi="ar-SA"/>
                    </w:rPr>
                    <w:t xml:space="preserve">  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r>
                    <w:rPr>
                      <w:rFonts w:ascii="宋体" w:eastAsia="宋体" w:cs="宋体" w:hint="eastAsia"/>
                      <w:color w:val="000000"/>
                      <w:kern w:val="0"/>
                      <w:sz w:val="20"/>
                      <w:lang w:val="en-US" w:eastAsia="zh-CN" w:bidi="ar-SA"/>
                    </w:rPr>
                    <w:t xml:space="preserve">    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both"/>
                    <w:rPr>
                      <w:rFonts w:eastAsia="华文细黑"/>
                      <w:color w:val="000000"/>
                      <w:kern w:val="0"/>
                      <w:sz w:val="20"/>
                    </w:rPr>
                  </w:pPr>
                  <w:r>
                    <w:rPr>
                      <w:rFonts w:ascii="宋体" w:eastAsia="宋体" w:cs="宋体" w:hint="eastAsia"/>
                      <w:color w:val="000000"/>
                      <w:kern w:val="0"/>
                      <w:sz w:val="20"/>
                      <w:lang w:eastAsia="zh-CN" w:bidi="ar-SA"/>
                    </w:rPr>
                    <w:t>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r>
                    <w:rPr>
                      <w:rFonts w:ascii="宋体" w:eastAsia="宋体" w:cs="宋体" w:hint="eastAsia"/>
                      <w:color w:val="000000"/>
                      <w:kern w:val="0"/>
                      <w:sz w:val="20"/>
                      <w:lang w:val="en-US" w:eastAsia="zh-CN" w:bidi="ar-SA"/>
                    </w:rPr>
                    <w:t xml:space="preserve">  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1"/>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r>
                    <w:rPr>
                      <w:rFonts w:ascii="宋体" w:eastAsia="宋体" w:cs="宋体" w:hint="eastAsia"/>
                      <w:color w:val="000000"/>
                      <w:kern w:val="0"/>
                      <w:sz w:val="20"/>
                      <w:lang w:val="en-US" w:eastAsia="zh-CN" w:bidi="ar-SA"/>
                    </w:rPr>
                    <w:t xml:space="preserve">    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hint="eastAsia"/>
                      <w:color w:val="000000"/>
                      <w:kern w:val="0"/>
                      <w:sz w:val="20"/>
                      <w:lang w:val="en-US" w:eastAsia="zh-CN"/>
                    </w:rPr>
                    <w:t>18.16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669"/>
              </w:trPr>
              <w:tc>
                <w:tcPr>
                  <w:tcW w:w="2552"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320.53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215.75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40.96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104.78</w:t>
                  </w:r>
                </w:p>
              </w:tc>
            </w:tr>
          </w:tbl>
          <w:p>
            <w:pPr>
              <w:widowControl/>
              <w:jc w:val="center"/>
              <w:rPr>
                <w:rFonts w:eastAsia="方正小标宋简体"/>
                <w:kern w:val="0"/>
                <w:sz w:val="44"/>
                <w:szCs w:val="44"/>
              </w:rPr>
            </w:pPr>
          </w:p>
        </w:tc>
      </w:tr>
    </w:tbl>
    <w:p>
      <w:pPr>
        <w:ind w:firstLineChars="200" w:firstLine="640"/>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rPr>
          <w:sz w:val="16"/>
          <w:szCs w:val="16"/>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13"/>
        <w:gridCol w:w="2174"/>
        <w:gridCol w:w="1669"/>
        <w:gridCol w:w="1804"/>
      </w:tblGrid>
      <w:tr>
        <w:trPr>
          <w:trHeight w:val="1356"/>
        </w:trPr>
        <w:tc>
          <w:tcPr>
            <w:tcW w:w="8760" w:type="dxa"/>
            <w:gridSpan w:val="4"/>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5"/>
        </w:trPr>
        <w:tc>
          <w:tcPr>
            <w:tcW w:w="3113"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174"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473" w:type="dxa"/>
            <w:gridSpan w:val="2"/>
            <w:tcBorders>
              <w:top w:val="nil"/>
              <w:left w:val="nil"/>
              <w:bottom w:val="single" w:sz="4" w:space="0" w:color="auto"/>
              <w:right w:val="nil"/>
            </w:tcBorders>
            <w:noWrap/>
            <w:vAlign w:val="center"/>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730"/>
        </w:trPr>
        <w:tc>
          <w:tcPr>
            <w:tcW w:w="3113"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174"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669" w:type="dxa"/>
            <w:tcBorders>
              <w:top w:val="single" w:sz="4" w:space="0" w:color="auto"/>
              <w:left w:val="single" w:sz="4" w:space="0" w:color="auto"/>
              <w:bottom w:val="nil"/>
              <w:right w:val="single" w:sz="4" w:space="0" w:color="auto"/>
            </w:tcBorders>
            <w:noWrap/>
            <w:vAlign w:val="center"/>
          </w:tcPr>
          <w:p>
            <w:pPr>
              <w:widowControl/>
              <w:jc w:val="center"/>
            </w:pPr>
            <w:r>
              <w:rPr>
                <w:rFonts w:eastAsia="华文细黑"/>
                <w:color w:val="000000"/>
                <w:kern w:val="0"/>
                <w:sz w:val="20"/>
              </w:rPr>
              <w:t>人员经费</w:t>
            </w: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564"/>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165.82</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仿宋_GB2312"/>
                <w:lang w:val="en-US" w:eastAsia="zh-CN"/>
              </w:rPr>
            </w:pPr>
            <w:r>
              <w:rPr>
                <w:rFonts w:eastAsia="宋体" w:hint="eastAsia"/>
                <w:kern w:val="0"/>
                <w:sz w:val="20"/>
                <w:lang w:val="en-US" w:eastAsia="zh-CN"/>
              </w:rPr>
              <w:t>165.82</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50.96</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仿宋_GB2312"/>
                <w:lang w:val="en-US" w:eastAsia="zh-CN"/>
              </w:rPr>
            </w:pPr>
            <w:r>
              <w:rPr>
                <w:rFonts w:eastAsia="宋体" w:hint="eastAsia"/>
                <w:kern w:val="0"/>
                <w:sz w:val="20"/>
                <w:lang w:val="en-US" w:eastAsia="zh-CN"/>
              </w:rPr>
              <w:t>50.96</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39.67</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仿宋_GB2312"/>
                <w:lang w:val="en-US" w:eastAsia="zh-CN"/>
              </w:rPr>
            </w:pPr>
            <w:r>
              <w:rPr>
                <w:rFonts w:eastAsia="宋体" w:hint="eastAsia"/>
                <w:kern w:val="0"/>
                <w:sz w:val="20"/>
                <w:lang w:val="en-US" w:eastAsia="zh-CN"/>
              </w:rPr>
              <w:t>39.67</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27.73</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仿宋_GB2312"/>
                <w:lang w:val="en-US" w:eastAsia="zh-CN"/>
              </w:rPr>
            </w:pPr>
            <w:r>
              <w:rPr>
                <w:rFonts w:eastAsia="宋体" w:hint="eastAsia"/>
                <w:kern w:val="0"/>
                <w:sz w:val="20"/>
                <w:lang w:val="en-US" w:eastAsia="zh-CN"/>
              </w:rPr>
              <w:t>27.73</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43"/>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hint="eastAsia"/>
                <w:color w:val="000000"/>
                <w:sz w:val="20"/>
                <w:lang w:eastAsia="zh-CN"/>
              </w:rPr>
              <w:t>机关事业单位基本养老保险</w:t>
            </w:r>
            <w:r>
              <w:rPr>
                <w:rFonts w:eastAsia="宋体"/>
                <w:color w:val="000000"/>
                <w:sz w:val="20"/>
              </w:rPr>
              <w:t>缴费</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19.58</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仿宋_GB2312"/>
                <w:lang w:val="en-US" w:eastAsia="zh-CN"/>
              </w:rPr>
            </w:pPr>
            <w:r>
              <w:rPr>
                <w:rFonts w:eastAsia="宋体" w:hint="eastAsia"/>
                <w:kern w:val="0"/>
                <w:sz w:val="20"/>
                <w:lang w:val="en-US" w:eastAsia="zh-CN"/>
              </w:rPr>
              <w:t>19.58</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hint="eastAsia"/>
                <w:color w:val="000000"/>
                <w:sz w:val="20"/>
                <w:lang w:eastAsia="zh-CN"/>
              </w:rPr>
              <w:t>职工基本医疗保险缴费</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6.46</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lang w:val="en-US"/>
              </w:rPr>
            </w:pPr>
            <w:r>
              <w:rPr>
                <w:rFonts w:eastAsia="宋体" w:hint="eastAsia"/>
                <w:kern w:val="0"/>
                <w:sz w:val="20"/>
                <w:lang w:val="en-US" w:eastAsia="zh-CN"/>
              </w:rPr>
              <w:t>6.46</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hint="eastAsia"/>
                <w:kern w:val="0"/>
                <w:sz w:val="20"/>
                <w:lang w:val="en-US" w:eastAsia="zh-CN"/>
              </w:rPr>
              <w:t xml:space="preserve">    其他社会保障缴费</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1.66</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hint="eastAsia"/>
                <w:kern w:val="0"/>
                <w:sz w:val="20"/>
                <w:lang w:val="en-US" w:eastAsia="zh-CN"/>
              </w:rPr>
              <w:t>1.66</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hint="eastAsia"/>
                <w:kern w:val="0"/>
                <w:sz w:val="20"/>
                <w:lang w:eastAsia="zh-CN"/>
              </w:rPr>
              <w:t>住房公积金</w:t>
            </w:r>
          </w:p>
        </w:tc>
        <w:tc>
          <w:tcPr>
            <w:tcW w:w="217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lang w:val="en-US" w:eastAsia="zh-CN"/>
              </w:rPr>
            </w:pPr>
            <w:r>
              <w:rPr>
                <w:rFonts w:eastAsia="宋体" w:hint="eastAsia"/>
                <w:kern w:val="0"/>
                <w:sz w:val="20"/>
                <w:lang w:val="en-US" w:eastAsia="zh-CN"/>
              </w:rPr>
              <w:t>18.16</w:t>
            </w:r>
          </w:p>
        </w:tc>
        <w:tc>
          <w:tcPr>
            <w:tcW w:w="166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hint="eastAsia"/>
                <w:kern w:val="0"/>
                <w:sz w:val="20"/>
                <w:lang w:val="en-US" w:eastAsia="zh-CN"/>
              </w:rPr>
              <w:t>18.16</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kern w:val="0"/>
                <w:sz w:val="20"/>
              </w:rPr>
            </w:pPr>
            <w:r>
              <w:rPr>
                <w:rFonts w:eastAsia="宋体" w:hint="eastAsia"/>
                <w:kern w:val="0"/>
                <w:sz w:val="20"/>
                <w:lang w:val="en-US" w:eastAsia="zh-CN"/>
              </w:rPr>
              <w:t xml:space="preserve">    医疗费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cs="Times New Roman" w:hint="eastAsia"/>
                <w:kern w:val="0"/>
                <w:sz w:val="20"/>
                <w:lang w:val="en-US" w:eastAsia="zh-CN" w:bidi="ar-SA"/>
              </w:rPr>
              <w:t>1.60</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1.60</w:t>
            </w: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color w:val="000000"/>
                <w:sz w:val="20"/>
              </w:rPr>
              <w:t>二、商品和服务支出</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cs="Times New Roman" w:hint="eastAsia"/>
                <w:kern w:val="0"/>
                <w:sz w:val="20"/>
                <w:lang w:val="en-US" w:eastAsia="zh-CN" w:bidi="ar-SA"/>
              </w:rPr>
              <w:t>40.96</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40.96</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办公费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cs="Times New Roman" w:hint="eastAsia"/>
                <w:kern w:val="0"/>
                <w:sz w:val="20"/>
                <w:lang w:val="en-US" w:eastAsia="zh-CN" w:bidi="ar-SA"/>
              </w:rPr>
              <w:t>4.35</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4.35</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hint="eastAsia"/>
                <w:color w:val="000000"/>
                <w:kern w:val="0"/>
                <w:sz w:val="20"/>
                <w:lang w:eastAsia="zh-CN"/>
              </w:rPr>
            </w:pPr>
            <w:r>
              <w:rPr>
                <w:rFonts w:eastAsia="宋体" w:hint="eastAsia"/>
                <w:color w:val="000000"/>
                <w:kern w:val="0"/>
                <w:sz w:val="20"/>
                <w:lang w:eastAsia="zh-CN"/>
              </w:rPr>
              <w:t>印刷费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1.30</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hint="eastAsia"/>
                <w:kern w:val="0"/>
                <w:sz w:val="20"/>
                <w:lang w:val="en-US" w:eastAsia="zh-CN"/>
              </w:rPr>
            </w:pPr>
            <w:r>
              <w:rPr>
                <w:rFonts w:eastAsia="宋体" w:hint="eastAsia"/>
                <w:kern w:val="0"/>
                <w:sz w:val="20"/>
                <w:lang w:val="en-US" w:eastAsia="zh-CN"/>
              </w:rPr>
              <w:t>1.30</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邮电费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0.65</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rPr>
                <w:lang w:val="en-US"/>
              </w:rPr>
            </w:pPr>
            <w:r>
              <w:rPr>
                <w:rFonts w:eastAsia="宋体" w:hint="eastAsia"/>
                <w:kern w:val="0"/>
                <w:sz w:val="20"/>
                <w:lang w:val="en-US" w:eastAsia="zh-CN"/>
              </w:rPr>
              <w:t>0.65</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差旅费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cs="Times New Roman" w:hint="eastAsia"/>
                <w:kern w:val="0"/>
                <w:sz w:val="20"/>
                <w:lang w:val="en-US" w:eastAsia="zh-CN" w:bidi="ar-SA"/>
              </w:rPr>
              <w:t>9.24</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9.24</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维修（护）费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cs="Times New Roman" w:hint="eastAsia"/>
                <w:kern w:val="0"/>
                <w:sz w:val="20"/>
                <w:lang w:val="en-US" w:eastAsia="zh-CN" w:bidi="ar-SA"/>
              </w:rPr>
              <w:t>0.80</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0.80</w:t>
            </w:r>
          </w:p>
        </w:tc>
      </w:tr>
      <w:tr>
        <w:trPr>
          <w:trHeight w:val="552"/>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工会经费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cs="Times New Roman" w:hint="eastAsia"/>
                <w:kern w:val="0"/>
                <w:sz w:val="20"/>
                <w:lang w:val="en-US" w:eastAsia="zh-CN" w:bidi="ar-SA"/>
              </w:rPr>
              <w:t>1.75</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1.75</w:t>
            </w:r>
          </w:p>
        </w:tc>
      </w:tr>
      <w:tr>
        <w:trPr>
          <w:trHeight w:val="607"/>
        </w:trPr>
        <w:tc>
          <w:tcPr>
            <w:tcW w:w="3113"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福利费</w:t>
            </w:r>
          </w:p>
        </w:tc>
        <w:tc>
          <w:tcPr>
            <w:tcW w:w="217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rPr>
            </w:pPr>
            <w:r>
              <w:rPr>
                <w:rFonts w:eastAsia="宋体" w:cs="Times New Roman" w:hint="eastAsia"/>
                <w:kern w:val="0"/>
                <w:sz w:val="20"/>
                <w:lang w:val="en-US" w:eastAsia="zh-CN" w:bidi="ar-SA"/>
              </w:rPr>
              <w:t>9.05</w:t>
            </w:r>
          </w:p>
        </w:tc>
        <w:tc>
          <w:tcPr>
            <w:tcW w:w="166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kern w:val="2"/>
                <w:sz w:val="32"/>
                <w:lang w:val="en-US" w:eastAsia="zh-CN" w:bidi="ar-SA"/>
              </w:rPr>
            </w:pPr>
          </w:p>
        </w:tc>
        <w:tc>
          <w:tcPr>
            <w:tcW w:w="1804" w:type="dxa"/>
            <w:tcBorders>
              <w:top w:val="single" w:sz="4" w:space="0" w:color="auto"/>
              <w:left w:val="single" w:sz="4" w:space="0" w:color="auto"/>
              <w:bottom w:val="single" w:sz="4" w:space="0" w:color="auto"/>
              <w:right w:val="single" w:sz="4" w:space="0" w:color="auto"/>
            </w:tcBorders>
            <w:noWrap/>
            <w:vAlign w:val="center"/>
          </w:tcPr>
          <w:p>
            <w:pPr>
              <w:widowControl/>
              <w:jc w:val="right"/>
            </w:pPr>
            <w:r>
              <w:rPr>
                <w:rFonts w:eastAsia="宋体" w:cs="Times New Roman" w:hint="eastAsia"/>
                <w:kern w:val="0"/>
                <w:sz w:val="20"/>
                <w:lang w:val="en-US" w:eastAsia="zh-CN" w:bidi="ar-SA"/>
              </w:rPr>
              <w:t>9.05</w:t>
            </w:r>
          </w:p>
        </w:tc>
      </w:tr>
    </w:tbl>
    <w:tbl>
      <w:tblPr>
        <w:tblpPr w:leftFromText="180" w:rightFromText="180" w:vertAnchor="text" w:horzAnchor="page" w:tblpX="1677" w:tblpY="142"/>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646"/>
      </w:tblGrid>
      <w:tr>
        <w:trPr>
          <w:trHeight w:val="615"/>
        </w:trPr>
        <w:tc>
          <w:tcPr>
            <w:tcW w:w="8746"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预算续</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350" w:type="dxa"/>
            <w:gridSpan w:val="2"/>
            <w:tcBorders>
              <w:top w:val="nil"/>
              <w:left w:val="nil"/>
              <w:bottom w:val="single" w:sz="4" w:space="0" w:color="auto"/>
              <w:right w:val="nil"/>
            </w:tcBorders>
            <w:noWrap/>
            <w:vAlign w:val="center"/>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812"/>
        </w:trPr>
        <w:tc>
          <w:tcPr>
            <w:tcW w:w="3176"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kern w:val="0"/>
                <w:sz w:val="20"/>
              </w:rPr>
              <w:t>经济分类科目</w:t>
            </w:r>
          </w:p>
        </w:tc>
        <w:tc>
          <w:tcPr>
            <w:tcW w:w="2220"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bottom w:val="nil"/>
              <w:right w:val="single" w:sz="4" w:space="0" w:color="auto"/>
            </w:tcBorders>
            <w:noWrap/>
            <w:vAlign w:val="center"/>
          </w:tcPr>
          <w:p>
            <w:pPr>
              <w:widowControl/>
              <w:jc w:val="center"/>
            </w:pPr>
            <w:r>
              <w:rPr>
                <w:rFonts w:eastAsia="华文细黑"/>
                <w:color w:val="000000"/>
                <w:kern w:val="0"/>
                <w:sz w:val="20"/>
              </w:rPr>
              <w:t>人员经费</w:t>
            </w:r>
          </w:p>
        </w:tc>
        <w:tc>
          <w:tcPr>
            <w:tcW w:w="1646"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其他交通费用</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8.22</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eastAsia="zh-CN" w:bidi="ar-SA"/>
              </w:rPr>
            </w:pP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bidi="ar-SA"/>
              </w:rPr>
            </w:pPr>
            <w:r>
              <w:rPr>
                <w:rFonts w:eastAsia="宋体" w:cs="Times New Roman" w:hint="eastAsia"/>
                <w:kern w:val="0"/>
                <w:sz w:val="20"/>
                <w:szCs w:val="20"/>
                <w:lang w:val="en-US" w:eastAsia="zh-CN" w:bidi="ar-SA"/>
              </w:rPr>
              <w:t>8.22</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hint="eastAsia"/>
                <w:color w:val="000000"/>
                <w:kern w:val="0"/>
                <w:sz w:val="20"/>
                <w:lang w:eastAsia="zh-CN"/>
              </w:rPr>
              <w:t>其他商品和服务支出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5.60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eastAsia="zh-CN" w:bidi="ar-SA"/>
              </w:rPr>
            </w:pP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bidi="ar-SA"/>
              </w:rPr>
            </w:pPr>
            <w:r>
              <w:rPr>
                <w:rFonts w:eastAsia="宋体" w:cs="Times New Roman" w:hint="eastAsia"/>
                <w:kern w:val="0"/>
                <w:sz w:val="20"/>
                <w:szCs w:val="20"/>
                <w:lang w:val="en-US" w:eastAsia="zh-CN" w:bidi="ar-SA"/>
              </w:rPr>
              <w:t>5.60</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hint="eastAsia"/>
                <w:color w:val="000000"/>
                <w:kern w:val="0"/>
                <w:sz w:val="20"/>
                <w:lang w:eastAsia="zh-CN"/>
              </w:rPr>
              <w:t>三、对个人和家庭的补助</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8.97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eastAsia="zh-CN" w:bidi="ar-SA"/>
              </w:rPr>
            </w:pPr>
            <w:r>
              <w:rPr>
                <w:rFonts w:eastAsia="宋体" w:cs="Times New Roman" w:hint="eastAsia"/>
                <w:kern w:val="0"/>
                <w:sz w:val="20"/>
                <w:szCs w:val="20"/>
                <w:lang w:val="en-US" w:eastAsia="zh-CN" w:bidi="ar-SA"/>
              </w:rPr>
              <w:t>8.97</w:t>
            </w: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bidi="ar-SA"/>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hint="eastAsia"/>
                <w:color w:val="000000"/>
                <w:kern w:val="0"/>
                <w:sz w:val="20"/>
                <w:lang w:val="en-US" w:eastAsia="zh-CN"/>
              </w:rPr>
            </w:pPr>
            <w:r>
              <w:rPr>
                <w:rFonts w:eastAsia="宋体" w:hint="eastAsia"/>
                <w:color w:val="000000"/>
                <w:kern w:val="0"/>
                <w:sz w:val="20"/>
                <w:lang w:val="en-US" w:eastAsia="zh-CN"/>
              </w:rPr>
              <w:t>退休费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7.93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7.93</w:t>
            </w: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bidi="ar-SA"/>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hint="eastAsia"/>
                <w:kern w:val="0"/>
                <w:sz w:val="20"/>
                <w:lang w:eastAsia="zh-CN"/>
              </w:rPr>
            </w:pPr>
            <w:r>
              <w:rPr>
                <w:rFonts w:eastAsia="宋体" w:hint="eastAsia"/>
                <w:color w:val="000000"/>
                <w:kern w:val="0"/>
                <w:sz w:val="20"/>
                <w:lang w:val="en-US" w:eastAsia="zh-CN"/>
              </w:rPr>
              <w:t xml:space="preserve">    其他对个人和家庭的补助</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ascii="Times New Roman" w:eastAsia="宋体" w:cs="Times New Roman" w:hAnsi="Times New Roman"/>
                <w:kern w:val="0"/>
                <w:sz w:val="20"/>
                <w:szCs w:val="20"/>
                <w:lang w:val="en-US" w:eastAsia="zh-CN" w:bidi="ar-SA"/>
              </w:rPr>
              <w:t>1.04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eastAsia="zh-CN" w:bidi="ar-SA"/>
              </w:rPr>
            </w:pPr>
            <w:r>
              <w:rPr>
                <w:rFonts w:ascii="Times New Roman" w:eastAsia="宋体" w:cs="Times New Roman" w:hAnsi="Times New Roman"/>
                <w:kern w:val="0"/>
                <w:sz w:val="20"/>
                <w:szCs w:val="20"/>
                <w:lang w:val="en-US" w:eastAsia="zh-CN" w:bidi="ar-SA"/>
              </w:rPr>
              <w:t>1.04</w:t>
            </w: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bidi="ar-SA"/>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center"/>
              <w:textAlignment w:val="center"/>
              <w:rPr>
                <w:rFonts w:eastAsia="宋体" w:hint="eastAsia"/>
                <w:kern w:val="0"/>
                <w:sz w:val="20"/>
                <w:lang w:eastAsia="zh-CN"/>
              </w:rPr>
            </w:pPr>
            <w:r>
              <w:rPr>
                <w:rFonts w:eastAsia="宋体" w:hint="eastAsia"/>
                <w:color w:val="000000"/>
                <w:kern w:val="0"/>
                <w:sz w:val="20"/>
                <w:lang w:val="en-US" w:eastAsia="zh-CN"/>
              </w:rPr>
              <w:t>合    计</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kern w:val="0"/>
                <w:sz w:val="20"/>
                <w:szCs w:val="20"/>
                <w:lang w:val="en-US" w:eastAsia="zh-CN" w:bidi="ar-SA"/>
              </w:rPr>
            </w:pPr>
            <w:r>
              <w:rPr>
                <w:rFonts w:eastAsia="宋体" w:cs="Times New Roman" w:hint="eastAsia"/>
                <w:kern w:val="0"/>
                <w:sz w:val="20"/>
                <w:szCs w:val="20"/>
                <w:lang w:val="en-US" w:eastAsia="zh-CN" w:bidi="ar-SA"/>
              </w:rPr>
              <w:t>215.75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eastAsia="zh-CN" w:bidi="ar-SA"/>
              </w:rPr>
            </w:pPr>
            <w:r>
              <w:rPr>
                <w:rFonts w:eastAsia="宋体" w:cs="Times New Roman" w:hint="eastAsia"/>
                <w:kern w:val="0"/>
                <w:sz w:val="20"/>
                <w:szCs w:val="20"/>
                <w:lang w:val="en-US" w:eastAsia="zh-CN" w:bidi="ar-SA"/>
              </w:rPr>
              <w:t>174.79</w:t>
            </w:r>
          </w:p>
        </w:tc>
        <w:tc>
          <w:tcPr>
            <w:tcW w:w="164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ascii="Times New Roman" w:eastAsia="宋体" w:cs="Times New Roman" w:hAnsi="Times New Roman"/>
                <w:sz w:val="20"/>
                <w:szCs w:val="20"/>
                <w:lang w:val="en-US" w:bidi="ar-SA"/>
              </w:rPr>
            </w:pPr>
            <w:r>
              <w:rPr>
                <w:rFonts w:eastAsia="宋体" w:cs="Times New Roman" w:hint="eastAsia"/>
                <w:kern w:val="0"/>
                <w:sz w:val="20"/>
                <w:szCs w:val="20"/>
                <w:lang w:val="en-US" w:eastAsia="zh-CN" w:bidi="ar-SA"/>
              </w:rPr>
              <w:t>40.96</w:t>
            </w:r>
          </w:p>
        </w:tc>
      </w:tr>
    </w:tbl>
    <w:p>
      <w:pPr>
        <w:rPr>
          <w:sz w:val="16"/>
          <w:szCs w:val="16"/>
        </w:rPr>
      </w:pPr>
    </w:p>
    <w:p>
      <w:pPr>
        <w:rPr>
          <w:sz w:val="16"/>
          <w:szCs w:val="16"/>
        </w:rPr>
      </w:pPr>
    </w:p>
    <w:p>
      <w:pPr>
        <w:ind w:firstLine="636"/>
        <w:rPr>
          <w:rFonts w:eastAsia="楷体"/>
        </w:rPr>
      </w:pPr>
    </w:p>
    <w:p>
      <w:pPr>
        <w:ind w:firstLine="636"/>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bottom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top w:val="nil"/>
              <w:left w:val="nil"/>
              <w:bottom w:val="single" w:sz="4" w:space="0" w:color="auto"/>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ind w:firstLineChars="200" w:firstLine="560"/>
              <w:jc w:val="left"/>
              <w:rPr>
                <w:rFonts w:eastAsia="仿宋_GB2312" w:hint="eastAsia"/>
                <w:color w:val="000000"/>
                <w:kern w:val="0"/>
                <w:sz w:val="28"/>
                <w:szCs w:val="28"/>
                <w:lang w:eastAsia="zh-CN"/>
              </w:rPr>
            </w:pPr>
            <w:r>
              <w:rPr>
                <w:color w:val="000000"/>
                <w:kern w:val="0"/>
                <w:sz w:val="28"/>
                <w:szCs w:val="28"/>
              </w:rPr>
              <w:t>说明：</w:t>
            </w:r>
          </w:p>
          <w:p>
            <w:pPr>
              <w:widowControl/>
              <w:jc w:val="left"/>
              <w:rPr>
                <w:rFonts w:eastAsia="宋体" w:hint="eastAsia"/>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hint="eastAsia"/>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本单位</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hint="eastAsia"/>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20</w:t>
            </w:r>
            <w:r>
              <w:rPr>
                <w:color w:val="000000"/>
                <w:kern w:val="0"/>
                <w:sz w:val="28"/>
                <w:szCs w:val="28"/>
              </w:rPr>
              <w:t>人，其中：在职人员</w:t>
            </w:r>
            <w:r>
              <w:rPr>
                <w:rFonts w:hint="eastAsia"/>
                <w:color w:val="000000"/>
                <w:kern w:val="0"/>
                <w:sz w:val="28"/>
                <w:szCs w:val="28"/>
                <w:lang w:val="en-US" w:eastAsia="zh-CN"/>
              </w:rPr>
              <w:t>12</w:t>
            </w:r>
            <w:r>
              <w:rPr>
                <w:color w:val="000000"/>
                <w:kern w:val="0"/>
                <w:sz w:val="28"/>
                <w:szCs w:val="28"/>
              </w:rPr>
              <w:t>人，离退休人员</w:t>
            </w:r>
            <w:r>
              <w:rPr>
                <w:rFonts w:hint="eastAsia"/>
                <w:color w:val="000000"/>
                <w:kern w:val="0"/>
                <w:sz w:val="28"/>
                <w:szCs w:val="28"/>
                <w:lang w:val="en-US" w:eastAsia="zh-CN"/>
              </w:rPr>
              <w:t>8</w:t>
            </w:r>
            <w:r>
              <w:rPr>
                <w:color w:val="000000"/>
                <w:kern w:val="0"/>
                <w:sz w:val="28"/>
                <w:szCs w:val="28"/>
              </w:rPr>
              <w:t>人。</w:t>
            </w:r>
          </w:p>
          <w:p>
            <w:pPr>
              <w:widowControl/>
              <w:jc w:val="both"/>
              <w:rPr>
                <w:rFonts w:eastAsia="仿宋_GB2312" w:hint="eastAsia"/>
                <w:color w:val="000000"/>
                <w:kern w:val="0"/>
                <w:sz w:val="28"/>
                <w:szCs w:val="28"/>
                <w:lang w:val="en-US" w:eastAsia="zh-CN"/>
              </w:rPr>
            </w:pPr>
          </w:p>
        </w:tc>
      </w:tr>
    </w:tbl>
    <w:p>
      <w:pPr>
        <w:ind w:firstLineChars="200" w:firstLine="640"/>
        <w:rPr>
          <w:rFonts w:eastAsia="楷体"/>
        </w:rPr>
      </w:pPr>
    </w:p>
    <w:p>
      <w:pPr>
        <w:ind w:firstLineChars="200" w:firstLine="640"/>
        <w:rPr>
          <w:rFonts w:eastAsia="楷体"/>
        </w:rPr>
      </w:pPr>
    </w:p>
    <w:p>
      <w:pPr>
        <w:ind w:firstLineChars="200" w:firstLine="640"/>
        <w:rPr>
          <w:rFonts w:eastAsia="楷体" w:hint="eastAsia"/>
          <w:kern w:val="0"/>
          <w:szCs w:val="32"/>
          <w:lang w:val="en-US" w:eastAsia="zh-CN"/>
        </w:rPr>
      </w:pPr>
      <w:r>
        <w:rPr>
          <w:rFonts w:eastAsia="楷体" w:hint="eastAsia"/>
          <w:kern w:val="0"/>
          <w:szCs w:val="32"/>
          <w:lang w:val="en-US" w:eastAsia="zh-CN"/>
        </w:rPr>
        <w:t xml:space="preserve"> </w:t>
      </w:r>
    </w:p>
    <w:p>
      <w:pPr>
        <w:ind w:firstLineChars="200" w:firstLine="640"/>
        <w:rPr>
          <w:rFonts w:eastAsia="楷体" w:hint="eastAsia"/>
          <w:kern w:val="0"/>
          <w:szCs w:val="32"/>
          <w:lang w:val="en-US" w:eastAsia="zh-CN"/>
        </w:rPr>
      </w:pPr>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top w:val="nil"/>
              <w:left w:val="nil"/>
              <w:bottom w:val="single" w:sz="4" w:space="0" w:color="000000"/>
              <w:right w:val="nil"/>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top w:val="nil"/>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top w:val="nil"/>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hint="eastAsia"/>
          <w:kern w:val="0"/>
          <w:szCs w:val="32"/>
          <w:lang w:eastAsia="zh-CN"/>
        </w:rPr>
        <w:sectPr>
          <w:footerReference w:type="default" r:id="rId7"/>
          <w:footerReference w:type="first" r:id="rId8"/>
          <w:pgSz w:w="11907" w:h="16840"/>
          <w:pgMar w:top="2041" w:right="1474" w:bottom="2041" w:left="1474" w:header="851" w:footer="1587" w:gutter="0"/>
          <w:pgNumType w:fmt="numberInDash" w:start="1"/>
          <w:rtlGutter/>
          <w:docGrid w:type="lines" w:linePitch="574" w:charSpace="0"/>
        </w:sectPr>
      </w:pPr>
    </w:p>
    <w:p>
      <w:pPr>
        <w:spacing w:line="700" w:lineRule="exact"/>
        <w:ind w:firstLineChars="200" w:firstLine="64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top w:val="nil"/>
              <w:left w:val="nil"/>
              <w:bottom w:val="single" w:sz="4" w:space="0" w:color="000000"/>
              <w:right w:val="nil"/>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top w:val="nil"/>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nil"/>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top w:val="nil"/>
              <w:left w:val="single" w:sz="4" w:space="0" w:color="000000"/>
              <w:bottom w:val="single" w:sz="4" w:space="0" w:color="000000"/>
              <w:right w:val="single" w:sz="4" w:space="0" w:color="000000"/>
            </w:tcBorders>
            <w:noWrap/>
            <w:vAlign w:val="center"/>
          </w:tcPr>
          <w:p/>
        </w:tc>
        <w:tc>
          <w:tcPr>
            <w:tcW w:w="2197" w:type="dxa"/>
            <w:vMerge/>
            <w:tcBorders>
              <w:top w:val="nil"/>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top w:val="nil"/>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nil"/>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right w:val="nil"/>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ind w:firstLineChars="200" w:firstLine="640"/>
        <w:rPr>
          <w:rFonts w:eastAsia="楷体"/>
          <w:kern w:val="0"/>
          <w:szCs w:val="32"/>
        </w:rPr>
      </w:pPr>
    </w:p>
    <w:p>
      <w:pPr>
        <w:rPr>
          <w:rFonts w:eastAsia="楷体"/>
          <w:kern w:val="0"/>
          <w:szCs w:val="32"/>
        </w:rPr>
        <w:sectPr>
          <w:pgSz w:w="11907" w:h="16840"/>
          <w:pgMar w:top="2041" w:right="1588" w:bottom="2041" w:left="1588" w:header="851" w:footer="1588" w:gutter="0"/>
          <w:pgNumType w:fmt="numberInDash"/>
          <w:titlePg/>
          <w:docGrid w:type="lines" w:linePitch="574" w:charSpace="-1675"/>
        </w:sect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2"/>
        <w:gridCol w:w="447"/>
        <w:gridCol w:w="713"/>
        <w:gridCol w:w="866"/>
        <w:gridCol w:w="600"/>
        <w:gridCol w:w="840"/>
        <w:gridCol w:w="827"/>
        <w:gridCol w:w="360"/>
        <w:gridCol w:w="333"/>
        <w:gridCol w:w="294"/>
        <w:gridCol w:w="346"/>
        <w:gridCol w:w="334"/>
        <w:gridCol w:w="360"/>
        <w:gridCol w:w="320"/>
        <w:gridCol w:w="346"/>
        <w:gridCol w:w="298"/>
      </w:tblGrid>
      <w:tr>
        <w:trPr>
          <w:trHeight w:val="1273"/>
        </w:trPr>
        <w:tc>
          <w:tcPr>
            <w:tcW w:w="8676"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139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447"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1579"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0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8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160"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1658"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496"/>
        </w:trPr>
        <w:tc>
          <w:tcPr>
            <w:tcW w:w="139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类型</w:t>
            </w:r>
          </w:p>
        </w:tc>
        <w:tc>
          <w:tcPr>
            <w:tcW w:w="2026"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项目名称</w:t>
            </w:r>
          </w:p>
        </w:tc>
        <w:tc>
          <w:tcPr>
            <w:tcW w:w="60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部门（单位）名称</w:t>
            </w:r>
          </w:p>
        </w:tc>
        <w:tc>
          <w:tcPr>
            <w:tcW w:w="84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2160"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lang w:eastAsia="zh-CN"/>
              </w:rPr>
              <w:t>本年预算</w:t>
            </w:r>
          </w:p>
        </w:tc>
        <w:tc>
          <w:tcPr>
            <w:tcW w:w="1658"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上年结转结余</w:t>
            </w:r>
          </w:p>
        </w:tc>
      </w:tr>
      <w:tr>
        <w:trPr>
          <w:trHeight w:val="1411"/>
        </w:trPr>
        <w:tc>
          <w:tcPr>
            <w:tcW w:w="1392" w:type="dxa"/>
            <w:vMerge/>
            <w:tcBorders>
              <w:top w:val="single" w:sz="4" w:space="0" w:color="auto"/>
              <w:left w:val="single" w:sz="4" w:space="0" w:color="auto"/>
              <w:bottom w:val="single" w:sz="4" w:space="0" w:color="auto"/>
              <w:right w:val="single" w:sz="4" w:space="0" w:color="auto"/>
            </w:tcBorders>
            <w:noWrap/>
            <w:vAlign w:val="center"/>
          </w:tcPr>
          <w:p/>
        </w:tc>
        <w:tc>
          <w:tcPr>
            <w:tcW w:w="1160"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86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二级</w:t>
            </w:r>
            <w:r>
              <w:rPr>
                <w:rFonts w:ascii="Calibri" w:eastAsia="华文细黑" w:hAnsi="Calibri" w:hint="eastAsia"/>
                <w:color w:val="000000"/>
                <w:sz w:val="20"/>
                <w:szCs w:val="22"/>
                <w:lang w:val="en-US" w:eastAsia="zh-CN"/>
              </w:rPr>
              <w:t xml:space="preserve">  </w:t>
            </w:r>
            <w:r>
              <w:rPr>
                <w:rFonts w:ascii="Calibri" w:eastAsia="华文细黑" w:hAnsi="Calibri" w:hint="eastAsia"/>
                <w:color w:val="000000"/>
                <w:sz w:val="20"/>
                <w:szCs w:val="22"/>
              </w:rPr>
              <w:t>项目</w:t>
            </w:r>
          </w:p>
        </w:tc>
        <w:tc>
          <w:tcPr>
            <w:tcW w:w="60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840" w:type="dxa"/>
            <w:vMerge/>
            <w:tcBorders>
              <w:top w:val="single" w:sz="4" w:space="0" w:color="auto"/>
              <w:left w:val="single" w:sz="4" w:space="0" w:color="auto"/>
              <w:bottom w:val="single" w:sz="4" w:space="0" w:color="auto"/>
              <w:right w:val="single" w:sz="4" w:space="0" w:color="auto"/>
            </w:tcBorders>
            <w:noWrap/>
            <w:vAlign w:val="center"/>
          </w:tcPr>
          <w:p/>
        </w:tc>
        <w:tc>
          <w:tcPr>
            <w:tcW w:w="1520"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294"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346"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lang w:eastAsia="zh-CN"/>
              </w:rPr>
              <w:t>单位资金</w:t>
            </w: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财政拨款结转</w:t>
            </w:r>
          </w:p>
        </w:tc>
        <w:tc>
          <w:tcPr>
            <w:tcW w:w="64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非财政拨款结转结余</w:t>
            </w:r>
          </w:p>
        </w:tc>
      </w:tr>
      <w:tr>
        <w:trPr>
          <w:trHeight w:val="2560"/>
        </w:trPr>
        <w:tc>
          <w:tcPr>
            <w:tcW w:w="1392" w:type="dxa"/>
            <w:vMerge/>
            <w:tcBorders>
              <w:top w:val="single" w:sz="4" w:space="0" w:color="auto"/>
              <w:left w:val="single" w:sz="4" w:space="0" w:color="auto"/>
              <w:bottom w:val="single" w:sz="4" w:space="0" w:color="auto"/>
              <w:right w:val="single" w:sz="4" w:space="0" w:color="auto"/>
            </w:tcBorders>
            <w:noWrap/>
            <w:vAlign w:val="center"/>
          </w:tcPr>
          <w:p/>
        </w:tc>
        <w:tc>
          <w:tcPr>
            <w:tcW w:w="1160" w:type="dxa"/>
            <w:gridSpan w:val="2"/>
            <w:vMerge/>
            <w:tcBorders>
              <w:top w:val="single" w:sz="4" w:space="0" w:color="auto"/>
              <w:left w:val="single" w:sz="4" w:space="0" w:color="auto"/>
              <w:bottom w:val="single" w:sz="4" w:space="0" w:color="auto"/>
              <w:right w:val="single" w:sz="4" w:space="0" w:color="auto"/>
            </w:tcBorders>
            <w:noWrap/>
            <w:vAlign w:val="center"/>
          </w:tcPr>
          <w:p/>
        </w:tc>
        <w:tc>
          <w:tcPr>
            <w:tcW w:w="866" w:type="dxa"/>
            <w:vMerge/>
            <w:tcBorders>
              <w:top w:val="single" w:sz="4" w:space="0" w:color="auto"/>
              <w:left w:val="single" w:sz="4" w:space="0" w:color="auto"/>
              <w:bottom w:val="single" w:sz="4" w:space="0" w:color="auto"/>
              <w:right w:val="single" w:sz="4" w:space="0" w:color="auto"/>
            </w:tcBorders>
            <w:noWrap/>
            <w:vAlign w:val="center"/>
          </w:tcPr>
          <w:p/>
        </w:tc>
        <w:tc>
          <w:tcPr>
            <w:tcW w:w="600" w:type="dxa"/>
            <w:vMerge/>
            <w:tcBorders>
              <w:top w:val="single" w:sz="4" w:space="0" w:color="auto"/>
              <w:left w:val="single" w:sz="4" w:space="0" w:color="auto"/>
              <w:bottom w:val="single" w:sz="4" w:space="0" w:color="auto"/>
              <w:right w:val="single" w:sz="4" w:space="0" w:color="auto"/>
            </w:tcBorders>
            <w:noWrap/>
            <w:vAlign w:val="center"/>
          </w:tcPr>
          <w:p/>
        </w:tc>
        <w:tc>
          <w:tcPr>
            <w:tcW w:w="840" w:type="dxa"/>
            <w:vMerge/>
            <w:tcBorders>
              <w:top w:val="single" w:sz="4" w:space="0" w:color="auto"/>
              <w:left w:val="single" w:sz="4" w:space="0" w:color="auto"/>
              <w:bottom w:val="single" w:sz="4" w:space="0" w:color="auto"/>
              <w:right w:val="single" w:sz="4" w:space="0" w:color="auto"/>
            </w:tcBorders>
            <w:noWrap/>
            <w:vAlign w:val="center"/>
          </w:tcPr>
          <w:p/>
        </w:tc>
        <w:tc>
          <w:tcPr>
            <w:tcW w:w="8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36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预算</w:t>
            </w:r>
          </w:p>
        </w:tc>
        <w:tc>
          <w:tcPr>
            <w:tcW w:w="33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国有资本经营预算</w:t>
            </w:r>
          </w:p>
        </w:tc>
        <w:tc>
          <w:tcPr>
            <w:tcW w:w="294"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346"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33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36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政府性基金预算</w:t>
            </w:r>
          </w:p>
        </w:tc>
        <w:tc>
          <w:tcPr>
            <w:tcW w:w="32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国有资本经营预算</w:t>
            </w:r>
          </w:p>
        </w:tc>
        <w:tc>
          <w:tcPr>
            <w:tcW w:w="346"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298"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450"/>
        </w:trPr>
        <w:tc>
          <w:tcPr>
            <w:tcW w:w="139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专项业务支出</w:t>
            </w:r>
          </w:p>
        </w:tc>
        <w:tc>
          <w:tcPr>
            <w:tcW w:w="1160"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6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hint="eastAsia"/>
                <w:kern w:val="0"/>
                <w:sz w:val="20"/>
                <w:szCs w:val="20"/>
                <w:lang w:val="en-US" w:eastAsia="zh-CN"/>
              </w:rPr>
            </w:pPr>
            <w:r>
              <w:rPr>
                <w:rFonts w:ascii="宋体" w:eastAsia="宋体" w:cs="宋体" w:hint="eastAsia"/>
                <w:kern w:val="0"/>
                <w:sz w:val="20"/>
                <w:szCs w:val="20"/>
                <w:lang w:val="en-US" w:eastAsia="zh-CN"/>
              </w:rPr>
              <w:t>104.78</w:t>
            </w: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104.78</w:t>
            </w: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r>
      <w:tr>
        <w:trPr>
          <w:trHeight w:val="570"/>
        </w:trPr>
        <w:tc>
          <w:tcPr>
            <w:tcW w:w="13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1160"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专项普查活动</w:t>
            </w:r>
          </w:p>
        </w:tc>
        <w:tc>
          <w:tcPr>
            <w:tcW w:w="8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6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88.98</w:t>
            </w: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88.98</w:t>
            </w: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r>
      <w:tr>
        <w:trPr>
          <w:trHeight w:val="700"/>
        </w:trPr>
        <w:tc>
          <w:tcPr>
            <w:tcW w:w="13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1160"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第五次全国经济普查经费</w:t>
            </w:r>
          </w:p>
        </w:tc>
        <w:tc>
          <w:tcPr>
            <w:tcW w:w="60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榆树市统计局</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88.98</w:t>
            </w: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88.98</w:t>
            </w: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r>
      <w:tr>
        <w:trPr>
          <w:trHeight w:val="700"/>
        </w:trPr>
        <w:tc>
          <w:tcPr>
            <w:tcW w:w="13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1160"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专项统计业务</w:t>
            </w:r>
          </w:p>
        </w:tc>
        <w:tc>
          <w:tcPr>
            <w:tcW w:w="8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统计调查经费</w:t>
            </w:r>
          </w:p>
        </w:tc>
        <w:tc>
          <w:tcPr>
            <w:tcW w:w="60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lang w:eastAsia="zh-CN"/>
              </w:rPr>
            </w:pPr>
            <w:r>
              <w:rPr>
                <w:rFonts w:ascii="宋体" w:eastAsia="宋体" w:cs="宋体" w:hint="eastAsia"/>
                <w:kern w:val="0"/>
                <w:sz w:val="20"/>
                <w:szCs w:val="20"/>
                <w:lang w:eastAsia="zh-CN"/>
              </w:rPr>
              <w:t>榆树市统计局</w:t>
            </w: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15.80</w:t>
            </w: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right"/>
              <w:rPr>
                <w:rFonts w:ascii="宋体" w:eastAsia="宋体" w:cs="宋体"/>
                <w:kern w:val="0"/>
                <w:sz w:val="20"/>
                <w:szCs w:val="20"/>
                <w:lang w:val="en-US" w:eastAsia="zh-CN"/>
              </w:rPr>
            </w:pPr>
            <w:r>
              <w:rPr>
                <w:rFonts w:ascii="宋体" w:eastAsia="宋体" w:cs="宋体" w:hint="eastAsia"/>
                <w:kern w:val="0"/>
                <w:sz w:val="20"/>
                <w:szCs w:val="20"/>
                <w:lang w:val="en-US" w:eastAsia="zh-CN"/>
              </w:rPr>
              <w:t>15.80</w:t>
            </w: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r>
      <w:tr>
        <w:trPr>
          <w:trHeight w:val="700"/>
        </w:trPr>
        <w:tc>
          <w:tcPr>
            <w:tcW w:w="139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0"/>
              </w:rPr>
            </w:pPr>
            <w:r>
              <w:rPr>
                <w:rFonts w:ascii="宋体" w:eastAsia="宋体" w:cs="宋体" w:hint="eastAsia"/>
                <w:color w:val="000000"/>
                <w:sz w:val="20"/>
                <w:szCs w:val="20"/>
              </w:rPr>
              <w:t>合计</w:t>
            </w:r>
          </w:p>
        </w:tc>
        <w:tc>
          <w:tcPr>
            <w:tcW w:w="1160" w:type="dxa"/>
            <w:gridSpan w:val="2"/>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0"/>
              </w:rPr>
            </w:pPr>
          </w:p>
        </w:tc>
        <w:tc>
          <w:tcPr>
            <w:tcW w:w="8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6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hint="eastAsia"/>
                <w:kern w:val="0"/>
                <w:sz w:val="20"/>
                <w:szCs w:val="20"/>
                <w:lang w:val="en-US" w:eastAsia="zh-CN"/>
              </w:rPr>
            </w:pPr>
            <w:r>
              <w:rPr>
                <w:rFonts w:ascii="宋体" w:eastAsia="宋体" w:cs="宋体" w:hint="eastAsia"/>
                <w:kern w:val="0"/>
                <w:sz w:val="20"/>
                <w:szCs w:val="20"/>
                <w:lang w:val="en-US" w:eastAsia="zh-CN"/>
              </w:rPr>
              <w:t>104.78</w:t>
            </w: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right"/>
              <w:rPr>
                <w:rFonts w:ascii="宋体" w:eastAsia="宋体" w:cs="宋体" w:hint="eastAsia"/>
                <w:kern w:val="0"/>
                <w:sz w:val="20"/>
                <w:szCs w:val="20"/>
                <w:lang w:val="en-US" w:eastAsia="zh-CN"/>
              </w:rPr>
            </w:pPr>
            <w:r>
              <w:rPr>
                <w:rFonts w:ascii="宋体" w:eastAsia="宋体" w:cs="宋体" w:hint="eastAsia"/>
                <w:kern w:val="0"/>
                <w:sz w:val="20"/>
                <w:szCs w:val="20"/>
                <w:lang w:val="en-US" w:eastAsia="zh-CN"/>
              </w:rPr>
              <w:t>104.78</w:t>
            </w: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3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6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34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c>
          <w:tcPr>
            <w:tcW w:w="29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20"/>
                <w:szCs w:val="20"/>
              </w:rPr>
            </w:pPr>
          </w:p>
        </w:tc>
      </w:tr>
    </w:tbl>
    <w:p>
      <w:pPr>
        <w:rPr>
          <w:rFonts w:eastAsia="楷体"/>
        </w:rPr>
        <w:sectPr>
          <w:pgSz w:w="11907" w:h="16840"/>
          <w:pgMar w:top="2041" w:right="1588" w:bottom="2041" w:left="1588" w:header="851" w:footer="1588" w:gutter="0"/>
          <w:pgNumType w:fmt="numberInDash"/>
          <w:titlePg/>
          <w:docGrid w:type="lines" w:linePitch="574" w:charSpace="-1675"/>
        </w:sect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Calibri" w:eastAsia="方正小标宋简体" w:cs="Times New Roman" w:hAnsi="Calibri"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ascii="Calibri" w:eastAsia="华文细黑" w:cs="Times New Roman" w:hAnsi="Calibri"/>
                <w:color w:val="000000"/>
                <w:kern w:val="0"/>
                <w:sz w:val="20"/>
                <w:szCs w:val="22"/>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Calibri" w:eastAsia="华文细黑" w:cs="Times New Roman" w:hAnsi="Calibri"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left"/>
        <w:tblInd w:w="-915" w:type="dxa"/>
        <w:tblW w:w="1066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375"/>
        <w:gridCol w:w="405"/>
        <w:gridCol w:w="615"/>
        <w:gridCol w:w="4964"/>
        <w:gridCol w:w="403"/>
        <w:gridCol w:w="539"/>
        <w:gridCol w:w="539"/>
        <w:gridCol w:w="1832"/>
        <w:gridCol w:w="570"/>
        <w:gridCol w:w="421"/>
      </w:tblGrid>
      <w:tr>
        <w:trPr>
          <w:trHeight w:val="1064"/>
        </w:trPr>
        <w:tc>
          <w:tcPr>
            <w:tcW w:w="10663" w:type="dxa"/>
            <w:gridSpan w:val="10"/>
            <w:tcBorders>
              <w:top w:val="nil"/>
              <w:left w:val="nil"/>
              <w:bottom w:val="single" w:sz="4" w:space="0" w:color="000000"/>
              <w:right w:val="nil"/>
            </w:tcBorders>
            <w:noWrap/>
          </w:tcPr>
          <w:p>
            <w:pPr>
              <w:widowControl/>
              <w:jc w:val="center"/>
              <w:rPr>
                <w:rFonts w:ascii="Calibri" w:eastAsia="方正小标宋简体" w:cs="Times New Roman" w:hAnsi="Calibri"/>
                <w:kern w:val="0"/>
                <w:sz w:val="44"/>
                <w:szCs w:val="44"/>
              </w:rPr>
            </w:pPr>
            <w:r>
              <w:rPr>
                <w:rFonts w:ascii="Calibri" w:eastAsia="方正小标宋简体" w:cs="Times New Roman" w:hAnsi="Calibri" w:hint="eastAsia"/>
                <w:kern w:val="0"/>
                <w:sz w:val="44"/>
                <w:szCs w:val="44"/>
              </w:rPr>
              <w:t>项目支出</w:t>
            </w:r>
            <w:r>
              <w:rPr>
                <w:rFonts w:ascii="Calibri" w:eastAsia="方正小标宋简体" w:cs="Times New Roman" w:hAnsi="Calibri" w:hint="eastAsia"/>
                <w:kern w:val="0"/>
                <w:sz w:val="44"/>
                <w:szCs w:val="44"/>
                <w:lang w:eastAsia="zh-CN"/>
              </w:rPr>
              <w:t>绩效目标</w:t>
            </w:r>
            <w:r>
              <w:rPr>
                <w:rFonts w:ascii="Calibri" w:eastAsia="方正小标宋简体" w:cs="Times New Roman" w:hAnsi="Calibri"/>
                <w:kern w:val="0"/>
                <w:sz w:val="44"/>
                <w:szCs w:val="44"/>
              </w:rPr>
              <w:t>表</w:t>
            </w:r>
          </w:p>
          <w:p>
            <w:pPr>
              <w:spacing w:line="700" w:lineRule="exact"/>
              <w:jc w:val="right"/>
              <w:rPr>
                <w:rFonts w:ascii="Calibri" w:eastAsia="楷体" w:cs="Times New Roman" w:hAnsi="Calibri"/>
                <w:kern w:val="0"/>
                <w:szCs w:val="32"/>
                <w:vertAlign w:val="baseline"/>
              </w:rPr>
            </w:pPr>
            <w:r>
              <w:rPr>
                <w:rFonts w:ascii="Calibri" w:eastAsia="华文细黑" w:cs="Times New Roman" w:hAnsi="Calibri" w:hint="eastAsia"/>
                <w:color w:val="000000"/>
                <w:sz w:val="20"/>
                <w:szCs w:val="22"/>
              </w:rPr>
              <w:t>单位：万元</w:t>
            </w:r>
          </w:p>
        </w:tc>
      </w:tr>
      <w:tr>
        <w:trPr>
          <w:trHeight w:val="1152"/>
        </w:trPr>
        <w:tc>
          <w:tcPr>
            <w:tcW w:w="37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单位名称</w:t>
            </w:r>
          </w:p>
        </w:tc>
        <w:tc>
          <w:tcPr>
            <w:tcW w:w="4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61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年度资金总额</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（万元）</w:t>
            </w:r>
          </w:p>
        </w:tc>
        <w:tc>
          <w:tcPr>
            <w:tcW w:w="4964"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年度绩效目标</w:t>
            </w:r>
          </w:p>
        </w:tc>
        <w:tc>
          <w:tcPr>
            <w:tcW w:w="40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53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53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1832"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57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42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1118"/>
        </w:trPr>
        <w:tc>
          <w:tcPr>
            <w:tcW w:w="37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榆树市统计局</w:t>
            </w:r>
          </w:p>
          <w:p>
            <w:pPr>
              <w:spacing w:line="240" w:lineRule="auto"/>
              <w:jc w:val="center"/>
              <w:rPr>
                <w:rFonts w:ascii="华文细黑" w:eastAsia="华文细黑" w:cs="华文细黑" w:hint="eastAsia"/>
                <w:kern w:val="0"/>
                <w:sz w:val="16"/>
                <w:szCs w:val="16"/>
                <w:vertAlign w:val="baseline"/>
                <w:lang w:val="en-US" w:eastAsia="zh-CN" w:bidi="ar-SA"/>
              </w:rPr>
            </w:pPr>
          </w:p>
        </w:tc>
        <w:tc>
          <w:tcPr>
            <w:tcW w:w="40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统计调查经费</w:t>
            </w:r>
          </w:p>
        </w:tc>
        <w:tc>
          <w:tcPr>
            <w:tcW w:w="61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lang w:val="en-US" w:eastAsia="zh-CN"/>
              </w:rPr>
            </w:pPr>
            <w:r>
              <w:rPr>
                <w:rFonts w:ascii="华文细黑" w:eastAsia="华文细黑" w:cs="华文细黑" w:hint="eastAsia"/>
                <w:kern w:val="0"/>
                <w:sz w:val="16"/>
                <w:szCs w:val="16"/>
                <w:vertAlign w:val="baseline"/>
              </w:rPr>
              <w:t>15.8</w:t>
            </w:r>
            <w:r>
              <w:rPr>
                <w:rFonts w:ascii="华文细黑" w:eastAsia="华文细黑" w:cs="华文细黑" w:hint="eastAsia"/>
                <w:kern w:val="0"/>
                <w:sz w:val="16"/>
                <w:szCs w:val="16"/>
                <w:vertAlign w:val="baseline"/>
                <w:lang w:val="en-US" w:eastAsia="zh-CN"/>
              </w:rPr>
              <w:t>0</w:t>
            </w:r>
          </w:p>
        </w:tc>
        <w:tc>
          <w:tcPr>
            <w:tcW w:w="4964"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2024年目标：1、组织全市各乡镇街统计助理及全市规模以上企业统计人员业务培训。通过对全市相关统计业务人员的培训，一是可以更广泛、更深入、更系统的学习统计相关法律法规知识，使统计相关法律法规深入人心，争取做到人人知晓统计法、人人了解统计法、人人遵守统计法，从思想上保证统计数据质量；二是提高统计人员数据分析能力，使他们能够更好地理解和解释数据，进一步保证了统计数据的真实准确。 2、到乡镇和企业实地业务指导与数据质量核查。通过实地指导与数据质量核查，及时了解相关企业统计人员在日常统计活动中面临的共性问题、个性问题，并第一时间解决。为榆树市委市政府在宏观经济层面决策提供数据参考，为榆树市县域经济发展提供各类有力的数据支撑。3、面向全市各行各业及人民群众举办统计宣传活动。根据上级部门规定，结合本单位工作实际、利用每年9月份的统计开放日，通过多种手段对统计相关工作进行全方位的宣传。通过宣传，使公众更加深入了解统计工作走过的不平凡历程和取得的辉煌成就，耳濡目染统计科学知识，使社会公众深入认识统计、感受统计，争取广大社会公众理解支持。进一步提升统计数据质量和统计公信力。 4、撰写统计分析。通过撰写榆树市农业、工业、服务业、固定资产投资业等相关专业的统计分析，深入剖析榆树市第一、第二、第三产业的发展现状，遇到的问题，提出相应的解决方式。供榆树市委市政府参考，为榆树市委市政府决策提供统计数据支撑。</w:t>
            </w:r>
          </w:p>
        </w:tc>
        <w:tc>
          <w:tcPr>
            <w:tcW w:w="4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产出指标</w:t>
            </w:r>
          </w:p>
        </w:tc>
        <w:tc>
          <w:tcPr>
            <w:tcW w:w="53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数量指标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培训人次</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反映全局各专业按计划对全市各乡镇街统计助理和相关企业统计人员进行统计业务培训时的参训人员数量情况。</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&gt;=700人次</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15</w:t>
            </w:r>
          </w:p>
        </w:tc>
      </w:tr>
      <w:tr>
        <w:trPr>
          <w:trHeight w:val="667"/>
        </w:trPr>
        <w:tc>
          <w:tcPr>
            <w:tcW w:w="580" w:type="dxa"/>
            <w:vMerge/>
            <w:tcBorders>
              <w:top w:val="single" w:sz="4" w:space="0" w:color="auto"/>
              <w:left w:val="single" w:sz="4" w:space="0" w:color="000000"/>
              <w:bottom w:val="single" w:sz="4" w:space="0" w:color="auto"/>
              <w:right w:val="single" w:sz="4" w:space="0" w:color="000000"/>
            </w:tcBorders>
            <w:noWrap/>
            <w:vAlign w:val="center"/>
          </w:tcPr>
          <w:p/>
        </w:tc>
        <w:tc>
          <w:tcPr>
            <w:tcW w:w="613" w:type="dxa"/>
            <w:vMerge/>
            <w:tcBorders>
              <w:top w:val="single" w:sz="4" w:space="0" w:color="auto"/>
              <w:left w:val="single" w:sz="4" w:space="0" w:color="000000"/>
              <w:bottom w:val="single" w:sz="4" w:space="0" w:color="auto"/>
              <w:right w:val="single" w:sz="4" w:space="0" w:color="000000"/>
            </w:tcBorders>
            <w:noWrap/>
            <w:vAlign w:val="center"/>
          </w:tcPr>
          <w:p/>
        </w:tc>
        <w:tc>
          <w:tcPr>
            <w:tcW w:w="694" w:type="dxa"/>
            <w:vMerge/>
            <w:tcBorders>
              <w:top w:val="single" w:sz="4" w:space="0" w:color="auto"/>
              <w:left w:val="single" w:sz="4" w:space="0" w:color="000000"/>
              <w:bottom w:val="single" w:sz="4" w:space="0" w:color="auto"/>
              <w:right w:val="single" w:sz="4" w:space="0" w:color="000000"/>
            </w:tcBorders>
            <w:noWrap/>
            <w:vAlign w:val="center"/>
          </w:tcPr>
          <w:p/>
        </w:tc>
        <w:tc>
          <w:tcPr>
            <w:tcW w:w="3200" w:type="dxa"/>
            <w:vMerge/>
            <w:tcBorders>
              <w:top w:val="single" w:sz="4" w:space="0" w:color="auto"/>
              <w:left w:val="single" w:sz="4" w:space="0" w:color="000000"/>
              <w:bottom w:val="single" w:sz="4" w:space="0" w:color="auto"/>
              <w:right w:val="single" w:sz="4" w:space="0" w:color="000000"/>
            </w:tcBorders>
            <w:noWrap/>
            <w:vAlign w:val="center"/>
          </w:tcPr>
          <w:p/>
        </w:tc>
        <w:tc>
          <w:tcPr>
            <w:tcW w:w="573" w:type="dxa"/>
            <w:vMerge/>
            <w:tcBorders>
              <w:top w:val="single" w:sz="4" w:space="0" w:color="auto"/>
              <w:left w:val="single" w:sz="4" w:space="0" w:color="auto"/>
              <w:bottom w:val="single" w:sz="4" w:space="0" w:color="auto"/>
              <w:right w:val="single" w:sz="4" w:space="0" w:color="auto"/>
            </w:tcBorders>
            <w:noWrap/>
            <w:vAlign w:val="center"/>
          </w:tcPr>
          <w:p/>
        </w:tc>
        <w:tc>
          <w:tcPr>
            <w:tcW w:w="560" w:type="dxa"/>
            <w:vMerge/>
            <w:tcBorders>
              <w:top w:val="single" w:sz="4" w:space="0" w:color="auto"/>
              <w:left w:val="single" w:sz="4" w:space="0" w:color="auto"/>
              <w:bottom w:val="single" w:sz="4" w:space="0" w:color="auto"/>
              <w:right w:val="single" w:sz="4" w:space="0" w:color="auto"/>
            </w:tcBorders>
            <w:noWrap/>
            <w:vAlign w:val="center"/>
          </w:tcP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普法宣传次数</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反映全年普法宣传次数情况。</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=1次</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5</w:t>
            </w:r>
          </w:p>
        </w:tc>
      </w:tr>
      <w:tr>
        <w:trPr>
          <w:trHeight w:val="892"/>
        </w:trPr>
        <w:tc>
          <w:tcPr>
            <w:tcW w:w="580" w:type="dxa"/>
            <w:vMerge/>
            <w:tcBorders>
              <w:top w:val="single" w:sz="4" w:space="0" w:color="auto"/>
              <w:left w:val="single" w:sz="4" w:space="0" w:color="000000"/>
              <w:bottom w:val="single" w:sz="4" w:space="0" w:color="auto"/>
              <w:right w:val="single" w:sz="4" w:space="0" w:color="000000"/>
            </w:tcBorders>
            <w:noWrap/>
            <w:vAlign w:val="center"/>
          </w:tcPr>
          <w:p/>
        </w:tc>
        <w:tc>
          <w:tcPr>
            <w:tcW w:w="613" w:type="dxa"/>
            <w:vMerge/>
            <w:tcBorders>
              <w:top w:val="single" w:sz="4" w:space="0" w:color="auto"/>
              <w:left w:val="single" w:sz="4" w:space="0" w:color="000000"/>
              <w:bottom w:val="single" w:sz="4" w:space="0" w:color="auto"/>
              <w:right w:val="single" w:sz="4" w:space="0" w:color="000000"/>
            </w:tcBorders>
            <w:noWrap/>
            <w:vAlign w:val="center"/>
          </w:tcPr>
          <w:p/>
        </w:tc>
        <w:tc>
          <w:tcPr>
            <w:tcW w:w="694" w:type="dxa"/>
            <w:vMerge/>
            <w:tcBorders>
              <w:top w:val="single" w:sz="4" w:space="0" w:color="auto"/>
              <w:left w:val="single" w:sz="4" w:space="0" w:color="000000"/>
              <w:bottom w:val="single" w:sz="4" w:space="0" w:color="auto"/>
              <w:right w:val="single" w:sz="4" w:space="0" w:color="000000"/>
            </w:tcBorders>
            <w:noWrap/>
            <w:vAlign w:val="center"/>
          </w:tcPr>
          <w:p/>
        </w:tc>
        <w:tc>
          <w:tcPr>
            <w:tcW w:w="3200" w:type="dxa"/>
            <w:vMerge/>
            <w:tcBorders>
              <w:top w:val="single" w:sz="4" w:space="0" w:color="auto"/>
              <w:left w:val="single" w:sz="4" w:space="0" w:color="000000"/>
              <w:bottom w:val="single" w:sz="4" w:space="0" w:color="auto"/>
              <w:right w:val="single" w:sz="4" w:space="0" w:color="000000"/>
            </w:tcBorders>
            <w:noWrap/>
            <w:vAlign w:val="center"/>
          </w:tcPr>
          <w:p/>
        </w:tc>
        <w:tc>
          <w:tcPr>
            <w:tcW w:w="573" w:type="dxa"/>
            <w:vMerge/>
            <w:tcBorders>
              <w:top w:val="single" w:sz="4" w:space="0" w:color="auto"/>
              <w:left w:val="single" w:sz="4" w:space="0" w:color="auto"/>
              <w:bottom w:val="single" w:sz="4" w:space="0" w:color="auto"/>
              <w:right w:val="single" w:sz="4" w:space="0" w:color="auto"/>
            </w:tcBorders>
            <w:noWrap/>
            <w:vAlign w:val="center"/>
          </w:tcPr>
          <w:p/>
        </w:tc>
        <w:tc>
          <w:tcPr>
            <w:tcW w:w="560" w:type="dxa"/>
            <w:vMerge/>
            <w:tcBorders>
              <w:top w:val="single" w:sz="4" w:space="0" w:color="auto"/>
              <w:left w:val="single" w:sz="4" w:space="0" w:color="auto"/>
              <w:bottom w:val="single" w:sz="4" w:space="0" w:color="auto"/>
              <w:right w:val="single" w:sz="4" w:space="0" w:color="auto"/>
            </w:tcBorders>
            <w:noWrap/>
            <w:vAlign w:val="center"/>
          </w:tcP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统计分析报告篇数</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统计相关专业人员从各自专业角度撰写的反映榆树市经济运行发展状况的统计分析报告篇数。</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&gt;=2篇</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20</w:t>
            </w:r>
          </w:p>
        </w:tc>
      </w:tr>
      <w:tr>
        <w:trPr>
          <w:trHeight w:val="1118"/>
        </w:trPr>
        <w:tc>
          <w:tcPr>
            <w:tcW w:w="580" w:type="dxa"/>
            <w:vMerge/>
            <w:tcBorders>
              <w:top w:val="single" w:sz="4" w:space="0" w:color="auto"/>
              <w:left w:val="single" w:sz="4" w:space="0" w:color="000000"/>
              <w:bottom w:val="single" w:sz="4" w:space="0" w:color="auto"/>
              <w:right w:val="single" w:sz="4" w:space="0" w:color="000000"/>
            </w:tcBorders>
            <w:noWrap/>
            <w:vAlign w:val="center"/>
          </w:tcPr>
          <w:p/>
        </w:tc>
        <w:tc>
          <w:tcPr>
            <w:tcW w:w="613" w:type="dxa"/>
            <w:vMerge/>
            <w:tcBorders>
              <w:top w:val="single" w:sz="4" w:space="0" w:color="auto"/>
              <w:left w:val="single" w:sz="4" w:space="0" w:color="000000"/>
              <w:bottom w:val="single" w:sz="4" w:space="0" w:color="auto"/>
              <w:right w:val="single" w:sz="4" w:space="0" w:color="000000"/>
            </w:tcBorders>
            <w:noWrap/>
            <w:vAlign w:val="center"/>
          </w:tcPr>
          <w:p/>
        </w:tc>
        <w:tc>
          <w:tcPr>
            <w:tcW w:w="694" w:type="dxa"/>
            <w:vMerge/>
            <w:tcBorders>
              <w:top w:val="single" w:sz="4" w:space="0" w:color="auto"/>
              <w:left w:val="single" w:sz="4" w:space="0" w:color="000000"/>
              <w:bottom w:val="single" w:sz="4" w:space="0" w:color="auto"/>
              <w:right w:val="single" w:sz="4" w:space="0" w:color="000000"/>
            </w:tcBorders>
            <w:noWrap/>
            <w:vAlign w:val="center"/>
          </w:tcPr>
          <w:p/>
        </w:tc>
        <w:tc>
          <w:tcPr>
            <w:tcW w:w="3200" w:type="dxa"/>
            <w:vMerge/>
            <w:tcBorders>
              <w:top w:val="single" w:sz="4" w:space="0" w:color="auto"/>
              <w:left w:val="single" w:sz="4" w:space="0" w:color="000000"/>
              <w:bottom w:val="single" w:sz="4" w:space="0" w:color="auto"/>
              <w:right w:val="single" w:sz="4" w:space="0" w:color="000000"/>
            </w:tcBorders>
            <w:noWrap/>
            <w:vAlign w:val="center"/>
          </w:tcPr>
          <w:p/>
        </w:tc>
        <w:tc>
          <w:tcPr>
            <w:tcW w:w="573" w:type="dxa"/>
            <w:vMerge/>
            <w:tcBorders>
              <w:top w:val="single" w:sz="4" w:space="0" w:color="auto"/>
              <w:left w:val="single" w:sz="4" w:space="0" w:color="auto"/>
              <w:bottom w:val="single" w:sz="4" w:space="0" w:color="auto"/>
              <w:right w:val="single" w:sz="4" w:space="0" w:color="auto"/>
            </w:tcBorders>
            <w:noWrap/>
            <w:vAlign w:val="center"/>
          </w:tcP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时效指标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统计培训完成及时率</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反映统计培训及时完成的情况。2024年完成当年全部培训计划。</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11月底前</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10</w:t>
            </w:r>
          </w:p>
        </w:tc>
      </w:tr>
      <w:tr>
        <w:trPr>
          <w:trHeight w:val="892"/>
        </w:trPr>
        <w:tc>
          <w:tcPr>
            <w:tcW w:w="580" w:type="dxa"/>
            <w:vMerge/>
            <w:tcBorders>
              <w:top w:val="single" w:sz="4" w:space="0" w:color="auto"/>
              <w:left w:val="single" w:sz="4" w:space="0" w:color="000000"/>
              <w:bottom w:val="single" w:sz="4" w:space="0" w:color="auto"/>
              <w:right w:val="single" w:sz="4" w:space="0" w:color="000000"/>
            </w:tcBorders>
            <w:noWrap/>
            <w:vAlign w:val="center"/>
          </w:tcPr>
          <w:p/>
        </w:tc>
        <w:tc>
          <w:tcPr>
            <w:tcW w:w="613" w:type="dxa"/>
            <w:vMerge/>
            <w:tcBorders>
              <w:top w:val="single" w:sz="4" w:space="0" w:color="auto"/>
              <w:left w:val="single" w:sz="4" w:space="0" w:color="000000"/>
              <w:bottom w:val="single" w:sz="4" w:space="0" w:color="auto"/>
              <w:right w:val="single" w:sz="4" w:space="0" w:color="000000"/>
            </w:tcBorders>
            <w:noWrap/>
            <w:vAlign w:val="center"/>
          </w:tcPr>
          <w:p/>
        </w:tc>
        <w:tc>
          <w:tcPr>
            <w:tcW w:w="694" w:type="dxa"/>
            <w:vMerge/>
            <w:tcBorders>
              <w:top w:val="single" w:sz="4" w:space="0" w:color="auto"/>
              <w:left w:val="single" w:sz="4" w:space="0" w:color="000000"/>
              <w:bottom w:val="single" w:sz="4" w:space="0" w:color="auto"/>
              <w:right w:val="single" w:sz="4" w:space="0" w:color="000000"/>
            </w:tcBorders>
            <w:noWrap/>
            <w:vAlign w:val="center"/>
          </w:tcPr>
          <w:p/>
        </w:tc>
        <w:tc>
          <w:tcPr>
            <w:tcW w:w="3200" w:type="dxa"/>
            <w:vMerge/>
            <w:tcBorders>
              <w:top w:val="single" w:sz="4" w:space="0" w:color="auto"/>
              <w:left w:val="single" w:sz="4" w:space="0" w:color="000000"/>
              <w:bottom w:val="single" w:sz="4" w:space="0" w:color="auto"/>
              <w:right w:val="single" w:sz="4" w:space="0" w:color="000000"/>
            </w:tcBorders>
            <w:noWrap/>
            <w:vAlign w:val="center"/>
          </w:tcPr>
          <w:p/>
        </w:tc>
        <w:tc>
          <w:tcPr>
            <w:tcW w:w="4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效益指标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社会效益指标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培训覆盖率</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反映统计业务培训覆盖全市28个乡镇街统计助理及相关企业统计报表人员的覆盖情况。</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=100%</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40</w:t>
            </w:r>
          </w:p>
        </w:tc>
      </w:tr>
      <w:tr>
        <w:trPr>
          <w:trHeight w:val="3735"/>
        </w:trPr>
        <w:tc>
          <w:tcPr>
            <w:tcW w:w="580" w:type="dxa"/>
            <w:vMerge/>
            <w:tcBorders>
              <w:top w:val="single" w:sz="4" w:space="0" w:color="auto"/>
              <w:left w:val="single" w:sz="4" w:space="0" w:color="000000"/>
              <w:bottom w:val="single" w:sz="4" w:space="0" w:color="auto"/>
              <w:right w:val="single" w:sz="4" w:space="0" w:color="000000"/>
            </w:tcBorders>
            <w:noWrap/>
            <w:vAlign w:val="center"/>
          </w:tcPr>
          <w:p/>
        </w:tc>
        <w:tc>
          <w:tcPr>
            <w:tcW w:w="40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第五次全国经济普查经费</w:t>
            </w:r>
          </w:p>
        </w:tc>
        <w:tc>
          <w:tcPr>
            <w:tcW w:w="61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88.98</w:t>
            </w:r>
          </w:p>
        </w:tc>
        <w:tc>
          <w:tcPr>
            <w:tcW w:w="4964"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1、部署并组织开展宣传动员工作。通过广泛开展宣传，调动榆树市普查指导员、普查员和社会各界的积极性，为接下来五经普后续工作的顺利开展做好宣传铺垫。2.开展正式登记工作。结合相关行管部门现有资料，在正式入户登记时快速准确的填报系统中的各项信息，有效防止错统、漏统，保证普查数据真实准确。3、发放两员补助。根据国家、省、市相关文件，结合榆树市所属各乡镇街五经普工作的工作量、工作效果及普查数据质量，像普查指导员、普查员发放两员补助。两员补助的发放一是可以最大限度的调动普查两员的积极性，有利于五经普后续工作的持续良性开展；二是通过发放两员补助，提高统计公信力，使大家支持统计工作，对统计工作更加积极，便于后续类似的大型普查更加顺利开展。通过开展经济普查，全面把握榆树市经济发展情况，有利于进一步加强和改善宏观调控，更好的服务推动榆树市经济持续向好，进而提升经济发展水平，使全市人民受益。进行相关技术总结，可以为以后的农业普查、经济普查、人口普查等大型普查提供详实的历史经验，少走弯路，节约时间，节约资源，将有限的人力物力财力投放到关键部位，同时保证统计数据质量。通过开展经济普查，全面把握榆树市经济发展情况，有利于进一步加强和改善宏观调控，更好的服务推动榆树市经济持续向好，进而提升经济发展水平，使全市人民受益。及时进行普查工作总结，为日后各类大型普查提供丰富经验，避免走弯路。通过普查所反映的经济数据，摸清各类单位基本情况，掌握国民经济行业间的经济联系。为榆树市委市政府决策提供正确的数据参考。</w:t>
            </w:r>
          </w:p>
        </w:tc>
        <w:tc>
          <w:tcPr>
            <w:tcW w:w="4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产出指标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数量指标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普查员、普查指导员补贴发放人数</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反映普查员、普查指导员补贴发放人数。</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&gt;=950人</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50</w:t>
            </w:r>
          </w:p>
        </w:tc>
      </w:tr>
      <w:tr>
        <w:trPr>
          <w:trHeight w:val="1344"/>
        </w:trPr>
        <w:tc>
          <w:tcPr>
            <w:tcW w:w="375" w:type="dxa"/>
            <w:vMerge/>
            <w:tcBorders>
              <w:top w:val="single" w:sz="4" w:space="0" w:color="auto"/>
              <w:left w:val="single" w:sz="4" w:space="0" w:color="000000"/>
              <w:bottom w:val="single" w:sz="4" w:space="0" w:color="auto"/>
              <w:right w:val="single" w:sz="4" w:space="0" w:color="000000"/>
            </w:tcBorders>
            <w:noWrap/>
          </w:tcPr>
          <w:p/>
        </w:tc>
        <w:tc>
          <w:tcPr>
            <w:tcW w:w="613" w:type="dxa"/>
            <w:vMerge/>
            <w:tcBorders>
              <w:top w:val="single" w:sz="4" w:space="0" w:color="auto"/>
              <w:left w:val="single" w:sz="4" w:space="0" w:color="000000"/>
              <w:bottom w:val="single" w:sz="4" w:space="0" w:color="auto"/>
              <w:right w:val="single" w:sz="4" w:space="0" w:color="000000"/>
            </w:tcBorders>
            <w:noWrap/>
          </w:tcPr>
          <w:p/>
        </w:tc>
        <w:tc>
          <w:tcPr>
            <w:tcW w:w="694" w:type="dxa"/>
            <w:vMerge/>
            <w:tcBorders>
              <w:top w:val="single" w:sz="4" w:space="0" w:color="auto"/>
              <w:left w:val="single" w:sz="4" w:space="0" w:color="000000"/>
              <w:bottom w:val="single" w:sz="4" w:space="0" w:color="auto"/>
              <w:right w:val="single" w:sz="4" w:space="0" w:color="000000"/>
            </w:tcBorders>
            <w:noWrap/>
          </w:tcPr>
          <w:p/>
        </w:tc>
        <w:tc>
          <w:tcPr>
            <w:tcW w:w="3200" w:type="dxa"/>
            <w:vMerge/>
            <w:tcBorders>
              <w:top w:val="single" w:sz="4" w:space="0" w:color="auto"/>
              <w:left w:val="single" w:sz="4" w:space="0" w:color="000000"/>
              <w:bottom w:val="single" w:sz="4" w:space="0" w:color="auto"/>
              <w:right w:val="single" w:sz="4" w:space="0" w:color="000000"/>
            </w:tcBorders>
            <w:noWrap/>
          </w:tcPr>
          <w:p/>
        </w:tc>
        <w:tc>
          <w:tcPr>
            <w:tcW w:w="4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效益指标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社会效益指标</w:t>
            </w:r>
          </w:p>
        </w:tc>
        <w:tc>
          <w:tcPr>
            <w:tcW w:w="5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完成经济普查技术工作总结</w:t>
            </w:r>
          </w:p>
        </w:tc>
        <w:tc>
          <w:tcPr>
            <w:tcW w:w="18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形成经济普查各阶段技术工作总结，便于指导今后工作。</w:t>
            </w:r>
          </w:p>
        </w:tc>
        <w:tc>
          <w:tcPr>
            <w:tcW w:w="5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&gt;=2篇</w:t>
            </w: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40</w:t>
            </w:r>
          </w:p>
        </w:tc>
      </w:tr>
    </w:tbl>
    <w:p>
      <w:pPr>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4</w:t>
      </w:r>
      <w:r>
        <w:rPr>
          <w:rFonts w:eastAsia="黑体"/>
          <w:szCs w:val="32"/>
        </w:rPr>
        <w:t>年收支预算总体情况</w:t>
      </w:r>
    </w:p>
    <w:p>
      <w:pPr>
        <w:ind w:firstLineChars="200" w:firstLine="64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320.54</w:t>
      </w:r>
      <w:r>
        <w:rPr>
          <w:szCs w:val="32"/>
        </w:rPr>
        <w:t>万元</w:t>
      </w:r>
      <w:r>
        <w:rPr>
          <w:rFonts w:hint="eastAsia"/>
          <w:szCs w:val="32"/>
          <w:lang w:eastAsia="zh-CN"/>
        </w:rPr>
        <w:t>，其中：本年预算</w:t>
      </w:r>
      <w:r>
        <w:rPr>
          <w:rFonts w:hint="eastAsia"/>
          <w:szCs w:val="32"/>
          <w:lang w:val="en-US" w:eastAsia="zh-CN"/>
        </w:rPr>
        <w:t>302.27</w:t>
      </w:r>
      <w:r>
        <w:rPr>
          <w:rFonts w:hint="eastAsia"/>
          <w:szCs w:val="32"/>
          <w:lang w:eastAsia="zh-CN"/>
        </w:rPr>
        <w:t>万元；上年结转</w:t>
      </w:r>
      <w:r>
        <w:rPr>
          <w:rFonts w:hint="eastAsia"/>
          <w:szCs w:val="32"/>
          <w:lang w:val="en-US" w:eastAsia="zh-CN"/>
        </w:rPr>
        <w:t>18.27</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111.82</w:t>
      </w:r>
      <w:r>
        <w:rPr>
          <w:szCs w:val="32"/>
        </w:rPr>
        <w:t>万元，主要原因</w:t>
      </w:r>
      <w:r>
        <w:rPr>
          <w:rFonts w:hint="eastAsia"/>
          <w:szCs w:val="32"/>
          <w:lang w:eastAsia="zh-CN"/>
        </w:rPr>
        <w:t>一</w:t>
      </w:r>
      <w:r>
        <w:rPr>
          <w:szCs w:val="32"/>
        </w:rPr>
        <w:t>是</w:t>
      </w:r>
      <w:r>
        <w:rPr>
          <w:rFonts w:hint="eastAsia"/>
          <w:szCs w:val="32"/>
          <w:lang w:eastAsia="zh-CN"/>
        </w:rPr>
        <w:t>本年度开展第五次全国经济普查工作，相关普查经费较上年有所增加；二是</w:t>
      </w:r>
      <w:r>
        <w:rPr>
          <w:rFonts w:hint="eastAsia"/>
          <w:szCs w:val="32"/>
          <w:lang w:val="en-US" w:eastAsia="zh-CN"/>
        </w:rPr>
        <w:t>本年度人员工资调整导致基本支出有所增加。</w:t>
      </w:r>
    </w:p>
    <w:p>
      <w:pPr>
        <w:ind w:firstLineChars="200" w:firstLine="640"/>
        <w:rPr>
          <w:rFonts w:eastAsia="黑体"/>
          <w:szCs w:val="32"/>
        </w:rPr>
      </w:pPr>
      <w:r>
        <w:rPr>
          <w:rFonts w:eastAsia="黑体"/>
          <w:szCs w:val="32"/>
        </w:rPr>
        <w:t>二、20</w:t>
      </w:r>
      <w:r>
        <w:rPr>
          <w:rFonts w:eastAsia="黑体" w:hint="eastAsia"/>
          <w:szCs w:val="32"/>
        </w:rPr>
        <w:t>2</w:t>
      </w:r>
      <w:r>
        <w:rPr>
          <w:rFonts w:eastAsia="黑体" w:hint="eastAsia"/>
          <w:szCs w:val="32"/>
          <w:lang w:val="en-US" w:eastAsia="zh-CN"/>
        </w:rPr>
        <w:t>4</w:t>
      </w:r>
      <w:r>
        <w:rPr>
          <w:rFonts w:eastAsia="黑体"/>
          <w:szCs w:val="32"/>
        </w:rPr>
        <w:t>年收入预算情况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320.54</w:t>
      </w:r>
      <w:r>
        <w:rPr>
          <w:szCs w:val="32"/>
        </w:rPr>
        <w:t>万元，其中：本年收入</w:t>
      </w:r>
      <w:r>
        <w:rPr>
          <w:rFonts w:hint="eastAsia"/>
          <w:szCs w:val="32"/>
          <w:lang w:val="en-US" w:eastAsia="zh-CN"/>
        </w:rPr>
        <w:t>302.27</w:t>
      </w:r>
      <w:r>
        <w:rPr>
          <w:szCs w:val="32"/>
        </w:rPr>
        <w:t>万元，占</w:t>
      </w:r>
      <w:r>
        <w:rPr>
          <w:rFonts w:hint="eastAsia"/>
          <w:szCs w:val="32"/>
          <w:lang w:val="en-US" w:eastAsia="zh-CN"/>
        </w:rPr>
        <w:t>94.30</w:t>
      </w:r>
      <w:r>
        <w:rPr>
          <w:szCs w:val="32"/>
        </w:rPr>
        <w:t>%；上年结转</w:t>
      </w:r>
      <w:r>
        <w:rPr>
          <w:rFonts w:hint="eastAsia"/>
          <w:szCs w:val="32"/>
          <w:lang w:eastAsia="zh-CN"/>
        </w:rPr>
        <w:t>结余</w:t>
      </w:r>
      <w:r>
        <w:rPr>
          <w:rFonts w:hint="eastAsia"/>
          <w:szCs w:val="32"/>
          <w:lang w:val="en-US" w:eastAsia="zh-CN"/>
        </w:rPr>
        <w:t>18.27</w:t>
      </w:r>
      <w:r>
        <w:rPr>
          <w:szCs w:val="32"/>
        </w:rPr>
        <w:t>万元，占</w:t>
      </w:r>
      <w:r>
        <w:rPr>
          <w:rFonts w:hint="eastAsia"/>
          <w:szCs w:val="32"/>
          <w:lang w:val="en-US" w:eastAsia="zh-CN"/>
        </w:rPr>
        <w:t>5.70</w:t>
      </w:r>
      <w:r>
        <w:rPr>
          <w:szCs w:val="32"/>
        </w:rPr>
        <w:t>%。本年收入中，一般公共预算拨款收入</w:t>
      </w:r>
      <w:r>
        <w:rPr>
          <w:rFonts w:hint="eastAsia"/>
          <w:szCs w:val="32"/>
          <w:lang w:val="en-US" w:eastAsia="zh-CN"/>
        </w:rPr>
        <w:t>302.27</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18.27</w:t>
      </w:r>
      <w:r>
        <w:rPr>
          <w:szCs w:val="32"/>
        </w:rPr>
        <w:t>万元，占</w:t>
      </w:r>
      <w:r>
        <w:rPr>
          <w:rFonts w:hint="eastAsia"/>
          <w:szCs w:val="32"/>
          <w:lang w:val="en-US" w:eastAsia="zh-CN"/>
        </w:rPr>
        <w:t>100</w:t>
      </w:r>
      <w:r>
        <w:rPr>
          <w:szCs w:val="32"/>
        </w:rPr>
        <w:t>%</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4</w:t>
      </w:r>
      <w:r>
        <w:rPr>
          <w:rFonts w:eastAsia="黑体"/>
          <w:szCs w:val="32"/>
        </w:rPr>
        <w:t>年支出预算情况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320.54</w:t>
      </w:r>
      <w:r>
        <w:rPr>
          <w:szCs w:val="32"/>
        </w:rPr>
        <w:t>万元，其中：基本支出</w:t>
      </w:r>
      <w:r>
        <w:rPr>
          <w:rFonts w:hint="eastAsia"/>
          <w:szCs w:val="32"/>
          <w:lang w:val="en-US" w:eastAsia="zh-CN"/>
        </w:rPr>
        <w:t>215.76</w:t>
      </w:r>
      <w:r>
        <w:rPr>
          <w:szCs w:val="32"/>
        </w:rPr>
        <w:t>万元，占</w:t>
      </w:r>
      <w:r>
        <w:rPr>
          <w:rFonts w:hint="eastAsia"/>
          <w:szCs w:val="32"/>
          <w:lang w:val="en-US" w:eastAsia="zh-CN"/>
        </w:rPr>
        <w:t>67.31</w:t>
      </w:r>
      <w:r>
        <w:rPr>
          <w:szCs w:val="32"/>
        </w:rPr>
        <w:t>%；项目支出</w:t>
      </w:r>
      <w:r>
        <w:rPr>
          <w:rFonts w:hint="eastAsia"/>
          <w:szCs w:val="32"/>
          <w:lang w:val="en-US" w:eastAsia="zh-CN"/>
        </w:rPr>
        <w:t>104.78</w:t>
      </w:r>
      <w:r>
        <w:rPr>
          <w:szCs w:val="32"/>
        </w:rPr>
        <w:t>万元，占</w:t>
      </w:r>
      <w:r>
        <w:rPr>
          <w:rFonts w:hint="eastAsia"/>
          <w:szCs w:val="32"/>
          <w:lang w:val="en-US" w:eastAsia="zh-CN"/>
        </w:rPr>
        <w:t>32.69</w:t>
      </w:r>
      <w:r>
        <w:rPr>
          <w:szCs w:val="32"/>
        </w:rPr>
        <w:t>%。</w:t>
      </w:r>
    </w:p>
    <w:p>
      <w:pPr>
        <w:ind w:firstLineChars="200" w:firstLine="640"/>
        <w:rPr>
          <w:rFonts w:eastAsia="黑体"/>
          <w:szCs w:val="32"/>
        </w:rPr>
      </w:pPr>
      <w:r>
        <w:rPr>
          <w:rFonts w:eastAsia="黑体"/>
          <w:szCs w:val="32"/>
        </w:rPr>
        <w:t>四、20</w:t>
      </w:r>
      <w:r>
        <w:rPr>
          <w:rFonts w:eastAsia="黑体" w:hint="eastAsia"/>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320.54</w:t>
      </w:r>
      <w:r>
        <w:rPr>
          <w:szCs w:val="32"/>
        </w:rPr>
        <w:t>万元，其中：</w:t>
      </w:r>
      <w:r>
        <w:rPr>
          <w:rFonts w:hint="eastAsia"/>
          <w:szCs w:val="32"/>
        </w:rPr>
        <w:t>本年</w:t>
      </w:r>
      <w:r>
        <w:rPr>
          <w:rFonts w:hint="eastAsia"/>
          <w:szCs w:val="32"/>
          <w:lang w:eastAsia="zh-CN"/>
        </w:rPr>
        <w:t>预算</w:t>
      </w:r>
      <w:r>
        <w:rPr>
          <w:rFonts w:hint="eastAsia"/>
          <w:szCs w:val="32"/>
          <w:lang w:val="en-US" w:eastAsia="zh-CN"/>
        </w:rPr>
        <w:t>302.27</w:t>
      </w:r>
      <w:r>
        <w:rPr>
          <w:szCs w:val="32"/>
        </w:rPr>
        <w:t>万元</w:t>
      </w:r>
      <w:r>
        <w:rPr>
          <w:rFonts w:hint="eastAsia"/>
          <w:szCs w:val="32"/>
        </w:rPr>
        <w:t>，上年结转</w:t>
      </w:r>
      <w:r>
        <w:rPr>
          <w:rFonts w:hint="eastAsia"/>
          <w:szCs w:val="32"/>
          <w:lang w:val="en-US" w:eastAsia="zh-CN"/>
        </w:rPr>
        <w:t>18.27</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268.14</w:t>
      </w:r>
      <w:r>
        <w:rPr>
          <w:szCs w:val="32"/>
        </w:rPr>
        <w:t>万元，</w:t>
      </w:r>
      <w:r>
        <w:rPr>
          <w:kern w:val="0"/>
          <w:szCs w:val="32"/>
        </w:rPr>
        <w:t>社会保障和就业支出</w:t>
      </w:r>
      <w:r>
        <w:rPr>
          <w:rFonts w:hint="eastAsia"/>
          <w:szCs w:val="32"/>
          <w:lang w:val="en-US" w:eastAsia="zh-CN"/>
        </w:rPr>
        <w:t>27.52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6.72</w:t>
      </w:r>
      <w:r>
        <w:rPr>
          <w:szCs w:val="32"/>
        </w:rPr>
        <w:t>万元，</w:t>
      </w:r>
      <w:r>
        <w:rPr>
          <w:kern w:val="0"/>
          <w:szCs w:val="32"/>
        </w:rPr>
        <w:t>住房保障支出</w:t>
      </w:r>
      <w:r>
        <w:rPr>
          <w:rFonts w:hint="eastAsia"/>
          <w:szCs w:val="32"/>
          <w:lang w:val="en-US" w:eastAsia="zh-CN"/>
        </w:rPr>
        <w:t>18.16</w:t>
      </w:r>
      <w:r>
        <w:rPr>
          <w:szCs w:val="32"/>
        </w:rPr>
        <w:t>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320.54</w:t>
      </w:r>
      <w:r>
        <w:rPr>
          <w:szCs w:val="32"/>
        </w:rPr>
        <w:t>万元，其中：基本支出</w:t>
      </w:r>
      <w:r>
        <w:rPr>
          <w:rFonts w:hint="eastAsia"/>
          <w:szCs w:val="32"/>
          <w:lang w:val="en-US" w:eastAsia="zh-CN"/>
        </w:rPr>
        <w:t>215.76</w:t>
      </w:r>
      <w:r>
        <w:rPr>
          <w:szCs w:val="32"/>
        </w:rPr>
        <w:t>万元，占</w:t>
      </w:r>
      <w:r>
        <w:rPr>
          <w:rFonts w:hint="eastAsia"/>
          <w:szCs w:val="32"/>
          <w:lang w:val="en-US" w:eastAsia="zh-CN"/>
        </w:rPr>
        <w:t>67.31</w:t>
      </w:r>
      <w:r>
        <w:rPr>
          <w:szCs w:val="32"/>
        </w:rPr>
        <w:t>%；项目支出</w:t>
      </w:r>
      <w:r>
        <w:rPr>
          <w:rFonts w:hint="eastAsia"/>
          <w:szCs w:val="32"/>
          <w:lang w:val="en-US" w:eastAsia="zh-CN"/>
        </w:rPr>
        <w:t>104.78</w:t>
      </w:r>
      <w:r>
        <w:rPr>
          <w:szCs w:val="32"/>
        </w:rPr>
        <w:t>万元，占</w:t>
      </w:r>
      <w:r>
        <w:rPr>
          <w:rFonts w:hint="eastAsia"/>
          <w:szCs w:val="32"/>
          <w:lang w:val="en-US" w:eastAsia="zh-CN"/>
        </w:rPr>
        <w:t>32.69</w:t>
      </w:r>
      <w:r>
        <w:rPr>
          <w:szCs w:val="32"/>
        </w:rPr>
        <w:t>%。基本支出中，人员经费</w:t>
      </w:r>
      <w:r>
        <w:rPr>
          <w:rFonts w:hint="eastAsia"/>
          <w:szCs w:val="32"/>
          <w:lang w:val="en-US" w:eastAsia="zh-CN"/>
        </w:rPr>
        <w:t>174.80</w:t>
      </w:r>
      <w:r>
        <w:rPr>
          <w:szCs w:val="32"/>
        </w:rPr>
        <w:t>万元，占</w:t>
      </w:r>
      <w:r>
        <w:rPr>
          <w:rFonts w:hint="eastAsia"/>
          <w:szCs w:val="32"/>
          <w:lang w:val="en-US" w:eastAsia="zh-CN"/>
        </w:rPr>
        <w:t>81.02</w:t>
      </w:r>
      <w:r>
        <w:rPr>
          <w:szCs w:val="32"/>
        </w:rPr>
        <w:t>%；公用经费</w:t>
      </w:r>
      <w:r>
        <w:rPr>
          <w:rFonts w:hint="eastAsia"/>
          <w:szCs w:val="32"/>
          <w:lang w:val="en-US" w:eastAsia="zh-CN"/>
        </w:rPr>
        <w:t>40.96</w:t>
      </w:r>
      <w:r>
        <w:rPr>
          <w:szCs w:val="32"/>
        </w:rPr>
        <w:t>万元，占</w:t>
      </w:r>
      <w:r>
        <w:rPr>
          <w:rFonts w:hint="eastAsia"/>
          <w:szCs w:val="32"/>
          <w:lang w:val="en-US" w:eastAsia="zh-CN"/>
        </w:rPr>
        <w:t>18.98</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szCs w:val="32"/>
        </w:rPr>
      </w:pPr>
      <w:r>
        <w:rPr>
          <w:szCs w:val="32"/>
        </w:rPr>
        <w:t>一般公共服务（类）支出</w:t>
      </w:r>
      <w:r>
        <w:rPr>
          <w:rFonts w:hint="eastAsia"/>
          <w:szCs w:val="32"/>
          <w:lang w:val="en-US" w:eastAsia="zh-CN"/>
        </w:rPr>
        <w:t>268.14</w:t>
      </w:r>
      <w:r>
        <w:rPr>
          <w:szCs w:val="32"/>
        </w:rPr>
        <w:t>万元，占</w:t>
      </w:r>
      <w:r>
        <w:rPr>
          <w:rFonts w:hint="eastAsia"/>
          <w:szCs w:val="32"/>
          <w:lang w:val="en-US" w:eastAsia="zh-CN"/>
        </w:rPr>
        <w:t>83.66</w:t>
      </w:r>
      <w:r>
        <w:rPr>
          <w:szCs w:val="32"/>
        </w:rPr>
        <w:t>%，主要用于</w:t>
      </w:r>
      <w:r>
        <w:rPr>
          <w:rFonts w:hint="eastAsia"/>
          <w:szCs w:val="32"/>
          <w:u w:val="none"/>
          <w:lang w:eastAsia="zh-CN"/>
        </w:rPr>
        <w:t>保障职工工资，维持机关正常运转，完成年度统计工作任务及第五次全国经济普查相关工作</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szCs w:val="32"/>
        </w:rPr>
      </w:pPr>
      <w:r>
        <w:rPr>
          <w:szCs w:val="32"/>
        </w:rPr>
        <w:t>社会保障和就业（类）支出</w:t>
      </w:r>
      <w:r>
        <w:rPr>
          <w:rFonts w:hint="eastAsia"/>
          <w:szCs w:val="32"/>
          <w:lang w:val="en-US" w:eastAsia="zh-CN"/>
        </w:rPr>
        <w:t>27.52</w:t>
      </w:r>
      <w:r>
        <w:rPr>
          <w:szCs w:val="32"/>
        </w:rPr>
        <w:t>万元，占</w:t>
      </w:r>
      <w:r>
        <w:rPr>
          <w:rFonts w:hint="eastAsia"/>
          <w:szCs w:val="32"/>
          <w:lang w:val="en-US" w:eastAsia="zh-CN"/>
        </w:rPr>
        <w:t>8.58</w:t>
      </w:r>
      <w:r>
        <w:rPr>
          <w:szCs w:val="32"/>
        </w:rPr>
        <w:t>%，主要用于</w:t>
      </w:r>
      <w:r>
        <w:rPr>
          <w:rFonts w:hint="eastAsia"/>
          <w:szCs w:val="32"/>
          <w:lang w:eastAsia="zh-CN"/>
        </w:rPr>
        <w:t>退休人员的退休费用支出、</w:t>
      </w:r>
      <w:r>
        <w:rPr>
          <w:rFonts w:hint="eastAsia"/>
          <w:szCs w:val="32"/>
          <w:u w:val="none"/>
          <w:lang w:eastAsia="zh-CN"/>
        </w:rPr>
        <w:t>机关事业单位基本养老保险缴费支出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szCs w:val="32"/>
          <w:u w:val="none"/>
        </w:rPr>
      </w:pPr>
      <w:r>
        <w:rPr>
          <w:rFonts w:hint="eastAsia"/>
          <w:szCs w:val="32"/>
          <w:u w:val="none"/>
          <w:lang w:eastAsia="zh-CN"/>
        </w:rPr>
        <w:t>卫生健康</w:t>
      </w:r>
      <w:r>
        <w:rPr>
          <w:szCs w:val="32"/>
          <w:u w:val="none"/>
        </w:rPr>
        <w:t>（类）支出</w:t>
      </w:r>
      <w:r>
        <w:rPr>
          <w:rFonts w:hint="eastAsia"/>
          <w:szCs w:val="32"/>
          <w:u w:val="none"/>
          <w:lang w:val="en-US" w:eastAsia="zh-CN"/>
        </w:rPr>
        <w:t>6.72</w:t>
      </w:r>
      <w:r>
        <w:rPr>
          <w:szCs w:val="32"/>
          <w:u w:val="none"/>
        </w:rPr>
        <w:t>万元，占</w:t>
      </w:r>
      <w:r>
        <w:rPr>
          <w:rFonts w:hint="eastAsia"/>
          <w:szCs w:val="32"/>
          <w:u w:val="none"/>
          <w:lang w:val="en-US" w:eastAsia="zh-CN"/>
        </w:rPr>
        <w:t>2.09</w:t>
      </w:r>
      <w:r>
        <w:rPr>
          <w:szCs w:val="32"/>
          <w:u w:val="none"/>
        </w:rPr>
        <w:t>%，主要用于</w:t>
      </w:r>
      <w:r>
        <w:rPr>
          <w:rFonts w:hint="eastAsia"/>
          <w:szCs w:val="32"/>
          <w:u w:val="none"/>
          <w:lang w:eastAsia="zh-CN"/>
        </w:rPr>
        <w:t>缴纳本单位职工医疗保险</w:t>
      </w:r>
      <w:r>
        <w:rPr>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eastAsia="楷体"/>
          <w:szCs w:val="32"/>
        </w:rPr>
      </w:pPr>
      <w:r>
        <w:rPr>
          <w:szCs w:val="32"/>
        </w:rPr>
        <w:t>住房保障（类）支出</w:t>
      </w:r>
      <w:r>
        <w:rPr>
          <w:rFonts w:hint="eastAsia"/>
          <w:szCs w:val="32"/>
          <w:lang w:val="en-US" w:eastAsia="zh-CN"/>
        </w:rPr>
        <w:t>18.16</w:t>
      </w:r>
      <w:r>
        <w:rPr>
          <w:szCs w:val="32"/>
        </w:rPr>
        <w:t>万元，占</w:t>
      </w:r>
      <w:r>
        <w:rPr>
          <w:rFonts w:hint="eastAsia"/>
          <w:szCs w:val="32"/>
          <w:lang w:val="en-US" w:eastAsia="zh-CN"/>
        </w:rPr>
        <w:t>5.67</w:t>
      </w:r>
      <w:r>
        <w:rPr>
          <w:szCs w:val="32"/>
        </w:rPr>
        <w:t>%，主要用于</w:t>
      </w:r>
      <w:r>
        <w:rPr>
          <w:rFonts w:hint="eastAsia"/>
          <w:szCs w:val="32"/>
          <w:u w:val="none"/>
          <w:lang w:eastAsia="zh-CN"/>
        </w:rPr>
        <w:t>缴纳本单位职工住房公积金</w:t>
      </w:r>
      <w:r>
        <w:rPr>
          <w:szCs w:val="32"/>
          <w:u w:val="none"/>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215.76</w:t>
      </w:r>
      <w:r>
        <w:rPr>
          <w:szCs w:val="32"/>
        </w:rPr>
        <w:t>万元，其中：</w:t>
      </w:r>
    </w:p>
    <w:p>
      <w:pPr>
        <w:ind w:firstLineChars="200" w:firstLine="640"/>
        <w:rPr>
          <w:kern w:val="0"/>
          <w:szCs w:val="32"/>
        </w:rPr>
      </w:pPr>
      <w:r>
        <w:rPr>
          <w:szCs w:val="32"/>
        </w:rPr>
        <w:t>人员经费</w:t>
      </w:r>
      <w:r>
        <w:rPr>
          <w:rFonts w:hint="eastAsia"/>
          <w:szCs w:val="32"/>
          <w:lang w:val="en-US" w:eastAsia="zh-CN"/>
        </w:rPr>
        <w:t>174.80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机关事业单位基本养老保险缴费、职工基本医疗保险缴费、其他社会保障缴费、</w:t>
      </w:r>
      <w:r>
        <w:rPr>
          <w:kern w:val="0"/>
          <w:szCs w:val="32"/>
        </w:rPr>
        <w:t>住房公积金</w:t>
      </w:r>
      <w:r>
        <w:rPr>
          <w:szCs w:val="32"/>
        </w:rPr>
        <w:t>、</w:t>
      </w:r>
      <w:r>
        <w:rPr>
          <w:rFonts w:hint="eastAsia"/>
          <w:szCs w:val="32"/>
          <w:lang w:eastAsia="zh-CN"/>
        </w:rPr>
        <w:t>医疗费、</w:t>
      </w:r>
      <w:r>
        <w:rPr>
          <w:kern w:val="0"/>
          <w:szCs w:val="32"/>
        </w:rPr>
        <w:t>退休费</w:t>
      </w:r>
      <w:r>
        <w:rPr>
          <w:szCs w:val="32"/>
        </w:rPr>
        <w:t>、</w:t>
      </w:r>
      <w:r>
        <w:rPr>
          <w:kern w:val="0"/>
          <w:szCs w:val="32"/>
        </w:rPr>
        <w:t>其他对个人和家庭的补助。</w:t>
      </w:r>
    </w:p>
    <w:p>
      <w:pPr>
        <w:ind w:firstLineChars="200" w:firstLine="640"/>
        <w:rPr>
          <w:szCs w:val="32"/>
        </w:rPr>
      </w:pPr>
      <w:r>
        <w:rPr>
          <w:kern w:val="0"/>
          <w:szCs w:val="32"/>
        </w:rPr>
        <w:t>公用经费</w:t>
      </w:r>
      <w:r>
        <w:rPr>
          <w:rFonts w:hint="eastAsia"/>
          <w:szCs w:val="32"/>
          <w:lang w:val="en-US" w:eastAsia="zh-CN"/>
        </w:rPr>
        <w:t>40.96</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0.29</w:t>
      </w:r>
      <w:r>
        <w:rPr>
          <w:szCs w:val="32"/>
        </w:rPr>
        <w:t>万元。其中：</w:t>
      </w:r>
    </w:p>
    <w:p>
      <w:pPr>
        <w:ind w:firstLineChars="200" w:firstLine="640"/>
        <w:jc w:val="both"/>
        <w:rPr>
          <w:rFonts w:eastAsia="仿宋_GB2312" w:hint="eastAsia"/>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u w:val="none"/>
          <w:lang w:eastAsia="zh-CN"/>
        </w:rPr>
        <w:t>与</w:t>
      </w:r>
      <w:r>
        <w:rPr>
          <w:rFonts w:hint="eastAsia"/>
          <w:szCs w:val="32"/>
          <w:u w:val="none"/>
          <w:lang w:val="en-US" w:eastAsia="zh-CN"/>
        </w:rPr>
        <w:t>2023年预算持平。</w:t>
      </w:r>
    </w:p>
    <w:p>
      <w:pPr>
        <w:spacing w:line="540" w:lineRule="exact"/>
        <w:ind w:firstLineChars="200" w:firstLine="640"/>
        <w:rPr>
          <w:rFonts w:eastAsia="仿宋_GB2312" w:hint="eastAsia"/>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0.29</w:t>
      </w:r>
      <w:r>
        <w:rPr>
          <w:szCs w:val="32"/>
        </w:rPr>
        <w:t>万元，主要原因是</w:t>
      </w:r>
      <w:r>
        <w:rPr>
          <w:rFonts w:hint="eastAsia"/>
          <w:szCs w:val="32"/>
          <w:lang w:eastAsia="zh-CN"/>
        </w:rPr>
        <w:t>本单位坚持“过紧日子”思想，厉行勤俭节约，故未申请公务接待费的预算。</w:t>
      </w:r>
    </w:p>
    <w:p>
      <w:pPr>
        <w:ind w:firstLineChars="200" w:firstLine="64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u w:val="none"/>
          <w:lang w:eastAsia="zh-CN"/>
        </w:rPr>
        <w:t>与</w:t>
      </w:r>
      <w:r>
        <w:rPr>
          <w:rFonts w:hint="eastAsia"/>
          <w:szCs w:val="32"/>
          <w:u w:val="none"/>
          <w:lang w:val="en-US" w:eastAsia="zh-CN"/>
        </w:rPr>
        <w:t>2023年预算持平。</w:t>
      </w:r>
      <w:r>
        <w:rPr>
          <w:rFonts w:hint="eastAsia"/>
          <w:szCs w:val="32"/>
          <w:lang w:val="en-US" w:eastAsia="zh-CN"/>
        </w:rPr>
        <w:t xml:space="preserve"> </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4</w:t>
      </w:r>
      <w:r>
        <w:rPr>
          <w:rFonts w:eastAsia="黑体"/>
          <w:szCs w:val="32"/>
        </w:rPr>
        <w:t>年政府性基金预算支出情况</w:t>
      </w:r>
    </w:p>
    <w:p>
      <w:pPr>
        <w:ind w:firstLine="640"/>
        <w:rPr>
          <w:szCs w:val="32"/>
        </w:rPr>
      </w:pPr>
      <w:r>
        <w:rPr>
          <w:rFonts w:hint="eastAsia"/>
          <w:szCs w:val="32"/>
          <w:u w:val="none"/>
          <w:lang w:eastAsia="zh-CN"/>
        </w:rPr>
        <w:t>本单位无政府性基金预算拨款。</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4</w:t>
      </w:r>
      <w:r>
        <w:rPr>
          <w:rFonts w:eastAsia="黑体"/>
          <w:szCs w:val="32"/>
        </w:rPr>
        <w:t>年</w:t>
      </w:r>
      <w:r>
        <w:rPr>
          <w:rFonts w:eastAsia="黑体" w:hint="eastAsia"/>
          <w:szCs w:val="32"/>
        </w:rPr>
        <w:t>国有资本经营</w:t>
      </w:r>
      <w:r>
        <w:rPr>
          <w:rFonts w:eastAsia="黑体"/>
          <w:szCs w:val="32"/>
        </w:rPr>
        <w:t>预算支出情况</w:t>
      </w:r>
    </w:p>
    <w:p>
      <w:pPr>
        <w:ind w:firstLine="640"/>
        <w:rPr>
          <w:rFonts w:eastAsia="楷体"/>
          <w:szCs w:val="32"/>
        </w:rPr>
      </w:pPr>
      <w:r>
        <w:rPr>
          <w:rFonts w:hint="eastAsia"/>
          <w:szCs w:val="32"/>
          <w:u w:val="none"/>
          <w:lang w:eastAsia="zh-CN"/>
        </w:rPr>
        <w:t>本单位无国有资本经营预算拨款。</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szCs w:val="32"/>
        </w:rPr>
        <w:t>的机关运行经费财政拨款预算</w:t>
      </w:r>
      <w:r>
        <w:rPr>
          <w:rFonts w:hint="eastAsia"/>
          <w:szCs w:val="32"/>
          <w:lang w:val="en-US" w:eastAsia="zh-CN"/>
        </w:rPr>
        <w:t>40.96</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2.88</w:t>
      </w:r>
      <w:r>
        <w:rPr>
          <w:szCs w:val="32"/>
        </w:rPr>
        <w:t>万元，下降</w:t>
      </w:r>
      <w:r>
        <w:rPr>
          <w:rFonts w:hint="eastAsia"/>
          <w:szCs w:val="32"/>
          <w:lang w:val="en-US" w:eastAsia="zh-CN"/>
        </w:rPr>
        <w:t>6.57</w:t>
      </w:r>
      <w:r>
        <w:rPr>
          <w:szCs w:val="32"/>
        </w:rPr>
        <w:t>%</w:t>
      </w:r>
      <w:r>
        <w:rPr>
          <w:rFonts w:hint="eastAsia"/>
          <w:szCs w:val="32"/>
        </w:rPr>
        <w:t>，主要原因是</w:t>
      </w:r>
      <w:r>
        <w:rPr>
          <w:rFonts w:hint="eastAsia"/>
          <w:szCs w:val="32"/>
          <w:lang w:eastAsia="zh-CN"/>
        </w:rPr>
        <w:t>本单位坚持“过紧日子”思想，厉行勤俭节约，压减机关运行经费。</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rFonts w:eastAsia="仿宋_GB2312" w:hint="eastAsia"/>
          <w:szCs w:val="32"/>
          <w:u w:val="none"/>
          <w:lang w:eastAsia="zh-CN"/>
        </w:rPr>
      </w:pPr>
      <w:r>
        <w:rPr>
          <w:rFonts w:hint="eastAsia"/>
          <w:szCs w:val="32"/>
          <w:u w:val="none"/>
          <w:lang w:eastAsia="zh-CN"/>
        </w:rPr>
        <w:t>本单位无政府采购预算。</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szCs w:val="32"/>
        </w:rPr>
      </w:pPr>
      <w:r>
        <w:rPr>
          <w:rFonts w:hint="eastAsia"/>
          <w:szCs w:val="32"/>
          <w:u w:val="none"/>
          <w:lang w:eastAsia="zh-CN"/>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pPr>
      <w:r>
        <w:t>202</w:t>
      </w:r>
      <w:r>
        <w:rPr>
          <w:rFonts w:hint="eastAsia"/>
          <w:lang w:val="en-US" w:eastAsia="zh-CN"/>
        </w:rPr>
        <w:t>4</w:t>
      </w:r>
      <w:r>
        <w:t>年</w:t>
      </w:r>
      <w:r>
        <w:rPr>
          <w:rFonts w:hint="eastAsia"/>
          <w:lang w:eastAsia="zh-CN"/>
        </w:rPr>
        <w:t>单位</w:t>
      </w:r>
      <w:r>
        <w:t>项目支出</w:t>
      </w:r>
      <w:r>
        <w:rPr>
          <w:rFonts w:hint="eastAsia"/>
          <w:szCs w:val="32"/>
          <w:lang w:val="en-US" w:eastAsia="zh-CN"/>
        </w:rPr>
        <w:t>104.78</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104.78</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rFonts w:eastAsia="楷体"/>
          <w:szCs w:val="32"/>
        </w:rPr>
      </w:pPr>
      <w:r>
        <w:rPr>
          <w:rFonts w:ascii="宋体" w:hAnsi="宋体" w:hint="eastAsia"/>
        </w:rPr>
        <w:t>按照全面实施预算绩效管理的要求，结合本</w:t>
      </w:r>
      <w:r>
        <w:rPr>
          <w:rFonts w:ascii="宋体" w:hAnsi="宋体" w:hint="eastAsia"/>
          <w:lang w:eastAsia="zh-CN"/>
        </w:rPr>
        <w:t>单位</w:t>
      </w:r>
      <w:r>
        <w:rPr>
          <w:rFonts w:ascii="宋体" w:hAnsi="宋体" w:hint="eastAsia"/>
        </w:rPr>
        <w:t>职能和重点工作，</w:t>
      </w:r>
      <w:r>
        <w:rPr>
          <w:rFonts w:hint="eastAsia"/>
        </w:rPr>
        <w:t>202</w:t>
      </w:r>
      <w:r>
        <w:rPr>
          <w:rFonts w:hint="eastAsia"/>
          <w:lang w:val="en-US" w:eastAsia="zh-CN"/>
        </w:rPr>
        <w:t>4</w:t>
      </w:r>
      <w:r>
        <w:rPr>
          <w:rFonts w:ascii="宋体" w:hAnsi="宋体" w:hint="eastAsia"/>
        </w:rPr>
        <w:t>年</w:t>
      </w:r>
      <w:r>
        <w:rPr>
          <w:rFonts w:ascii="宋体" w:hAnsi="宋体" w:hint="eastAsia"/>
          <w:lang w:eastAsia="zh-CN"/>
        </w:rPr>
        <w:t>将</w:t>
      </w:r>
      <w:r>
        <w:rPr>
          <w:rFonts w:hint="eastAsia"/>
          <w:szCs w:val="32"/>
        </w:rPr>
        <w:t>2</w:t>
      </w:r>
      <w:r>
        <w:rPr>
          <w:rFonts w:ascii="宋体" w:hAnsi="宋体" w:hint="eastAsia"/>
        </w:rPr>
        <w:t>个项目支出的绩效目标和指标向社会公开，涉及金额</w:t>
      </w:r>
      <w:r>
        <w:rPr>
          <w:rFonts w:hint="eastAsia"/>
          <w:lang w:val="en-US" w:eastAsia="zh-CN"/>
        </w:rPr>
        <w:t>104.78</w:t>
      </w:r>
      <w:r>
        <w:rPr>
          <w:rFonts w:ascii="宋体" w:hAnsi="宋体" w:hint="eastAsia"/>
        </w:rPr>
        <w:t>万元。</w:t>
      </w:r>
    </w:p>
    <w:p>
      <w:pPr>
        <w:ind w:firstLine="645"/>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bookmarkStart w:id="0" w:name="_GoBack"/>
      <w:bookmarkEnd w:id="0"/>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ind w:firstLineChars="200" w:firstLine="640"/>
        <w:rPr>
          <w:rFonts w:eastAsia="楷体"/>
          <w:szCs w:val="32"/>
        </w:rPr>
      </w:pPr>
    </w:p>
    <w:p>
      <w:pPr>
        <w:spacing w:line="540" w:lineRule="exact"/>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00000001" w:usb1="08000000" w:usb2="00000000" w:usb3="00000000" w:csb0="00040000" w:csb1="00000000"/>
  </w:font>
  <w:font w:name="华文细黑">
    <w:altName w:val="微软雅黑"/>
    <w:panose1 w:val="02010600040101010101"/>
    <w:charset w:val="86"/>
    <w:family w:val="auto"/>
    <w:pitch w:val="variable"/>
    <w:sig w:usb0="00000000" w:usb1="00000000" w:usb2="00000000" w:usb3="00000000" w:csb0="0004009F" w:csb1="DFD70000"/>
  </w:font>
  <w:font w:name="仿宋_GB2312">
    <w:altName w:val="仿宋"/>
    <w:panose1 w:val="02010609030101010101"/>
    <w:charset w:val="86"/>
    <w:family w:val="modern"/>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altName w:val="Times New Roman"/>
    <w:panose1 w:val="020F0502020204030204"/>
    <w:charset w:val="00"/>
    <w:family w:val="swiss"/>
    <w:pitch w:val="variable"/>
    <w:sig w:usb0="E10002FF" w:usb1="4000ACFF" w:usb2="00000009" w:usb3="00000000" w:csb0="2000019F"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5334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21 3" o:spid="_x0000_s3" filled="f" stroked="f" style="position:absolute;margin-left:0.0pt;margin-top:0.0pt;width:42.0pt;height:18.130003pt;z-index:13;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v:textbox>
            </v:rect>
          </w:pict>
        </mc:Fallback>
      </mc:AlternateContent>
    </w:r>
  </w:p>
  <w:p>
    <w:pPr>
      <w:pStyle w:val="19"/>
      <w:tabs>
        <w:tab w:val="clear" w:pos="4153"/>
        <w:tab w:val="clear" w:pos="8306"/>
        <w:tab w:val="left" w:pos="5124"/>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round/>
                      </a:ln>
                    </wps:spPr>
                    <wps:txbx id="5">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8 6" o:spid="_x0000_s6" filled="f" stroked="f" style="position:absolute;margin-left:0.0pt;margin-top:0.0pt;width:19.494003pt;height:10.358989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docVars>
    <w:docVar w:name="commondata" w:val="eyJoZGlkIjoiZjY1YTI0ZDQyNDQ3YzU2MmY5YWVmYTg4ZjI2MDdlYj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autoRedefine/>
  </w:style>
  <w:style w:type="paragraph" w:styleId="15">
    <w:name w:val="Body Text Indent"/>
    <w:basedOn w:val="0"/>
    <w:autoRedefine/>
    <w:pPr>
      <w:tabs>
        <w:tab w:val="left" w:pos="8372"/>
      </w:tabs>
      <w:spacing w:line="540" w:lineRule="exact"/>
      <w:ind w:firstLine="630"/>
    </w:pPr>
    <w:rPr>
      <w:rFonts w:eastAsia="黑体"/>
    </w:rPr>
  </w:style>
  <w:style w:type="paragraph" w:styleId="16">
    <w:name w:val="Date"/>
    <w:basedOn w:val="0"/>
    <w:autoRedefine/>
    <w:next w:val="0"/>
  </w:style>
  <w:style w:type="paragraph" w:styleId="17">
    <w:name w:val="Body Text Indent 2"/>
    <w:basedOn w:val="0"/>
    <w:autoRedefine/>
    <w:pPr>
      <w:tabs>
        <w:tab w:val="left" w:pos="8372"/>
      </w:tabs>
      <w:spacing w:line="540" w:lineRule="exact"/>
      <w:ind w:firstLine="630"/>
    </w:pPr>
    <w:rPr>
      <w:b/>
      <w:bCs/>
    </w:rPr>
  </w:style>
  <w:style w:type="paragraph" w:styleId="18">
    <w:name w:val="Balloon Text"/>
    <w:basedOn w:val="0"/>
    <w:autoRedefine/>
    <w:rPr>
      <w:sz w:val="18"/>
      <w:szCs w:val="18"/>
    </w:rPr>
  </w:style>
  <w:style w:type="paragraph" w:styleId="19">
    <w:name w:val="footer"/>
    <w:basedOn w:val="0"/>
    <w:autoRedefine/>
    <w:pPr>
      <w:tabs>
        <w:tab w:val="center" w:pos="4153"/>
        <w:tab w:val="right" w:pos="8306"/>
      </w:tabs>
      <w:snapToGrid w:val="0"/>
      <w:jc w:val="left"/>
    </w:pPr>
    <w:rPr>
      <w:sz w:val="18"/>
    </w:rPr>
  </w:style>
  <w:style w:type="paragraph" w:styleId="20">
    <w:name w:val="header"/>
    <w:basedOn w:val="0"/>
    <w:autoRedefine/>
    <w:pPr>
      <w:pBdr>
        <w:bottom w:val="single" w:sz="6" w:space="1" w:color="auto"/>
      </w:pBdr>
      <w:tabs>
        <w:tab w:val="center" w:pos="4153"/>
        <w:tab w:val="right" w:pos="8306"/>
      </w:tabs>
      <w:snapToGrid w:val="0"/>
      <w:jc w:val="center"/>
    </w:pPr>
    <w:rPr>
      <w:sz w:val="18"/>
      <w:szCs w:val="18"/>
    </w:rPr>
  </w:style>
  <w:style w:type="paragraph" w:styleId="21">
    <w:name w:val="Normal (Web)"/>
    <w:basedOn w:val="0"/>
    <w:autoRedefine/>
    <w:pPr>
      <w:widowControl/>
      <w:spacing w:before="100" w:beforeAutospacing="1" w:after="100" w:afterAutospacing="1"/>
      <w:jc w:val="left"/>
    </w:pPr>
    <w:rPr>
      <w:rFonts w:ascii="宋体" w:eastAsia="宋体" w:cs="宋体"/>
      <w:kern w:val="0"/>
      <w:sz w:val="24"/>
      <w:szCs w:val="24"/>
    </w:rPr>
  </w:style>
  <w:style w:type="character" w:styleId="22">
    <w:name w:val="page number"/>
    <w:basedOn w:val="10"/>
    <w:autoRedefine/>
  </w:style>
  <w:style w:type="character" w:customStyle="1" w:styleId="23">
    <w:name w:val="font61"/>
    <w:autoRedefine/>
    <w:rPr>
      <w:rFonts w:ascii="宋体" w:eastAsia="宋体" w:cs="宋体"/>
      <w:color w:val="000000"/>
      <w:sz w:val="24"/>
      <w:szCs w:val="24"/>
      <w:u w:val="none"/>
    </w:rPr>
  </w:style>
  <w:style w:type="character" w:customStyle="1" w:styleId="24">
    <w:name w:val="font41"/>
    <w:autoRedefine/>
    <w:rPr>
      <w:rFonts w:ascii="华文细黑" w:eastAsia="华文细黑" w:cs="华文细黑"/>
      <w:color w:val="000000"/>
      <w:sz w:val="20"/>
      <w:szCs w:val="20"/>
      <w:u w:val="none"/>
    </w:rPr>
  </w:style>
  <w:style w:type="character" w:customStyle="1" w:styleId="25">
    <w:name w:val="font11"/>
    <w:autoRedefine/>
    <w:rPr>
      <w:rFonts w:ascii="Arial" w:cs="Arial" w:hAnsi="Arial"/>
      <w:color w:val="000000"/>
      <w:sz w:val="24"/>
      <w:szCs w:val="24"/>
      <w:u w:val="none"/>
    </w:rPr>
  </w:style>
  <w:style w:type="character" w:customStyle="1" w:styleId="26">
    <w:name w:val="font21"/>
    <w:autoRedefine/>
    <w:rPr>
      <w:rFonts w:ascii="Arial" w:cs="Arial" w:hAnsi="Arial"/>
      <w:color w:val="000000"/>
      <w:sz w:val="20"/>
      <w:szCs w:val="20"/>
      <w:u w:val="none"/>
    </w:rPr>
  </w:style>
  <w:style w:type="character" w:customStyle="1" w:styleId="27">
    <w:name w:val="font01"/>
    <w:autoRedefine/>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0">
    <w:name w:val="页眉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6">
    <w:name w:val="页脚 New"/>
    <w:basedOn w:val="0"/>
    <w:autoRedefine/>
    <w:pPr>
      <w:tabs>
        <w:tab w:val="center" w:pos="4153"/>
        <w:tab w:val="right" w:pos="8306"/>
      </w:tabs>
      <w:snapToGrid w:val="0"/>
      <w:jc w:val="left"/>
    </w:pPr>
    <w:rPr>
      <w:rFonts w:eastAsia="仿宋_GB2312"/>
      <w:kern w:val="2"/>
      <w:sz w:val="18"/>
    </w:rPr>
  </w:style>
  <w:style w:type="paragraph" w:customStyle="1" w:styleId="37">
    <w:name w:val="页眉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1">
    <w:name w:val="页脚 New New New"/>
    <w:basedOn w:val="0"/>
    <w:autoRedefine/>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7">
    <w:name w:val="页脚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8">
    <w:name w:val="页脚 New New New New New New"/>
    <w:basedOn w:val="0"/>
    <w:autoRedefine/>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autoRedefine/>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5">
    <w:name w:val="页眉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6">
    <w:name w:val="p0"/>
    <w:basedOn w:val="0"/>
    <w:autoRedefine/>
    <w:pPr>
      <w:widowControl/>
    </w:pPr>
    <w:rPr>
      <w:rFonts w:eastAsia="宋体"/>
      <w:kern w:val="0"/>
      <w:szCs w:val="32"/>
    </w:rPr>
  </w:style>
  <w:style w:type="paragraph" w:customStyle="1" w:styleId="57">
    <w:name w:val="页脚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8">
    <w:name w:val="页脚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9">
    <w:name w:val="页脚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0">
    <w:name w:val="页脚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1">
    <w:name w:val="页脚 New New New New New New New"/>
    <w:basedOn w:val="0"/>
    <w:autoRedefine/>
    <w:pPr>
      <w:tabs>
        <w:tab w:val="center" w:pos="4153"/>
        <w:tab w:val="right" w:pos="8306"/>
      </w:tabs>
      <w:snapToGrid w:val="0"/>
      <w:jc w:val="left"/>
    </w:pPr>
    <w:rPr>
      <w:rFonts w:eastAsia="仿宋_GB2312"/>
      <w:kern w:val="2"/>
      <w:sz w:val="18"/>
    </w:rPr>
  </w:style>
  <w:style w:type="paragraph" w:customStyle="1" w:styleId="62">
    <w:name w:val="页脚 New New New New"/>
    <w:basedOn w:val="0"/>
    <w:autoRedefine/>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4">
    <w:name w:val="页眉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autoRedefine/>
    <w:pPr>
      <w:tabs>
        <w:tab w:val="center" w:pos="4153"/>
        <w:tab w:val="right" w:pos="8306"/>
      </w:tabs>
      <w:snapToGrid w:val="0"/>
      <w:jc w:val="left"/>
    </w:pPr>
    <w:rPr>
      <w:rFonts w:eastAsia="仿宋_GB2312"/>
      <w:kern w:val="2"/>
      <w:sz w:val="18"/>
    </w:rPr>
  </w:style>
  <w:style w:type="paragraph" w:customStyle="1" w:styleId="69">
    <w:name w:val="页眉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autoRedefine/>
    <w:pPr>
      <w:adjustRightInd w:val="0"/>
      <w:ind w:firstLine="630"/>
      <w:jc w:val="left"/>
      <w:textAlignment w:val="baseline"/>
    </w:pPr>
    <w:rPr>
      <w:rFonts w:eastAsia="黑体"/>
    </w:rPr>
  </w:style>
  <w:style w:type="paragraph" w:customStyle="1" w:styleId="71">
    <w:name w:val="页眉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73">
    <w:name w:val="页脚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autoRedefine/>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0">
    <w:name w:val="页眉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5">
    <w:name w:val="页脚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6">
    <w:name w:val="页眉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7">
    <w:name w:val="Char"/>
    <w:basedOn w:val="0"/>
    <w:autoRedefine/>
    <w:rPr>
      <w:rFonts w:eastAsia="宋体"/>
      <w:sz w:val="21"/>
      <w:szCs w:val="21"/>
    </w:rPr>
  </w:style>
  <w:style w:type="paragraph" w:customStyle="1" w:styleId="88">
    <w:name w:val="页脚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9">
    <w:name w:val="页脚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90">
    <w:name w:val="页眉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24</Pages>
  <Words>6774</Words>
  <Characters>8018</Characters>
  <Lines>1609</Lines>
  <Paragraphs>620</Paragraphs>
  <CharactersWithSpaces>8632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2024-02-21T06:07:00Z</cp:lastPrinted>
  <dcterms:created xsi:type="dcterms:W3CDTF">2022-02-20T09:24:00Z</dcterms:created>
  <dcterms:modified xsi:type="dcterms:W3CDTF">2024-02-26T02:34:19Z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2778DE0D3D1747E5A61F757C22D63E49_13</vt:lpwstr>
  </property>
</Properties>
</file>