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eastAsia" w:eastAsia="方正小标宋简体"/>
          <w:sz w:val="44"/>
          <w:szCs w:val="44"/>
          <w:lang w:eastAsia="zh-CN"/>
        </w:rPr>
      </w:pPr>
      <w:r>
        <w:rPr>
          <w:rFonts w:hint="eastAsia" w:eastAsia="方正小标宋简体"/>
          <w:sz w:val="44"/>
          <w:szCs w:val="44"/>
          <w:lang w:eastAsia="zh-CN"/>
        </w:rPr>
        <w:t>公主岭市统计局</w:t>
      </w:r>
    </w:p>
    <w:p>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ascii="仿宋" w:hAnsi="仿宋" w:eastAsia="仿宋" w:cs="仿宋"/>
          <w:color w:val="000000"/>
          <w:szCs w:val="32"/>
          <w:lang w:eastAsia="zh-CN"/>
        </w:rPr>
      </w:pPr>
      <w:r>
        <w:rPr>
          <w:rFonts w:hint="eastAsia" w:ascii="仿宋" w:hAnsi="仿宋" w:eastAsia="仿宋" w:cs="仿宋"/>
          <w:color w:val="000000"/>
          <w:szCs w:val="32"/>
          <w:lang w:eastAsia="zh-CN"/>
        </w:rPr>
        <w:t>（一）贯彻执行国家统计方针、政策以及法律、法规，制定全市统计规划及统计调查计划；监督检查统计法律、法规的实施。组织领导全市统计工作，承担确保统计数据真实、准确、及时的责任。</w:t>
      </w:r>
    </w:p>
    <w:p>
      <w:pPr>
        <w:ind w:firstLine="640" w:firstLineChars="200"/>
        <w:rPr>
          <w:rFonts w:hint="eastAsia" w:ascii="仿宋" w:hAnsi="仿宋" w:eastAsia="仿宋" w:cs="仿宋"/>
          <w:color w:val="000000"/>
          <w:szCs w:val="32"/>
          <w:lang w:eastAsia="zh-CN"/>
        </w:rPr>
      </w:pPr>
      <w:r>
        <w:rPr>
          <w:rFonts w:hint="eastAsia" w:ascii="仿宋" w:hAnsi="仿宋" w:eastAsia="仿宋" w:cs="仿宋"/>
          <w:color w:val="000000"/>
          <w:szCs w:val="32"/>
          <w:lang w:eastAsia="zh-CN"/>
        </w:rPr>
        <w:t>（二）根据国家统一的基本统计制度，建立健全全市国民经济核算体系和统计指标体系，贯彻执行全省统一的基本统计报表制度和统计标准；汇编提供全市国民经济核算资料。</w:t>
      </w:r>
    </w:p>
    <w:p>
      <w:pPr>
        <w:ind w:firstLine="640" w:firstLineChars="200"/>
        <w:rPr>
          <w:rFonts w:hint="eastAsia" w:ascii="仿宋" w:hAnsi="仿宋" w:eastAsia="仿宋" w:cs="仿宋"/>
          <w:lang w:eastAsia="zh-CN"/>
        </w:rPr>
      </w:pPr>
      <w:r>
        <w:rPr>
          <w:rFonts w:hint="eastAsia" w:ascii="仿宋" w:hAnsi="仿宋" w:eastAsia="仿宋" w:cs="仿宋"/>
          <w:color w:val="000000"/>
          <w:szCs w:val="32"/>
          <w:lang w:eastAsia="zh-CN"/>
        </w:rPr>
        <w:t>（三）组织实施重大省情省力普查计划；统一组织协调全市社会经济统计调查；汇总、整理全市基本统计资料；对国民经济、科技进步和社会发展等情况进行统计分析、统计预测预警和统计监督，向市委、市政府</w:t>
      </w:r>
      <w:r>
        <w:rPr>
          <w:rFonts w:hint="eastAsia" w:ascii="仿宋" w:hAnsi="仿宋" w:eastAsia="仿宋" w:cs="仿宋"/>
          <w:lang w:eastAsia="zh-CN"/>
        </w:rPr>
        <w:t>及有关单位提供统计信息和咨询建议。</w:t>
      </w:r>
    </w:p>
    <w:p>
      <w:pPr>
        <w:ind w:firstLine="640" w:firstLineChars="200"/>
        <w:rPr>
          <w:rFonts w:hint="eastAsia" w:ascii="仿宋" w:hAnsi="仿宋" w:eastAsia="仿宋" w:cs="仿宋"/>
          <w:lang w:eastAsia="zh-CN" w:bidi="ar-SA"/>
        </w:rPr>
      </w:pPr>
      <w:r>
        <w:rPr>
          <w:rFonts w:hint="eastAsia" w:ascii="仿宋" w:hAnsi="仿宋" w:eastAsia="仿宋" w:cs="仿宋"/>
          <w:lang w:eastAsia="zh-CN"/>
        </w:rPr>
        <w:t>（四）</w:t>
      </w:r>
      <w:r>
        <w:rPr>
          <w:rFonts w:hint="eastAsia" w:ascii="仿宋" w:hAnsi="仿宋" w:eastAsia="仿宋" w:cs="仿宋"/>
          <w:lang w:eastAsia="zh-CN" w:bidi="ar-SA"/>
        </w:rPr>
        <w:t>统一核定、管理、公布全市基本统计资料，定期向社会公众发布全市国民经济和社会发展情况的统计信息。</w:t>
      </w:r>
    </w:p>
    <w:p>
      <w:pPr>
        <w:ind w:firstLine="640" w:firstLineChars="200"/>
        <w:rPr>
          <w:rFonts w:hint="eastAsia" w:ascii="仿宋" w:hAnsi="仿宋" w:eastAsia="仿宋" w:cs="仿宋"/>
          <w:lang w:eastAsia="zh-CN" w:bidi="ar-SA"/>
        </w:rPr>
      </w:pPr>
      <w:r>
        <w:rPr>
          <w:rFonts w:hint="eastAsia" w:ascii="仿宋" w:hAnsi="仿宋" w:eastAsia="仿宋" w:cs="仿宋"/>
          <w:lang w:eastAsia="zh-CN" w:bidi="ar-SA"/>
        </w:rPr>
        <w:t>（五）建立、完善和管理全市统计信息自动化系统和全市统计数据库体系。</w:t>
      </w:r>
    </w:p>
    <w:p>
      <w:pPr>
        <w:ind w:firstLine="640" w:firstLineChars="200"/>
        <w:rPr>
          <w:rFonts w:hint="eastAsia" w:ascii="仿宋" w:hAnsi="仿宋" w:eastAsia="仿宋" w:cs="仿宋"/>
          <w:lang w:eastAsia="zh-CN" w:bidi="ar-SA"/>
        </w:rPr>
      </w:pPr>
      <w:r>
        <w:rPr>
          <w:rFonts w:hint="eastAsia" w:ascii="仿宋" w:hAnsi="仿宋" w:eastAsia="仿宋" w:cs="仿宋"/>
          <w:lang w:eastAsia="zh-CN" w:bidi="ar-SA"/>
        </w:rPr>
        <w:t>（六）负责全市统计系统的干部人事、劳动工资、机构编制和财务经费、审计监督及资产设施管理。</w:t>
      </w:r>
    </w:p>
    <w:p>
      <w:pPr>
        <w:ind w:firstLine="640" w:firstLineChars="200"/>
        <w:rPr>
          <w:rFonts w:hint="eastAsia" w:ascii="仿宋" w:hAnsi="仿宋" w:eastAsia="仿宋" w:cs="仿宋"/>
          <w:lang w:eastAsia="zh-CN" w:bidi="ar-SA"/>
        </w:rPr>
      </w:pPr>
      <w:r>
        <w:rPr>
          <w:rFonts w:hint="eastAsia" w:ascii="仿宋" w:hAnsi="仿宋" w:eastAsia="仿宋" w:cs="仿宋"/>
          <w:lang w:eastAsia="zh-CN" w:bidi="ar-SA"/>
        </w:rPr>
        <w:t>（七）领导局属事业单位。</w:t>
      </w:r>
    </w:p>
    <w:p>
      <w:pPr>
        <w:ind w:firstLine="640" w:firstLineChars="200"/>
        <w:rPr>
          <w:color w:val="000000"/>
          <w:sz w:val="21"/>
          <w:szCs w:val="21"/>
        </w:rPr>
      </w:pPr>
      <w:r>
        <w:rPr>
          <w:rFonts w:hint="eastAsia" w:ascii="仿宋" w:hAnsi="仿宋" w:eastAsia="仿宋" w:cs="仿宋"/>
          <w:lang w:eastAsia="zh-CN" w:bidi="ar-SA"/>
        </w:rPr>
        <w:t>（八）承办长春市统计局和公主岭市政府交办的其他事项。</w:t>
      </w:r>
    </w:p>
    <w:p>
      <w:pPr>
        <w:ind w:firstLine="640" w:firstLineChars="200"/>
      </w:pPr>
      <w:r>
        <w:rPr>
          <w:rFonts w:eastAsia="楷体_GB2312"/>
        </w:rPr>
        <w:t>二、机构设置</w:t>
      </w:r>
    </w:p>
    <w:p>
      <w:pPr>
        <w:pStyle w:val="48"/>
        <w:numPr>
          <w:ilvl w:val="0"/>
          <w:numId w:val="0"/>
        </w:numPr>
        <w:ind w:firstLine="640" w:firstLineChars="200"/>
        <w:rPr>
          <w:rFonts w:hint="eastAsia" w:ascii="仿宋" w:hAnsi="仿宋" w:eastAsia="仿宋" w:cs="仿宋"/>
          <w:lang w:val="en-US" w:eastAsia="zh-CN"/>
        </w:rPr>
      </w:pPr>
      <w:r>
        <w:rPr>
          <w:rFonts w:hint="eastAsia" w:ascii="仿宋" w:hAnsi="仿宋" w:eastAsia="仿宋" w:cs="仿宋"/>
        </w:rPr>
        <w:t>根据上述职责，</w:t>
      </w:r>
      <w:r>
        <w:rPr>
          <w:rFonts w:hint="eastAsia" w:ascii="仿宋" w:hAnsi="仿宋" w:eastAsia="仿宋" w:cs="仿宋"/>
          <w:u w:val="single" w:color="FFFFFF"/>
          <w:lang w:eastAsia="zh-CN"/>
        </w:rPr>
        <w:t>公主岭市统计</w:t>
      </w:r>
      <w:r>
        <w:rPr>
          <w:rFonts w:hint="eastAsia" w:ascii="仿宋" w:hAnsi="仿宋" w:eastAsia="仿宋" w:cs="仿宋"/>
          <w:highlight w:val="none"/>
          <w:u w:val="single" w:color="FFFFFF"/>
          <w:lang w:eastAsia="zh-CN"/>
        </w:rPr>
        <w:t>局</w:t>
      </w:r>
      <w:r>
        <w:rPr>
          <w:rFonts w:hint="eastAsia" w:ascii="仿宋" w:hAnsi="仿宋" w:eastAsia="仿宋" w:cs="仿宋"/>
          <w:highlight w:val="none"/>
        </w:rPr>
        <w:t>内设</w:t>
      </w:r>
      <w:r>
        <w:rPr>
          <w:rFonts w:hint="eastAsia" w:ascii="仿宋" w:hAnsi="仿宋" w:eastAsia="仿宋" w:cs="仿宋"/>
          <w:highlight w:val="none"/>
          <w:u w:val="none"/>
        </w:rPr>
        <w:t xml:space="preserve"> </w:t>
      </w:r>
      <w:r>
        <w:rPr>
          <w:rFonts w:hint="eastAsia" w:ascii="仿宋" w:hAnsi="仿宋" w:eastAsia="仿宋" w:cs="仿宋"/>
          <w:highlight w:val="none"/>
          <w:u w:val="none"/>
          <w:lang w:val="en-US" w:eastAsia="zh-CN"/>
        </w:rPr>
        <w:t>3</w:t>
      </w:r>
      <w:r>
        <w:rPr>
          <w:rFonts w:hint="eastAsia" w:ascii="仿宋" w:hAnsi="仿宋" w:eastAsia="仿宋" w:cs="仿宋"/>
          <w:highlight w:val="none"/>
          <w:u w:val="none"/>
        </w:rPr>
        <w:t xml:space="preserve"> </w:t>
      </w:r>
      <w:r>
        <w:rPr>
          <w:rFonts w:hint="eastAsia" w:ascii="仿宋" w:hAnsi="仿宋" w:eastAsia="仿宋" w:cs="仿宋"/>
          <w:highlight w:val="none"/>
        </w:rPr>
        <w:t>个机构。分别为：</w:t>
      </w:r>
      <w:r>
        <w:rPr>
          <w:rFonts w:hint="eastAsia" w:ascii="仿宋" w:hAnsi="仿宋" w:eastAsia="仿宋" w:cs="仿宋"/>
          <w:highlight w:val="none"/>
          <w:lang w:eastAsia="zh-CN"/>
        </w:rPr>
        <w:t>办公室</w:t>
      </w:r>
      <w:r>
        <w:rPr>
          <w:rFonts w:hint="eastAsia" w:ascii="仿宋" w:hAnsi="仿宋" w:eastAsia="仿宋" w:cs="仿宋"/>
          <w:lang w:eastAsia="zh-CN"/>
        </w:rPr>
        <w:t>、</w:t>
      </w:r>
      <w:r>
        <w:rPr>
          <w:rFonts w:hint="eastAsia" w:ascii="仿宋" w:hAnsi="仿宋" w:eastAsia="仿宋" w:cs="仿宋"/>
          <w:lang w:val="en-US" w:eastAsia="zh-CN"/>
        </w:rPr>
        <w:t>综合统计科、社会经济统计科。本单位无下设预算单位。</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385.15</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377.42</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7.73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312.32</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305.39</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6.93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385.15</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377.42</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7.73</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38.33</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38.33</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17.18</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16.38</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0.80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17.32</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17.32</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385.15</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377.42</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r>
              <w:rPr>
                <w:rFonts w:hint="eastAsia" w:eastAsia="宋体"/>
                <w:kern w:val="0"/>
                <w:sz w:val="20"/>
                <w:lang w:val="en-US" w:eastAsia="zh-CN"/>
              </w:rPr>
              <w:t>7.73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385.15</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377.42</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7.73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385.15</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377.42</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7.73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385.15</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377.42</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7.73</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939" w:type="dxa"/>
        <w:jc w:val="center"/>
        <w:tblLayout w:type="fixed"/>
        <w:tblCellMar>
          <w:top w:w="0" w:type="dxa"/>
          <w:left w:w="108" w:type="dxa"/>
          <w:bottom w:w="0" w:type="dxa"/>
          <w:right w:w="108" w:type="dxa"/>
        </w:tblCellMar>
      </w:tblPr>
      <w:tblGrid>
        <w:gridCol w:w="1201"/>
        <w:gridCol w:w="840"/>
        <w:gridCol w:w="806"/>
        <w:gridCol w:w="863"/>
        <w:gridCol w:w="428"/>
        <w:gridCol w:w="377"/>
        <w:gridCol w:w="360"/>
        <w:gridCol w:w="378"/>
        <w:gridCol w:w="411"/>
        <w:gridCol w:w="343"/>
        <w:gridCol w:w="240"/>
        <w:gridCol w:w="120"/>
        <w:gridCol w:w="378"/>
        <w:gridCol w:w="650"/>
        <w:gridCol w:w="636"/>
        <w:gridCol w:w="236"/>
        <w:gridCol w:w="158"/>
        <w:gridCol w:w="411"/>
        <w:gridCol w:w="429"/>
        <w:gridCol w:w="437"/>
        <w:gridCol w:w="237"/>
      </w:tblGrid>
      <w:tr>
        <w:tblPrEx>
          <w:tblCellMar>
            <w:top w:w="0" w:type="dxa"/>
            <w:left w:w="108" w:type="dxa"/>
            <w:bottom w:w="0" w:type="dxa"/>
            <w:right w:w="108" w:type="dxa"/>
          </w:tblCellMar>
        </w:tblPrEx>
        <w:trPr>
          <w:trHeight w:val="335" w:hRule="atLeast"/>
          <w:jc w:val="center"/>
        </w:trPr>
        <w:tc>
          <w:tcPr>
            <w:tcW w:w="1201" w:type="dxa"/>
            <w:tcBorders>
              <w:bottom w:val="single" w:color="000000" w:sz="4" w:space="0"/>
            </w:tcBorders>
            <w:noWrap w:val="0"/>
            <w:vAlign w:val="top"/>
          </w:tcPr>
          <w:p>
            <w:pPr>
              <w:autoSpaceDN w:val="0"/>
              <w:jc w:val="left"/>
              <w:textAlignment w:val="center"/>
              <w:rPr>
                <w:rFonts w:eastAsia="华文细黑"/>
                <w:color w:val="000000"/>
                <w:sz w:val="20"/>
              </w:rPr>
            </w:pPr>
          </w:p>
        </w:tc>
        <w:tc>
          <w:tcPr>
            <w:tcW w:w="4052" w:type="dxa"/>
            <w:gridSpan w:val="7"/>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3"/>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1286"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center"/>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237" w:type="dxa"/>
          <w:trHeight w:val="517" w:hRule="atLeast"/>
          <w:jc w:val="center"/>
        </w:trPr>
        <w:tc>
          <w:tcPr>
            <w:tcW w:w="1201"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40"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704"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57"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237" w:type="dxa"/>
          <w:trHeight w:val="517" w:hRule="atLeast"/>
          <w:jc w:val="center"/>
        </w:trPr>
        <w:tc>
          <w:tcPr>
            <w:tcW w:w="1201"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40"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06"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668"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60"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870"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5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41"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866"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237" w:type="dxa"/>
          <w:trHeight w:val="2818" w:hRule="atLeast"/>
          <w:jc w:val="center"/>
        </w:trPr>
        <w:tc>
          <w:tcPr>
            <w:tcW w:w="1201"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0"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0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6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428"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60"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4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5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3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94"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11"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29"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237" w:type="dxa"/>
          <w:trHeight w:val="517" w:hRule="atLeast"/>
          <w:jc w:val="center"/>
        </w:trPr>
        <w:tc>
          <w:tcPr>
            <w:tcW w:w="1201" w:type="dxa"/>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公主岭市统计局</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385.15</w:t>
            </w:r>
          </w:p>
        </w:tc>
        <w:tc>
          <w:tcPr>
            <w:tcW w:w="8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377.42</w:t>
            </w:r>
          </w:p>
        </w:tc>
        <w:tc>
          <w:tcPr>
            <w:tcW w:w="8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377.42</w:t>
            </w:r>
          </w:p>
        </w:tc>
        <w:tc>
          <w:tcPr>
            <w:tcW w:w="42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7.73</w:t>
            </w:r>
          </w:p>
        </w:tc>
        <w:tc>
          <w:tcPr>
            <w:tcW w:w="6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7.73</w:t>
            </w:r>
          </w:p>
        </w:tc>
        <w:tc>
          <w:tcPr>
            <w:tcW w:w="39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37" w:type="dxa"/>
          <w:trHeight w:val="517" w:hRule="atLeast"/>
          <w:jc w:val="center"/>
        </w:trPr>
        <w:tc>
          <w:tcPr>
            <w:tcW w:w="120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37" w:type="dxa"/>
          <w:trHeight w:val="517" w:hRule="atLeast"/>
          <w:jc w:val="center"/>
        </w:trPr>
        <w:tc>
          <w:tcPr>
            <w:tcW w:w="120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37" w:type="dxa"/>
          <w:trHeight w:val="517" w:hRule="atLeast"/>
          <w:jc w:val="center"/>
        </w:trPr>
        <w:tc>
          <w:tcPr>
            <w:tcW w:w="120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37" w:type="dxa"/>
          <w:trHeight w:val="530" w:hRule="atLeast"/>
          <w:jc w:val="center"/>
        </w:trPr>
        <w:tc>
          <w:tcPr>
            <w:tcW w:w="120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385.15</w:t>
            </w:r>
          </w:p>
        </w:tc>
        <w:tc>
          <w:tcPr>
            <w:tcW w:w="8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377.42</w:t>
            </w:r>
          </w:p>
        </w:tc>
        <w:tc>
          <w:tcPr>
            <w:tcW w:w="8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377.42</w:t>
            </w:r>
          </w:p>
        </w:tc>
        <w:tc>
          <w:tcPr>
            <w:tcW w:w="42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7.73</w:t>
            </w:r>
          </w:p>
        </w:tc>
        <w:tc>
          <w:tcPr>
            <w:tcW w:w="6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7.73</w:t>
            </w:r>
          </w:p>
        </w:tc>
        <w:tc>
          <w:tcPr>
            <w:tcW w:w="39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293"/>
              <w:gridCol w:w="1123"/>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298" w:hRule="atLeast"/>
              </w:trPr>
              <w:tc>
                <w:tcPr>
                  <w:tcW w:w="2293"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23"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701" w:hRule="atLeast"/>
              </w:trPr>
              <w:tc>
                <w:tcPr>
                  <w:tcW w:w="2293"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312.32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173.93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138.39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3" w:type="dxa"/>
                  <w:tcBorders>
                    <w:top w:val="single" w:color="000000" w:sz="4" w:space="0"/>
                    <w:left w:val="single" w:color="000000" w:sz="4" w:space="0"/>
                    <w:bottom w:val="single" w:color="000000" w:sz="4" w:space="0"/>
                  </w:tcBorders>
                  <w:shd w:val="clear" w:color="000000" w:fill="FFFFFF"/>
                  <w:noWrap w:val="0"/>
                  <w:vAlign w:val="center"/>
                </w:tcPr>
                <w:p>
                  <w:pPr>
                    <w:widowControl/>
                    <w:tabs>
                      <w:tab w:val="left" w:pos="320"/>
                    </w:tabs>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eastAsia="zh-CN"/>
                    </w:rPr>
                    <w:t>统计信息</w:t>
                  </w:r>
                  <w:r>
                    <w:rPr>
                      <w:rFonts w:eastAsia="宋体"/>
                      <w:color w:val="000000"/>
                      <w:kern w:val="0"/>
                      <w:sz w:val="20"/>
                    </w:rPr>
                    <w:t>事务</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312.32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138.39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3"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173.93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173.93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3"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 xml:space="preserve"> </w:t>
                  </w:r>
                  <w:r>
                    <w:rPr>
                      <w:rFonts w:hint="eastAsia" w:eastAsia="宋体"/>
                      <w:color w:val="000000"/>
                      <w:kern w:val="0"/>
                      <w:sz w:val="20"/>
                      <w:lang w:eastAsia="zh-CN"/>
                    </w:rPr>
                    <w:t>一般行政管理事务</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26.13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26.13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3"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专项普查活动</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112.26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112.26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3"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lang w:eastAsia="zh-CN"/>
                    </w:rPr>
                    <w:t>社会保障和就业支出</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38.33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38.33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90" w:hRule="atLeast"/>
              </w:trPr>
              <w:tc>
                <w:tcPr>
                  <w:tcW w:w="2293"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lang w:val="en-US" w:eastAsia="zh-CN"/>
                    </w:rPr>
                    <w:t xml:space="preserve">行政事业单位养老支出 </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38.33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38.33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3"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hint="eastAsia" w:eastAsia="宋体"/>
                      <w:color w:val="000000"/>
                      <w:kern w:val="0"/>
                      <w:sz w:val="20"/>
                      <w:lang w:val="en-US" w:eastAsia="zh-CN"/>
                    </w:rPr>
                    <w:t>行政单位离退休</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19.73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19.73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8" w:hRule="atLeast"/>
              </w:trPr>
              <w:tc>
                <w:tcPr>
                  <w:tcW w:w="2293"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20"/>
                    </w:rPr>
                  </w:pPr>
                  <w:r>
                    <w:rPr>
                      <w:rFonts w:hint="eastAsia" w:eastAsia="宋体"/>
                      <w:color w:val="000000"/>
                      <w:kern w:val="0"/>
                      <w:sz w:val="20"/>
                      <w:lang w:val="en-US" w:eastAsia="zh-CN"/>
                    </w:rPr>
                    <w:t xml:space="preserve">      机关事业单位基本养老保险缴费支出</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18.60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293"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both"/>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三</w:t>
                  </w:r>
                  <w:r>
                    <w:rPr>
                      <w:rFonts w:eastAsia="宋体"/>
                      <w:color w:val="000000"/>
                      <w:kern w:val="0"/>
                      <w:sz w:val="20"/>
                    </w:rPr>
                    <w:t>、</w:t>
                  </w:r>
                  <w:r>
                    <w:rPr>
                      <w:rFonts w:hint="eastAsia" w:eastAsia="宋体"/>
                      <w:color w:val="000000"/>
                      <w:kern w:val="0"/>
                      <w:sz w:val="20"/>
                      <w:lang w:val="en-US" w:eastAsia="zh-CN"/>
                    </w:rPr>
                    <w:t>卫生健康</w:t>
                  </w:r>
                  <w:r>
                    <w:rPr>
                      <w:rFonts w:hint="eastAsia" w:eastAsia="宋体"/>
                      <w:color w:val="000000"/>
                      <w:kern w:val="0"/>
                      <w:sz w:val="20"/>
                      <w:lang w:eastAsia="zh-CN"/>
                    </w:rPr>
                    <w:t>支出</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293" w:type="dxa"/>
                  <w:tcBorders>
                    <w:top w:val="single" w:color="000000" w:sz="4" w:space="0"/>
                    <w:left w:val="single" w:color="000000" w:sz="4" w:space="0"/>
                    <w:bottom w:val="single" w:color="000000" w:sz="4" w:space="0"/>
                  </w:tcBorders>
                  <w:shd w:val="clear" w:color="000000" w:fill="FFFFFF"/>
                  <w:noWrap w:val="0"/>
                  <w:vAlign w:val="center"/>
                </w:tcPr>
                <w:p>
                  <w:pPr>
                    <w:widowControl/>
                    <w:tabs>
                      <w:tab w:val="left" w:pos="320"/>
                    </w:tabs>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行政事业单位医疗</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293" w:type="dxa"/>
                  <w:tcBorders>
                    <w:top w:val="single" w:color="000000" w:sz="4" w:space="0"/>
                    <w:left w:val="single" w:color="000000" w:sz="4" w:space="0"/>
                    <w:bottom w:val="single" w:color="000000" w:sz="4" w:space="0"/>
                  </w:tcBorders>
                  <w:shd w:val="clear" w:color="000000" w:fill="FFFFFF"/>
                  <w:noWrap w:val="0"/>
                  <w:vAlign w:val="center"/>
                </w:tcPr>
                <w:p>
                  <w:pPr>
                    <w:widowControl/>
                    <w:tabs>
                      <w:tab w:val="left" w:pos="640"/>
                    </w:tabs>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行政单位医疗</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293"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both"/>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w:t>
                  </w:r>
                  <w:r>
                    <w:rPr>
                      <w:rFonts w:eastAsia="宋体"/>
                      <w:color w:val="000000"/>
                      <w:kern w:val="0"/>
                      <w:sz w:val="20"/>
                    </w:rPr>
                    <w:t>、</w:t>
                  </w:r>
                  <w:r>
                    <w:rPr>
                      <w:rFonts w:hint="eastAsia" w:eastAsia="宋体"/>
                      <w:color w:val="000000"/>
                      <w:kern w:val="0"/>
                      <w:sz w:val="20"/>
                      <w:lang w:val="en-US" w:eastAsia="zh-CN"/>
                    </w:rPr>
                    <w:t>住房保障支出</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17.32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293" w:type="dxa"/>
                  <w:tcBorders>
                    <w:top w:val="single" w:color="000000" w:sz="4" w:space="0"/>
                    <w:left w:val="single" w:color="000000" w:sz="4" w:space="0"/>
                    <w:bottom w:val="single" w:color="000000" w:sz="4" w:space="0"/>
                  </w:tcBorders>
                  <w:shd w:val="clear" w:color="000000" w:fill="FFFFFF"/>
                  <w:noWrap w:val="0"/>
                  <w:vAlign w:val="center"/>
                </w:tcPr>
                <w:p>
                  <w:pPr>
                    <w:widowControl/>
                    <w:tabs>
                      <w:tab w:val="left" w:pos="320"/>
                    </w:tabs>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住房改革支出</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17.32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293" w:type="dxa"/>
                  <w:tcBorders>
                    <w:top w:val="single" w:color="000000" w:sz="4" w:space="0"/>
                    <w:left w:val="single" w:color="000000" w:sz="4" w:space="0"/>
                    <w:bottom w:val="single" w:color="000000" w:sz="4" w:space="0"/>
                  </w:tcBorders>
                  <w:shd w:val="clear" w:color="000000" w:fill="FFFFFF"/>
                  <w:noWrap w:val="0"/>
                  <w:vAlign w:val="center"/>
                </w:tcPr>
                <w:p>
                  <w:pPr>
                    <w:widowControl/>
                    <w:tabs>
                      <w:tab w:val="left" w:pos="640"/>
                    </w:tabs>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 xml:space="preserve"> 住房公积金</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17.32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293"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385.15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246.76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138.39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r>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490"/>
              <w:gridCol w:w="1032"/>
              <w:gridCol w:w="1148"/>
              <w:gridCol w:w="1150"/>
            </w:tblGrid>
            <w:tr>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490"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32"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385.15</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377.42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7.73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385.15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377.42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7.73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385.15</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377.42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7.73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312.32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305.39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6.93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）社会保障和就业支出</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38.33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38.33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0"/>
                      <w:sz w:val="20"/>
                      <w:lang w:val="en-US" w:eastAsia="zh-CN" w:bidi="ar-SA"/>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）卫生健康支出</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17.18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16.38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0.80</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（四）</w:t>
                  </w:r>
                  <w:r>
                    <w:rPr>
                      <w:rFonts w:hint="eastAsia" w:eastAsia="宋体"/>
                      <w:color w:val="000000"/>
                      <w:kern w:val="0"/>
                      <w:sz w:val="20"/>
                      <w:lang w:eastAsia="zh-CN"/>
                    </w:rPr>
                    <w:t>住房保障支出</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0"/>
                      <w:sz w:val="20"/>
                      <w:lang w:val="en-US" w:eastAsia="zh-CN" w:bidi="ar-SA"/>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385.15</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377.42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7.73</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385.15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377.42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7.73</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312.32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136.36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37.57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138.39</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tabs>
                      <w:tab w:val="left" w:pos="320"/>
                    </w:tabs>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eastAsia="zh-CN"/>
                    </w:rPr>
                    <w:t>统计信息</w:t>
                  </w:r>
                  <w:r>
                    <w:rPr>
                      <w:rFonts w:eastAsia="宋体"/>
                      <w:color w:val="000000"/>
                      <w:kern w:val="0"/>
                      <w:sz w:val="20"/>
                    </w:rPr>
                    <w:t>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312.32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136.36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37.57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138.39</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136.36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37.57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 xml:space="preserve"> </w:t>
                  </w:r>
                  <w:r>
                    <w:rPr>
                      <w:rFonts w:hint="eastAsia" w:eastAsia="宋体"/>
                      <w:color w:val="000000"/>
                      <w:kern w:val="0"/>
                      <w:sz w:val="20"/>
                      <w:lang w:eastAsia="zh-CN"/>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26.13</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112.26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112.26</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lang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lang w:val="en-US" w:eastAsia="zh-CN"/>
                    </w:rPr>
                    <w:t xml:space="preserve">行政事业单位养老支出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hint="eastAsia" w:eastAsia="宋体"/>
                      <w:color w:val="000000"/>
                      <w:kern w:val="0"/>
                      <w:sz w:val="20"/>
                      <w:lang w:val="en-US" w:eastAsia="zh-CN"/>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宋体"/>
                      <w:color w:val="000000"/>
                      <w:kern w:val="0"/>
                      <w:sz w:val="20"/>
                    </w:rPr>
                  </w:pPr>
                  <w:r>
                    <w:rPr>
                      <w:rFonts w:hint="eastAsia" w:eastAsia="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18.60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18.60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18.60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both"/>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三</w:t>
                  </w:r>
                  <w:r>
                    <w:rPr>
                      <w:rFonts w:eastAsia="宋体"/>
                      <w:color w:val="000000"/>
                      <w:kern w:val="0"/>
                      <w:sz w:val="20"/>
                    </w:rPr>
                    <w:t>、</w:t>
                  </w:r>
                  <w:r>
                    <w:rPr>
                      <w:rFonts w:hint="eastAsia" w:eastAsia="宋体"/>
                      <w:color w:val="000000"/>
                      <w:kern w:val="0"/>
                      <w:sz w:val="20"/>
                      <w:lang w:val="en-US" w:eastAsia="zh-CN"/>
                    </w:rPr>
                    <w:t>卫生健康</w:t>
                  </w:r>
                  <w:r>
                    <w:rPr>
                      <w:rFonts w:hint="eastAsia" w:eastAsia="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tabs>
                      <w:tab w:val="left" w:pos="320"/>
                    </w:tabs>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both"/>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w:t>
                  </w:r>
                  <w:r>
                    <w:rPr>
                      <w:rFonts w:eastAsia="宋体"/>
                      <w:color w:val="000000"/>
                      <w:kern w:val="0"/>
                      <w:sz w:val="20"/>
                    </w:rPr>
                    <w:t>、</w:t>
                  </w:r>
                  <w:r>
                    <w:rPr>
                      <w:rFonts w:hint="eastAsia" w:eastAsia="宋体"/>
                      <w:color w:val="000000"/>
                      <w:kern w:val="0"/>
                      <w:sz w:val="20"/>
                      <w:lang w:val="en-US" w:eastAsia="zh-CN"/>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tabs>
                      <w:tab w:val="left" w:pos="320"/>
                    </w:tabs>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tabs>
                      <w:tab w:val="left" w:pos="640"/>
                    </w:tabs>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385.15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246.76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209.19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37.57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138.39</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188.71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188.71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54.44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54.44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37.41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37.41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35.11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35.11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ascii="宋体" w:hAnsi="宋体" w:eastAsia="宋体" w:cs="宋体"/>
                <w:color w:val="000000"/>
                <w:kern w:val="0"/>
                <w:sz w:val="20"/>
                <w:szCs w:val="20"/>
                <w:u w:val="none"/>
                <w:lang w:val="en-US" w:eastAsia="zh-CN" w:bidi="ar"/>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18.60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18.60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320"/>
              </w:tabs>
              <w:autoSpaceDN w:val="0"/>
              <w:ind w:firstLine="400" w:firstLineChars="200"/>
              <w:jc w:val="left"/>
              <w:textAlignment w:val="center"/>
              <w:rPr>
                <w:rFonts w:eastAsia="宋体"/>
                <w:kern w:val="0"/>
                <w:sz w:val="20"/>
              </w:rPr>
            </w:pPr>
            <w:r>
              <w:rPr>
                <w:rFonts w:hint="eastAsia" w:ascii="宋体" w:hAnsi="宋体" w:eastAsia="宋体" w:cs="宋体"/>
                <w:color w:val="000000"/>
                <w:kern w:val="0"/>
                <w:sz w:val="20"/>
                <w:szCs w:val="20"/>
                <w:u w:val="none"/>
                <w:lang w:val="en-US" w:eastAsia="zh-CN" w:bidi="ar"/>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6.86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6.86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ascii="宋体" w:hAnsi="宋体" w:eastAsia="宋体" w:cs="宋体"/>
                <w:color w:val="000000"/>
                <w:kern w:val="0"/>
                <w:sz w:val="20"/>
                <w:szCs w:val="20"/>
                <w:u w:val="none"/>
                <w:lang w:val="en-US" w:eastAsia="zh-CN" w:bidi="ar"/>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10.13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10.13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sz w:val="20"/>
              </w:rPr>
            </w:pPr>
            <w:r>
              <w:rPr>
                <w:rFonts w:hint="eastAsia" w:ascii="宋体" w:hAnsi="宋体" w:eastAsia="宋体" w:cs="宋体"/>
                <w:color w:val="000000"/>
                <w:kern w:val="0"/>
                <w:sz w:val="20"/>
                <w:szCs w:val="20"/>
                <w:u w:val="none"/>
                <w:lang w:val="en-US" w:eastAsia="zh-CN" w:bidi="ar"/>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3.86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3.86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lang w:val="en-US" w:eastAsia="zh-CN" w:bidi="ar-SA"/>
              </w:rPr>
            </w:pPr>
            <w:r>
              <w:rPr>
                <w:rFonts w:hint="eastAsia" w:ascii="宋体" w:hAnsi="宋体" w:eastAsia="宋体" w:cs="宋体"/>
                <w:color w:val="000000"/>
                <w:kern w:val="0"/>
                <w:sz w:val="20"/>
                <w:szCs w:val="20"/>
                <w:u w:val="none"/>
                <w:lang w:val="en-US" w:eastAsia="zh-CN" w:bidi="ar"/>
              </w:rPr>
              <w:t>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17.32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17.32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lang w:val="en-US" w:eastAsia="zh-CN" w:bidi="ar-SA"/>
              </w:rPr>
            </w:pPr>
            <w:r>
              <w:rPr>
                <w:rFonts w:hint="eastAsia" w:ascii="宋体" w:hAnsi="宋体" w:eastAsia="宋体" w:cs="宋体"/>
                <w:color w:val="000000"/>
                <w:kern w:val="0"/>
                <w:sz w:val="20"/>
                <w:szCs w:val="20"/>
                <w:u w:val="none"/>
                <w:lang w:val="en-US" w:eastAsia="zh-CN" w:bidi="ar"/>
              </w:rPr>
              <w:t>　  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2.48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2.48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2.50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36.17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36.17</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2.30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2.30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color w:val="000000"/>
                <w:kern w:val="0"/>
                <w:sz w:val="20"/>
                <w:szCs w:val="20"/>
                <w:u w:val="none"/>
                <w:lang w:val="en-US" w:eastAsia="zh-CN" w:bidi="ar"/>
              </w:rPr>
              <w:t>　  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5.03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5.03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eastAsia="宋体"/>
                <w:kern w:val="0"/>
                <w:sz w:val="20"/>
              </w:rPr>
            </w:pPr>
            <w:r>
              <w:rPr>
                <w:rFonts w:hint="eastAsia" w:ascii="宋体" w:hAnsi="宋体" w:eastAsia="宋体" w:cs="宋体"/>
                <w:color w:val="000000"/>
                <w:kern w:val="0"/>
                <w:sz w:val="20"/>
                <w:szCs w:val="20"/>
                <w:u w:val="none"/>
                <w:lang w:val="en-US" w:eastAsia="zh-CN" w:bidi="ar"/>
              </w:rPr>
              <w:t>　  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0.30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0.30</w:t>
            </w:r>
          </w:p>
        </w:tc>
      </w:tr>
    </w:tbl>
    <w:p>
      <w:pPr>
        <w:rPr>
          <w:sz w:val="16"/>
          <w:szCs w:val="16"/>
        </w:rPr>
      </w:pPr>
    </w:p>
    <w:p>
      <w:pPr>
        <w:rPr>
          <w:sz w:val="16"/>
          <w:szCs w:val="16"/>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预算续</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color w:val="000000"/>
                <w:kern w:val="0"/>
                <w:sz w:val="20"/>
                <w:szCs w:val="20"/>
                <w:u w:val="none"/>
                <w:lang w:val="en-US" w:eastAsia="zh-CN" w:bidi="ar"/>
              </w:rPr>
              <w:t>　  差旅费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color w:val="000000"/>
                <w:kern w:val="0"/>
                <w:sz w:val="20"/>
                <w:szCs w:val="20"/>
                <w:u w:val="none"/>
                <w:lang w:val="en-US" w:eastAsia="zh-CN" w:bidi="ar"/>
              </w:rPr>
              <w:t>　  培训费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5.00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kern w:val="0"/>
                <w:sz w:val="20"/>
              </w:rPr>
            </w:pPr>
            <w:r>
              <w:rPr>
                <w:rFonts w:hint="eastAsia" w:ascii="宋体" w:hAnsi="宋体" w:eastAsia="宋体" w:cs="宋体"/>
                <w:color w:val="000000"/>
                <w:kern w:val="0"/>
                <w:sz w:val="20"/>
                <w:szCs w:val="20"/>
                <w:u w:val="none"/>
                <w:lang w:val="en-US" w:eastAsia="zh-CN" w:bidi="ar"/>
              </w:rPr>
              <w:t>　  劳务费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0.50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kern w:val="0"/>
                <w:sz w:val="20"/>
              </w:rPr>
            </w:pPr>
            <w:r>
              <w:rPr>
                <w:rFonts w:hint="eastAsia" w:ascii="宋体" w:hAnsi="宋体" w:eastAsia="宋体" w:cs="宋体"/>
                <w:color w:val="000000"/>
                <w:kern w:val="0"/>
                <w:sz w:val="20"/>
                <w:szCs w:val="20"/>
                <w:u w:val="none"/>
                <w:lang w:val="en-US" w:eastAsia="zh-CN" w:bidi="ar"/>
              </w:rPr>
              <w:t>　  工会经费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1.85</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eastAsia" w:ascii="宋体" w:hAnsi="宋体" w:eastAsia="宋体" w:cs="宋体"/>
                <w:color w:val="000000"/>
                <w:kern w:val="0"/>
                <w:sz w:val="20"/>
                <w:szCs w:val="20"/>
                <w:u w:val="none"/>
                <w:lang w:val="en-US" w:eastAsia="zh-CN" w:bidi="ar"/>
              </w:rPr>
              <w:t>　  福利费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8.17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8.17</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eastAsia" w:ascii="宋体" w:hAnsi="宋体" w:eastAsia="宋体" w:cs="宋体"/>
                <w:color w:val="000000"/>
                <w:kern w:val="0"/>
                <w:sz w:val="20"/>
                <w:szCs w:val="20"/>
                <w:u w:val="none"/>
                <w:lang w:val="en-US" w:eastAsia="zh-CN" w:bidi="ar"/>
              </w:rPr>
              <w:t>　  其他交通费用</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6.42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6.42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lang w:val="en-US" w:eastAsia="zh-CN" w:bidi="ar-SA"/>
              </w:rPr>
            </w:pPr>
            <w:r>
              <w:rPr>
                <w:rFonts w:hint="eastAsia" w:ascii="宋体" w:hAnsi="宋体" w:eastAsia="宋体" w:cs="宋体"/>
                <w:color w:val="000000"/>
                <w:kern w:val="0"/>
                <w:sz w:val="20"/>
                <w:szCs w:val="20"/>
                <w:u w:val="none"/>
                <w:lang w:val="en-US" w:eastAsia="zh-CN" w:bidi="ar"/>
              </w:rPr>
              <w:t>　  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2.10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lang w:val="en-US" w:eastAsia="zh-CN" w:bidi="ar-SA"/>
              </w:rPr>
            </w:pPr>
            <w:r>
              <w:rPr>
                <w:rFonts w:hint="eastAsia" w:ascii="宋体" w:hAnsi="宋体" w:eastAsia="宋体" w:cs="宋体"/>
                <w:color w:val="000000"/>
                <w:kern w:val="0"/>
                <w:sz w:val="20"/>
                <w:szCs w:val="20"/>
                <w:u w:val="none"/>
                <w:lang w:val="en-US" w:eastAsia="zh-CN" w:bidi="ar"/>
              </w:rPr>
              <w:t>三、对个人和家庭的补助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20.48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20.48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Times New Roman" w:hAnsi="Times New Roman" w:eastAsia="宋体" w:cs="Times New Roman"/>
                <w:kern w:val="0"/>
                <w:sz w:val="20"/>
                <w:lang w:val="en-US" w:eastAsia="zh-CN" w:bidi="ar-SA"/>
              </w:rPr>
            </w:pPr>
            <w:r>
              <w:rPr>
                <w:rFonts w:hint="eastAsia" w:ascii="宋体" w:hAnsi="宋体" w:eastAsia="宋体" w:cs="宋体"/>
                <w:color w:val="000000"/>
                <w:kern w:val="0"/>
                <w:sz w:val="20"/>
                <w:szCs w:val="20"/>
                <w:u w:val="none"/>
                <w:lang w:val="en-US" w:eastAsia="zh-CN" w:bidi="ar"/>
              </w:rPr>
              <w:t>　  退休费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19.73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19.73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kern w:val="0"/>
                <w:sz w:val="20"/>
              </w:rPr>
            </w:pPr>
            <w:r>
              <w:rPr>
                <w:rFonts w:hint="eastAsia" w:ascii="宋体" w:hAnsi="宋体" w:eastAsia="宋体" w:cs="宋体"/>
                <w:color w:val="000000"/>
                <w:kern w:val="0"/>
                <w:sz w:val="20"/>
                <w:szCs w:val="20"/>
                <w:u w:val="none"/>
                <w:lang w:val="en-US" w:eastAsia="zh-CN" w:bidi="ar"/>
              </w:rPr>
              <w:t>　  其他对个人和家庭的补助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0.75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0.75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kern w:val="0"/>
                <w:sz w:val="20"/>
              </w:rPr>
            </w:pPr>
            <w:r>
              <w:rPr>
                <w:rFonts w:hint="eastAsia" w:ascii="宋体" w:hAnsi="宋体" w:eastAsia="宋体" w:cs="宋体"/>
                <w:color w:val="000000"/>
                <w:kern w:val="0"/>
                <w:sz w:val="20"/>
                <w:szCs w:val="20"/>
                <w:u w:val="none"/>
                <w:lang w:val="en-US" w:eastAsia="zh-CN" w:bidi="ar"/>
              </w:rPr>
              <w:t>四、资本性支出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color w:val="000000"/>
                <w:kern w:val="0"/>
                <w:sz w:val="20"/>
                <w:szCs w:val="20"/>
                <w:u w:val="none"/>
                <w:lang w:val="en-US" w:eastAsia="zh-CN" w:bidi="ar"/>
              </w:rPr>
              <w:t>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1.40</w:t>
            </w:r>
          </w:p>
        </w:tc>
      </w:tr>
    </w:tbl>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left"/>
              <w:rPr>
                <w:rFonts w:hint="eastAsia" w:eastAsia="仿宋_GB2312"/>
                <w:color w:val="000000"/>
                <w:kern w:val="0"/>
                <w:sz w:val="28"/>
                <w:szCs w:val="28"/>
                <w:lang w:eastAsia="zh-CN"/>
              </w:rPr>
            </w:pPr>
            <w:r>
              <w:rPr>
                <w:color w:val="000000"/>
                <w:kern w:val="0"/>
                <w:sz w:val="28"/>
                <w:szCs w:val="28"/>
              </w:rPr>
              <w:t>说明：</w:t>
            </w:r>
          </w:p>
          <w:p>
            <w:pPr>
              <w:widowControl/>
              <w:jc w:val="left"/>
              <w:rPr>
                <w:rFonts w:hint="eastAsia" w:eastAsia="宋体"/>
                <w:color w:val="000000"/>
                <w:kern w:val="0"/>
                <w:sz w:val="28"/>
                <w:szCs w:val="28"/>
                <w:lang w:eastAsia="zh-CN"/>
              </w:rPr>
            </w:pP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color w:val="000000"/>
                <w:kern w:val="0"/>
                <w:sz w:val="28"/>
                <w:szCs w:val="28"/>
                <w:lang w:eastAsia="zh-CN"/>
              </w:rPr>
              <w:t>本单位</w:t>
            </w:r>
            <w:r>
              <w:rPr>
                <w:rFonts w:hint="eastAsia"/>
                <w:color w:val="000000"/>
                <w:kern w:val="0"/>
                <w:sz w:val="28"/>
                <w:szCs w:val="28"/>
                <w:lang w:val="en-US" w:eastAsia="zh-CN"/>
              </w:rPr>
              <w:t>1</w:t>
            </w:r>
            <w:r>
              <w:rPr>
                <w:color w:val="000000"/>
                <w:kern w:val="0"/>
                <w:sz w:val="28"/>
                <w:szCs w:val="28"/>
              </w:rPr>
              <w:t>个预算单位。</w:t>
            </w:r>
            <w:r>
              <w:rPr>
                <w:rFonts w:eastAsia="宋体"/>
                <w:color w:val="000000"/>
                <w:kern w:val="0"/>
                <w:sz w:val="28"/>
                <w:szCs w:val="28"/>
              </w:rPr>
              <w:t xml:space="preserve">   </w:t>
            </w:r>
          </w:p>
          <w:p>
            <w:pPr>
              <w:widowControl/>
              <w:jc w:val="left"/>
              <w:rPr>
                <w:color w:val="000000"/>
                <w:kern w:val="0"/>
                <w:sz w:val="28"/>
                <w:szCs w:val="28"/>
              </w:rPr>
            </w:pP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hint="eastAsia"/>
                <w:color w:val="000000"/>
                <w:kern w:val="0"/>
                <w:sz w:val="28"/>
                <w:szCs w:val="28"/>
                <w:lang w:val="en-US" w:eastAsia="zh-CN"/>
              </w:rPr>
              <w:t>31</w:t>
            </w:r>
            <w:r>
              <w:rPr>
                <w:color w:val="000000"/>
                <w:kern w:val="0"/>
                <w:sz w:val="28"/>
                <w:szCs w:val="28"/>
              </w:rPr>
              <w:t>人，其中：在职人员</w:t>
            </w:r>
            <w:r>
              <w:rPr>
                <w:rFonts w:hint="eastAsia"/>
                <w:color w:val="000000"/>
                <w:kern w:val="0"/>
                <w:sz w:val="28"/>
                <w:szCs w:val="28"/>
                <w:lang w:val="en-US" w:eastAsia="zh-CN"/>
              </w:rPr>
              <w:t>15</w:t>
            </w:r>
            <w:r>
              <w:rPr>
                <w:color w:val="000000"/>
                <w:kern w:val="0"/>
                <w:sz w:val="28"/>
                <w:szCs w:val="28"/>
              </w:rPr>
              <w:t>人，离退休人员</w:t>
            </w:r>
            <w:r>
              <w:rPr>
                <w:rFonts w:hint="eastAsia"/>
                <w:color w:val="000000"/>
                <w:kern w:val="0"/>
                <w:sz w:val="28"/>
                <w:szCs w:val="28"/>
                <w:lang w:val="en-US" w:eastAsia="zh-CN"/>
              </w:rPr>
              <w:t>16</w:t>
            </w:r>
            <w:bookmarkStart w:id="0" w:name="_GoBack"/>
            <w:bookmarkEnd w:id="0"/>
            <w:r>
              <w:rPr>
                <w:color w:val="000000"/>
                <w:kern w:val="0"/>
                <w:sz w:val="28"/>
                <w:szCs w:val="28"/>
              </w:rPr>
              <w:t>人。</w:t>
            </w:r>
          </w:p>
          <w:p>
            <w:pPr>
              <w:widowControl/>
              <w:jc w:val="both"/>
              <w:rPr>
                <w:rFonts w:hint="eastAsia" w:eastAsia="仿宋_GB2312"/>
                <w:color w:val="000000"/>
                <w:kern w:val="0"/>
                <w:sz w:val="28"/>
                <w:szCs w:val="28"/>
                <w:lang w:val="en-US" w:eastAsia="zh-CN"/>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hint="eastAsia" w:eastAsia="楷体"/>
          <w:kern w:val="0"/>
          <w:szCs w:val="32"/>
          <w:lang w:eastAsia="zh-CN"/>
        </w:rPr>
      </w:pPr>
      <w:r>
        <w:rPr>
          <w:rFonts w:eastAsia="楷体_GB2312"/>
          <w:kern w:val="0"/>
          <w:szCs w:val="32"/>
        </w:rPr>
        <w:t xml:space="preserve"> </w:t>
      </w:r>
    </w:p>
    <w:p>
      <w:pPr>
        <w:spacing w:line="700" w:lineRule="exact"/>
        <w:ind w:firstLine="640" w:firstLineChars="200"/>
        <w:rPr>
          <w:rFonts w:hint="eastAsia" w:eastAsia="楷体"/>
          <w:kern w:val="0"/>
          <w:szCs w:val="32"/>
          <w:lang w:eastAsia="zh-CN"/>
        </w:rPr>
      </w:pPr>
    </w:p>
    <w:p>
      <w:pPr>
        <w:spacing w:line="700" w:lineRule="exact"/>
        <w:ind w:firstLine="640" w:firstLineChars="200"/>
        <w:rPr>
          <w:rFonts w:hint="eastAsia" w:eastAsia="楷体"/>
          <w:kern w:val="0"/>
          <w:szCs w:val="32"/>
          <w:lang w:eastAsia="zh-CN"/>
        </w:rPr>
      </w:pPr>
    </w:p>
    <w:p>
      <w:pPr>
        <w:spacing w:line="700" w:lineRule="exact"/>
        <w:ind w:firstLine="640" w:firstLineChars="200"/>
        <w:rPr>
          <w:rFonts w:hint="eastAsia" w:eastAsia="楷体"/>
          <w:kern w:val="0"/>
          <w:szCs w:val="32"/>
          <w:lang w:eastAsia="zh-CN"/>
        </w:rPr>
      </w:pPr>
    </w:p>
    <w:p>
      <w:pPr>
        <w:spacing w:line="700" w:lineRule="exact"/>
        <w:ind w:firstLine="640" w:firstLineChars="200"/>
        <w:rPr>
          <w:rFonts w:hint="eastAsia" w:eastAsia="楷体"/>
          <w:kern w:val="0"/>
          <w:szCs w:val="32"/>
          <w:lang w:eastAsia="zh-CN"/>
        </w:rPr>
        <w:sectPr>
          <w:footerReference r:id="rId9" w:type="first"/>
          <w:footerReference r:id="rId8"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990"/>
        <w:gridCol w:w="221"/>
        <w:gridCol w:w="694"/>
        <w:gridCol w:w="960"/>
        <w:gridCol w:w="885"/>
        <w:gridCol w:w="958"/>
        <w:gridCol w:w="405"/>
        <w:gridCol w:w="405"/>
        <w:gridCol w:w="390"/>
        <w:gridCol w:w="420"/>
        <w:gridCol w:w="345"/>
        <w:gridCol w:w="345"/>
        <w:gridCol w:w="420"/>
        <w:gridCol w:w="33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161"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28"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211"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94"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6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8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578"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205"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28"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90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960"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885"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578"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205"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28"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990"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915"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96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885"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768"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390"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20"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110"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095"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628" w:type="dxa"/>
            <w:vMerge w:val="continue"/>
            <w:noWrap w:val="0"/>
            <w:vAlign w:val="center"/>
          </w:tcPr>
          <w:p>
            <w:pPr>
              <w:autoSpaceDN w:val="0"/>
              <w:jc w:val="center"/>
              <w:textAlignment w:val="center"/>
              <w:rPr>
                <w:rFonts w:ascii="Calibri" w:hAnsi="Calibri" w:eastAsia="华文细黑"/>
                <w:color w:val="000000"/>
                <w:sz w:val="20"/>
                <w:szCs w:val="22"/>
              </w:rPr>
            </w:pPr>
          </w:p>
        </w:tc>
        <w:tc>
          <w:tcPr>
            <w:tcW w:w="990" w:type="dxa"/>
            <w:vMerge w:val="continue"/>
            <w:noWrap w:val="0"/>
            <w:vAlign w:val="center"/>
          </w:tcPr>
          <w:p>
            <w:pPr>
              <w:autoSpaceDN w:val="0"/>
              <w:jc w:val="center"/>
              <w:textAlignment w:val="center"/>
              <w:rPr>
                <w:rFonts w:ascii="Calibri" w:hAnsi="Calibri" w:eastAsia="华文细黑"/>
                <w:color w:val="000000"/>
                <w:sz w:val="20"/>
                <w:szCs w:val="22"/>
              </w:rPr>
            </w:pPr>
          </w:p>
        </w:tc>
        <w:tc>
          <w:tcPr>
            <w:tcW w:w="915"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960" w:type="dxa"/>
            <w:vMerge w:val="continue"/>
            <w:noWrap w:val="0"/>
            <w:vAlign w:val="center"/>
          </w:tcPr>
          <w:p>
            <w:pPr>
              <w:autoSpaceDN w:val="0"/>
              <w:jc w:val="center"/>
              <w:textAlignment w:val="center"/>
              <w:rPr>
                <w:rFonts w:ascii="Calibri" w:hAnsi="Calibri" w:eastAsia="华文细黑"/>
                <w:color w:val="000000"/>
                <w:sz w:val="20"/>
                <w:szCs w:val="22"/>
              </w:rPr>
            </w:pPr>
          </w:p>
        </w:tc>
        <w:tc>
          <w:tcPr>
            <w:tcW w:w="885" w:type="dxa"/>
            <w:vMerge w:val="continue"/>
            <w:noWrap w:val="0"/>
            <w:vAlign w:val="center"/>
          </w:tcPr>
          <w:p>
            <w:pPr>
              <w:autoSpaceDN w:val="0"/>
              <w:jc w:val="center"/>
              <w:textAlignment w:val="center"/>
              <w:rPr>
                <w:rFonts w:ascii="Calibri" w:hAnsi="Calibri" w:eastAsia="华文细黑"/>
                <w:color w:val="000000"/>
                <w:sz w:val="20"/>
                <w:szCs w:val="22"/>
              </w:rPr>
            </w:pPr>
          </w:p>
        </w:tc>
        <w:tc>
          <w:tcPr>
            <w:tcW w:w="958"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05"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0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39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2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34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4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2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30"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765"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28" w:type="dxa"/>
            <w:noWrap w:val="0"/>
            <w:vAlign w:val="top"/>
          </w:tcPr>
          <w:p>
            <w:pPr>
              <w:spacing w:line="240" w:lineRule="auto"/>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专项业务支出</w:t>
            </w:r>
          </w:p>
        </w:tc>
        <w:tc>
          <w:tcPr>
            <w:tcW w:w="990" w:type="dxa"/>
            <w:noWrap w:val="0"/>
            <w:vAlign w:val="center"/>
          </w:tcPr>
          <w:p>
            <w:pPr>
              <w:spacing w:line="700" w:lineRule="exact"/>
              <w:jc w:val="center"/>
              <w:rPr>
                <w:rFonts w:hint="eastAsia" w:ascii="宋体" w:hAnsi="宋体" w:eastAsia="宋体" w:cs="宋体"/>
                <w:kern w:val="0"/>
                <w:sz w:val="20"/>
                <w:szCs w:val="20"/>
              </w:rPr>
            </w:pPr>
          </w:p>
        </w:tc>
        <w:tc>
          <w:tcPr>
            <w:tcW w:w="915" w:type="dxa"/>
            <w:gridSpan w:val="2"/>
            <w:noWrap w:val="0"/>
            <w:vAlign w:val="center"/>
          </w:tcPr>
          <w:p>
            <w:pPr>
              <w:spacing w:line="700" w:lineRule="exact"/>
              <w:jc w:val="center"/>
              <w:rPr>
                <w:rFonts w:hint="eastAsia" w:ascii="宋体" w:hAnsi="宋体" w:eastAsia="宋体" w:cs="宋体"/>
                <w:kern w:val="0"/>
                <w:sz w:val="20"/>
                <w:szCs w:val="20"/>
              </w:rPr>
            </w:pPr>
          </w:p>
        </w:tc>
        <w:tc>
          <w:tcPr>
            <w:tcW w:w="960" w:type="dxa"/>
            <w:noWrap w:val="0"/>
            <w:vAlign w:val="center"/>
          </w:tcPr>
          <w:p>
            <w:pPr>
              <w:spacing w:line="700" w:lineRule="exact"/>
              <w:jc w:val="center"/>
              <w:rPr>
                <w:rFonts w:hint="eastAsia" w:ascii="宋体" w:hAnsi="宋体" w:eastAsia="宋体" w:cs="宋体"/>
                <w:kern w:val="0"/>
                <w:sz w:val="20"/>
                <w:szCs w:val="20"/>
              </w:rPr>
            </w:pPr>
          </w:p>
        </w:tc>
        <w:tc>
          <w:tcPr>
            <w:tcW w:w="885" w:type="dxa"/>
            <w:noWrap w:val="0"/>
            <w:vAlign w:val="center"/>
          </w:tcPr>
          <w:p>
            <w:pPr>
              <w:spacing w:line="70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138.39</w:t>
            </w:r>
          </w:p>
        </w:tc>
        <w:tc>
          <w:tcPr>
            <w:tcW w:w="958" w:type="dxa"/>
            <w:noWrap w:val="0"/>
            <w:vAlign w:val="center"/>
          </w:tcPr>
          <w:p>
            <w:pPr>
              <w:spacing w:line="70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138.39</w:t>
            </w:r>
          </w:p>
        </w:tc>
        <w:tc>
          <w:tcPr>
            <w:tcW w:w="405" w:type="dxa"/>
            <w:noWrap w:val="0"/>
            <w:vAlign w:val="center"/>
          </w:tcPr>
          <w:p>
            <w:pPr>
              <w:spacing w:line="700" w:lineRule="exact"/>
              <w:jc w:val="center"/>
              <w:rPr>
                <w:rFonts w:hint="eastAsia" w:ascii="宋体" w:hAnsi="宋体" w:eastAsia="宋体" w:cs="宋体"/>
                <w:kern w:val="0"/>
                <w:sz w:val="20"/>
                <w:szCs w:val="20"/>
              </w:rPr>
            </w:pPr>
          </w:p>
        </w:tc>
        <w:tc>
          <w:tcPr>
            <w:tcW w:w="405" w:type="dxa"/>
            <w:noWrap w:val="0"/>
            <w:vAlign w:val="center"/>
          </w:tcPr>
          <w:p>
            <w:pPr>
              <w:spacing w:line="700" w:lineRule="exact"/>
              <w:jc w:val="center"/>
              <w:rPr>
                <w:rFonts w:hint="eastAsia" w:ascii="宋体" w:hAnsi="宋体" w:eastAsia="宋体" w:cs="宋体"/>
                <w:kern w:val="0"/>
                <w:sz w:val="20"/>
                <w:szCs w:val="20"/>
              </w:rPr>
            </w:pPr>
          </w:p>
        </w:tc>
        <w:tc>
          <w:tcPr>
            <w:tcW w:w="390" w:type="dxa"/>
            <w:noWrap w:val="0"/>
            <w:vAlign w:val="center"/>
          </w:tcPr>
          <w:p>
            <w:pPr>
              <w:spacing w:line="700" w:lineRule="exact"/>
              <w:jc w:val="center"/>
              <w:rPr>
                <w:rFonts w:hint="eastAsia" w:ascii="宋体" w:hAnsi="宋体" w:eastAsia="宋体" w:cs="宋体"/>
                <w:kern w:val="0"/>
                <w:sz w:val="20"/>
                <w:szCs w:val="20"/>
              </w:rPr>
            </w:pPr>
          </w:p>
        </w:tc>
        <w:tc>
          <w:tcPr>
            <w:tcW w:w="420" w:type="dxa"/>
            <w:noWrap w:val="0"/>
            <w:vAlign w:val="center"/>
          </w:tcPr>
          <w:p>
            <w:pPr>
              <w:spacing w:line="700" w:lineRule="exact"/>
              <w:jc w:val="center"/>
              <w:rPr>
                <w:rFonts w:hint="eastAsia" w:ascii="宋体" w:hAnsi="宋体" w:eastAsia="宋体" w:cs="宋体"/>
                <w:kern w:val="0"/>
                <w:sz w:val="20"/>
                <w:szCs w:val="20"/>
              </w:rPr>
            </w:pPr>
          </w:p>
        </w:tc>
        <w:tc>
          <w:tcPr>
            <w:tcW w:w="345" w:type="dxa"/>
            <w:noWrap w:val="0"/>
            <w:vAlign w:val="center"/>
          </w:tcPr>
          <w:p>
            <w:pPr>
              <w:spacing w:line="700" w:lineRule="exact"/>
              <w:jc w:val="center"/>
              <w:rPr>
                <w:rFonts w:hint="eastAsia" w:ascii="宋体" w:hAnsi="宋体" w:eastAsia="宋体" w:cs="宋体"/>
                <w:kern w:val="0"/>
                <w:sz w:val="20"/>
                <w:szCs w:val="20"/>
              </w:rPr>
            </w:pPr>
          </w:p>
        </w:tc>
        <w:tc>
          <w:tcPr>
            <w:tcW w:w="345" w:type="dxa"/>
            <w:noWrap w:val="0"/>
            <w:vAlign w:val="center"/>
          </w:tcPr>
          <w:p>
            <w:pPr>
              <w:spacing w:line="700" w:lineRule="exact"/>
              <w:jc w:val="center"/>
              <w:rPr>
                <w:rFonts w:hint="eastAsia" w:ascii="宋体" w:hAnsi="宋体" w:eastAsia="宋体" w:cs="宋体"/>
                <w:kern w:val="0"/>
                <w:sz w:val="20"/>
                <w:szCs w:val="20"/>
              </w:rPr>
            </w:pPr>
          </w:p>
        </w:tc>
        <w:tc>
          <w:tcPr>
            <w:tcW w:w="420" w:type="dxa"/>
            <w:noWrap w:val="0"/>
            <w:vAlign w:val="center"/>
          </w:tcPr>
          <w:p>
            <w:pPr>
              <w:spacing w:line="700" w:lineRule="exact"/>
              <w:jc w:val="center"/>
              <w:rPr>
                <w:rFonts w:hint="eastAsia" w:ascii="宋体" w:hAnsi="宋体" w:eastAsia="宋体" w:cs="宋体"/>
                <w:kern w:val="0"/>
                <w:sz w:val="20"/>
                <w:szCs w:val="20"/>
              </w:rPr>
            </w:pPr>
          </w:p>
        </w:tc>
        <w:tc>
          <w:tcPr>
            <w:tcW w:w="330" w:type="dxa"/>
            <w:noWrap w:val="0"/>
            <w:vAlign w:val="center"/>
          </w:tcPr>
          <w:p>
            <w:pPr>
              <w:spacing w:line="700" w:lineRule="exact"/>
              <w:jc w:val="center"/>
              <w:rPr>
                <w:rFonts w:hint="eastAsia" w:ascii="宋体" w:hAnsi="宋体" w:eastAsia="宋体" w:cs="宋体"/>
                <w:kern w:val="0"/>
                <w:sz w:val="20"/>
                <w:szCs w:val="20"/>
              </w:rPr>
            </w:pPr>
          </w:p>
        </w:tc>
        <w:tc>
          <w:tcPr>
            <w:tcW w:w="765"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28" w:type="dxa"/>
            <w:noWrap w:val="0"/>
            <w:vAlign w:val="center"/>
          </w:tcPr>
          <w:p>
            <w:pPr>
              <w:spacing w:line="700" w:lineRule="exact"/>
              <w:jc w:val="center"/>
              <w:rPr>
                <w:rFonts w:hint="eastAsia" w:ascii="宋体" w:hAnsi="宋体" w:eastAsia="宋体" w:cs="宋体"/>
                <w:kern w:val="0"/>
                <w:sz w:val="20"/>
                <w:szCs w:val="20"/>
              </w:rPr>
            </w:pPr>
          </w:p>
        </w:tc>
        <w:tc>
          <w:tcPr>
            <w:tcW w:w="990" w:type="dxa"/>
            <w:noWrap w:val="0"/>
            <w:vAlign w:val="center"/>
          </w:tcPr>
          <w:p>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专项普查活动</w:t>
            </w:r>
          </w:p>
        </w:tc>
        <w:tc>
          <w:tcPr>
            <w:tcW w:w="915" w:type="dxa"/>
            <w:gridSpan w:val="2"/>
            <w:noWrap w:val="0"/>
            <w:vAlign w:val="center"/>
          </w:tcPr>
          <w:p>
            <w:pPr>
              <w:spacing w:line="700" w:lineRule="exact"/>
              <w:jc w:val="center"/>
              <w:rPr>
                <w:rFonts w:hint="eastAsia" w:ascii="宋体" w:hAnsi="宋体" w:eastAsia="宋体" w:cs="宋体"/>
                <w:kern w:val="0"/>
                <w:sz w:val="20"/>
                <w:szCs w:val="20"/>
              </w:rPr>
            </w:pPr>
          </w:p>
        </w:tc>
        <w:tc>
          <w:tcPr>
            <w:tcW w:w="960" w:type="dxa"/>
            <w:noWrap w:val="0"/>
            <w:vAlign w:val="center"/>
          </w:tcPr>
          <w:p>
            <w:pPr>
              <w:spacing w:line="700" w:lineRule="exact"/>
              <w:jc w:val="center"/>
              <w:rPr>
                <w:rFonts w:hint="eastAsia" w:ascii="宋体" w:hAnsi="宋体" w:eastAsia="宋体" w:cs="宋体"/>
                <w:kern w:val="0"/>
                <w:sz w:val="20"/>
                <w:szCs w:val="20"/>
              </w:rPr>
            </w:pPr>
          </w:p>
        </w:tc>
        <w:tc>
          <w:tcPr>
            <w:tcW w:w="885" w:type="dxa"/>
            <w:noWrap w:val="0"/>
            <w:vAlign w:val="center"/>
          </w:tcPr>
          <w:p>
            <w:pPr>
              <w:spacing w:line="70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112.26</w:t>
            </w:r>
          </w:p>
        </w:tc>
        <w:tc>
          <w:tcPr>
            <w:tcW w:w="958" w:type="dxa"/>
            <w:noWrap w:val="0"/>
            <w:vAlign w:val="center"/>
          </w:tcPr>
          <w:p>
            <w:pPr>
              <w:spacing w:line="70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112.26</w:t>
            </w:r>
          </w:p>
        </w:tc>
        <w:tc>
          <w:tcPr>
            <w:tcW w:w="405" w:type="dxa"/>
            <w:noWrap w:val="0"/>
            <w:vAlign w:val="center"/>
          </w:tcPr>
          <w:p>
            <w:pPr>
              <w:spacing w:line="700" w:lineRule="exact"/>
              <w:jc w:val="center"/>
              <w:rPr>
                <w:rFonts w:hint="eastAsia" w:ascii="宋体" w:hAnsi="宋体" w:eastAsia="宋体" w:cs="宋体"/>
                <w:kern w:val="0"/>
                <w:sz w:val="20"/>
                <w:szCs w:val="20"/>
              </w:rPr>
            </w:pPr>
          </w:p>
        </w:tc>
        <w:tc>
          <w:tcPr>
            <w:tcW w:w="405" w:type="dxa"/>
            <w:noWrap w:val="0"/>
            <w:vAlign w:val="center"/>
          </w:tcPr>
          <w:p>
            <w:pPr>
              <w:spacing w:line="700" w:lineRule="exact"/>
              <w:jc w:val="center"/>
              <w:rPr>
                <w:rFonts w:hint="eastAsia" w:ascii="宋体" w:hAnsi="宋体" w:eastAsia="宋体" w:cs="宋体"/>
                <w:kern w:val="0"/>
                <w:sz w:val="20"/>
                <w:szCs w:val="20"/>
              </w:rPr>
            </w:pPr>
          </w:p>
        </w:tc>
        <w:tc>
          <w:tcPr>
            <w:tcW w:w="390" w:type="dxa"/>
            <w:noWrap w:val="0"/>
            <w:vAlign w:val="center"/>
          </w:tcPr>
          <w:p>
            <w:pPr>
              <w:spacing w:line="700" w:lineRule="exact"/>
              <w:jc w:val="center"/>
              <w:rPr>
                <w:rFonts w:hint="eastAsia" w:ascii="宋体" w:hAnsi="宋体" w:eastAsia="宋体" w:cs="宋体"/>
                <w:kern w:val="0"/>
                <w:sz w:val="20"/>
                <w:szCs w:val="20"/>
              </w:rPr>
            </w:pPr>
          </w:p>
        </w:tc>
        <w:tc>
          <w:tcPr>
            <w:tcW w:w="420" w:type="dxa"/>
            <w:noWrap w:val="0"/>
            <w:vAlign w:val="center"/>
          </w:tcPr>
          <w:p>
            <w:pPr>
              <w:spacing w:line="700" w:lineRule="exact"/>
              <w:jc w:val="center"/>
              <w:rPr>
                <w:rFonts w:hint="eastAsia" w:ascii="宋体" w:hAnsi="宋体" w:eastAsia="宋体" w:cs="宋体"/>
                <w:kern w:val="0"/>
                <w:sz w:val="20"/>
                <w:szCs w:val="20"/>
              </w:rPr>
            </w:pPr>
          </w:p>
        </w:tc>
        <w:tc>
          <w:tcPr>
            <w:tcW w:w="345" w:type="dxa"/>
            <w:noWrap w:val="0"/>
            <w:vAlign w:val="center"/>
          </w:tcPr>
          <w:p>
            <w:pPr>
              <w:spacing w:line="700" w:lineRule="exact"/>
              <w:jc w:val="center"/>
              <w:rPr>
                <w:rFonts w:hint="eastAsia" w:ascii="宋体" w:hAnsi="宋体" w:eastAsia="宋体" w:cs="宋体"/>
                <w:kern w:val="0"/>
                <w:sz w:val="20"/>
                <w:szCs w:val="20"/>
              </w:rPr>
            </w:pPr>
          </w:p>
        </w:tc>
        <w:tc>
          <w:tcPr>
            <w:tcW w:w="345" w:type="dxa"/>
            <w:noWrap w:val="0"/>
            <w:vAlign w:val="center"/>
          </w:tcPr>
          <w:p>
            <w:pPr>
              <w:spacing w:line="700" w:lineRule="exact"/>
              <w:jc w:val="center"/>
              <w:rPr>
                <w:rFonts w:hint="eastAsia" w:ascii="宋体" w:hAnsi="宋体" w:eastAsia="宋体" w:cs="宋体"/>
                <w:kern w:val="0"/>
                <w:sz w:val="20"/>
                <w:szCs w:val="20"/>
              </w:rPr>
            </w:pPr>
          </w:p>
        </w:tc>
        <w:tc>
          <w:tcPr>
            <w:tcW w:w="420" w:type="dxa"/>
            <w:noWrap w:val="0"/>
            <w:vAlign w:val="center"/>
          </w:tcPr>
          <w:p>
            <w:pPr>
              <w:spacing w:line="700" w:lineRule="exact"/>
              <w:jc w:val="center"/>
              <w:rPr>
                <w:rFonts w:hint="eastAsia" w:ascii="宋体" w:hAnsi="宋体" w:eastAsia="宋体" w:cs="宋体"/>
                <w:kern w:val="0"/>
                <w:sz w:val="20"/>
                <w:szCs w:val="20"/>
              </w:rPr>
            </w:pPr>
          </w:p>
        </w:tc>
        <w:tc>
          <w:tcPr>
            <w:tcW w:w="330" w:type="dxa"/>
            <w:noWrap w:val="0"/>
            <w:vAlign w:val="center"/>
          </w:tcPr>
          <w:p>
            <w:pPr>
              <w:spacing w:line="700" w:lineRule="exact"/>
              <w:jc w:val="center"/>
              <w:rPr>
                <w:rFonts w:hint="eastAsia" w:ascii="宋体" w:hAnsi="宋体" w:eastAsia="宋体" w:cs="宋体"/>
                <w:kern w:val="0"/>
                <w:sz w:val="20"/>
                <w:szCs w:val="20"/>
              </w:rPr>
            </w:pPr>
          </w:p>
        </w:tc>
        <w:tc>
          <w:tcPr>
            <w:tcW w:w="765"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628" w:type="dxa"/>
            <w:noWrap w:val="0"/>
            <w:vAlign w:val="center"/>
          </w:tcPr>
          <w:p>
            <w:pPr>
              <w:spacing w:line="240" w:lineRule="auto"/>
              <w:jc w:val="center"/>
              <w:rPr>
                <w:rFonts w:hint="eastAsia" w:ascii="宋体" w:hAnsi="宋体" w:eastAsia="宋体" w:cs="宋体"/>
                <w:kern w:val="0"/>
                <w:sz w:val="20"/>
                <w:szCs w:val="20"/>
              </w:rPr>
            </w:pPr>
          </w:p>
        </w:tc>
        <w:tc>
          <w:tcPr>
            <w:tcW w:w="990" w:type="dxa"/>
            <w:noWrap w:val="0"/>
            <w:vAlign w:val="center"/>
          </w:tcPr>
          <w:p>
            <w:pPr>
              <w:spacing w:line="700" w:lineRule="exact"/>
              <w:jc w:val="center"/>
              <w:rPr>
                <w:rFonts w:hint="eastAsia" w:ascii="宋体" w:hAnsi="宋体" w:eastAsia="宋体" w:cs="宋体"/>
                <w:kern w:val="0"/>
                <w:sz w:val="20"/>
                <w:szCs w:val="20"/>
              </w:rPr>
            </w:pPr>
          </w:p>
        </w:tc>
        <w:tc>
          <w:tcPr>
            <w:tcW w:w="915" w:type="dxa"/>
            <w:gridSpan w:val="2"/>
            <w:noWrap w:val="0"/>
            <w:vAlign w:val="center"/>
          </w:tcPr>
          <w:p>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第五次全国经济普查经费</w:t>
            </w:r>
          </w:p>
        </w:tc>
        <w:tc>
          <w:tcPr>
            <w:tcW w:w="960" w:type="dxa"/>
            <w:noWrap w:val="0"/>
            <w:vAlign w:val="center"/>
          </w:tcPr>
          <w:p>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公主岭市统计局</w:t>
            </w:r>
          </w:p>
        </w:tc>
        <w:tc>
          <w:tcPr>
            <w:tcW w:w="885" w:type="dxa"/>
            <w:noWrap w:val="0"/>
            <w:vAlign w:val="center"/>
          </w:tcPr>
          <w:p>
            <w:pPr>
              <w:spacing w:line="70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112.26</w:t>
            </w:r>
          </w:p>
        </w:tc>
        <w:tc>
          <w:tcPr>
            <w:tcW w:w="958" w:type="dxa"/>
            <w:noWrap w:val="0"/>
            <w:vAlign w:val="center"/>
          </w:tcPr>
          <w:p>
            <w:pPr>
              <w:spacing w:line="70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112.26</w:t>
            </w:r>
          </w:p>
        </w:tc>
        <w:tc>
          <w:tcPr>
            <w:tcW w:w="405" w:type="dxa"/>
            <w:noWrap w:val="0"/>
            <w:vAlign w:val="center"/>
          </w:tcPr>
          <w:p>
            <w:pPr>
              <w:spacing w:line="700" w:lineRule="exact"/>
              <w:jc w:val="center"/>
              <w:rPr>
                <w:rFonts w:hint="eastAsia" w:ascii="宋体" w:hAnsi="宋体" w:eastAsia="宋体" w:cs="宋体"/>
                <w:kern w:val="0"/>
                <w:sz w:val="20"/>
                <w:szCs w:val="20"/>
              </w:rPr>
            </w:pPr>
          </w:p>
        </w:tc>
        <w:tc>
          <w:tcPr>
            <w:tcW w:w="405" w:type="dxa"/>
            <w:noWrap w:val="0"/>
            <w:vAlign w:val="center"/>
          </w:tcPr>
          <w:p>
            <w:pPr>
              <w:spacing w:line="700" w:lineRule="exact"/>
              <w:jc w:val="center"/>
              <w:rPr>
                <w:rFonts w:hint="eastAsia" w:ascii="宋体" w:hAnsi="宋体" w:eastAsia="宋体" w:cs="宋体"/>
                <w:kern w:val="0"/>
                <w:sz w:val="20"/>
                <w:szCs w:val="20"/>
              </w:rPr>
            </w:pPr>
          </w:p>
        </w:tc>
        <w:tc>
          <w:tcPr>
            <w:tcW w:w="390" w:type="dxa"/>
            <w:noWrap w:val="0"/>
            <w:vAlign w:val="center"/>
          </w:tcPr>
          <w:p>
            <w:pPr>
              <w:spacing w:line="700" w:lineRule="exact"/>
              <w:jc w:val="center"/>
              <w:rPr>
                <w:rFonts w:hint="eastAsia" w:ascii="宋体" w:hAnsi="宋体" w:eastAsia="宋体" w:cs="宋体"/>
                <w:kern w:val="0"/>
                <w:sz w:val="20"/>
                <w:szCs w:val="20"/>
              </w:rPr>
            </w:pPr>
          </w:p>
        </w:tc>
        <w:tc>
          <w:tcPr>
            <w:tcW w:w="420" w:type="dxa"/>
            <w:noWrap w:val="0"/>
            <w:vAlign w:val="center"/>
          </w:tcPr>
          <w:p>
            <w:pPr>
              <w:spacing w:line="700" w:lineRule="exact"/>
              <w:jc w:val="center"/>
              <w:rPr>
                <w:rFonts w:hint="eastAsia" w:ascii="宋体" w:hAnsi="宋体" w:eastAsia="宋体" w:cs="宋体"/>
                <w:kern w:val="0"/>
                <w:sz w:val="20"/>
                <w:szCs w:val="20"/>
              </w:rPr>
            </w:pPr>
          </w:p>
        </w:tc>
        <w:tc>
          <w:tcPr>
            <w:tcW w:w="345" w:type="dxa"/>
            <w:noWrap w:val="0"/>
            <w:vAlign w:val="center"/>
          </w:tcPr>
          <w:p>
            <w:pPr>
              <w:spacing w:line="700" w:lineRule="exact"/>
              <w:jc w:val="center"/>
              <w:rPr>
                <w:rFonts w:hint="eastAsia" w:ascii="宋体" w:hAnsi="宋体" w:eastAsia="宋体" w:cs="宋体"/>
                <w:kern w:val="0"/>
                <w:sz w:val="20"/>
                <w:szCs w:val="20"/>
              </w:rPr>
            </w:pPr>
          </w:p>
        </w:tc>
        <w:tc>
          <w:tcPr>
            <w:tcW w:w="345" w:type="dxa"/>
            <w:noWrap w:val="0"/>
            <w:vAlign w:val="center"/>
          </w:tcPr>
          <w:p>
            <w:pPr>
              <w:spacing w:line="700" w:lineRule="exact"/>
              <w:jc w:val="center"/>
              <w:rPr>
                <w:rFonts w:hint="eastAsia" w:ascii="宋体" w:hAnsi="宋体" w:eastAsia="宋体" w:cs="宋体"/>
                <w:kern w:val="0"/>
                <w:sz w:val="20"/>
                <w:szCs w:val="20"/>
              </w:rPr>
            </w:pPr>
          </w:p>
        </w:tc>
        <w:tc>
          <w:tcPr>
            <w:tcW w:w="420" w:type="dxa"/>
            <w:noWrap w:val="0"/>
            <w:vAlign w:val="center"/>
          </w:tcPr>
          <w:p>
            <w:pPr>
              <w:spacing w:line="700" w:lineRule="exact"/>
              <w:jc w:val="center"/>
              <w:rPr>
                <w:rFonts w:hint="eastAsia" w:ascii="宋体" w:hAnsi="宋体" w:eastAsia="宋体" w:cs="宋体"/>
                <w:kern w:val="0"/>
                <w:sz w:val="20"/>
                <w:szCs w:val="20"/>
              </w:rPr>
            </w:pPr>
          </w:p>
        </w:tc>
        <w:tc>
          <w:tcPr>
            <w:tcW w:w="330" w:type="dxa"/>
            <w:noWrap w:val="0"/>
            <w:vAlign w:val="center"/>
          </w:tcPr>
          <w:p>
            <w:pPr>
              <w:spacing w:line="700" w:lineRule="exact"/>
              <w:jc w:val="center"/>
              <w:rPr>
                <w:rFonts w:hint="eastAsia" w:ascii="宋体" w:hAnsi="宋体" w:eastAsia="宋体" w:cs="宋体"/>
                <w:kern w:val="0"/>
                <w:sz w:val="20"/>
                <w:szCs w:val="20"/>
              </w:rPr>
            </w:pPr>
          </w:p>
        </w:tc>
        <w:tc>
          <w:tcPr>
            <w:tcW w:w="765"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8" w:type="dxa"/>
            <w:noWrap w:val="0"/>
            <w:vAlign w:val="center"/>
          </w:tcPr>
          <w:p>
            <w:pPr>
              <w:spacing w:line="240" w:lineRule="auto"/>
              <w:jc w:val="center"/>
              <w:rPr>
                <w:rFonts w:hint="eastAsia" w:ascii="宋体" w:hAnsi="宋体" w:eastAsia="宋体" w:cs="宋体"/>
                <w:kern w:val="0"/>
                <w:sz w:val="20"/>
                <w:szCs w:val="20"/>
              </w:rPr>
            </w:pPr>
          </w:p>
        </w:tc>
        <w:tc>
          <w:tcPr>
            <w:tcW w:w="990" w:type="dxa"/>
            <w:noWrap w:val="0"/>
            <w:vAlign w:val="center"/>
          </w:tcPr>
          <w:p>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专项统计业务</w:t>
            </w:r>
          </w:p>
        </w:tc>
        <w:tc>
          <w:tcPr>
            <w:tcW w:w="915" w:type="dxa"/>
            <w:gridSpan w:val="2"/>
            <w:noWrap w:val="0"/>
            <w:vAlign w:val="center"/>
          </w:tcPr>
          <w:p>
            <w:pPr>
              <w:spacing w:line="240" w:lineRule="auto"/>
              <w:jc w:val="center"/>
              <w:rPr>
                <w:rFonts w:hint="eastAsia" w:ascii="宋体" w:hAnsi="宋体" w:eastAsia="宋体" w:cs="宋体"/>
                <w:kern w:val="0"/>
                <w:sz w:val="20"/>
                <w:szCs w:val="20"/>
                <w:lang w:eastAsia="zh-CN"/>
              </w:rPr>
            </w:pPr>
          </w:p>
        </w:tc>
        <w:tc>
          <w:tcPr>
            <w:tcW w:w="960" w:type="dxa"/>
            <w:noWrap w:val="0"/>
            <w:vAlign w:val="center"/>
          </w:tcPr>
          <w:p>
            <w:pPr>
              <w:spacing w:line="240" w:lineRule="auto"/>
              <w:jc w:val="center"/>
              <w:rPr>
                <w:rFonts w:hint="eastAsia" w:ascii="宋体" w:hAnsi="宋体" w:eastAsia="宋体" w:cs="宋体"/>
                <w:kern w:val="0"/>
                <w:sz w:val="20"/>
                <w:szCs w:val="20"/>
                <w:lang w:eastAsia="zh-CN"/>
              </w:rPr>
            </w:pPr>
          </w:p>
        </w:tc>
        <w:tc>
          <w:tcPr>
            <w:tcW w:w="885" w:type="dxa"/>
            <w:noWrap w:val="0"/>
            <w:vAlign w:val="center"/>
          </w:tcPr>
          <w:p>
            <w:pPr>
              <w:spacing w:line="70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26.13</w:t>
            </w:r>
          </w:p>
        </w:tc>
        <w:tc>
          <w:tcPr>
            <w:tcW w:w="958" w:type="dxa"/>
            <w:noWrap w:val="0"/>
            <w:vAlign w:val="center"/>
          </w:tcPr>
          <w:p>
            <w:pPr>
              <w:spacing w:line="70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26.13</w:t>
            </w:r>
          </w:p>
        </w:tc>
        <w:tc>
          <w:tcPr>
            <w:tcW w:w="405" w:type="dxa"/>
            <w:noWrap w:val="0"/>
            <w:vAlign w:val="center"/>
          </w:tcPr>
          <w:p>
            <w:pPr>
              <w:spacing w:line="700" w:lineRule="exact"/>
              <w:jc w:val="center"/>
              <w:rPr>
                <w:rFonts w:hint="eastAsia" w:ascii="宋体" w:hAnsi="宋体" w:eastAsia="宋体" w:cs="宋体"/>
                <w:kern w:val="0"/>
                <w:sz w:val="20"/>
                <w:szCs w:val="20"/>
              </w:rPr>
            </w:pPr>
          </w:p>
        </w:tc>
        <w:tc>
          <w:tcPr>
            <w:tcW w:w="405" w:type="dxa"/>
            <w:noWrap w:val="0"/>
            <w:vAlign w:val="center"/>
          </w:tcPr>
          <w:p>
            <w:pPr>
              <w:spacing w:line="700" w:lineRule="exact"/>
              <w:jc w:val="center"/>
              <w:rPr>
                <w:rFonts w:hint="eastAsia" w:ascii="宋体" w:hAnsi="宋体" w:eastAsia="宋体" w:cs="宋体"/>
                <w:kern w:val="0"/>
                <w:sz w:val="20"/>
                <w:szCs w:val="20"/>
              </w:rPr>
            </w:pPr>
          </w:p>
        </w:tc>
        <w:tc>
          <w:tcPr>
            <w:tcW w:w="390" w:type="dxa"/>
            <w:noWrap w:val="0"/>
            <w:vAlign w:val="center"/>
          </w:tcPr>
          <w:p>
            <w:pPr>
              <w:spacing w:line="700" w:lineRule="exact"/>
              <w:jc w:val="center"/>
              <w:rPr>
                <w:rFonts w:hint="eastAsia" w:ascii="宋体" w:hAnsi="宋体" w:eastAsia="宋体" w:cs="宋体"/>
                <w:kern w:val="0"/>
                <w:sz w:val="20"/>
                <w:szCs w:val="20"/>
              </w:rPr>
            </w:pPr>
          </w:p>
        </w:tc>
        <w:tc>
          <w:tcPr>
            <w:tcW w:w="420" w:type="dxa"/>
            <w:noWrap w:val="0"/>
            <w:vAlign w:val="center"/>
          </w:tcPr>
          <w:p>
            <w:pPr>
              <w:spacing w:line="700" w:lineRule="exact"/>
              <w:jc w:val="center"/>
              <w:rPr>
                <w:rFonts w:hint="eastAsia" w:ascii="宋体" w:hAnsi="宋体" w:eastAsia="宋体" w:cs="宋体"/>
                <w:kern w:val="0"/>
                <w:sz w:val="20"/>
                <w:szCs w:val="20"/>
              </w:rPr>
            </w:pPr>
          </w:p>
        </w:tc>
        <w:tc>
          <w:tcPr>
            <w:tcW w:w="345" w:type="dxa"/>
            <w:noWrap w:val="0"/>
            <w:vAlign w:val="center"/>
          </w:tcPr>
          <w:p>
            <w:pPr>
              <w:spacing w:line="700" w:lineRule="exact"/>
              <w:jc w:val="center"/>
              <w:rPr>
                <w:rFonts w:hint="eastAsia" w:ascii="宋体" w:hAnsi="宋体" w:eastAsia="宋体" w:cs="宋体"/>
                <w:kern w:val="0"/>
                <w:sz w:val="20"/>
                <w:szCs w:val="20"/>
              </w:rPr>
            </w:pPr>
          </w:p>
        </w:tc>
        <w:tc>
          <w:tcPr>
            <w:tcW w:w="345" w:type="dxa"/>
            <w:noWrap w:val="0"/>
            <w:vAlign w:val="center"/>
          </w:tcPr>
          <w:p>
            <w:pPr>
              <w:spacing w:line="700" w:lineRule="exact"/>
              <w:jc w:val="center"/>
              <w:rPr>
                <w:rFonts w:hint="eastAsia" w:ascii="宋体" w:hAnsi="宋体" w:eastAsia="宋体" w:cs="宋体"/>
                <w:kern w:val="0"/>
                <w:sz w:val="20"/>
                <w:szCs w:val="20"/>
              </w:rPr>
            </w:pPr>
          </w:p>
        </w:tc>
        <w:tc>
          <w:tcPr>
            <w:tcW w:w="420" w:type="dxa"/>
            <w:noWrap w:val="0"/>
            <w:vAlign w:val="center"/>
          </w:tcPr>
          <w:p>
            <w:pPr>
              <w:spacing w:line="700" w:lineRule="exact"/>
              <w:jc w:val="center"/>
              <w:rPr>
                <w:rFonts w:hint="eastAsia" w:ascii="宋体" w:hAnsi="宋体" w:eastAsia="宋体" w:cs="宋体"/>
                <w:kern w:val="0"/>
                <w:sz w:val="20"/>
                <w:szCs w:val="20"/>
              </w:rPr>
            </w:pPr>
          </w:p>
        </w:tc>
        <w:tc>
          <w:tcPr>
            <w:tcW w:w="330" w:type="dxa"/>
            <w:noWrap w:val="0"/>
            <w:vAlign w:val="center"/>
          </w:tcPr>
          <w:p>
            <w:pPr>
              <w:spacing w:line="700" w:lineRule="exact"/>
              <w:jc w:val="center"/>
              <w:rPr>
                <w:rFonts w:hint="eastAsia" w:ascii="宋体" w:hAnsi="宋体" w:eastAsia="宋体" w:cs="宋体"/>
                <w:kern w:val="0"/>
                <w:sz w:val="20"/>
                <w:szCs w:val="20"/>
              </w:rPr>
            </w:pPr>
          </w:p>
        </w:tc>
        <w:tc>
          <w:tcPr>
            <w:tcW w:w="765"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8" w:type="dxa"/>
            <w:noWrap w:val="0"/>
            <w:vAlign w:val="center"/>
          </w:tcPr>
          <w:p>
            <w:pPr>
              <w:autoSpaceDN w:val="0"/>
              <w:jc w:val="center"/>
              <w:textAlignment w:val="center"/>
              <w:rPr>
                <w:rFonts w:hint="eastAsia" w:ascii="Calibri" w:hAnsi="Calibri" w:eastAsia="华文细黑"/>
                <w:color w:val="000000"/>
                <w:sz w:val="20"/>
                <w:szCs w:val="22"/>
              </w:rPr>
            </w:pPr>
          </w:p>
        </w:tc>
        <w:tc>
          <w:tcPr>
            <w:tcW w:w="990" w:type="dxa"/>
            <w:noWrap w:val="0"/>
            <w:vAlign w:val="center"/>
          </w:tcPr>
          <w:p>
            <w:pPr>
              <w:autoSpaceDN w:val="0"/>
              <w:jc w:val="center"/>
              <w:textAlignment w:val="center"/>
              <w:rPr>
                <w:rFonts w:ascii="Calibri" w:hAnsi="Calibri" w:eastAsia="华文细黑"/>
                <w:color w:val="000000"/>
                <w:sz w:val="20"/>
                <w:szCs w:val="22"/>
              </w:rPr>
            </w:pPr>
          </w:p>
        </w:tc>
        <w:tc>
          <w:tcPr>
            <w:tcW w:w="915" w:type="dxa"/>
            <w:gridSpan w:val="2"/>
            <w:noWrap w:val="0"/>
            <w:vAlign w:val="center"/>
          </w:tcPr>
          <w:p>
            <w:pPr>
              <w:spacing w:line="24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统计调查经费</w:t>
            </w:r>
          </w:p>
        </w:tc>
        <w:tc>
          <w:tcPr>
            <w:tcW w:w="960" w:type="dxa"/>
            <w:noWrap w:val="0"/>
            <w:vAlign w:val="center"/>
          </w:tcPr>
          <w:p>
            <w:pPr>
              <w:spacing w:line="24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公主岭市统计局</w:t>
            </w:r>
          </w:p>
        </w:tc>
        <w:tc>
          <w:tcPr>
            <w:tcW w:w="885" w:type="dxa"/>
            <w:noWrap w:val="0"/>
            <w:vAlign w:val="center"/>
          </w:tcPr>
          <w:p>
            <w:pPr>
              <w:spacing w:line="700" w:lineRule="exact"/>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26.13</w:t>
            </w:r>
          </w:p>
        </w:tc>
        <w:tc>
          <w:tcPr>
            <w:tcW w:w="958" w:type="dxa"/>
            <w:noWrap w:val="0"/>
            <w:vAlign w:val="center"/>
          </w:tcPr>
          <w:p>
            <w:pPr>
              <w:spacing w:line="70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bidi="ar-SA"/>
              </w:rPr>
              <w:t>26.13</w:t>
            </w: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390"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345" w:type="dxa"/>
            <w:noWrap w:val="0"/>
            <w:vAlign w:val="center"/>
          </w:tcPr>
          <w:p>
            <w:pPr>
              <w:spacing w:line="700" w:lineRule="exact"/>
              <w:jc w:val="center"/>
              <w:rPr>
                <w:rFonts w:ascii="Calibri" w:hAnsi="Calibri" w:eastAsia="楷体"/>
                <w:kern w:val="0"/>
                <w:szCs w:val="32"/>
              </w:rPr>
            </w:pPr>
          </w:p>
        </w:tc>
        <w:tc>
          <w:tcPr>
            <w:tcW w:w="34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330" w:type="dxa"/>
            <w:noWrap w:val="0"/>
            <w:vAlign w:val="center"/>
          </w:tcPr>
          <w:p>
            <w:pPr>
              <w:spacing w:line="700" w:lineRule="exact"/>
              <w:jc w:val="center"/>
              <w:rPr>
                <w:rFonts w:ascii="Calibri" w:hAnsi="Calibri" w:eastAsia="楷体"/>
                <w:kern w:val="0"/>
                <w:szCs w:val="32"/>
              </w:rPr>
            </w:pPr>
          </w:p>
        </w:tc>
        <w:tc>
          <w:tcPr>
            <w:tcW w:w="76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8"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990" w:type="dxa"/>
            <w:noWrap w:val="0"/>
            <w:vAlign w:val="center"/>
          </w:tcPr>
          <w:p>
            <w:pPr>
              <w:autoSpaceDN w:val="0"/>
              <w:jc w:val="center"/>
              <w:textAlignment w:val="center"/>
              <w:rPr>
                <w:rFonts w:ascii="Calibri" w:hAnsi="Calibri" w:eastAsia="华文细黑"/>
                <w:color w:val="000000"/>
                <w:sz w:val="20"/>
                <w:szCs w:val="22"/>
              </w:rPr>
            </w:pPr>
          </w:p>
        </w:tc>
        <w:tc>
          <w:tcPr>
            <w:tcW w:w="915" w:type="dxa"/>
            <w:gridSpan w:val="2"/>
            <w:noWrap w:val="0"/>
            <w:vAlign w:val="center"/>
          </w:tcPr>
          <w:p>
            <w:pPr>
              <w:spacing w:line="700" w:lineRule="exact"/>
              <w:jc w:val="center"/>
              <w:rPr>
                <w:rFonts w:ascii="Calibri" w:hAnsi="Calibri" w:eastAsia="楷体"/>
                <w:kern w:val="0"/>
                <w:szCs w:val="32"/>
              </w:rPr>
            </w:pPr>
          </w:p>
        </w:tc>
        <w:tc>
          <w:tcPr>
            <w:tcW w:w="960" w:type="dxa"/>
            <w:noWrap w:val="0"/>
            <w:vAlign w:val="center"/>
          </w:tcPr>
          <w:p>
            <w:pPr>
              <w:spacing w:line="700" w:lineRule="exact"/>
              <w:jc w:val="center"/>
              <w:rPr>
                <w:rFonts w:ascii="Calibri" w:hAnsi="Calibri" w:eastAsia="楷体"/>
                <w:kern w:val="0"/>
                <w:szCs w:val="32"/>
              </w:rPr>
            </w:pPr>
          </w:p>
        </w:tc>
        <w:tc>
          <w:tcPr>
            <w:tcW w:w="885" w:type="dxa"/>
            <w:noWrap w:val="0"/>
            <w:vAlign w:val="center"/>
          </w:tcPr>
          <w:p>
            <w:pPr>
              <w:spacing w:line="700" w:lineRule="exact"/>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138.39</w:t>
            </w:r>
          </w:p>
        </w:tc>
        <w:tc>
          <w:tcPr>
            <w:tcW w:w="958" w:type="dxa"/>
            <w:noWrap w:val="0"/>
            <w:vAlign w:val="center"/>
          </w:tcPr>
          <w:p>
            <w:pPr>
              <w:spacing w:line="700" w:lineRule="exact"/>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138.39</w:t>
            </w: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390"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345" w:type="dxa"/>
            <w:noWrap w:val="0"/>
            <w:vAlign w:val="center"/>
          </w:tcPr>
          <w:p>
            <w:pPr>
              <w:spacing w:line="700" w:lineRule="exact"/>
              <w:jc w:val="center"/>
              <w:rPr>
                <w:rFonts w:ascii="Calibri" w:hAnsi="Calibri" w:eastAsia="楷体"/>
                <w:kern w:val="0"/>
                <w:szCs w:val="32"/>
              </w:rPr>
            </w:pPr>
          </w:p>
        </w:tc>
        <w:tc>
          <w:tcPr>
            <w:tcW w:w="34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330" w:type="dxa"/>
            <w:noWrap w:val="0"/>
            <w:vAlign w:val="center"/>
          </w:tcPr>
          <w:p>
            <w:pPr>
              <w:spacing w:line="700" w:lineRule="exact"/>
              <w:jc w:val="center"/>
              <w:rPr>
                <w:rFonts w:ascii="Calibri" w:hAnsi="Calibri" w:eastAsia="楷体"/>
                <w:kern w:val="0"/>
                <w:szCs w:val="32"/>
              </w:rPr>
            </w:pPr>
          </w:p>
        </w:tc>
        <w:tc>
          <w:tcPr>
            <w:tcW w:w="765" w:type="dxa"/>
            <w:noWrap w:val="0"/>
            <w:vAlign w:val="center"/>
          </w:tcPr>
          <w:p>
            <w:pPr>
              <w:spacing w:line="700" w:lineRule="exact"/>
              <w:jc w:val="center"/>
              <w:rPr>
                <w:rFonts w:ascii="Calibri" w:hAnsi="Calibri" w:eastAsia="楷体"/>
                <w:kern w:val="0"/>
                <w:szCs w:val="32"/>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Calibri" w:hAnsi="Calibri" w:eastAsia="方正小标宋简体" w:cs="Times New Roman"/>
                <w:kern w:val="0"/>
                <w:sz w:val="44"/>
                <w:szCs w:val="44"/>
                <w:lang w:eastAsia="zh-CN"/>
              </w:rPr>
            </w:pP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10185" w:type="dxa"/>
        <w:tblInd w:w="-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020"/>
        <w:gridCol w:w="975"/>
        <w:gridCol w:w="2865"/>
        <w:gridCol w:w="765"/>
        <w:gridCol w:w="705"/>
        <w:gridCol w:w="705"/>
        <w:gridCol w:w="1200"/>
        <w:gridCol w:w="930"/>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0185"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8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公主岭市统计局</w:t>
            </w:r>
          </w:p>
        </w:tc>
        <w:tc>
          <w:tcPr>
            <w:tcW w:w="102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第五次全国经济普查经费</w:t>
            </w:r>
          </w:p>
        </w:tc>
        <w:tc>
          <w:tcPr>
            <w:tcW w:w="97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112.26</w:t>
            </w:r>
          </w:p>
        </w:tc>
        <w:tc>
          <w:tcPr>
            <w:tcW w:w="286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严格按照国家和省里对第五次全国经济普查的部署安排，全面调查公主岭市第二产业和第三产业的发展规模、布局、结构和效益，为加强和改善宏观调控、科学制定中长期发展规划提供重要依据，具体包括全市各级领导和办公机构组建、普查细则制订、普查员选调及培训、普查区划分及电子地图绘制、PDA软件及地图加载、单位清查摸底并形成单位底册、入户登记、数据质量控制及抽查、数据处理、成果发布、普查年鉴编辑和印刷、资料开发应用等阶段。</w:t>
            </w:r>
          </w:p>
        </w:tc>
        <w:tc>
          <w:tcPr>
            <w:tcW w:w="76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成本指标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经济成本指标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两员补贴发放费用</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两员补贴发放费用</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&lt;=108万元</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8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28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65" w:type="dxa"/>
            <w:vMerge w:val="restart"/>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产出指标</w:t>
            </w:r>
          </w:p>
        </w:tc>
        <w:tc>
          <w:tcPr>
            <w:tcW w:w="705"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数量指标</w:t>
            </w:r>
          </w:p>
        </w:tc>
        <w:tc>
          <w:tcPr>
            <w:tcW w:w="70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聘用普查人员数</w:t>
            </w:r>
          </w:p>
        </w:tc>
        <w:tc>
          <w:tcPr>
            <w:tcW w:w="1200"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反映普查员人员数量</w:t>
            </w:r>
          </w:p>
        </w:tc>
        <w:tc>
          <w:tcPr>
            <w:tcW w:w="930"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&gt;=1000人</w:t>
            </w:r>
          </w:p>
        </w:tc>
        <w:tc>
          <w:tcPr>
            <w:tcW w:w="43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58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28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65"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05"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质量指标</w:t>
            </w:r>
          </w:p>
        </w:tc>
        <w:tc>
          <w:tcPr>
            <w:tcW w:w="70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“两员”劳务费发放率</w:t>
            </w:r>
          </w:p>
        </w:tc>
        <w:tc>
          <w:tcPr>
            <w:tcW w:w="1200"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反映普查员及普查指导员劳务费发放率</w:t>
            </w:r>
          </w:p>
        </w:tc>
        <w:tc>
          <w:tcPr>
            <w:tcW w:w="930"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&lt;=100%</w:t>
            </w:r>
          </w:p>
        </w:tc>
        <w:tc>
          <w:tcPr>
            <w:tcW w:w="43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58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28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65"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效益指标</w:t>
            </w:r>
          </w:p>
        </w:tc>
        <w:tc>
          <w:tcPr>
            <w:tcW w:w="705"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社会效益指标</w:t>
            </w:r>
          </w:p>
        </w:tc>
        <w:tc>
          <w:tcPr>
            <w:tcW w:w="70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普查员、普查指导员补贴发放覆盖率</w:t>
            </w:r>
          </w:p>
        </w:tc>
        <w:tc>
          <w:tcPr>
            <w:tcW w:w="1200"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反映普查员、普查指导员补贴发放覆盖率情况</w:t>
            </w:r>
          </w:p>
        </w:tc>
        <w:tc>
          <w:tcPr>
            <w:tcW w:w="930"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&lt;=100%</w:t>
            </w:r>
          </w:p>
        </w:tc>
        <w:tc>
          <w:tcPr>
            <w:tcW w:w="43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8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统计调查经费</w:t>
            </w:r>
          </w:p>
        </w:tc>
        <w:tc>
          <w:tcPr>
            <w:tcW w:w="97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26.13</w:t>
            </w:r>
          </w:p>
        </w:tc>
        <w:tc>
          <w:tcPr>
            <w:tcW w:w="286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2024年：按照国家、省统计局和市委市政府的工作中心和要求，认真贯彻执行统计法律法规、制度等各项方针政策，并根据统计工作计划，适时开展各类、各项统计调查，开展各种宣传活动、各专业培训工作，以提高数据质量。在完成好本职工作的前提下，不断强化统计工作职能，加大依法统计，依法治统工作力度，提升统计数据质量，提供高质量的统计分析服务，切实为经济社会发展大局做好统计保障。加大与市直相关部门的协调，提供合理可行的统计意见建议，为全市经济工作开好头、布好局，力争共同推动社会高质量发展。</w:t>
            </w:r>
          </w:p>
        </w:tc>
        <w:tc>
          <w:tcPr>
            <w:tcW w:w="76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成本指标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经济成本指标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培训人均成本</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反映培训成本控制情况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&lt;=400元</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8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28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65" w:type="dxa"/>
            <w:vMerge w:val="restart"/>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产出指标</w:t>
            </w:r>
          </w:p>
        </w:tc>
        <w:tc>
          <w:tcPr>
            <w:tcW w:w="705" w:type="dxa"/>
            <w:vMerge w:val="restart"/>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数量指标</w:t>
            </w:r>
          </w:p>
        </w:tc>
        <w:tc>
          <w:tcPr>
            <w:tcW w:w="70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统计分析报告篇数</w:t>
            </w:r>
          </w:p>
        </w:tc>
        <w:tc>
          <w:tcPr>
            <w:tcW w:w="1200"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反应统计分析报告篇数情况</w:t>
            </w:r>
          </w:p>
        </w:tc>
        <w:tc>
          <w:tcPr>
            <w:tcW w:w="930"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&gt;=3篇</w:t>
            </w:r>
          </w:p>
        </w:tc>
        <w:tc>
          <w:tcPr>
            <w:tcW w:w="43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8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28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65"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05"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p>
        </w:tc>
        <w:tc>
          <w:tcPr>
            <w:tcW w:w="70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统计培训人次</w:t>
            </w:r>
          </w:p>
        </w:tc>
        <w:tc>
          <w:tcPr>
            <w:tcW w:w="1200"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反应统计培训人次情况</w:t>
            </w:r>
          </w:p>
        </w:tc>
        <w:tc>
          <w:tcPr>
            <w:tcW w:w="930"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&gt;=350人次</w:t>
            </w:r>
          </w:p>
        </w:tc>
        <w:tc>
          <w:tcPr>
            <w:tcW w:w="43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8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28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65"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效果指标</w:t>
            </w:r>
          </w:p>
        </w:tc>
        <w:tc>
          <w:tcPr>
            <w:tcW w:w="705"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社会效益指标</w:t>
            </w:r>
          </w:p>
        </w:tc>
        <w:tc>
          <w:tcPr>
            <w:tcW w:w="70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编印上年县域经济运行的统计公报，为党政领导决策提供数据支撑</w:t>
            </w:r>
          </w:p>
        </w:tc>
        <w:tc>
          <w:tcPr>
            <w:tcW w:w="1200"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编印上年县域经济运行的统计公报，为党政领导决策提供数据支撑</w:t>
            </w:r>
          </w:p>
        </w:tc>
        <w:tc>
          <w:tcPr>
            <w:tcW w:w="930"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=1篇</w:t>
            </w:r>
          </w:p>
        </w:tc>
        <w:tc>
          <w:tcPr>
            <w:tcW w:w="43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8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7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28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65"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满意度指标</w:t>
            </w:r>
          </w:p>
        </w:tc>
        <w:tc>
          <w:tcPr>
            <w:tcW w:w="705"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满意度指标</w:t>
            </w:r>
          </w:p>
        </w:tc>
        <w:tc>
          <w:tcPr>
            <w:tcW w:w="70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培训人员满意度</w:t>
            </w:r>
          </w:p>
        </w:tc>
        <w:tc>
          <w:tcPr>
            <w:tcW w:w="1200"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反映参加培训人员的满意度情况</w:t>
            </w:r>
          </w:p>
        </w:tc>
        <w:tc>
          <w:tcPr>
            <w:tcW w:w="930"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&gt;=95%</w:t>
            </w:r>
          </w:p>
        </w:tc>
        <w:tc>
          <w:tcPr>
            <w:tcW w:w="43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10</w:t>
            </w:r>
          </w:p>
        </w:tc>
      </w:tr>
    </w:tbl>
    <w:p>
      <w:pPr>
        <w:spacing w:line="700" w:lineRule="exact"/>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预算管理。收入包括：一般公共预算拨款收入、上年结转；支出包括：一般公共服务支出、社会保障和就业支出、</w:t>
      </w:r>
      <w:r>
        <w:rPr>
          <w:rFonts w:hint="eastAsia"/>
          <w:szCs w:val="32"/>
          <w:lang w:eastAsia="zh-CN"/>
        </w:rPr>
        <w:t>卫生健康支出、</w:t>
      </w:r>
      <w:r>
        <w:rPr>
          <w:szCs w:val="32"/>
        </w:rPr>
        <w:t>住房保障支出。20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385.15</w:t>
      </w:r>
      <w:r>
        <w:rPr>
          <w:szCs w:val="32"/>
        </w:rPr>
        <w:t>万元</w:t>
      </w:r>
      <w:r>
        <w:rPr>
          <w:rFonts w:hint="eastAsia"/>
          <w:szCs w:val="32"/>
          <w:lang w:eastAsia="zh-CN"/>
        </w:rPr>
        <w:t>，其中：本年预算</w:t>
      </w:r>
      <w:r>
        <w:rPr>
          <w:rFonts w:hint="eastAsia"/>
          <w:szCs w:val="32"/>
          <w:lang w:val="en-US" w:eastAsia="zh-CN"/>
        </w:rPr>
        <w:t>377.42</w:t>
      </w:r>
      <w:r>
        <w:rPr>
          <w:rFonts w:hint="eastAsia"/>
          <w:szCs w:val="32"/>
          <w:lang w:eastAsia="zh-CN"/>
        </w:rPr>
        <w:t>万元；上年结转</w:t>
      </w:r>
      <w:r>
        <w:rPr>
          <w:rFonts w:hint="eastAsia"/>
          <w:szCs w:val="32"/>
          <w:lang w:val="en-US" w:eastAsia="zh-CN"/>
        </w:rPr>
        <w:t>7.73</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120.82</w:t>
      </w:r>
      <w:r>
        <w:rPr>
          <w:szCs w:val="32"/>
        </w:rPr>
        <w:t>万元，主要原因是</w:t>
      </w:r>
      <w:r>
        <w:rPr>
          <w:rFonts w:hint="eastAsia"/>
          <w:szCs w:val="32"/>
          <w:lang w:eastAsia="zh-CN"/>
        </w:rPr>
        <w:t>本年度为第五次全国经济普查年度增加了相关普查经费</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385.15</w:t>
      </w:r>
      <w:r>
        <w:rPr>
          <w:szCs w:val="32"/>
        </w:rPr>
        <w:t>万元，其中：本年收入</w:t>
      </w:r>
      <w:r>
        <w:rPr>
          <w:rFonts w:hint="eastAsia"/>
          <w:szCs w:val="32"/>
          <w:lang w:val="en-US" w:eastAsia="zh-CN"/>
        </w:rPr>
        <w:t>377.42</w:t>
      </w:r>
      <w:r>
        <w:rPr>
          <w:szCs w:val="32"/>
        </w:rPr>
        <w:t>万元，占</w:t>
      </w:r>
      <w:r>
        <w:rPr>
          <w:rFonts w:hint="eastAsia"/>
          <w:szCs w:val="32"/>
          <w:lang w:val="en-US" w:eastAsia="zh-CN"/>
        </w:rPr>
        <w:t>97.99</w:t>
      </w:r>
      <w:r>
        <w:rPr>
          <w:szCs w:val="32"/>
        </w:rPr>
        <w:t>%；上年结转</w:t>
      </w:r>
      <w:r>
        <w:rPr>
          <w:rFonts w:hint="eastAsia"/>
          <w:szCs w:val="32"/>
          <w:lang w:eastAsia="zh-CN"/>
        </w:rPr>
        <w:t>结余</w:t>
      </w:r>
      <w:r>
        <w:rPr>
          <w:rFonts w:hint="eastAsia"/>
          <w:szCs w:val="32"/>
          <w:lang w:val="en-US" w:eastAsia="zh-CN"/>
        </w:rPr>
        <w:t>7.73</w:t>
      </w:r>
      <w:r>
        <w:rPr>
          <w:szCs w:val="32"/>
        </w:rPr>
        <w:t>万元，占</w:t>
      </w:r>
      <w:r>
        <w:rPr>
          <w:rFonts w:hint="eastAsia"/>
          <w:szCs w:val="32"/>
          <w:lang w:val="en-US" w:eastAsia="zh-CN"/>
        </w:rPr>
        <w:t>2.01</w:t>
      </w:r>
      <w:r>
        <w:rPr>
          <w:szCs w:val="32"/>
        </w:rPr>
        <w:t>%。本年收入中，一般公共预算拨款收入</w:t>
      </w:r>
      <w:r>
        <w:rPr>
          <w:rFonts w:hint="eastAsia"/>
          <w:szCs w:val="32"/>
          <w:lang w:val="en-US" w:eastAsia="zh-CN"/>
        </w:rPr>
        <w:t>377.42</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7.73</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385.15</w:t>
      </w:r>
      <w:r>
        <w:rPr>
          <w:szCs w:val="32"/>
        </w:rPr>
        <w:t>万元，其中：基本支出</w:t>
      </w:r>
      <w:r>
        <w:rPr>
          <w:rFonts w:hint="eastAsia"/>
          <w:szCs w:val="32"/>
          <w:lang w:val="en-US" w:eastAsia="zh-CN"/>
        </w:rPr>
        <w:t>246.76</w:t>
      </w:r>
      <w:r>
        <w:rPr>
          <w:szCs w:val="32"/>
        </w:rPr>
        <w:t>万元，占</w:t>
      </w:r>
      <w:r>
        <w:rPr>
          <w:rFonts w:hint="eastAsia"/>
          <w:szCs w:val="32"/>
          <w:lang w:val="en-US" w:eastAsia="zh-CN"/>
        </w:rPr>
        <w:t>64.07</w:t>
      </w:r>
      <w:r>
        <w:rPr>
          <w:szCs w:val="32"/>
        </w:rPr>
        <w:t>%；项目支出</w:t>
      </w:r>
      <w:r>
        <w:rPr>
          <w:rFonts w:hint="eastAsia"/>
          <w:szCs w:val="32"/>
          <w:lang w:val="en-US" w:eastAsia="zh-CN"/>
        </w:rPr>
        <w:t>138.39</w:t>
      </w:r>
      <w:r>
        <w:rPr>
          <w:szCs w:val="32"/>
        </w:rPr>
        <w:t>万元，占</w:t>
      </w:r>
      <w:r>
        <w:rPr>
          <w:rFonts w:hint="eastAsia"/>
          <w:szCs w:val="32"/>
          <w:lang w:val="en-US" w:eastAsia="zh-CN"/>
        </w:rPr>
        <w:t>35.93</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385.15</w:t>
      </w:r>
      <w:r>
        <w:rPr>
          <w:szCs w:val="32"/>
        </w:rPr>
        <w:t>万元，其中：</w:t>
      </w:r>
      <w:r>
        <w:rPr>
          <w:rFonts w:hint="eastAsia"/>
          <w:szCs w:val="32"/>
        </w:rPr>
        <w:t>本年</w:t>
      </w:r>
      <w:r>
        <w:rPr>
          <w:rFonts w:hint="eastAsia"/>
          <w:szCs w:val="32"/>
          <w:lang w:eastAsia="zh-CN"/>
        </w:rPr>
        <w:t>预算</w:t>
      </w:r>
      <w:r>
        <w:rPr>
          <w:rFonts w:hint="eastAsia"/>
          <w:szCs w:val="32"/>
          <w:lang w:val="en-US" w:eastAsia="zh-CN"/>
        </w:rPr>
        <w:t>377.42</w:t>
      </w:r>
      <w:r>
        <w:rPr>
          <w:szCs w:val="32"/>
        </w:rPr>
        <w:t>万元</w:t>
      </w:r>
      <w:r>
        <w:rPr>
          <w:rFonts w:hint="eastAsia"/>
          <w:szCs w:val="32"/>
        </w:rPr>
        <w:t>，上年结转</w:t>
      </w:r>
      <w:r>
        <w:rPr>
          <w:rFonts w:hint="eastAsia"/>
          <w:szCs w:val="32"/>
          <w:lang w:val="en-US" w:eastAsia="zh-CN"/>
        </w:rPr>
        <w:t>7.73</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312.32</w:t>
      </w:r>
      <w:r>
        <w:rPr>
          <w:szCs w:val="32"/>
        </w:rPr>
        <w:t>万元，</w:t>
      </w:r>
      <w:r>
        <w:rPr>
          <w:kern w:val="0"/>
          <w:szCs w:val="32"/>
        </w:rPr>
        <w:t>社会保障和就业支出</w:t>
      </w:r>
      <w:r>
        <w:rPr>
          <w:rFonts w:hint="eastAsia"/>
          <w:szCs w:val="32"/>
          <w:lang w:val="en-US" w:eastAsia="zh-CN"/>
        </w:rPr>
        <w:t>38.33</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17.18</w:t>
      </w:r>
      <w:r>
        <w:rPr>
          <w:szCs w:val="32"/>
        </w:rPr>
        <w:t>万元，</w:t>
      </w:r>
      <w:r>
        <w:rPr>
          <w:kern w:val="0"/>
          <w:szCs w:val="32"/>
        </w:rPr>
        <w:t>住房保障支出</w:t>
      </w:r>
      <w:r>
        <w:rPr>
          <w:rFonts w:hint="eastAsia"/>
          <w:szCs w:val="32"/>
          <w:lang w:val="en-US" w:eastAsia="zh-CN"/>
        </w:rPr>
        <w:t>17.32</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385.15</w:t>
      </w:r>
      <w:r>
        <w:rPr>
          <w:szCs w:val="32"/>
        </w:rPr>
        <w:t>万元，其中：基本支出</w:t>
      </w:r>
      <w:r>
        <w:rPr>
          <w:rFonts w:hint="eastAsia"/>
          <w:szCs w:val="32"/>
          <w:lang w:val="en-US" w:eastAsia="zh-CN"/>
        </w:rPr>
        <w:t>246.76</w:t>
      </w:r>
      <w:r>
        <w:rPr>
          <w:szCs w:val="32"/>
        </w:rPr>
        <w:t>万元，占</w:t>
      </w:r>
      <w:r>
        <w:rPr>
          <w:rFonts w:hint="eastAsia"/>
          <w:szCs w:val="32"/>
          <w:lang w:val="en-US" w:eastAsia="zh-CN"/>
        </w:rPr>
        <w:t>64.07</w:t>
      </w:r>
      <w:r>
        <w:rPr>
          <w:szCs w:val="32"/>
        </w:rPr>
        <w:t>%；项目支出</w:t>
      </w:r>
      <w:r>
        <w:rPr>
          <w:rFonts w:hint="eastAsia"/>
          <w:szCs w:val="32"/>
          <w:lang w:val="en-US" w:eastAsia="zh-CN"/>
        </w:rPr>
        <w:t>138.39</w:t>
      </w:r>
      <w:r>
        <w:rPr>
          <w:szCs w:val="32"/>
        </w:rPr>
        <w:t>万元，占</w:t>
      </w:r>
      <w:r>
        <w:rPr>
          <w:rFonts w:hint="eastAsia"/>
          <w:szCs w:val="32"/>
          <w:lang w:val="en-US" w:eastAsia="zh-CN"/>
        </w:rPr>
        <w:t>35.93</w:t>
      </w:r>
      <w:r>
        <w:rPr>
          <w:szCs w:val="32"/>
        </w:rPr>
        <w:t>%。基本支出中，人员经费</w:t>
      </w:r>
      <w:r>
        <w:rPr>
          <w:rFonts w:hint="eastAsia"/>
          <w:szCs w:val="32"/>
          <w:lang w:val="en-US" w:eastAsia="zh-CN"/>
        </w:rPr>
        <w:t>209.19</w:t>
      </w:r>
      <w:r>
        <w:rPr>
          <w:szCs w:val="32"/>
        </w:rPr>
        <w:t>万元，占</w:t>
      </w:r>
      <w:r>
        <w:rPr>
          <w:rFonts w:hint="eastAsia"/>
          <w:szCs w:val="32"/>
          <w:lang w:val="en-US" w:eastAsia="zh-CN"/>
        </w:rPr>
        <w:t>84.77</w:t>
      </w:r>
      <w:r>
        <w:rPr>
          <w:szCs w:val="32"/>
        </w:rPr>
        <w:t>%；公用经费</w:t>
      </w:r>
      <w:r>
        <w:rPr>
          <w:rFonts w:hint="eastAsia"/>
          <w:szCs w:val="32"/>
          <w:lang w:val="en-US" w:eastAsia="zh-CN"/>
        </w:rPr>
        <w:t>37.57</w:t>
      </w:r>
      <w:r>
        <w:rPr>
          <w:szCs w:val="32"/>
        </w:rPr>
        <w:t>万元，占</w:t>
      </w:r>
      <w:r>
        <w:rPr>
          <w:rFonts w:hint="eastAsia"/>
          <w:szCs w:val="32"/>
          <w:lang w:val="en-US" w:eastAsia="zh-CN"/>
        </w:rPr>
        <w:t>15.23</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312.32</w:t>
      </w:r>
      <w:r>
        <w:rPr>
          <w:szCs w:val="32"/>
        </w:rPr>
        <w:t>万元，占</w:t>
      </w:r>
      <w:r>
        <w:rPr>
          <w:rFonts w:hint="eastAsia"/>
          <w:szCs w:val="32"/>
          <w:lang w:val="en-US" w:eastAsia="zh-CN"/>
        </w:rPr>
        <w:t>81.09</w:t>
      </w:r>
      <w:r>
        <w:rPr>
          <w:szCs w:val="32"/>
        </w:rPr>
        <w:t>%，主要用于</w:t>
      </w:r>
      <w:r>
        <w:rPr>
          <w:rFonts w:hint="eastAsia"/>
          <w:szCs w:val="32"/>
          <w:lang w:eastAsia="zh-CN"/>
        </w:rPr>
        <w:t>保障职工工资，维持机关正常运转以及完成年度统计工作</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38.33</w:t>
      </w:r>
      <w:r>
        <w:rPr>
          <w:szCs w:val="32"/>
        </w:rPr>
        <w:t>万元，占</w:t>
      </w:r>
      <w:r>
        <w:rPr>
          <w:rFonts w:hint="eastAsia"/>
          <w:szCs w:val="32"/>
          <w:lang w:val="en-US" w:eastAsia="zh-CN"/>
        </w:rPr>
        <w:t>9.95</w:t>
      </w:r>
      <w:r>
        <w:rPr>
          <w:szCs w:val="32"/>
        </w:rPr>
        <w:t>%，主要用于</w:t>
      </w:r>
      <w:r>
        <w:rPr>
          <w:rFonts w:hint="eastAsia" w:ascii="仿宋" w:hAnsi="仿宋" w:eastAsia="仿宋" w:cs="仿宋"/>
          <w:szCs w:val="32"/>
          <w:u w:val="none"/>
          <w:lang w:eastAsia="zh-CN"/>
        </w:rPr>
        <w:t>行政单位退休人员补贴、机关事业单位基本养老保险缴费支出</w:t>
      </w:r>
      <w:r>
        <w:rPr>
          <w:szCs w:val="32"/>
        </w:rPr>
        <w:t>。</w:t>
      </w:r>
    </w:p>
    <w:p>
      <w:pPr>
        <w:spacing w:line="520" w:lineRule="exact"/>
        <w:ind w:firstLine="640" w:firstLineChars="200"/>
        <w:rPr>
          <w:szCs w:val="32"/>
        </w:rPr>
      </w:pPr>
      <w:r>
        <w:rPr>
          <w:rFonts w:hint="eastAsia"/>
          <w:szCs w:val="32"/>
          <w:lang w:eastAsia="zh-CN"/>
        </w:rPr>
        <w:t>卫生健康</w:t>
      </w:r>
      <w:r>
        <w:rPr>
          <w:szCs w:val="32"/>
        </w:rPr>
        <w:t>（类）支出</w:t>
      </w:r>
      <w:r>
        <w:rPr>
          <w:rFonts w:hint="eastAsia"/>
          <w:szCs w:val="32"/>
          <w:lang w:val="en-US" w:eastAsia="zh-CN"/>
        </w:rPr>
        <w:t>17.18</w:t>
      </w:r>
      <w:r>
        <w:rPr>
          <w:szCs w:val="32"/>
        </w:rPr>
        <w:t>万元，占</w:t>
      </w:r>
      <w:r>
        <w:rPr>
          <w:rFonts w:hint="eastAsia"/>
          <w:szCs w:val="32"/>
          <w:lang w:val="en-US" w:eastAsia="zh-CN"/>
        </w:rPr>
        <w:t>4.46</w:t>
      </w:r>
      <w:r>
        <w:rPr>
          <w:szCs w:val="32"/>
        </w:rPr>
        <w:t>%，主要用于</w:t>
      </w:r>
      <w:r>
        <w:rPr>
          <w:rFonts w:hint="eastAsia" w:ascii="仿宋" w:hAnsi="仿宋" w:eastAsia="仿宋" w:cs="仿宋"/>
          <w:szCs w:val="32"/>
          <w:highlight w:val="none"/>
          <w:u w:val="none"/>
        </w:rPr>
        <w:t>缴纳</w:t>
      </w:r>
      <w:r>
        <w:rPr>
          <w:rFonts w:hint="eastAsia" w:ascii="仿宋" w:hAnsi="仿宋" w:eastAsia="仿宋" w:cs="仿宋"/>
          <w:szCs w:val="32"/>
          <w:highlight w:val="none"/>
          <w:u w:val="none"/>
          <w:lang w:eastAsia="zh-CN"/>
        </w:rPr>
        <w:t>职工医疗保险及公务员医疗补助</w:t>
      </w:r>
      <w:r>
        <w:rPr>
          <w:szCs w:val="32"/>
        </w:rPr>
        <w:t>。</w:t>
      </w:r>
    </w:p>
    <w:p>
      <w:pPr>
        <w:spacing w:line="520" w:lineRule="exact"/>
        <w:ind w:firstLine="640" w:firstLineChars="200"/>
        <w:rPr>
          <w:rFonts w:hint="eastAsia"/>
          <w:szCs w:val="32"/>
        </w:rPr>
      </w:pPr>
      <w:r>
        <w:rPr>
          <w:szCs w:val="32"/>
        </w:rPr>
        <w:t>住房保障（类）支出</w:t>
      </w:r>
      <w:r>
        <w:rPr>
          <w:rFonts w:hint="eastAsia"/>
          <w:szCs w:val="32"/>
          <w:lang w:val="en-US" w:eastAsia="zh-CN"/>
        </w:rPr>
        <w:t>17.32</w:t>
      </w:r>
      <w:r>
        <w:rPr>
          <w:szCs w:val="32"/>
        </w:rPr>
        <w:t>万元，占</w:t>
      </w:r>
      <w:r>
        <w:rPr>
          <w:rFonts w:hint="eastAsia"/>
          <w:szCs w:val="32"/>
          <w:lang w:val="en-US" w:eastAsia="zh-CN"/>
        </w:rPr>
        <w:t>4.50</w:t>
      </w:r>
      <w:r>
        <w:rPr>
          <w:szCs w:val="32"/>
        </w:rPr>
        <w:t>%，主要用于</w:t>
      </w:r>
      <w:r>
        <w:rPr>
          <w:rFonts w:hint="eastAsia" w:ascii="仿宋" w:hAnsi="仿宋" w:eastAsia="仿宋" w:cs="仿宋"/>
          <w:szCs w:val="32"/>
          <w:u w:val="none"/>
        </w:rPr>
        <w:t>缴纳职工</w:t>
      </w:r>
      <w:r>
        <w:rPr>
          <w:rFonts w:hint="eastAsia" w:ascii="仿宋" w:hAnsi="仿宋" w:eastAsia="仿宋" w:cs="仿宋"/>
          <w:szCs w:val="32"/>
          <w:u w:val="none"/>
          <w:lang w:eastAsia="zh-CN"/>
        </w:rPr>
        <w:t>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246.76</w:t>
      </w:r>
      <w:r>
        <w:rPr>
          <w:szCs w:val="32"/>
        </w:rPr>
        <w:t>万元，其中：</w:t>
      </w:r>
    </w:p>
    <w:p>
      <w:pPr>
        <w:ind w:firstLine="640" w:firstLineChars="200"/>
        <w:rPr>
          <w:rFonts w:hint="eastAsia"/>
          <w:szCs w:val="32"/>
          <w:lang w:val="en-US" w:eastAsia="zh-CN"/>
        </w:rPr>
      </w:pPr>
      <w:r>
        <w:rPr>
          <w:szCs w:val="32"/>
        </w:rPr>
        <w:t>人员经费</w:t>
      </w:r>
      <w:r>
        <w:rPr>
          <w:rFonts w:hint="eastAsia"/>
          <w:szCs w:val="32"/>
          <w:lang w:val="en-US" w:eastAsia="zh-CN"/>
        </w:rPr>
        <w:t>209.19</w:t>
      </w:r>
      <w:r>
        <w:rPr>
          <w:szCs w:val="32"/>
        </w:rPr>
        <w:t>万元，主要包括：</w:t>
      </w:r>
      <w:r>
        <w:rPr>
          <w:rFonts w:hint="eastAsia" w:ascii="仿宋" w:hAnsi="仿宋" w:eastAsia="仿宋" w:cs="仿宋"/>
          <w:kern w:val="0"/>
          <w:szCs w:val="32"/>
        </w:rPr>
        <w:t>基本工资、津贴补贴</w:t>
      </w:r>
      <w:r>
        <w:rPr>
          <w:rFonts w:hint="eastAsia" w:ascii="仿宋" w:hAnsi="仿宋" w:eastAsia="仿宋" w:cs="仿宋"/>
          <w:szCs w:val="32"/>
        </w:rPr>
        <w:t>、</w:t>
      </w:r>
      <w:r>
        <w:rPr>
          <w:rFonts w:hint="eastAsia" w:ascii="仿宋" w:hAnsi="仿宋" w:eastAsia="仿宋" w:cs="仿宋"/>
          <w:kern w:val="0"/>
          <w:szCs w:val="32"/>
        </w:rPr>
        <w:t>奖金</w:t>
      </w:r>
      <w:r>
        <w:rPr>
          <w:rFonts w:hint="eastAsia" w:ascii="仿宋" w:hAnsi="仿宋" w:eastAsia="仿宋" w:cs="仿宋"/>
          <w:szCs w:val="32"/>
        </w:rPr>
        <w:t>、机关事业单位基本养老保险缴费、职工基本医疗保险缴费、</w:t>
      </w:r>
      <w:r>
        <w:rPr>
          <w:rFonts w:hint="eastAsia" w:ascii="仿宋" w:hAnsi="仿宋" w:eastAsia="仿宋" w:cs="仿宋"/>
          <w:szCs w:val="32"/>
          <w:lang w:eastAsia="zh-CN"/>
        </w:rPr>
        <w:t>公务员医疗补助缴费、</w:t>
      </w:r>
      <w:r>
        <w:rPr>
          <w:rFonts w:hint="eastAsia" w:ascii="仿宋" w:hAnsi="仿宋" w:eastAsia="仿宋" w:cs="仿宋"/>
          <w:szCs w:val="32"/>
        </w:rPr>
        <w:t>其他</w:t>
      </w:r>
      <w:r>
        <w:rPr>
          <w:rFonts w:hint="eastAsia" w:ascii="仿宋" w:hAnsi="仿宋" w:eastAsia="仿宋" w:cs="仿宋"/>
          <w:kern w:val="0"/>
          <w:szCs w:val="32"/>
        </w:rPr>
        <w:t>社会保障缴费</w:t>
      </w:r>
      <w:r>
        <w:rPr>
          <w:rFonts w:hint="eastAsia" w:ascii="仿宋" w:hAnsi="仿宋" w:eastAsia="仿宋" w:cs="仿宋"/>
          <w:szCs w:val="32"/>
        </w:rPr>
        <w:t>、住房公积金、医疗费、</w:t>
      </w:r>
      <w:r>
        <w:rPr>
          <w:rFonts w:hint="eastAsia" w:ascii="仿宋" w:hAnsi="仿宋" w:eastAsia="仿宋" w:cs="仿宋"/>
          <w:kern w:val="0"/>
          <w:szCs w:val="32"/>
        </w:rPr>
        <w:t>其他工资福利支出</w:t>
      </w:r>
      <w:r>
        <w:rPr>
          <w:rFonts w:hint="eastAsia" w:ascii="仿宋" w:hAnsi="仿宋" w:eastAsia="仿宋" w:cs="仿宋"/>
          <w:szCs w:val="32"/>
        </w:rPr>
        <w:t>、</w:t>
      </w:r>
      <w:r>
        <w:rPr>
          <w:rFonts w:hint="eastAsia" w:ascii="仿宋" w:hAnsi="仿宋" w:eastAsia="仿宋" w:cs="仿宋"/>
          <w:kern w:val="0"/>
          <w:szCs w:val="32"/>
        </w:rPr>
        <w:t>退休费</w:t>
      </w:r>
      <w:r>
        <w:rPr>
          <w:rFonts w:hint="eastAsia" w:ascii="仿宋" w:hAnsi="仿宋" w:eastAsia="仿宋" w:cs="仿宋"/>
          <w:szCs w:val="32"/>
        </w:rPr>
        <w:t>、</w:t>
      </w:r>
      <w:r>
        <w:rPr>
          <w:rFonts w:hint="eastAsia" w:ascii="仿宋" w:hAnsi="仿宋" w:eastAsia="仿宋" w:cs="仿宋"/>
          <w:kern w:val="0"/>
          <w:szCs w:val="32"/>
        </w:rPr>
        <w:t>其他对个人和家庭</w:t>
      </w:r>
      <w:r>
        <w:rPr>
          <w:rFonts w:hint="eastAsia"/>
          <w:szCs w:val="32"/>
          <w:lang w:val="en-US" w:eastAsia="zh-CN"/>
        </w:rPr>
        <w:t>的补助。</w:t>
      </w:r>
    </w:p>
    <w:p>
      <w:pPr>
        <w:ind w:firstLine="640" w:firstLineChars="200"/>
        <w:rPr>
          <w:rFonts w:hint="eastAsia"/>
          <w:szCs w:val="32"/>
          <w:lang w:val="en-US" w:eastAsia="zh-CN"/>
        </w:rPr>
      </w:pPr>
      <w:r>
        <w:rPr>
          <w:kern w:val="0"/>
          <w:szCs w:val="32"/>
        </w:rPr>
        <w:t>公用经费</w:t>
      </w:r>
      <w:r>
        <w:rPr>
          <w:rFonts w:hint="eastAsia"/>
          <w:szCs w:val="32"/>
          <w:lang w:val="en-US" w:eastAsia="zh-CN"/>
        </w:rPr>
        <w:t>37.57</w:t>
      </w:r>
      <w:r>
        <w:rPr>
          <w:szCs w:val="32"/>
        </w:rPr>
        <w:t>万元，主要包括：</w:t>
      </w:r>
      <w:r>
        <w:rPr>
          <w:rFonts w:hint="eastAsia"/>
          <w:szCs w:val="32"/>
          <w:lang w:val="en-US" w:eastAsia="zh-CN"/>
        </w:rPr>
        <w:t>办公费、印刷费、物业管理费、差旅费、培训费、劳务费、工会经费、福利费、其他交通费用、其他商品和服务支出、办公设备购置。</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jc w:val="both"/>
        <w:rPr>
          <w:rFonts w:hint="eastAsia" w:eastAsia="楷体"/>
          <w:szCs w:val="32"/>
          <w:lang w:eastAsia="zh-CN"/>
        </w:rPr>
      </w:pPr>
      <w:r>
        <w:rPr>
          <w:rFonts w:hint="eastAsia"/>
          <w:szCs w:val="32"/>
          <w:lang w:val="en-US" w:eastAsia="zh-CN"/>
        </w:rPr>
        <w:t>本单位无一般公共预算拨款。</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rPr>
          <w:rFonts w:hint="eastAsia"/>
          <w:szCs w:val="32"/>
          <w:lang w:val="en-US" w:eastAsia="zh-CN"/>
        </w:rPr>
      </w:pPr>
      <w:r>
        <w:rPr>
          <w:rFonts w:hint="eastAsia"/>
          <w:szCs w:val="32"/>
          <w:lang w:val="en-US" w:eastAsia="zh-CN"/>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hint="eastAsia"/>
          <w:szCs w:val="32"/>
          <w:lang w:val="en-US" w:eastAsia="zh-CN"/>
        </w:rPr>
      </w:pPr>
      <w:r>
        <w:rPr>
          <w:rFonts w:hint="eastAsia"/>
          <w:szCs w:val="32"/>
          <w:lang w:val="en-US" w:eastAsia="zh-CN"/>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本单位</w:t>
      </w:r>
      <w:r>
        <w:rPr>
          <w:szCs w:val="32"/>
        </w:rPr>
        <w:t>的机关运行经费财政拨款预算</w:t>
      </w:r>
      <w:r>
        <w:rPr>
          <w:rFonts w:hint="eastAsia"/>
          <w:szCs w:val="32"/>
          <w:lang w:val="en-US" w:eastAsia="zh-CN"/>
        </w:rPr>
        <w:t>37.57</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5.76</w:t>
      </w:r>
      <w:r>
        <w:rPr>
          <w:szCs w:val="32"/>
        </w:rPr>
        <w:t>万元，下降</w:t>
      </w:r>
      <w:r>
        <w:rPr>
          <w:rFonts w:hint="eastAsia"/>
          <w:szCs w:val="32"/>
          <w:lang w:val="en-US" w:eastAsia="zh-CN"/>
        </w:rPr>
        <w:t>13.29</w:t>
      </w:r>
      <w:r>
        <w:rPr>
          <w:szCs w:val="32"/>
        </w:rPr>
        <w:t>%</w:t>
      </w:r>
      <w:r>
        <w:rPr>
          <w:rFonts w:hint="eastAsia"/>
          <w:szCs w:val="32"/>
        </w:rPr>
        <w:t>，主要原因是</w:t>
      </w:r>
      <w:r>
        <w:rPr>
          <w:rFonts w:hint="eastAsia" w:ascii="仿宋" w:hAnsi="仿宋" w:eastAsia="仿宋"/>
          <w:color w:val="auto"/>
          <w:sz w:val="32"/>
        </w:rPr>
        <w:t>我</w:t>
      </w:r>
      <w:r>
        <w:rPr>
          <w:rFonts w:hint="eastAsia" w:ascii="仿宋" w:hAnsi="仿宋" w:eastAsia="仿宋"/>
          <w:color w:val="auto"/>
          <w:sz w:val="32"/>
          <w:szCs w:val="30"/>
        </w:rPr>
        <w:t>单位认真贯彻落实中共中央八项规定精神和省财政厅“过紧日子”有关要求，厉行节约，从严管理机关运行经</w:t>
      </w:r>
      <w:r>
        <w:rPr>
          <w:rFonts w:hint="eastAsia" w:ascii="仿宋" w:hAnsi="仿宋" w:eastAsia="仿宋"/>
          <w:sz w:val="32"/>
          <w:szCs w:val="30"/>
        </w:rPr>
        <w:t>费支出，</w:t>
      </w:r>
      <w:r>
        <w:rPr>
          <w:rFonts w:hint="eastAsia" w:ascii="仿宋" w:hAnsi="仿宋" w:eastAsia="仿宋"/>
          <w:sz w:val="32"/>
          <w:szCs w:val="30"/>
          <w:lang w:eastAsia="zh-CN"/>
        </w:rPr>
        <w:t>压减相关经费</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szCs w:val="32"/>
          <w:lang w:eastAsia="zh-CN"/>
        </w:rPr>
      </w:pPr>
      <w:r>
        <w:rPr>
          <w:rFonts w:hint="eastAsia"/>
          <w:szCs w:val="32"/>
          <w:lang w:eastAsia="zh-CN"/>
        </w:rPr>
        <w:t>本单位无政府采购预算。</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eastAsia="仿宋_GB2312"/>
          <w:szCs w:val="32"/>
          <w:lang w:eastAsia="zh-CN"/>
        </w:rPr>
      </w:pPr>
      <w:r>
        <w:rPr>
          <w:rFonts w:hint="eastAsia"/>
          <w:szCs w:val="32"/>
          <w:lang w:eastAsia="zh-CN"/>
        </w:rPr>
        <w:t>本单位无国有资产占有使用情况。</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szCs w:val="32"/>
          <w:lang w:val="en-US" w:eastAsia="zh-CN"/>
        </w:rPr>
        <w:t>138.39</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138.39</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138.39</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rPr>
          <w:szCs w:val="32"/>
        </w:rPr>
      </w:pPr>
      <w:r>
        <w:rPr>
          <w:rFonts w:eastAsia="楷体"/>
          <w:szCs w:val="32"/>
        </w:rPr>
        <w:br w:type="page"/>
      </w: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YTk5ZGFmYjFiNTkwMzM2YjFlNGRiNDRhNTY3YTc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1E10136"/>
    <w:rsid w:val="02033000"/>
    <w:rsid w:val="020E6D2C"/>
    <w:rsid w:val="02C44267"/>
    <w:rsid w:val="031D7D4B"/>
    <w:rsid w:val="03416B59"/>
    <w:rsid w:val="037F2004"/>
    <w:rsid w:val="0486486A"/>
    <w:rsid w:val="04954460"/>
    <w:rsid w:val="04B818D1"/>
    <w:rsid w:val="050D06DA"/>
    <w:rsid w:val="05310B72"/>
    <w:rsid w:val="05513E94"/>
    <w:rsid w:val="056F5A6D"/>
    <w:rsid w:val="059B3770"/>
    <w:rsid w:val="061439B5"/>
    <w:rsid w:val="063949A0"/>
    <w:rsid w:val="06BD5BC7"/>
    <w:rsid w:val="06F008FF"/>
    <w:rsid w:val="079E5032"/>
    <w:rsid w:val="08AD3E52"/>
    <w:rsid w:val="09015F14"/>
    <w:rsid w:val="091C5C63"/>
    <w:rsid w:val="09421190"/>
    <w:rsid w:val="09864BCA"/>
    <w:rsid w:val="09A0082A"/>
    <w:rsid w:val="09EB20DC"/>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A5C70"/>
    <w:rsid w:val="0FDE2A27"/>
    <w:rsid w:val="102E1B18"/>
    <w:rsid w:val="10AE7F82"/>
    <w:rsid w:val="10B62239"/>
    <w:rsid w:val="10C93B35"/>
    <w:rsid w:val="11177619"/>
    <w:rsid w:val="112605C8"/>
    <w:rsid w:val="113118BF"/>
    <w:rsid w:val="11A6707B"/>
    <w:rsid w:val="11B35B2F"/>
    <w:rsid w:val="12E711B7"/>
    <w:rsid w:val="136D62BD"/>
    <w:rsid w:val="136E4388"/>
    <w:rsid w:val="138F4A1D"/>
    <w:rsid w:val="13F21722"/>
    <w:rsid w:val="143C2747"/>
    <w:rsid w:val="1441443C"/>
    <w:rsid w:val="14C12787"/>
    <w:rsid w:val="14C53C48"/>
    <w:rsid w:val="15593E10"/>
    <w:rsid w:val="159F7E25"/>
    <w:rsid w:val="15F848D0"/>
    <w:rsid w:val="160E1FA5"/>
    <w:rsid w:val="160F2600"/>
    <w:rsid w:val="16C829AB"/>
    <w:rsid w:val="16DD34F5"/>
    <w:rsid w:val="17765BCA"/>
    <w:rsid w:val="17A027D8"/>
    <w:rsid w:val="17CC2625"/>
    <w:rsid w:val="18925339"/>
    <w:rsid w:val="18CD4DA9"/>
    <w:rsid w:val="19132BE0"/>
    <w:rsid w:val="191F4716"/>
    <w:rsid w:val="1954649C"/>
    <w:rsid w:val="19D3618C"/>
    <w:rsid w:val="1A052C1D"/>
    <w:rsid w:val="1A817DF8"/>
    <w:rsid w:val="1A8A6135"/>
    <w:rsid w:val="1AAC1FB7"/>
    <w:rsid w:val="1ADC594E"/>
    <w:rsid w:val="1AEB5252"/>
    <w:rsid w:val="1B543E96"/>
    <w:rsid w:val="1B8A03E4"/>
    <w:rsid w:val="1B9C1459"/>
    <w:rsid w:val="1C852172"/>
    <w:rsid w:val="1CA40C0C"/>
    <w:rsid w:val="1CE123EB"/>
    <w:rsid w:val="1CFF4A32"/>
    <w:rsid w:val="1D1A58FD"/>
    <w:rsid w:val="1D6F5629"/>
    <w:rsid w:val="1D833200"/>
    <w:rsid w:val="1E3A3FD0"/>
    <w:rsid w:val="1EB55C07"/>
    <w:rsid w:val="1F351A10"/>
    <w:rsid w:val="1F857EA5"/>
    <w:rsid w:val="1FE424F1"/>
    <w:rsid w:val="1FED47E9"/>
    <w:rsid w:val="206816AC"/>
    <w:rsid w:val="20A84000"/>
    <w:rsid w:val="21134335"/>
    <w:rsid w:val="226E581D"/>
    <w:rsid w:val="22A4003E"/>
    <w:rsid w:val="23135C25"/>
    <w:rsid w:val="23C91E2B"/>
    <w:rsid w:val="23EC61F6"/>
    <w:rsid w:val="244C543C"/>
    <w:rsid w:val="24624768"/>
    <w:rsid w:val="259B5BC5"/>
    <w:rsid w:val="25C67510"/>
    <w:rsid w:val="25F62C4E"/>
    <w:rsid w:val="26643D6C"/>
    <w:rsid w:val="26D42FC1"/>
    <w:rsid w:val="26FE109D"/>
    <w:rsid w:val="27073E1E"/>
    <w:rsid w:val="27182EAE"/>
    <w:rsid w:val="274A2DBF"/>
    <w:rsid w:val="27B04AB3"/>
    <w:rsid w:val="282C3BA1"/>
    <w:rsid w:val="28A63332"/>
    <w:rsid w:val="28C96E8E"/>
    <w:rsid w:val="297A7E50"/>
    <w:rsid w:val="29C45F24"/>
    <w:rsid w:val="2A261D85"/>
    <w:rsid w:val="2A9A40A7"/>
    <w:rsid w:val="2B08148B"/>
    <w:rsid w:val="2C327B63"/>
    <w:rsid w:val="2D3617F0"/>
    <w:rsid w:val="2D9038E4"/>
    <w:rsid w:val="2DF8796C"/>
    <w:rsid w:val="2EB22F18"/>
    <w:rsid w:val="2EE12108"/>
    <w:rsid w:val="2EED35E3"/>
    <w:rsid w:val="2F0B5068"/>
    <w:rsid w:val="2F250383"/>
    <w:rsid w:val="2F52444F"/>
    <w:rsid w:val="2F63610B"/>
    <w:rsid w:val="2FBC646B"/>
    <w:rsid w:val="2FFF10AF"/>
    <w:rsid w:val="300965A3"/>
    <w:rsid w:val="30730D6E"/>
    <w:rsid w:val="308B20C9"/>
    <w:rsid w:val="30B91A70"/>
    <w:rsid w:val="30DD37BD"/>
    <w:rsid w:val="30F84C22"/>
    <w:rsid w:val="310C6AA2"/>
    <w:rsid w:val="31793674"/>
    <w:rsid w:val="31894469"/>
    <w:rsid w:val="32332703"/>
    <w:rsid w:val="32CF2C5D"/>
    <w:rsid w:val="32EE2C61"/>
    <w:rsid w:val="335402B5"/>
    <w:rsid w:val="339466B2"/>
    <w:rsid w:val="34555AF5"/>
    <w:rsid w:val="34FF687B"/>
    <w:rsid w:val="354C4987"/>
    <w:rsid w:val="35616772"/>
    <w:rsid w:val="35EA1663"/>
    <w:rsid w:val="35FB1672"/>
    <w:rsid w:val="364C598E"/>
    <w:rsid w:val="36694CFB"/>
    <w:rsid w:val="368A3622"/>
    <w:rsid w:val="36B543E5"/>
    <w:rsid w:val="36C95F72"/>
    <w:rsid w:val="36CC2B0F"/>
    <w:rsid w:val="36FC762F"/>
    <w:rsid w:val="3838492F"/>
    <w:rsid w:val="383A009B"/>
    <w:rsid w:val="3887374F"/>
    <w:rsid w:val="38CB0ABC"/>
    <w:rsid w:val="39041A07"/>
    <w:rsid w:val="39043B77"/>
    <w:rsid w:val="39670895"/>
    <w:rsid w:val="397B4EE2"/>
    <w:rsid w:val="39AB195F"/>
    <w:rsid w:val="39D5007E"/>
    <w:rsid w:val="3A387943"/>
    <w:rsid w:val="3A657F9A"/>
    <w:rsid w:val="3A9113D4"/>
    <w:rsid w:val="3AAC3BE1"/>
    <w:rsid w:val="3AC54F32"/>
    <w:rsid w:val="3B144A0A"/>
    <w:rsid w:val="3B254018"/>
    <w:rsid w:val="3B5257F8"/>
    <w:rsid w:val="3BC92948"/>
    <w:rsid w:val="3BE370D4"/>
    <w:rsid w:val="3BEB0739"/>
    <w:rsid w:val="3C1A026D"/>
    <w:rsid w:val="3C29381E"/>
    <w:rsid w:val="3C711E1D"/>
    <w:rsid w:val="3C7F463D"/>
    <w:rsid w:val="3CAE3960"/>
    <w:rsid w:val="3CEF6494"/>
    <w:rsid w:val="3D365BF6"/>
    <w:rsid w:val="3D7F42F8"/>
    <w:rsid w:val="3D7F7007"/>
    <w:rsid w:val="3DB008AA"/>
    <w:rsid w:val="3DF23324"/>
    <w:rsid w:val="3EA14040"/>
    <w:rsid w:val="3EE37DED"/>
    <w:rsid w:val="3EE8108D"/>
    <w:rsid w:val="3F8201A3"/>
    <w:rsid w:val="402675EA"/>
    <w:rsid w:val="40B80EFF"/>
    <w:rsid w:val="4191795C"/>
    <w:rsid w:val="41A35364"/>
    <w:rsid w:val="41C31686"/>
    <w:rsid w:val="41C837BC"/>
    <w:rsid w:val="421643AC"/>
    <w:rsid w:val="42554B5E"/>
    <w:rsid w:val="42982B4E"/>
    <w:rsid w:val="429F5D0C"/>
    <w:rsid w:val="42D83665"/>
    <w:rsid w:val="434A6B47"/>
    <w:rsid w:val="436B1E42"/>
    <w:rsid w:val="447C2876"/>
    <w:rsid w:val="456D114B"/>
    <w:rsid w:val="45D868D4"/>
    <w:rsid w:val="45EB670F"/>
    <w:rsid w:val="465C49F2"/>
    <w:rsid w:val="46AB7C0D"/>
    <w:rsid w:val="46C43732"/>
    <w:rsid w:val="46D44808"/>
    <w:rsid w:val="46ED776B"/>
    <w:rsid w:val="479D2523"/>
    <w:rsid w:val="479F6416"/>
    <w:rsid w:val="47CF49E6"/>
    <w:rsid w:val="48674ED2"/>
    <w:rsid w:val="487708E6"/>
    <w:rsid w:val="48B540F2"/>
    <w:rsid w:val="493F6F72"/>
    <w:rsid w:val="49645F71"/>
    <w:rsid w:val="499F5C68"/>
    <w:rsid w:val="4A52465C"/>
    <w:rsid w:val="4A5C4AC6"/>
    <w:rsid w:val="4A662FBF"/>
    <w:rsid w:val="4AF16062"/>
    <w:rsid w:val="4B0A57E5"/>
    <w:rsid w:val="4B353E06"/>
    <w:rsid w:val="4B646DDD"/>
    <w:rsid w:val="4B7F44F8"/>
    <w:rsid w:val="4BAC24C5"/>
    <w:rsid w:val="4BFA0656"/>
    <w:rsid w:val="4C7327B1"/>
    <w:rsid w:val="4D3439E8"/>
    <w:rsid w:val="4D4E2809"/>
    <w:rsid w:val="4D730507"/>
    <w:rsid w:val="4D741DD3"/>
    <w:rsid w:val="4DC93207"/>
    <w:rsid w:val="4E010C4C"/>
    <w:rsid w:val="4E214B2B"/>
    <w:rsid w:val="4E8D5761"/>
    <w:rsid w:val="4EF31C1E"/>
    <w:rsid w:val="4EF54A85"/>
    <w:rsid w:val="4EF972C6"/>
    <w:rsid w:val="4FA64C4B"/>
    <w:rsid w:val="501778F7"/>
    <w:rsid w:val="501B3C66"/>
    <w:rsid w:val="504B40C5"/>
    <w:rsid w:val="50987DC2"/>
    <w:rsid w:val="50A4703E"/>
    <w:rsid w:val="50AB376B"/>
    <w:rsid w:val="50F144C6"/>
    <w:rsid w:val="51282B99"/>
    <w:rsid w:val="5136104F"/>
    <w:rsid w:val="51465EDE"/>
    <w:rsid w:val="52071113"/>
    <w:rsid w:val="52085509"/>
    <w:rsid w:val="522774C4"/>
    <w:rsid w:val="522A7431"/>
    <w:rsid w:val="525A440D"/>
    <w:rsid w:val="52626449"/>
    <w:rsid w:val="544E511A"/>
    <w:rsid w:val="54576E08"/>
    <w:rsid w:val="54741940"/>
    <w:rsid w:val="54810E66"/>
    <w:rsid w:val="54C063E4"/>
    <w:rsid w:val="54C2556E"/>
    <w:rsid w:val="54C55B73"/>
    <w:rsid w:val="55480EEF"/>
    <w:rsid w:val="569B7F91"/>
    <w:rsid w:val="56D21BED"/>
    <w:rsid w:val="572651B2"/>
    <w:rsid w:val="57AE5C26"/>
    <w:rsid w:val="57DD75A9"/>
    <w:rsid w:val="5801059F"/>
    <w:rsid w:val="58256ABD"/>
    <w:rsid w:val="58C27FDB"/>
    <w:rsid w:val="59472AC7"/>
    <w:rsid w:val="59D514A6"/>
    <w:rsid w:val="59EC6E09"/>
    <w:rsid w:val="5A9658BC"/>
    <w:rsid w:val="5AB343F7"/>
    <w:rsid w:val="5ABF50F2"/>
    <w:rsid w:val="5AD308BE"/>
    <w:rsid w:val="5AF25D13"/>
    <w:rsid w:val="5AF76904"/>
    <w:rsid w:val="5B052E7A"/>
    <w:rsid w:val="5B3D7F7E"/>
    <w:rsid w:val="5B7C7777"/>
    <w:rsid w:val="5BEC6771"/>
    <w:rsid w:val="5CA506B9"/>
    <w:rsid w:val="5CF74CE4"/>
    <w:rsid w:val="5D5A7C63"/>
    <w:rsid w:val="5DFE2888"/>
    <w:rsid w:val="5E256F6F"/>
    <w:rsid w:val="5EBD42C8"/>
    <w:rsid w:val="5F6235A9"/>
    <w:rsid w:val="5F946E02"/>
    <w:rsid w:val="5F990328"/>
    <w:rsid w:val="5FBC729E"/>
    <w:rsid w:val="5FD17AC2"/>
    <w:rsid w:val="6047596B"/>
    <w:rsid w:val="607246D5"/>
    <w:rsid w:val="60DC439E"/>
    <w:rsid w:val="611D2569"/>
    <w:rsid w:val="614125C2"/>
    <w:rsid w:val="61AA1D1F"/>
    <w:rsid w:val="624C5C52"/>
    <w:rsid w:val="63DF08E4"/>
    <w:rsid w:val="64C04AFD"/>
    <w:rsid w:val="652E506F"/>
    <w:rsid w:val="655B219F"/>
    <w:rsid w:val="656A1E1F"/>
    <w:rsid w:val="661A7B69"/>
    <w:rsid w:val="66455323"/>
    <w:rsid w:val="664909C1"/>
    <w:rsid w:val="66635AE4"/>
    <w:rsid w:val="66C63EB5"/>
    <w:rsid w:val="66ED2D08"/>
    <w:rsid w:val="67592674"/>
    <w:rsid w:val="679461D3"/>
    <w:rsid w:val="67D94AAD"/>
    <w:rsid w:val="6858287E"/>
    <w:rsid w:val="68593A1E"/>
    <w:rsid w:val="68C04D52"/>
    <w:rsid w:val="68D33DE9"/>
    <w:rsid w:val="69157114"/>
    <w:rsid w:val="691A443E"/>
    <w:rsid w:val="695355CE"/>
    <w:rsid w:val="69E203A0"/>
    <w:rsid w:val="6A5B6D7D"/>
    <w:rsid w:val="6A765FBC"/>
    <w:rsid w:val="6A80735F"/>
    <w:rsid w:val="6AC17181"/>
    <w:rsid w:val="6ACC5E47"/>
    <w:rsid w:val="6AD43ED1"/>
    <w:rsid w:val="6B11024D"/>
    <w:rsid w:val="6B7D5B36"/>
    <w:rsid w:val="6C834DAA"/>
    <w:rsid w:val="6C922387"/>
    <w:rsid w:val="6C993CCE"/>
    <w:rsid w:val="6CF120A8"/>
    <w:rsid w:val="6D72413D"/>
    <w:rsid w:val="6E0E3C8F"/>
    <w:rsid w:val="6F0F3EFF"/>
    <w:rsid w:val="6FF50B81"/>
    <w:rsid w:val="70330B9C"/>
    <w:rsid w:val="714213DD"/>
    <w:rsid w:val="717F272E"/>
    <w:rsid w:val="71EA67C2"/>
    <w:rsid w:val="72783A23"/>
    <w:rsid w:val="728027C6"/>
    <w:rsid w:val="73832A2A"/>
    <w:rsid w:val="73BB0416"/>
    <w:rsid w:val="73D62FA6"/>
    <w:rsid w:val="73FE7ACC"/>
    <w:rsid w:val="74556746"/>
    <w:rsid w:val="74743258"/>
    <w:rsid w:val="74F21551"/>
    <w:rsid w:val="761B13C4"/>
    <w:rsid w:val="764B6A8A"/>
    <w:rsid w:val="76C17E06"/>
    <w:rsid w:val="76CA67BD"/>
    <w:rsid w:val="771F0CBB"/>
    <w:rsid w:val="774E6400"/>
    <w:rsid w:val="775B0046"/>
    <w:rsid w:val="77DB56E1"/>
    <w:rsid w:val="781D1259"/>
    <w:rsid w:val="79700BEF"/>
    <w:rsid w:val="798D552B"/>
    <w:rsid w:val="7A090695"/>
    <w:rsid w:val="7A1D5951"/>
    <w:rsid w:val="7A262361"/>
    <w:rsid w:val="7AE175F4"/>
    <w:rsid w:val="7B417685"/>
    <w:rsid w:val="7B5220F0"/>
    <w:rsid w:val="7B9F686F"/>
    <w:rsid w:val="7BA169C0"/>
    <w:rsid w:val="7BC55243"/>
    <w:rsid w:val="7C2F4A9A"/>
    <w:rsid w:val="7C541B0A"/>
    <w:rsid w:val="7CAD595B"/>
    <w:rsid w:val="7CF65D07"/>
    <w:rsid w:val="7D2975D1"/>
    <w:rsid w:val="7D2F3083"/>
    <w:rsid w:val="7D906046"/>
    <w:rsid w:val="7DCC0CD6"/>
    <w:rsid w:val="7E6D084A"/>
    <w:rsid w:val="7E94397F"/>
    <w:rsid w:val="7ED76F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1</TotalTime>
  <ScaleCrop>false</ScaleCrop>
  <LinksUpToDate>false</LinksUpToDate>
  <CharactersWithSpaces>10118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lenovo</cp:lastModifiedBy>
  <cp:lastPrinted>2024-01-23T03:39:00Z</cp:lastPrinted>
  <dcterms:modified xsi:type="dcterms:W3CDTF">2024-02-26T01:59:03Z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