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ind w:firstLine="440" w:firstLineChars="100"/>
        <w:jc w:val="both"/>
        <w:rPr>
          <w:rFonts w:ascii="Times New Roman" w:hAnsi="Times New Roman" w:eastAsia="方正小标宋简体" w:cs="Times New Roman"/>
          <w:sz w:val="44"/>
          <w:szCs w:val="44"/>
        </w:rPr>
      </w:pPr>
      <w:r>
        <w:rPr>
          <w:rFonts w:ascii="Times New Roman" w:hAnsi="Times New Roman" w:eastAsia="方正小标宋简体" w:cs="Times New Roman"/>
          <w:sz w:val="44"/>
          <w:szCs w:val="44"/>
          <w:lang w:val="en-US" w:eastAsia="zh-CN"/>
        </w:rPr>
        <w:t xml:space="preserve">吉林省统计局绿园区农村社会经济调查队 </w:t>
      </w:r>
    </w:p>
    <w:p>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lang w:val="en-US" w:eastAsia="zh-CN"/>
        </w:rPr>
        <w:t>为政府决策及社会需求调查提供农村社会经济信息。贯彻执行国家有关统计工作的方针政策，组织实施农村住户、农产量、农村社会经济基础基本情况等有关调查，为政府决策提供农村社会经济信息等。</w:t>
      </w:r>
    </w:p>
    <w:p>
      <w:pPr>
        <w:ind w:firstLine="640" w:firstLineChars="200"/>
      </w:pPr>
      <w:r>
        <w:rPr>
          <w:rFonts w:eastAsia="楷体_GB2312"/>
        </w:rPr>
        <w:t>二、机构设置</w:t>
      </w:r>
    </w:p>
    <w:p>
      <w:pPr>
        <w:ind w:firstLine="640" w:firstLineChars="200"/>
        <w:rPr>
          <w:rFonts w:eastAsia="楷体"/>
        </w:rPr>
      </w:pPr>
      <w:r>
        <w:rPr>
          <w:rFonts w:hint="eastAsia" w:ascii="仿宋_GB2312" w:hAnsi="仿宋_GB2312" w:eastAsia="仿宋_GB2312" w:cs="仿宋_GB2312"/>
          <w:color w:val="000000"/>
          <w:szCs w:val="32"/>
          <w:lang w:val="en-US" w:eastAsia="zh-CN"/>
        </w:rPr>
        <w:t>本单位无内设机构</w:t>
      </w:r>
      <w:r>
        <w:rPr>
          <w:rFonts w:hint="eastAsia" w:ascii="仿宋_GB2312" w:hAnsi="仿宋_GB2312" w:cs="仿宋_GB2312"/>
          <w:color w:val="000000"/>
          <w:szCs w:val="32"/>
          <w:lang w:val="en-US" w:eastAsia="zh-CN"/>
        </w:rPr>
        <w:t>。</w:t>
      </w:r>
      <w:r>
        <w:rPr>
          <w:rFonts w:hint="eastAsia" w:ascii="仿宋_GB2312" w:hAnsi="仿宋_GB2312" w:eastAsia="仿宋_GB2312" w:cs="仿宋_GB2312"/>
          <w:color w:val="000000"/>
          <w:szCs w:val="32"/>
          <w:lang w:val="en-US" w:eastAsia="zh-CN"/>
        </w:rPr>
        <w:t>无下设预算单位。</w:t>
      </w: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int="eastAsia"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130"/>
        <w:gridCol w:w="808"/>
        <w:gridCol w:w="212"/>
        <w:gridCol w:w="988"/>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3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1020"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98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130"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eastAsia="zh-CN"/>
              </w:rPr>
            </w:pPr>
            <w:r>
              <w:rPr>
                <w:rFonts w:hint="eastAsia" w:eastAsia="宋体"/>
                <w:kern w:val="0"/>
                <w:sz w:val="20"/>
              </w:rPr>
              <w:t>19.6</w:t>
            </w:r>
            <w:r>
              <w:rPr>
                <w:rFonts w:hint="eastAsia" w:eastAsia="宋体"/>
                <w:kern w:val="0"/>
                <w:sz w:val="20"/>
                <w:lang w:val="en-US" w:eastAsia="zh-CN"/>
              </w:rPr>
              <w:t>6</w:t>
            </w:r>
          </w:p>
        </w:tc>
        <w:tc>
          <w:tcPr>
            <w:tcW w:w="1020"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18.67</w:t>
            </w:r>
          </w:p>
        </w:tc>
        <w:tc>
          <w:tcPr>
            <w:tcW w:w="988" w:type="dxa"/>
            <w:tcBorders>
              <w:top w:val="nil"/>
              <w:left w:val="single" w:color="auto" w:sz="4" w:space="0"/>
              <w:bottom w:val="single" w:color="auto" w:sz="4" w:space="0"/>
              <w:right w:val="nil"/>
            </w:tcBorders>
            <w:noWrap w:val="0"/>
            <w:vAlign w:val="center"/>
          </w:tcPr>
          <w:p>
            <w:pPr>
              <w:widowControl/>
              <w:jc w:val="right"/>
              <w:rPr>
                <w:rFonts w:hint="eastAsia" w:eastAsia="宋体"/>
                <w:kern w:val="0"/>
                <w:sz w:val="20"/>
                <w:lang w:eastAsia="zh-CN"/>
              </w:rPr>
            </w:pPr>
            <w:r>
              <w:rPr>
                <w:rFonts w:hint="eastAsia" w:eastAsia="宋体"/>
                <w:kern w:val="0"/>
                <w:sz w:val="20"/>
              </w:rPr>
              <w:t>0.9</w:t>
            </w:r>
            <w:r>
              <w:rPr>
                <w:rFonts w:hint="eastAsia" w:eastAsia="宋体"/>
                <w:kern w:val="0"/>
                <w:sz w:val="20"/>
                <w:lang w:val="en-US" w:eastAsia="zh-CN"/>
              </w:rPr>
              <w:t>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10.83</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10.52</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0.31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130" w:type="dxa"/>
            <w:tcBorders>
              <w:top w:val="nil"/>
              <w:left w:val="nil"/>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19.6</w:t>
            </w:r>
            <w:r>
              <w:rPr>
                <w:rFonts w:hint="eastAsia" w:eastAsia="宋体"/>
                <w:kern w:val="0"/>
                <w:sz w:val="20"/>
                <w:lang w:val="en-US" w:eastAsia="zh-CN"/>
              </w:rPr>
              <w:t>6</w:t>
            </w:r>
          </w:p>
        </w:tc>
        <w:tc>
          <w:tcPr>
            <w:tcW w:w="1020" w:type="dxa"/>
            <w:gridSpan w:val="2"/>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18.67</w:t>
            </w:r>
          </w:p>
        </w:tc>
        <w:tc>
          <w:tcPr>
            <w:tcW w:w="988" w:type="dxa"/>
            <w:tcBorders>
              <w:top w:val="nil"/>
              <w:left w:val="single" w:color="auto" w:sz="4" w:space="0"/>
              <w:bottom w:val="single" w:color="auto" w:sz="4" w:space="0"/>
              <w:right w:val="nil"/>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0.9</w:t>
            </w:r>
            <w:r>
              <w:rPr>
                <w:rFonts w:hint="eastAsia" w:eastAsia="宋体"/>
                <w:kern w:val="0"/>
                <w:sz w:val="20"/>
                <w:lang w:val="en-US" w:eastAsia="zh-CN"/>
              </w:rPr>
              <w:t>9</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eastAsia="宋体"/>
                <w:color w:val="000000"/>
                <w:kern w:val="0"/>
                <w:sz w:val="20"/>
              </w:rPr>
            </w:pPr>
            <w:r>
              <w:rPr>
                <w:rFonts w:hint="eastAsia" w:eastAsia="宋体"/>
                <w:color w:val="000000"/>
                <w:kern w:val="0"/>
                <w:sz w:val="20"/>
              </w:rPr>
              <w:t>6.03</w:t>
            </w: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6.03</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13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20"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8"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eastAsia" w:eastAsia="宋体"/>
                <w:color w:val="000000"/>
                <w:kern w:val="0"/>
                <w:sz w:val="20"/>
              </w:rPr>
            </w:pPr>
            <w:r>
              <w:rPr>
                <w:rFonts w:hint="default" w:eastAsia="宋体"/>
                <w:color w:val="000000"/>
                <w:kern w:val="0"/>
                <w:sz w:val="20"/>
                <w:lang w:val="en-US" w:eastAsia="zh-CN"/>
              </w:rPr>
              <w:t>1.97</w:t>
            </w:r>
          </w:p>
        </w:tc>
        <w:tc>
          <w:tcPr>
            <w:tcW w:w="1182" w:type="dxa"/>
            <w:gridSpan w:val="2"/>
            <w:tcBorders>
              <w:top w:val="nil"/>
              <w:left w:val="nil"/>
              <w:bottom w:val="single" w:color="auto" w:sz="4" w:space="0"/>
              <w:right w:val="single" w:color="auto" w:sz="4" w:space="0"/>
            </w:tcBorders>
            <w:noWrap w:val="0"/>
            <w:vAlign w:val="center"/>
          </w:tcPr>
          <w:p>
            <w:pPr>
              <w:autoSpaceDN w:val="0"/>
              <w:jc w:val="right"/>
              <w:textAlignment w:val="center"/>
              <w:rPr>
                <w:rFonts w:hint="eastAsia" w:eastAsia="宋体"/>
                <w:color w:val="000000"/>
                <w:kern w:val="0"/>
                <w:sz w:val="20"/>
              </w:rPr>
            </w:pPr>
            <w:r>
              <w:rPr>
                <w:rFonts w:hint="default" w:eastAsia="宋体"/>
                <w:color w:val="000000"/>
                <w:kern w:val="0"/>
                <w:sz w:val="20"/>
                <w:lang w:val="en-US" w:eastAsia="zh-CN"/>
              </w:rPr>
              <w:t>1.30</w:t>
            </w:r>
          </w:p>
        </w:tc>
        <w:tc>
          <w:tcPr>
            <w:tcW w:w="1158" w:type="dxa"/>
            <w:tcBorders>
              <w:top w:val="nil"/>
              <w:left w:val="nil"/>
              <w:bottom w:val="single" w:color="auto" w:sz="4" w:space="0"/>
              <w:right w:val="single" w:color="auto" w:sz="4" w:space="0"/>
            </w:tcBorders>
            <w:noWrap w:val="0"/>
            <w:vAlign w:val="center"/>
          </w:tcPr>
          <w:p>
            <w:pPr>
              <w:autoSpaceDN w:val="0"/>
              <w:jc w:val="right"/>
              <w:textAlignment w:val="center"/>
              <w:rPr>
                <w:rFonts w:hint="eastAsia" w:eastAsia="宋体"/>
                <w:color w:val="000000"/>
                <w:kern w:val="0"/>
                <w:sz w:val="20"/>
              </w:rPr>
            </w:pPr>
            <w:r>
              <w:rPr>
                <w:rFonts w:hint="default" w:eastAsia="宋体"/>
                <w:color w:val="000000"/>
                <w:kern w:val="0"/>
                <w:sz w:val="20"/>
                <w:lang w:val="en-US" w:eastAsia="zh-CN"/>
              </w:rPr>
              <w:t>0.67</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13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20"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8"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hint="eastAsia" w:eastAsia="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eastAsia="宋体"/>
                <w:color w:val="000000"/>
                <w:kern w:val="0"/>
                <w:sz w:val="20"/>
              </w:rPr>
            </w:pPr>
            <w:r>
              <w:rPr>
                <w:rFonts w:hint="eastAsia" w:eastAsia="宋体"/>
                <w:color w:val="000000"/>
                <w:kern w:val="0"/>
                <w:sz w:val="20"/>
              </w:rPr>
              <w:t>0.82</w:t>
            </w: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rPr>
              <w:t>0.82</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13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20"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8"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13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20"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8"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13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20"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8"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13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20"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8"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13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20"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8"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13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20"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8"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130"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020"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8"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130" w:type="dxa"/>
            <w:tcBorders>
              <w:top w:val="nil"/>
              <w:left w:val="nil"/>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19.6</w:t>
            </w:r>
            <w:r>
              <w:rPr>
                <w:rFonts w:hint="eastAsia" w:eastAsia="宋体"/>
                <w:kern w:val="0"/>
                <w:sz w:val="20"/>
                <w:lang w:val="en-US" w:eastAsia="zh-CN"/>
              </w:rPr>
              <w:t>6</w:t>
            </w:r>
          </w:p>
        </w:tc>
        <w:tc>
          <w:tcPr>
            <w:tcW w:w="1020" w:type="dxa"/>
            <w:gridSpan w:val="2"/>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18.67</w:t>
            </w:r>
          </w:p>
        </w:tc>
        <w:tc>
          <w:tcPr>
            <w:tcW w:w="988" w:type="dxa"/>
            <w:tcBorders>
              <w:top w:val="nil"/>
              <w:left w:val="single" w:color="auto" w:sz="4" w:space="0"/>
              <w:bottom w:val="single" w:color="auto" w:sz="4" w:space="0"/>
              <w:right w:val="nil"/>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0.9</w:t>
            </w:r>
            <w:r>
              <w:rPr>
                <w:rFonts w:hint="eastAsia" w:eastAsia="宋体"/>
                <w:kern w:val="0"/>
                <w:sz w:val="20"/>
                <w:lang w:val="en-US" w:eastAsia="zh-CN"/>
              </w:rPr>
              <w:t>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19.6</w:t>
            </w:r>
            <w:r>
              <w:rPr>
                <w:rFonts w:hint="eastAsia" w:eastAsia="宋体"/>
                <w:kern w:val="0"/>
                <w:sz w:val="20"/>
                <w:lang w:val="en-US" w:eastAsia="zh-CN"/>
              </w:rPr>
              <w:t>6</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18.67</w:t>
            </w:r>
          </w:p>
        </w:tc>
        <w:tc>
          <w:tcPr>
            <w:tcW w:w="1158" w:type="dxa"/>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0.9</w:t>
            </w:r>
            <w:r>
              <w:rPr>
                <w:rFonts w:hint="eastAsia" w:eastAsia="宋体"/>
                <w:kern w:val="0"/>
                <w:sz w:val="20"/>
                <w:lang w:val="en-US" w:eastAsia="zh-CN"/>
              </w:rPr>
              <w:t>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13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20"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8"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13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020"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8"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130" w:type="dxa"/>
            <w:tcBorders>
              <w:top w:val="nil"/>
              <w:left w:val="nil"/>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19.6</w:t>
            </w:r>
            <w:r>
              <w:rPr>
                <w:rFonts w:hint="eastAsia" w:eastAsia="宋体"/>
                <w:kern w:val="0"/>
                <w:sz w:val="20"/>
                <w:lang w:val="en-US" w:eastAsia="zh-CN"/>
              </w:rPr>
              <w:t>6</w:t>
            </w:r>
          </w:p>
        </w:tc>
        <w:tc>
          <w:tcPr>
            <w:tcW w:w="1020" w:type="dxa"/>
            <w:gridSpan w:val="2"/>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18.67</w:t>
            </w:r>
          </w:p>
        </w:tc>
        <w:tc>
          <w:tcPr>
            <w:tcW w:w="988" w:type="dxa"/>
            <w:tcBorders>
              <w:top w:val="nil"/>
              <w:left w:val="single" w:color="auto" w:sz="4" w:space="0"/>
              <w:bottom w:val="single" w:color="auto" w:sz="4" w:space="0"/>
              <w:right w:val="nil"/>
            </w:tcBorders>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0.9</w:t>
            </w:r>
            <w:r>
              <w:rPr>
                <w:rFonts w:hint="eastAsia" w:eastAsia="宋体"/>
                <w:kern w:val="0"/>
                <w:sz w:val="20"/>
                <w:lang w:val="en-US" w:eastAsia="zh-CN"/>
              </w:rPr>
              <w:t>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19.6</w:t>
            </w:r>
            <w:r>
              <w:rPr>
                <w:rFonts w:hint="eastAsia" w:eastAsia="宋体"/>
                <w:kern w:val="0"/>
                <w:sz w:val="20"/>
                <w:lang w:val="en-US" w:eastAsia="zh-CN"/>
              </w:rPr>
              <w:t>6</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18.67</w:t>
            </w:r>
          </w:p>
        </w:tc>
        <w:tc>
          <w:tcPr>
            <w:tcW w:w="1158" w:type="dxa"/>
            <w:tcBorders>
              <w:top w:val="nil"/>
              <w:left w:val="nil"/>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rPr>
              <w:t>0.9</w:t>
            </w:r>
            <w:r>
              <w:rPr>
                <w:rFonts w:hint="eastAsia" w:eastAsia="宋体"/>
                <w:kern w:val="0"/>
                <w:sz w:val="20"/>
                <w:lang w:val="en-US" w:eastAsia="zh-CN"/>
              </w:rPr>
              <w:t>9</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751" w:type="dxa"/>
        <w:jc w:val="center"/>
        <w:tblLayout w:type="fixed"/>
        <w:tblCellMar>
          <w:top w:w="0" w:type="dxa"/>
          <w:left w:w="108" w:type="dxa"/>
          <w:bottom w:w="0" w:type="dxa"/>
          <w:right w:w="108" w:type="dxa"/>
        </w:tblCellMar>
      </w:tblPr>
      <w:tblGrid>
        <w:gridCol w:w="1501"/>
        <w:gridCol w:w="720"/>
        <w:gridCol w:w="675"/>
        <w:gridCol w:w="750"/>
        <w:gridCol w:w="390"/>
        <w:gridCol w:w="405"/>
        <w:gridCol w:w="360"/>
        <w:gridCol w:w="315"/>
        <w:gridCol w:w="375"/>
        <w:gridCol w:w="360"/>
        <w:gridCol w:w="315"/>
        <w:gridCol w:w="81"/>
        <w:gridCol w:w="279"/>
        <w:gridCol w:w="219"/>
        <w:gridCol w:w="426"/>
        <w:gridCol w:w="672"/>
        <w:gridCol w:w="236"/>
        <w:gridCol w:w="153"/>
        <w:gridCol w:w="450"/>
        <w:gridCol w:w="420"/>
        <w:gridCol w:w="310"/>
        <w:gridCol w:w="339"/>
      </w:tblGrid>
      <w:tr>
        <w:tblPrEx>
          <w:tblCellMar>
            <w:top w:w="0" w:type="dxa"/>
            <w:left w:w="108" w:type="dxa"/>
            <w:bottom w:w="0" w:type="dxa"/>
            <w:right w:w="108" w:type="dxa"/>
          </w:tblCellMar>
        </w:tblPrEx>
        <w:trPr>
          <w:trHeight w:val="335" w:hRule="atLeast"/>
          <w:jc w:val="center"/>
        </w:trPr>
        <w:tc>
          <w:tcPr>
            <w:tcW w:w="1501" w:type="dxa"/>
            <w:tcBorders>
              <w:bottom w:val="single" w:color="000000" w:sz="4" w:space="0"/>
            </w:tcBorders>
            <w:noWrap w:val="0"/>
            <w:vAlign w:val="top"/>
          </w:tcPr>
          <w:p>
            <w:pPr>
              <w:autoSpaceDN w:val="0"/>
              <w:jc w:val="left"/>
              <w:textAlignment w:val="center"/>
              <w:rPr>
                <w:rFonts w:eastAsia="华文细黑"/>
                <w:color w:val="000000"/>
                <w:sz w:val="20"/>
              </w:rPr>
            </w:pPr>
          </w:p>
        </w:tc>
        <w:tc>
          <w:tcPr>
            <w:tcW w:w="3615"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1131" w:type="dxa"/>
            <w:gridSpan w:val="4"/>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098"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339" w:type="dxa"/>
          <w:trHeight w:val="517" w:hRule="atLeast"/>
          <w:jc w:val="center"/>
        </w:trPr>
        <w:tc>
          <w:tcPr>
            <w:tcW w:w="1501"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72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05"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886"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339" w:type="dxa"/>
          <w:trHeight w:val="517" w:hRule="atLeast"/>
          <w:jc w:val="center"/>
        </w:trPr>
        <w:tc>
          <w:tcPr>
            <w:tcW w:w="1501"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720"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67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4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6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25"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45"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11"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730"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339" w:type="dxa"/>
          <w:trHeight w:val="2818" w:hRule="atLeast"/>
          <w:jc w:val="center"/>
        </w:trPr>
        <w:tc>
          <w:tcPr>
            <w:tcW w:w="1501"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72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67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5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9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6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4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5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2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339" w:type="dxa"/>
          <w:trHeight w:val="517" w:hRule="atLeast"/>
          <w:jc w:val="center"/>
        </w:trPr>
        <w:tc>
          <w:tcPr>
            <w:tcW w:w="1501"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eastAsia="宋体"/>
                <w:color w:val="000000"/>
                <w:sz w:val="20"/>
                <w:shd w:val="clear" w:color="auto" w:fill="FFFFFF"/>
              </w:rPr>
            </w:pPr>
            <w:r>
              <w:rPr>
                <w:rFonts w:hint="eastAsia" w:eastAsia="宋体"/>
                <w:color w:val="000000"/>
                <w:sz w:val="20"/>
                <w:shd w:val="clear" w:color="auto" w:fill="FFFFFF"/>
              </w:rPr>
              <w:t>吉林省统计局绿园区农村社会经济调查队</w:t>
            </w: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eastAsia="zh-CN"/>
              </w:rPr>
            </w:pPr>
            <w:r>
              <w:rPr>
                <w:rFonts w:hint="default" w:eastAsia="宋体"/>
                <w:color w:val="000000"/>
                <w:sz w:val="20"/>
                <w:shd w:val="clear" w:color="auto" w:fill="FFFFFF"/>
                <w:lang w:val="en-US" w:eastAsia="zh-CN"/>
              </w:rPr>
              <w:t>19.66</w:t>
            </w: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18.67</w:t>
            </w:r>
          </w:p>
        </w:tc>
        <w:tc>
          <w:tcPr>
            <w:tcW w:w="7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18.67</w:t>
            </w:r>
          </w:p>
        </w:tc>
        <w:tc>
          <w:tcPr>
            <w:tcW w:w="39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0.99</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0.99</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rPr>
          <w:gridAfter w:val="1"/>
          <w:wAfter w:w="339" w:type="dxa"/>
          <w:trHeight w:val="517" w:hRule="atLeast"/>
          <w:jc w:val="center"/>
        </w:trPr>
        <w:tc>
          <w:tcPr>
            <w:tcW w:w="150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39" w:type="dxa"/>
          <w:trHeight w:val="517" w:hRule="atLeast"/>
          <w:jc w:val="center"/>
        </w:trPr>
        <w:tc>
          <w:tcPr>
            <w:tcW w:w="150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39" w:type="dxa"/>
          <w:trHeight w:val="517" w:hRule="atLeast"/>
          <w:jc w:val="center"/>
        </w:trPr>
        <w:tc>
          <w:tcPr>
            <w:tcW w:w="150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39" w:type="dxa"/>
          <w:trHeight w:val="530" w:hRule="atLeast"/>
          <w:jc w:val="center"/>
        </w:trPr>
        <w:tc>
          <w:tcPr>
            <w:tcW w:w="150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default" w:eastAsia="宋体"/>
                <w:color w:val="000000"/>
                <w:sz w:val="20"/>
                <w:shd w:val="clear" w:color="auto" w:fill="FFFFFF"/>
                <w:lang w:val="en-US" w:eastAsia="zh-CN"/>
              </w:rPr>
              <w:t>19.66</w:t>
            </w: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default" w:eastAsia="宋体"/>
                <w:color w:val="000000"/>
                <w:sz w:val="20"/>
                <w:shd w:val="clear" w:color="auto" w:fill="FFFFFF"/>
                <w:lang w:val="en-US" w:eastAsia="zh-CN"/>
              </w:rPr>
              <w:t>18.67</w:t>
            </w:r>
          </w:p>
        </w:tc>
        <w:tc>
          <w:tcPr>
            <w:tcW w:w="7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default" w:eastAsia="宋体"/>
                <w:color w:val="000000"/>
                <w:sz w:val="20"/>
                <w:shd w:val="clear" w:color="auto" w:fill="FFFFFF"/>
                <w:lang w:val="en-US" w:eastAsia="zh-CN"/>
              </w:rPr>
              <w:t>18.67</w:t>
            </w:r>
          </w:p>
        </w:tc>
        <w:tc>
          <w:tcPr>
            <w:tcW w:w="39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6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0.99</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0.99</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3525"/>
              <w:gridCol w:w="1185"/>
              <w:gridCol w:w="1170"/>
              <w:gridCol w:w="1245"/>
              <w:gridCol w:w="960"/>
              <w:gridCol w:w="320"/>
              <w:gridCol w:w="595"/>
              <w:gridCol w:w="702"/>
              <w:gridCol w:w="138"/>
            </w:tblGrid>
            <w:tr>
              <w:tblPrEx>
                <w:tblCellMar>
                  <w:top w:w="15" w:type="dxa"/>
                  <w:left w:w="15" w:type="dxa"/>
                  <w:bottom w:w="15" w:type="dxa"/>
                  <w:right w:w="15" w:type="dxa"/>
                </w:tblCellMar>
              </w:tblPrEx>
              <w:trPr>
                <w:gridAfter w:val="1"/>
                <w:wAfter w:w="138" w:type="dxa"/>
                <w:trHeight w:val="636" w:hRule="atLeast"/>
              </w:trPr>
              <w:tc>
                <w:tcPr>
                  <w:tcW w:w="7125" w:type="dxa"/>
                  <w:gridSpan w:val="4"/>
                  <w:tcBorders>
                    <w:bottom w:val="single" w:color="000000" w:sz="4" w:space="0"/>
                  </w:tcBorders>
                  <w:noWrap w:val="0"/>
                  <w:vAlign w:val="center"/>
                </w:tcPr>
                <w:p>
                  <w:pPr>
                    <w:widowControl/>
                    <w:jc w:val="left"/>
                    <w:rPr>
                      <w:rFonts w:eastAsia="华文细黑"/>
                      <w:color w:val="000000"/>
                      <w:kern w:val="0"/>
                      <w:sz w:val="20"/>
                    </w:rPr>
                  </w:pPr>
                </w:p>
              </w:tc>
              <w:tc>
                <w:tcPr>
                  <w:tcW w:w="960" w:type="dxa"/>
                  <w:tcBorders>
                    <w:bottom w:val="single" w:color="000000" w:sz="4" w:space="0"/>
                  </w:tcBorders>
                  <w:noWrap w:val="0"/>
                  <w:vAlign w:val="center"/>
                </w:tcPr>
                <w:p>
                  <w:pPr>
                    <w:widowControl/>
                    <w:jc w:val="right"/>
                    <w:rPr>
                      <w:rFonts w:eastAsia="华文细黑"/>
                      <w:color w:val="000000"/>
                      <w:kern w:val="0"/>
                      <w:sz w:val="20"/>
                    </w:rPr>
                  </w:pPr>
                </w:p>
              </w:tc>
              <w:tc>
                <w:tcPr>
                  <w:tcW w:w="320" w:type="dxa"/>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836" w:hRule="atLeast"/>
              </w:trPr>
              <w:tc>
                <w:tcPr>
                  <w:tcW w:w="3525"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85"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701" w:hRule="atLeast"/>
              </w:trPr>
              <w:tc>
                <w:tcPr>
                  <w:tcW w:w="352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一、一般公共服务支出</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10.83</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10.83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352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统计信息事务</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10.83</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10.83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352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行政运行</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10.83</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10.83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352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二、社会保障和就业支出</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6.03</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6.03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352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行政事业单位养老支出</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6.03</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6.03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352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行政单位离退休</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4.93</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4.93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352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机关事业单位基本养老保险缴费支出</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1.10</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1.10</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352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三、卫生健康支出</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1.97</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1.97</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352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行政事业单位医疗</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1.97</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1.97</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352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行政单位医疗</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1.97</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1.97</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352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四、住房保障支出</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0.82</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0.82</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352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住房改革支出</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0.82</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0.82</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352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住房公积金</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0.82</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0.82</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3525"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r>
                    <w:rPr>
                      <w:rFonts w:hint="default" w:eastAsia="宋体"/>
                      <w:color w:val="000000"/>
                      <w:sz w:val="20"/>
                      <w:shd w:val="clear" w:color="auto" w:fill="FFFFFF"/>
                      <w:lang w:val="en-US" w:eastAsia="zh-CN"/>
                    </w:rPr>
                    <w:t>19.65</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19.65</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19.66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18.67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0.99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19.66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18.67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0.99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19.66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18.67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0.99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10.83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10.52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0.3</w:t>
                  </w:r>
                  <w:r>
                    <w:rPr>
                      <w:rFonts w:hint="eastAsia" w:eastAsia="宋体"/>
                      <w:color w:val="000000"/>
                      <w:sz w:val="20"/>
                      <w:shd w:val="clear" w:color="auto" w:fill="FFFFFF"/>
                      <w:lang w:val="en-US" w:eastAsia="zh-CN"/>
                    </w:rPr>
                    <w:t>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6.03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6.03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1.30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0.67</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lang w:eastAsia="zh-CN"/>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19.66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18.67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0.99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19.66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18.67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0.99</w:t>
                  </w:r>
                </w:p>
              </w:tc>
            </w:tr>
          </w:tbl>
          <w:p>
            <w:pPr>
              <w:widowControl/>
              <w:rPr>
                <w:rFonts w:eastAsia="方正小标宋简体"/>
                <w:kern w:val="0"/>
                <w:sz w:val="44"/>
                <w:szCs w:val="44"/>
              </w:rPr>
            </w:pPr>
          </w:p>
        </w:tc>
      </w:tr>
    </w:tbl>
    <w:p>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994"/>
              <w:gridCol w:w="1185"/>
              <w:gridCol w:w="1245"/>
              <w:gridCol w:w="1140"/>
              <w:gridCol w:w="1125"/>
              <w:gridCol w:w="1100"/>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994"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85"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51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99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85"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5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99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85"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99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一、一般公共服务支出</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10.83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10.83</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7.73</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3.10</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99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统计信息事务</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10.83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10.83</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7.73</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3.10</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99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行政运行</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10.83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10.83</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7.73</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3.10</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99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二、社会保障和就业支出</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6.03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6.03</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6.03</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99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行政事业单位养老支出</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6.03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6.03</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6.03</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99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行政单位离退休</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4.93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4.93</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4.93</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99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机关事业单位基本养老保险缴费支出</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1.10</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1.10</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1.10</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99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三、卫生健康支出</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1.97</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1.97</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99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行政事业单位医疗</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1.97</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1.97</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99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行政单位医疗</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1.97</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1.97</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99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四、住房保障支出</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0.82</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0.82</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99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住房改革支出</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0.82</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0.82</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99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华文细黑"/>
                      <w:color w:val="000000"/>
                      <w:kern w:val="0"/>
                      <w:sz w:val="20"/>
                      <w:lang w:val="en-US" w:eastAsia="zh-CN"/>
                    </w:rPr>
                    <w:t>　　    住房公积金</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0.82</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0.82</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994"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19.65</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19.65</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16.55</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3.10</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11.57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11.57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2.59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2.59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2.54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2.54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0.33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0.33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0.34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0.34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0.16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0.16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pPr>
          </w:p>
        </w:tc>
      </w:tr>
    </w:tbl>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lang w:val="en-US" w:eastAsia="zh-CN"/>
              </w:rPr>
              <w:t>续</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3.10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3.10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1.38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1.38</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0.09</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0.86</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0.60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0.17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0.17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4.98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4.98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退休费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4.93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4.93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0.05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0.05</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华文细黑"/>
                <w:color w:val="000000"/>
                <w:kern w:val="0"/>
                <w:sz w:val="20"/>
                <w:lang w:val="en-US" w:eastAsia="zh-CN"/>
              </w:rPr>
            </w:pPr>
            <w:r>
              <w:rPr>
                <w:rFonts w:hint="eastAsia" w:eastAsia="华文细黑"/>
                <w:color w:val="000000"/>
                <w:kern w:val="0"/>
                <w:sz w:val="20"/>
                <w:lang w:val="en-US"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19.65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16.55</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3.10</w:t>
            </w:r>
          </w:p>
        </w:tc>
      </w:tr>
    </w:tbl>
    <w:p>
      <w:pPr>
        <w:rPr>
          <w:sz w:val="16"/>
          <w:szCs w:val="16"/>
        </w:rPr>
      </w:pPr>
    </w:p>
    <w:p>
      <w:pPr>
        <w:ind w:firstLine="636"/>
        <w:rPr>
          <w:rFonts w:hAnsi="楷体" w:eastAsia="楷体"/>
        </w:rPr>
      </w:pPr>
    </w:p>
    <w:p>
      <w:pPr>
        <w:rPr>
          <w:rFonts w:hAnsi="楷体" w:eastAsia="楷体"/>
        </w:rPr>
      </w:pPr>
    </w:p>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color w:val="000000"/>
                <w:kern w:val="0"/>
                <w:sz w:val="28"/>
                <w:szCs w:val="28"/>
                <w:lang w:val="en-US" w:eastAsia="zh-CN"/>
              </w:rPr>
            </w:pPr>
            <w:bookmarkStart w:id="0" w:name="_GoBack"/>
            <w:r>
              <w:rPr>
                <w:rFonts w:hint="eastAsia"/>
                <w:color w:val="000000"/>
                <w:kern w:val="0"/>
                <w:sz w:val="28"/>
                <w:szCs w:val="28"/>
                <w:lang w:val="en-US" w:eastAsia="zh-CN"/>
              </w:rPr>
              <w:t>说明：</w:t>
            </w:r>
          </w:p>
          <w:p>
            <w:pPr>
              <w:widowControl/>
              <w:numPr>
                <w:ilvl w:val="0"/>
                <w:numId w:val="1"/>
              </w:numPr>
              <w:ind w:left="420" w:leftChars="0" w:firstLine="0" w:firstLineChars="0"/>
              <w:jc w:val="both"/>
              <w:rPr>
                <w:rFonts w:hint="eastAsia"/>
                <w:color w:val="000000"/>
                <w:kern w:val="0"/>
                <w:sz w:val="28"/>
                <w:szCs w:val="28"/>
                <w:lang w:val="en-US" w:eastAsia="zh-CN"/>
              </w:rPr>
            </w:pPr>
            <w:r>
              <w:rPr>
                <w:rFonts w:hint="eastAsia"/>
                <w:color w:val="000000"/>
                <w:kern w:val="0"/>
                <w:sz w:val="28"/>
                <w:szCs w:val="28"/>
                <w:lang w:val="en-US" w:eastAsia="zh-CN"/>
              </w:rPr>
              <w:t>“2024年预算数”的单位范围包括本单位1个预算单位。</w:t>
            </w:r>
          </w:p>
          <w:p>
            <w:pPr>
              <w:widowControl/>
              <w:numPr>
                <w:ilvl w:val="0"/>
                <w:numId w:val="1"/>
              </w:numPr>
              <w:ind w:left="420" w:leftChars="0" w:firstLine="0" w:firstLineChars="0"/>
              <w:jc w:val="both"/>
              <w:rPr>
                <w:rFonts w:hint="default"/>
                <w:color w:val="000000"/>
                <w:kern w:val="0"/>
                <w:sz w:val="28"/>
                <w:szCs w:val="28"/>
                <w:lang w:val="en-US" w:eastAsia="zh-CN"/>
              </w:rPr>
            </w:pPr>
            <w:r>
              <w:rPr>
                <w:rFonts w:hint="eastAsia"/>
                <w:color w:val="000000"/>
                <w:kern w:val="0"/>
                <w:sz w:val="28"/>
                <w:szCs w:val="28"/>
                <w:lang w:val="en-US" w:eastAsia="zh-CN"/>
              </w:rPr>
              <w:t>“2024年预算数”的实有人员3人，其中：在职人员1人，退休人</w:t>
            </w:r>
          </w:p>
          <w:p>
            <w:pPr>
              <w:widowControl/>
              <w:numPr>
                <w:numId w:val="0"/>
              </w:numPr>
              <w:jc w:val="both"/>
              <w:rPr>
                <w:rFonts w:hint="default"/>
                <w:color w:val="000000"/>
                <w:kern w:val="0"/>
                <w:sz w:val="28"/>
                <w:szCs w:val="28"/>
                <w:lang w:val="en-US" w:eastAsia="zh-CN"/>
              </w:rPr>
            </w:pPr>
            <w:r>
              <w:rPr>
                <w:rFonts w:hint="eastAsia"/>
                <w:color w:val="000000"/>
                <w:kern w:val="0"/>
                <w:sz w:val="28"/>
                <w:szCs w:val="28"/>
                <w:lang w:val="en-US" w:eastAsia="zh-CN"/>
              </w:rPr>
              <w:t>员2人。</w:t>
            </w:r>
            <w:bookmarkEnd w:id="0"/>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625"/>
        <w:gridCol w:w="540"/>
        <w:gridCol w:w="527"/>
        <w:gridCol w:w="527"/>
        <w:gridCol w:w="528"/>
        <w:gridCol w:w="552"/>
        <w:gridCol w:w="540"/>
        <w:gridCol w:w="468"/>
        <w:gridCol w:w="552"/>
        <w:gridCol w:w="504"/>
        <w:gridCol w:w="680"/>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2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5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0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625"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540"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674"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758"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8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827"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62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540"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82"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552"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4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524"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234"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pPr>
              <w:autoSpaceDN w:val="0"/>
              <w:jc w:val="center"/>
              <w:textAlignment w:val="center"/>
              <w:rPr>
                <w:rFonts w:ascii="Calibri" w:hAnsi="Calibri" w:eastAsia="华文细黑"/>
                <w:color w:val="000000"/>
                <w:sz w:val="20"/>
                <w:szCs w:val="22"/>
              </w:rPr>
            </w:pPr>
          </w:p>
        </w:tc>
        <w:tc>
          <w:tcPr>
            <w:tcW w:w="780" w:type="dxa"/>
            <w:vMerge w:val="continue"/>
            <w:noWrap w:val="0"/>
            <w:vAlign w:val="center"/>
          </w:tcPr>
          <w:p>
            <w:pPr>
              <w:autoSpaceDN w:val="0"/>
              <w:jc w:val="center"/>
              <w:textAlignment w:val="center"/>
              <w:rPr>
                <w:rFonts w:ascii="Calibri" w:hAnsi="Calibri" w:eastAsia="华文细黑"/>
                <w:color w:val="000000"/>
                <w:sz w:val="20"/>
                <w:szCs w:val="22"/>
              </w:rPr>
            </w:pPr>
          </w:p>
        </w:tc>
        <w:tc>
          <w:tcPr>
            <w:tcW w:w="827"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25" w:type="dxa"/>
            <w:vMerge w:val="continue"/>
            <w:noWrap w:val="0"/>
            <w:vAlign w:val="center"/>
          </w:tcPr>
          <w:p>
            <w:pPr>
              <w:autoSpaceDN w:val="0"/>
              <w:jc w:val="center"/>
              <w:textAlignment w:val="center"/>
              <w:rPr>
                <w:rFonts w:ascii="Calibri" w:hAnsi="Calibri" w:eastAsia="华文细黑"/>
                <w:color w:val="000000"/>
                <w:sz w:val="20"/>
                <w:szCs w:val="22"/>
              </w:rPr>
            </w:pPr>
          </w:p>
        </w:tc>
        <w:tc>
          <w:tcPr>
            <w:tcW w:w="540" w:type="dxa"/>
            <w:vMerge w:val="continue"/>
            <w:noWrap w:val="0"/>
            <w:vAlign w:val="center"/>
          </w:tcPr>
          <w:p>
            <w:pPr>
              <w:autoSpaceDN w:val="0"/>
              <w:jc w:val="center"/>
              <w:textAlignment w:val="center"/>
              <w:rPr>
                <w:rFonts w:ascii="Calibri" w:hAnsi="Calibri" w:eastAsia="华文细黑"/>
                <w:color w:val="000000"/>
                <w:sz w:val="20"/>
                <w:szCs w:val="22"/>
              </w:rPr>
            </w:pPr>
          </w:p>
        </w:tc>
        <w:tc>
          <w:tcPr>
            <w:tcW w:w="527"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527"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528"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552"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54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68"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52"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04"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80"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54"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pPr>
              <w:autoSpaceDN w:val="0"/>
              <w:jc w:val="center"/>
              <w:textAlignment w:val="center"/>
              <w:rPr>
                <w:rFonts w:ascii="Calibri" w:hAnsi="Calibri" w:eastAsia="华文细黑"/>
                <w:color w:val="000000"/>
                <w:sz w:val="20"/>
                <w:szCs w:val="2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ascii="楷体" w:hAnsi="楷体" w:eastAsia="楷体" w:cs="楷体"/>
          <w:kern w:val="0"/>
          <w:szCs w:val="32"/>
        </w:rPr>
      </w:pP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w:t>
      </w:r>
      <w:r>
        <w:rPr>
          <w:rFonts w:hint="eastAsia"/>
          <w:szCs w:val="32"/>
          <w:lang w:eastAsia="zh-CN"/>
        </w:rPr>
        <w:t>、</w:t>
      </w:r>
      <w:r>
        <w:rPr>
          <w:rFonts w:hint="eastAsia"/>
          <w:szCs w:val="32"/>
          <w:lang w:val="en-US" w:eastAsia="zh-CN"/>
        </w:rPr>
        <w:t>上年结转结余等</w:t>
      </w:r>
      <w:r>
        <w:rPr>
          <w:szCs w:val="32"/>
        </w:rPr>
        <w:t>；支出包括：一般公共服务支出</w:t>
      </w:r>
      <w:r>
        <w:rPr>
          <w:rFonts w:hint="eastAsia"/>
          <w:szCs w:val="32"/>
          <w:lang w:eastAsia="zh-CN"/>
        </w:rPr>
        <w:t>、</w:t>
      </w:r>
      <w:r>
        <w:rPr>
          <w:szCs w:val="32"/>
        </w:rPr>
        <w:t>社会保障和就业支出、</w:t>
      </w:r>
      <w:r>
        <w:rPr>
          <w:rFonts w:hint="eastAsia" w:ascii="仿宋_GB2312" w:eastAsia="仿宋_GB2312" w:cs="仿宋_GB2312"/>
          <w:sz w:val="32"/>
          <w:szCs w:val="32"/>
          <w:highlight w:val="none"/>
          <w:lang w:val="en-US" w:eastAsia="zh-CN" w:bidi="ar-SA"/>
        </w:rPr>
        <w:t>卫生健康支出</w:t>
      </w:r>
      <w:r>
        <w:rPr>
          <w:rFonts w:hint="eastAsia" w:ascii="仿宋_GB2312" w:cs="仿宋_GB2312"/>
          <w:sz w:val="32"/>
          <w:szCs w:val="32"/>
          <w:highlight w:val="none"/>
          <w:lang w:val="en-US" w:eastAsia="zh-CN" w:bidi="ar-SA"/>
        </w:rPr>
        <w:t>、</w:t>
      </w:r>
      <w:r>
        <w:rPr>
          <w:szCs w:val="32"/>
        </w:rPr>
        <w:t>住房保障支出等。20</w:t>
      </w:r>
      <w:r>
        <w:rPr>
          <w:rFonts w:hint="eastAsia"/>
          <w:szCs w:val="32"/>
        </w:rPr>
        <w:t>2</w:t>
      </w:r>
      <w:r>
        <w:rPr>
          <w:rFonts w:hint="eastAsia"/>
          <w:szCs w:val="32"/>
          <w:lang w:val="en-US" w:eastAsia="zh-CN"/>
        </w:rPr>
        <w:t>4</w:t>
      </w:r>
      <w:r>
        <w:rPr>
          <w:szCs w:val="32"/>
        </w:rPr>
        <w:t>年收支总预算</w:t>
      </w:r>
      <w:r>
        <w:rPr>
          <w:rFonts w:hint="eastAsia"/>
          <w:szCs w:val="32"/>
        </w:rPr>
        <w:t>19.6</w:t>
      </w:r>
      <w:r>
        <w:rPr>
          <w:rFonts w:hint="eastAsia"/>
          <w:szCs w:val="32"/>
          <w:lang w:val="en-US" w:eastAsia="zh-CN"/>
        </w:rPr>
        <w:t>6</w:t>
      </w:r>
      <w:r>
        <w:rPr>
          <w:szCs w:val="32"/>
        </w:rPr>
        <w:t>万元</w:t>
      </w:r>
      <w:r>
        <w:rPr>
          <w:rFonts w:hint="eastAsia"/>
          <w:szCs w:val="32"/>
          <w:lang w:eastAsia="zh-CN"/>
        </w:rPr>
        <w:t>，其中：本年预算</w:t>
      </w:r>
      <w:r>
        <w:rPr>
          <w:rFonts w:hint="eastAsia"/>
          <w:szCs w:val="32"/>
        </w:rPr>
        <w:t>18.67</w:t>
      </w:r>
      <w:r>
        <w:rPr>
          <w:rFonts w:hint="eastAsia"/>
          <w:szCs w:val="32"/>
          <w:lang w:eastAsia="zh-CN"/>
        </w:rPr>
        <w:t>万元；上年结转</w:t>
      </w:r>
      <w:r>
        <w:rPr>
          <w:rFonts w:hint="eastAsia"/>
          <w:szCs w:val="32"/>
        </w:rPr>
        <w:t>0.9</w:t>
      </w:r>
      <w:r>
        <w:rPr>
          <w:rFonts w:hint="eastAsia"/>
          <w:szCs w:val="32"/>
          <w:lang w:val="en-US" w:eastAsia="zh-CN"/>
        </w:rPr>
        <w:t>8</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17.42</w:t>
      </w:r>
      <w:r>
        <w:rPr>
          <w:szCs w:val="32"/>
        </w:rPr>
        <w:t>万元，主要原因是</w:t>
      </w:r>
      <w:r>
        <w:rPr>
          <w:rFonts w:hint="eastAsia"/>
          <w:szCs w:val="32"/>
          <w:lang w:val="en-US" w:eastAsia="zh-CN"/>
        </w:rPr>
        <w:t>本年新招录一名公务员，人员经费及对应公用经费有所增加</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rPr>
        <w:t>19.6</w:t>
      </w:r>
      <w:r>
        <w:rPr>
          <w:rFonts w:hint="eastAsia"/>
          <w:szCs w:val="32"/>
          <w:lang w:val="en-US" w:eastAsia="zh-CN"/>
        </w:rPr>
        <w:t>6</w:t>
      </w:r>
      <w:r>
        <w:rPr>
          <w:szCs w:val="32"/>
        </w:rPr>
        <w:t>万元，其中：本年收入</w:t>
      </w:r>
      <w:r>
        <w:rPr>
          <w:rFonts w:hint="eastAsia"/>
          <w:szCs w:val="32"/>
        </w:rPr>
        <w:t>18.67</w:t>
      </w:r>
      <w:r>
        <w:rPr>
          <w:szCs w:val="32"/>
        </w:rPr>
        <w:t>万元，占</w:t>
      </w:r>
      <w:r>
        <w:rPr>
          <w:rFonts w:hint="eastAsia"/>
          <w:szCs w:val="32"/>
          <w:lang w:val="en-US" w:eastAsia="zh-CN"/>
        </w:rPr>
        <w:t>94.96</w:t>
      </w:r>
      <w:r>
        <w:rPr>
          <w:szCs w:val="32"/>
        </w:rPr>
        <w:t>%；上年结转</w:t>
      </w:r>
      <w:r>
        <w:rPr>
          <w:rFonts w:hint="eastAsia"/>
          <w:szCs w:val="32"/>
          <w:lang w:eastAsia="zh-CN"/>
        </w:rPr>
        <w:t>结余</w:t>
      </w:r>
      <w:r>
        <w:rPr>
          <w:rFonts w:hint="eastAsia"/>
          <w:szCs w:val="32"/>
        </w:rPr>
        <w:t>0.9</w:t>
      </w:r>
      <w:r>
        <w:rPr>
          <w:rFonts w:hint="eastAsia"/>
          <w:szCs w:val="32"/>
          <w:lang w:val="en-US" w:eastAsia="zh-CN"/>
        </w:rPr>
        <w:t>9</w:t>
      </w:r>
      <w:r>
        <w:rPr>
          <w:szCs w:val="32"/>
        </w:rPr>
        <w:t>万元，占</w:t>
      </w:r>
      <w:r>
        <w:rPr>
          <w:rFonts w:hint="eastAsia"/>
          <w:szCs w:val="32"/>
          <w:lang w:val="en-US" w:eastAsia="zh-CN"/>
        </w:rPr>
        <w:t>5.04</w:t>
      </w:r>
      <w:r>
        <w:rPr>
          <w:szCs w:val="32"/>
        </w:rPr>
        <w:t>%。本年收入中，一般公共预算拨款收入</w:t>
      </w:r>
      <w:r>
        <w:rPr>
          <w:rFonts w:hint="eastAsia"/>
          <w:szCs w:val="32"/>
        </w:rPr>
        <w:t>18.67</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中，一般公共预算拨款结转0.9</w:t>
      </w:r>
      <w:r>
        <w:rPr>
          <w:rFonts w:hint="eastAsia"/>
          <w:szCs w:val="32"/>
          <w:lang w:val="en-US" w:eastAsia="zh-CN"/>
        </w:rPr>
        <w:t>9</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rPr>
        <w:t>19.6</w:t>
      </w:r>
      <w:r>
        <w:rPr>
          <w:rFonts w:hint="eastAsia"/>
          <w:szCs w:val="32"/>
          <w:lang w:val="en-US" w:eastAsia="zh-CN"/>
        </w:rPr>
        <w:t>6</w:t>
      </w:r>
      <w:r>
        <w:rPr>
          <w:szCs w:val="32"/>
        </w:rPr>
        <w:t>万元，其中：基本支出</w:t>
      </w:r>
      <w:r>
        <w:rPr>
          <w:rFonts w:hint="eastAsia"/>
          <w:szCs w:val="32"/>
        </w:rPr>
        <w:t>19.6</w:t>
      </w:r>
      <w:r>
        <w:rPr>
          <w:rFonts w:hint="eastAsia"/>
          <w:szCs w:val="32"/>
          <w:lang w:val="en-US" w:eastAsia="zh-CN"/>
        </w:rPr>
        <w:t>6</w:t>
      </w:r>
      <w:r>
        <w:rPr>
          <w:szCs w:val="32"/>
        </w:rPr>
        <w:t>万元，占</w:t>
      </w:r>
      <w:r>
        <w:rPr>
          <w:rFonts w:hint="eastAsia"/>
          <w:szCs w:val="32"/>
          <w:lang w:val="en-US" w:eastAsia="zh-CN"/>
        </w:rPr>
        <w:t>100</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rPr>
        <w:t>19.6</w:t>
      </w:r>
      <w:r>
        <w:rPr>
          <w:rFonts w:hint="eastAsia"/>
          <w:szCs w:val="32"/>
          <w:lang w:val="en-US" w:eastAsia="zh-CN"/>
        </w:rPr>
        <w:t>6</w:t>
      </w:r>
      <w:r>
        <w:rPr>
          <w:szCs w:val="32"/>
        </w:rPr>
        <w:t>万元，其中：</w:t>
      </w:r>
      <w:r>
        <w:rPr>
          <w:rFonts w:hint="eastAsia"/>
          <w:szCs w:val="32"/>
        </w:rPr>
        <w:t>本年</w:t>
      </w:r>
      <w:r>
        <w:rPr>
          <w:rFonts w:hint="eastAsia"/>
          <w:szCs w:val="32"/>
          <w:lang w:eastAsia="zh-CN"/>
        </w:rPr>
        <w:t>预算</w:t>
      </w:r>
      <w:r>
        <w:rPr>
          <w:rFonts w:hint="eastAsia"/>
          <w:szCs w:val="32"/>
        </w:rPr>
        <w:t>18.67</w:t>
      </w:r>
      <w:r>
        <w:rPr>
          <w:szCs w:val="32"/>
        </w:rPr>
        <w:t>万元</w:t>
      </w:r>
      <w:r>
        <w:rPr>
          <w:rFonts w:hint="eastAsia"/>
          <w:szCs w:val="32"/>
        </w:rPr>
        <w:t>，上年结转0.9</w:t>
      </w:r>
      <w:r>
        <w:rPr>
          <w:rFonts w:hint="eastAsia"/>
          <w:szCs w:val="32"/>
          <w:lang w:val="en-US" w:eastAsia="zh-CN"/>
        </w:rPr>
        <w:t>9</w:t>
      </w:r>
      <w:r>
        <w:rPr>
          <w:szCs w:val="32"/>
        </w:rPr>
        <w:t>万元</w:t>
      </w:r>
      <w:r>
        <w:rPr>
          <w:rFonts w:hint="eastAsia"/>
          <w:szCs w:val="32"/>
        </w:rPr>
        <w:t>。</w:t>
      </w:r>
      <w:r>
        <w:rPr>
          <w:szCs w:val="32"/>
          <w:highlight w:val="none"/>
        </w:rPr>
        <w:t>支出包括：</w:t>
      </w:r>
      <w:r>
        <w:rPr>
          <w:kern w:val="0"/>
          <w:szCs w:val="32"/>
          <w:highlight w:val="none"/>
        </w:rPr>
        <w:t>一般公共服务支出</w:t>
      </w:r>
      <w:r>
        <w:rPr>
          <w:rFonts w:hint="eastAsia"/>
          <w:szCs w:val="32"/>
          <w:highlight w:val="none"/>
        </w:rPr>
        <w:t>10.83</w:t>
      </w:r>
      <w:r>
        <w:rPr>
          <w:szCs w:val="32"/>
          <w:highlight w:val="none"/>
        </w:rPr>
        <w:t>万元，</w:t>
      </w:r>
      <w:r>
        <w:rPr>
          <w:kern w:val="0"/>
          <w:szCs w:val="32"/>
          <w:highlight w:val="none"/>
        </w:rPr>
        <w:t>社会保障和就业支出</w:t>
      </w:r>
      <w:r>
        <w:rPr>
          <w:rFonts w:hint="eastAsia"/>
          <w:szCs w:val="32"/>
          <w:highlight w:val="none"/>
        </w:rPr>
        <w:t>6.03</w:t>
      </w:r>
      <w:r>
        <w:rPr>
          <w:szCs w:val="32"/>
          <w:highlight w:val="none"/>
        </w:rPr>
        <w:t>万元，</w:t>
      </w:r>
      <w:r>
        <w:rPr>
          <w:kern w:val="0"/>
          <w:szCs w:val="32"/>
          <w:highlight w:val="none"/>
        </w:rPr>
        <w:t>卫生</w:t>
      </w:r>
      <w:r>
        <w:rPr>
          <w:rFonts w:hint="eastAsia"/>
          <w:kern w:val="0"/>
          <w:szCs w:val="32"/>
          <w:highlight w:val="none"/>
        </w:rPr>
        <w:t>健康</w:t>
      </w:r>
      <w:r>
        <w:rPr>
          <w:kern w:val="0"/>
          <w:szCs w:val="32"/>
          <w:highlight w:val="none"/>
        </w:rPr>
        <w:t>支出</w:t>
      </w:r>
      <w:r>
        <w:rPr>
          <w:rFonts w:hint="eastAsia"/>
          <w:szCs w:val="32"/>
          <w:highlight w:val="none"/>
        </w:rPr>
        <w:t>1.9</w:t>
      </w:r>
      <w:r>
        <w:rPr>
          <w:rFonts w:hint="eastAsia"/>
          <w:szCs w:val="32"/>
          <w:highlight w:val="none"/>
          <w:lang w:val="en-US" w:eastAsia="zh-CN"/>
        </w:rPr>
        <w:t>8</w:t>
      </w:r>
      <w:r>
        <w:rPr>
          <w:szCs w:val="32"/>
          <w:highlight w:val="none"/>
        </w:rPr>
        <w:t>万元，</w:t>
      </w:r>
      <w:r>
        <w:rPr>
          <w:kern w:val="0"/>
          <w:szCs w:val="32"/>
          <w:highlight w:val="none"/>
        </w:rPr>
        <w:t>住房保障支出</w:t>
      </w:r>
      <w:r>
        <w:rPr>
          <w:rFonts w:hint="eastAsia"/>
          <w:szCs w:val="32"/>
          <w:highlight w:val="none"/>
        </w:rPr>
        <w:t>0.82</w:t>
      </w:r>
      <w:r>
        <w:rPr>
          <w:szCs w:val="32"/>
          <w:highlight w:val="none"/>
        </w:rPr>
        <w:t>万元。</w:t>
      </w:r>
    </w:p>
    <w:p>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highlight w:val="none"/>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rPr>
        <w:t>19.6</w:t>
      </w:r>
      <w:r>
        <w:rPr>
          <w:rFonts w:hint="eastAsia"/>
          <w:szCs w:val="32"/>
          <w:lang w:val="en-US" w:eastAsia="zh-CN"/>
        </w:rPr>
        <w:t>6</w:t>
      </w:r>
      <w:r>
        <w:rPr>
          <w:szCs w:val="32"/>
        </w:rPr>
        <w:t>万元，其中：基本支出</w:t>
      </w:r>
      <w:r>
        <w:rPr>
          <w:rFonts w:hint="eastAsia"/>
          <w:szCs w:val="32"/>
        </w:rPr>
        <w:t>19.6</w:t>
      </w:r>
      <w:r>
        <w:rPr>
          <w:rFonts w:hint="eastAsia"/>
          <w:szCs w:val="32"/>
          <w:lang w:val="en-US" w:eastAsia="zh-CN"/>
        </w:rPr>
        <w:t>6</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万元，占</w:t>
      </w:r>
      <w:r>
        <w:rPr>
          <w:rFonts w:hint="eastAsia"/>
          <w:szCs w:val="32"/>
          <w:lang w:val="en-US" w:eastAsia="zh-CN"/>
        </w:rPr>
        <w:t>0</w:t>
      </w:r>
      <w:r>
        <w:rPr>
          <w:szCs w:val="32"/>
        </w:rPr>
        <w:t>%。基本支出中，人员经</w:t>
      </w:r>
      <w:r>
        <w:rPr>
          <w:szCs w:val="32"/>
          <w:highlight w:val="none"/>
        </w:rPr>
        <w:t>费</w:t>
      </w:r>
      <w:r>
        <w:rPr>
          <w:rFonts w:hint="eastAsia"/>
          <w:szCs w:val="32"/>
          <w:highlight w:val="none"/>
        </w:rPr>
        <w:t>16.5</w:t>
      </w:r>
      <w:r>
        <w:rPr>
          <w:rFonts w:hint="eastAsia"/>
          <w:szCs w:val="32"/>
          <w:highlight w:val="none"/>
          <w:lang w:val="en-US" w:eastAsia="zh-CN"/>
        </w:rPr>
        <w:t>6</w:t>
      </w:r>
      <w:r>
        <w:rPr>
          <w:szCs w:val="32"/>
          <w:highlight w:val="none"/>
        </w:rPr>
        <w:t>万元，占</w:t>
      </w:r>
      <w:r>
        <w:rPr>
          <w:rFonts w:hint="eastAsia"/>
          <w:szCs w:val="32"/>
          <w:highlight w:val="none"/>
          <w:lang w:val="en-US" w:eastAsia="zh-CN"/>
        </w:rPr>
        <w:t>84.22</w:t>
      </w:r>
      <w:r>
        <w:rPr>
          <w:szCs w:val="32"/>
          <w:highlight w:val="none"/>
        </w:rPr>
        <w:t>%；公用经费</w:t>
      </w:r>
      <w:r>
        <w:rPr>
          <w:rFonts w:hint="eastAsia"/>
          <w:szCs w:val="32"/>
          <w:highlight w:val="none"/>
          <w:lang w:val="en-US" w:eastAsia="zh-CN"/>
        </w:rPr>
        <w:t>3.1</w:t>
      </w:r>
      <w:r>
        <w:rPr>
          <w:szCs w:val="32"/>
          <w:highlight w:val="none"/>
        </w:rPr>
        <w:t>万元，占</w:t>
      </w:r>
      <w:r>
        <w:rPr>
          <w:rFonts w:hint="eastAsia"/>
          <w:szCs w:val="32"/>
          <w:highlight w:val="none"/>
          <w:lang w:val="en-US" w:eastAsia="zh-CN"/>
        </w:rPr>
        <w:t>15.78</w:t>
      </w:r>
      <w:r>
        <w:rPr>
          <w:szCs w:val="32"/>
          <w:highlight w:val="none"/>
        </w:rPr>
        <w:t>%。</w:t>
      </w:r>
    </w:p>
    <w:p>
      <w:pPr>
        <w:spacing w:line="520" w:lineRule="exact"/>
        <w:ind w:firstLine="640" w:firstLineChars="200"/>
        <w:rPr>
          <w:szCs w:val="32"/>
          <w:highlight w:val="none"/>
        </w:rPr>
      </w:pPr>
      <w:r>
        <w:rPr>
          <w:szCs w:val="32"/>
          <w:highlight w:val="none"/>
        </w:rPr>
        <w:t>一般公共服务（类）支出</w:t>
      </w:r>
      <w:r>
        <w:rPr>
          <w:rFonts w:hint="eastAsia"/>
          <w:szCs w:val="32"/>
          <w:highlight w:val="none"/>
        </w:rPr>
        <w:t>10.83</w:t>
      </w:r>
      <w:r>
        <w:rPr>
          <w:szCs w:val="32"/>
          <w:highlight w:val="none"/>
        </w:rPr>
        <w:t>万元，占</w:t>
      </w:r>
      <w:r>
        <w:rPr>
          <w:rFonts w:hint="eastAsia"/>
          <w:szCs w:val="32"/>
          <w:highlight w:val="none"/>
          <w:lang w:val="en-US" w:eastAsia="zh-CN"/>
        </w:rPr>
        <w:t>55.09</w:t>
      </w:r>
      <w:r>
        <w:rPr>
          <w:szCs w:val="32"/>
          <w:highlight w:val="none"/>
        </w:rPr>
        <w:t>%，主要用于</w:t>
      </w:r>
      <w:r>
        <w:rPr>
          <w:rFonts w:hint="eastAsia"/>
          <w:szCs w:val="32"/>
          <w:highlight w:val="none"/>
          <w:lang w:val="en-US" w:eastAsia="zh-CN"/>
        </w:rPr>
        <w:t>保障职工工资，维持机关正常运转，完成年度统计工作及普查任务。</w:t>
      </w:r>
    </w:p>
    <w:p>
      <w:pPr>
        <w:spacing w:line="520" w:lineRule="exact"/>
        <w:ind w:firstLine="640" w:firstLineChars="200"/>
        <w:rPr>
          <w:szCs w:val="32"/>
          <w:highlight w:val="none"/>
        </w:rPr>
      </w:pPr>
      <w:r>
        <w:rPr>
          <w:szCs w:val="32"/>
          <w:highlight w:val="none"/>
        </w:rPr>
        <w:t>社会保障和就业（类）支出</w:t>
      </w:r>
      <w:r>
        <w:rPr>
          <w:rFonts w:hint="eastAsia"/>
          <w:szCs w:val="32"/>
          <w:highlight w:val="none"/>
        </w:rPr>
        <w:t>6.03</w:t>
      </w:r>
      <w:r>
        <w:rPr>
          <w:szCs w:val="32"/>
          <w:highlight w:val="none"/>
        </w:rPr>
        <w:t>万元，占</w:t>
      </w:r>
      <w:r>
        <w:rPr>
          <w:rFonts w:hint="eastAsia"/>
          <w:szCs w:val="32"/>
          <w:highlight w:val="none"/>
          <w:lang w:val="en-US" w:eastAsia="zh-CN"/>
        </w:rPr>
        <w:t>30.67</w:t>
      </w:r>
      <w:r>
        <w:rPr>
          <w:szCs w:val="32"/>
          <w:highlight w:val="none"/>
        </w:rPr>
        <w:t>%，主要用于</w:t>
      </w:r>
      <w:r>
        <w:rPr>
          <w:rFonts w:hint="eastAsia"/>
          <w:szCs w:val="32"/>
          <w:highlight w:val="none"/>
        </w:rPr>
        <w:t>保障</w:t>
      </w:r>
      <w:r>
        <w:rPr>
          <w:rFonts w:hint="eastAsia"/>
          <w:szCs w:val="32"/>
          <w:highlight w:val="none"/>
          <w:lang w:val="en-US" w:eastAsia="zh-CN"/>
        </w:rPr>
        <w:t>退休职工津贴及机关事业单位基本养老保险缴费支出</w:t>
      </w:r>
      <w:r>
        <w:rPr>
          <w:szCs w:val="32"/>
          <w:highlight w:val="none"/>
        </w:rPr>
        <w:t>。</w:t>
      </w:r>
    </w:p>
    <w:p>
      <w:pPr>
        <w:spacing w:line="520" w:lineRule="exact"/>
        <w:ind w:firstLine="640" w:firstLineChars="200"/>
        <w:rPr>
          <w:rFonts w:hint="eastAsia"/>
          <w:szCs w:val="32"/>
          <w:highlight w:val="none"/>
          <w:lang w:val="en-US" w:eastAsia="zh-CN"/>
        </w:rPr>
      </w:pPr>
      <w:r>
        <w:rPr>
          <w:rFonts w:hint="eastAsia"/>
          <w:szCs w:val="32"/>
          <w:highlight w:val="none"/>
          <w:lang w:val="en-US" w:eastAsia="zh-CN"/>
        </w:rPr>
        <w:t>卫生健康（类）支出1.98万元，占10.07%，主要用于缴纳职工医疗保险。</w:t>
      </w:r>
    </w:p>
    <w:p>
      <w:pPr>
        <w:spacing w:line="520" w:lineRule="exact"/>
        <w:ind w:firstLine="640" w:firstLineChars="200"/>
        <w:rPr>
          <w:rFonts w:hint="eastAsia"/>
          <w:szCs w:val="32"/>
          <w:highlight w:val="none"/>
        </w:rPr>
      </w:pPr>
      <w:r>
        <w:rPr>
          <w:szCs w:val="32"/>
          <w:highlight w:val="none"/>
        </w:rPr>
        <w:t>住房保障（类）支出</w:t>
      </w:r>
      <w:r>
        <w:rPr>
          <w:rFonts w:hint="eastAsia"/>
          <w:szCs w:val="32"/>
          <w:highlight w:val="none"/>
        </w:rPr>
        <w:t>0.82</w:t>
      </w:r>
      <w:r>
        <w:rPr>
          <w:szCs w:val="32"/>
          <w:highlight w:val="none"/>
        </w:rPr>
        <w:t>万元，占</w:t>
      </w:r>
      <w:r>
        <w:rPr>
          <w:rFonts w:hint="eastAsia"/>
          <w:szCs w:val="32"/>
          <w:highlight w:val="none"/>
          <w:lang w:val="en-US" w:eastAsia="zh-CN"/>
        </w:rPr>
        <w:t>4.17</w:t>
      </w:r>
      <w:r>
        <w:rPr>
          <w:szCs w:val="32"/>
          <w:highlight w:val="none"/>
        </w:rPr>
        <w:t>%，主要</w:t>
      </w:r>
      <w:r>
        <w:rPr>
          <w:rFonts w:hint="eastAsia"/>
          <w:szCs w:val="32"/>
          <w:highlight w:val="none"/>
          <w:lang w:val="en-US" w:eastAsia="zh-CN"/>
        </w:rPr>
        <w:t>用于缴纳职工住房公积金</w:t>
      </w:r>
      <w:r>
        <w:rPr>
          <w:szCs w:val="32"/>
          <w:highlight w:val="none"/>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rPr>
        <w:t>19.6</w:t>
      </w:r>
      <w:r>
        <w:rPr>
          <w:rFonts w:hint="eastAsia"/>
          <w:szCs w:val="32"/>
          <w:lang w:val="en-US" w:eastAsia="zh-CN"/>
        </w:rPr>
        <w:t>6</w:t>
      </w:r>
      <w:r>
        <w:rPr>
          <w:szCs w:val="32"/>
        </w:rPr>
        <w:t>万元，其中：</w:t>
      </w:r>
    </w:p>
    <w:p>
      <w:pPr>
        <w:ind w:firstLine="640" w:firstLineChars="200"/>
        <w:rPr>
          <w:kern w:val="0"/>
          <w:szCs w:val="32"/>
        </w:rPr>
      </w:pPr>
      <w:r>
        <w:rPr>
          <w:szCs w:val="32"/>
        </w:rPr>
        <w:t>人员经费</w:t>
      </w:r>
      <w:r>
        <w:rPr>
          <w:rFonts w:hint="eastAsia"/>
          <w:szCs w:val="32"/>
          <w:highlight w:val="none"/>
        </w:rPr>
        <w:t>16.5</w:t>
      </w:r>
      <w:r>
        <w:rPr>
          <w:rFonts w:hint="eastAsia"/>
          <w:szCs w:val="32"/>
          <w:highlight w:val="none"/>
          <w:lang w:val="en-US" w:eastAsia="zh-CN"/>
        </w:rPr>
        <w:t>6</w:t>
      </w:r>
      <w:r>
        <w:rPr>
          <w:szCs w:val="32"/>
        </w:rPr>
        <w:t>万元，主要包括：</w:t>
      </w:r>
      <w:r>
        <w:rPr>
          <w:kern w:val="0"/>
          <w:szCs w:val="32"/>
        </w:rPr>
        <w:t>基本工资、津贴补贴</w:t>
      </w:r>
      <w:r>
        <w:rPr>
          <w:szCs w:val="32"/>
        </w:rPr>
        <w:t>、</w:t>
      </w:r>
      <w:r>
        <w:rPr>
          <w:kern w:val="0"/>
          <w:szCs w:val="32"/>
        </w:rPr>
        <w:t>奖金</w:t>
      </w:r>
      <w:r>
        <w:rPr>
          <w:szCs w:val="32"/>
        </w:rPr>
        <w:t>、</w:t>
      </w:r>
      <w:r>
        <w:rPr>
          <w:rFonts w:hint="eastAsia"/>
          <w:kern w:val="0"/>
          <w:szCs w:val="32"/>
        </w:rPr>
        <w:t>机关事业单位基本养老保险缴费</w:t>
      </w:r>
      <w:r>
        <w:rPr>
          <w:szCs w:val="32"/>
        </w:rPr>
        <w:t>、</w:t>
      </w:r>
      <w:r>
        <w:rPr>
          <w:rFonts w:hint="eastAsia"/>
          <w:szCs w:val="32"/>
        </w:rPr>
        <w:t>职工基本医疗保险缴费</w:t>
      </w:r>
      <w:r>
        <w:rPr>
          <w:rFonts w:hint="eastAsia"/>
          <w:szCs w:val="32"/>
          <w:lang w:eastAsia="zh-CN"/>
        </w:rPr>
        <w:t>、　公务员医疗补助缴费、其他社会保障缴费、</w:t>
      </w:r>
      <w:r>
        <w:rPr>
          <w:kern w:val="0"/>
          <w:szCs w:val="32"/>
        </w:rPr>
        <w:t>住房公积金</w:t>
      </w:r>
      <w:r>
        <w:rPr>
          <w:szCs w:val="32"/>
        </w:rPr>
        <w:t>、</w:t>
      </w:r>
      <w:r>
        <w:rPr>
          <w:rFonts w:hint="eastAsia"/>
          <w:kern w:val="0"/>
          <w:szCs w:val="32"/>
        </w:rPr>
        <w:t>医疗费</w:t>
      </w:r>
      <w:r>
        <w:rPr>
          <w:szCs w:val="32"/>
        </w:rPr>
        <w:t>、</w:t>
      </w:r>
      <w:r>
        <w:rPr>
          <w:rFonts w:hint="eastAsia"/>
          <w:szCs w:val="32"/>
        </w:rPr>
        <w:t>其他工资福利支出</w:t>
      </w:r>
      <w:r>
        <w:rPr>
          <w:rFonts w:hint="eastAsia"/>
          <w:szCs w:val="32"/>
          <w:lang w:eastAsia="zh-CN"/>
        </w:rPr>
        <w:t>、退休费、</w:t>
      </w:r>
      <w:r>
        <w:rPr>
          <w:kern w:val="0"/>
          <w:szCs w:val="32"/>
        </w:rPr>
        <w:t>其他对个人和家庭的补助。</w:t>
      </w:r>
    </w:p>
    <w:p>
      <w:pPr>
        <w:ind w:firstLine="640" w:firstLineChars="200"/>
        <w:rPr>
          <w:rFonts w:eastAsia="黑体"/>
          <w:szCs w:val="30"/>
        </w:rPr>
      </w:pPr>
      <w:r>
        <w:rPr>
          <w:kern w:val="0"/>
          <w:szCs w:val="32"/>
        </w:rPr>
        <w:t>公用经费</w:t>
      </w:r>
      <w:r>
        <w:rPr>
          <w:rFonts w:hint="eastAsia"/>
          <w:szCs w:val="32"/>
        </w:rPr>
        <w:t>3.1</w:t>
      </w:r>
      <w:r>
        <w:rPr>
          <w:szCs w:val="32"/>
        </w:rPr>
        <w:t>万元，主要包括：</w:t>
      </w:r>
      <w:r>
        <w:rPr>
          <w:kern w:val="0"/>
          <w:szCs w:val="32"/>
        </w:rPr>
        <w:t>办公费</w:t>
      </w:r>
      <w:r>
        <w:rPr>
          <w:szCs w:val="32"/>
        </w:rPr>
        <w:t>、</w:t>
      </w:r>
      <w:r>
        <w:rPr>
          <w:kern w:val="0"/>
          <w:szCs w:val="32"/>
        </w:rPr>
        <w:t>工会经费、福利费</w:t>
      </w:r>
      <w:r>
        <w:rPr>
          <w:szCs w:val="32"/>
        </w:rPr>
        <w:t>、</w:t>
      </w:r>
      <w:r>
        <w:rPr>
          <w:kern w:val="0"/>
          <w:szCs w:val="32"/>
        </w:rPr>
        <w:t>其他交通补助</w:t>
      </w:r>
      <w:r>
        <w:rPr>
          <w:szCs w:val="32"/>
        </w:rPr>
        <w:t>、</w:t>
      </w:r>
      <w:r>
        <w:rPr>
          <w:kern w:val="0"/>
          <w:szCs w:val="32"/>
        </w:rPr>
        <w:t>其他商品和服务支出。</w:t>
      </w:r>
      <w:r>
        <w:rPr>
          <w:rFonts w:eastAsia="楷体"/>
          <w:szCs w:val="32"/>
        </w:rPr>
        <w:br w:type="page"/>
      </w:r>
      <w:r>
        <w:rPr>
          <w:rFonts w:hint="eastAsia" w:eastAsia="楷体"/>
          <w:szCs w:val="32"/>
          <w:lang w:val="en-US" w:eastAsia="zh-CN"/>
        </w:rPr>
        <w:t xml:space="preserve">    </w:t>
      </w: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rFonts w:hint="default" w:eastAsia="仿宋_GB2312"/>
          <w:szCs w:val="32"/>
          <w:lang w:val="en-US" w:eastAsia="zh-CN"/>
        </w:rPr>
      </w:pPr>
      <w:r>
        <w:rPr>
          <w:rFonts w:hint="eastAsia"/>
          <w:szCs w:val="32"/>
          <w:lang w:val="en-US" w:eastAsia="zh-CN"/>
        </w:rPr>
        <w:t>本单位无一般公共预算拨款。</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rPr>
          <w:rFonts w:eastAsia="楷体"/>
          <w:szCs w:val="32"/>
        </w:rPr>
      </w:pPr>
      <w:r>
        <w:rPr>
          <w:rFonts w:hint="eastAsia"/>
          <w:szCs w:val="32"/>
          <w:lang w:val="en-US" w:eastAsia="zh-CN"/>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rPr>
          <w:rFonts w:eastAsia="楷体"/>
          <w:szCs w:val="32"/>
        </w:rPr>
      </w:pPr>
      <w:r>
        <w:rPr>
          <w:rFonts w:hint="eastAsia"/>
          <w:szCs w:val="32"/>
          <w:lang w:val="en-US" w:eastAsia="zh-CN"/>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本</w:t>
      </w:r>
      <w:r>
        <w:rPr>
          <w:szCs w:val="32"/>
        </w:rPr>
        <w:t>单位的机关运行经费财政拨款预算</w:t>
      </w:r>
      <w:r>
        <w:rPr>
          <w:rFonts w:hint="eastAsia"/>
          <w:szCs w:val="32"/>
          <w:lang w:val="en-US" w:eastAsia="zh-CN"/>
        </w:rPr>
        <w:t>3.1</w:t>
      </w:r>
      <w:r>
        <w:rPr>
          <w:szCs w:val="32"/>
        </w:rPr>
        <w:t>万元，比20</w:t>
      </w:r>
      <w:r>
        <w:rPr>
          <w:rFonts w:hint="eastAsia"/>
          <w:szCs w:val="32"/>
        </w:rPr>
        <w:t>2</w:t>
      </w:r>
      <w:r>
        <w:rPr>
          <w:rFonts w:hint="eastAsia"/>
          <w:szCs w:val="32"/>
          <w:lang w:val="en-US" w:eastAsia="zh-CN"/>
        </w:rPr>
        <w:t>3</w:t>
      </w:r>
      <w:r>
        <w:rPr>
          <w:szCs w:val="32"/>
        </w:rPr>
        <w:t>年预算增加</w:t>
      </w:r>
      <w:r>
        <w:rPr>
          <w:rFonts w:hint="eastAsia"/>
          <w:szCs w:val="32"/>
          <w:lang w:val="en-US" w:eastAsia="zh-CN"/>
        </w:rPr>
        <w:t>2.64</w:t>
      </w:r>
      <w:r>
        <w:rPr>
          <w:szCs w:val="32"/>
        </w:rPr>
        <w:t>万元，增长</w:t>
      </w:r>
      <w:r>
        <w:rPr>
          <w:rFonts w:hint="eastAsia"/>
          <w:szCs w:val="32"/>
          <w:lang w:val="en-US" w:eastAsia="zh-CN"/>
        </w:rPr>
        <w:t>574.9</w:t>
      </w:r>
      <w:r>
        <w:rPr>
          <w:szCs w:val="32"/>
        </w:rPr>
        <w:t>%</w:t>
      </w:r>
      <w:r>
        <w:rPr>
          <w:rFonts w:hint="eastAsia"/>
          <w:szCs w:val="32"/>
        </w:rPr>
        <w:t>，主要原因是</w:t>
      </w:r>
      <w:r>
        <w:rPr>
          <w:rFonts w:hint="eastAsia"/>
          <w:szCs w:val="32"/>
          <w:lang w:val="en-US" w:eastAsia="zh-CN"/>
        </w:rPr>
        <w:t>上年度无在职人员，本年度新招录一名公务员，公用经费相应增加</w:t>
      </w:r>
      <w:r>
        <w:rPr>
          <w:szCs w:val="32"/>
        </w:rPr>
        <w:t>。</w:t>
      </w:r>
    </w:p>
    <w:p>
      <w:pPr>
        <w:spacing w:line="540" w:lineRule="exact"/>
        <w:ind w:firstLine="640" w:firstLineChars="200"/>
        <w:rPr>
          <w:rFonts w:eastAsia="楷体"/>
          <w:szCs w:val="32"/>
        </w:rPr>
      </w:pPr>
      <w:r>
        <w:rPr>
          <w:rFonts w:eastAsia="楷体"/>
          <w:szCs w:val="32"/>
        </w:rPr>
        <w:t>（二）政府采购情况</w:t>
      </w:r>
    </w:p>
    <w:p>
      <w:pPr>
        <w:ind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本单位无政府采购预算。</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lang w:val="en-US" w:eastAsia="zh-CN"/>
        </w:rPr>
        <w:t>本单位无国有资产占有使用情况。</w:t>
      </w:r>
    </w:p>
    <w:p>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pPr>
        <w:ind w:firstLine="640" w:firstLineChars="200"/>
      </w:pPr>
      <w:r>
        <w:rPr>
          <w:rFonts w:hint="eastAsia" w:ascii="仿宋_GB2312" w:hAnsi="仿宋_GB2312" w:eastAsia="仿宋_GB2312" w:cs="仿宋_GB2312"/>
          <w:sz w:val="32"/>
          <w:szCs w:val="32"/>
          <w:lang w:val="en-US" w:eastAsia="zh-CN"/>
        </w:rPr>
        <w:t>本单位无项目支出拨款。</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szCs w:val="32"/>
        </w:rPr>
      </w:pPr>
      <w:r>
        <w:rPr>
          <w:rFonts w:hint="eastAsia" w:ascii="宋体" w:hAnsi="宋体"/>
          <w:lang w:val="en-US" w:eastAsia="zh-CN"/>
        </w:rPr>
        <w:t>本单位无项目支出拨款</w:t>
      </w:r>
      <w:r>
        <w:rPr>
          <w:rFonts w:hint="eastAsia" w:ascii="宋体" w:hAnsi="宋体"/>
        </w:rPr>
        <w:t>。</w:t>
      </w: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val="en-US"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239C6"/>
    <w:multiLevelType w:val="singleLevel"/>
    <w:tmpl w:val="E9F239C6"/>
    <w:lvl w:ilvl="0" w:tentative="0">
      <w:start w:val="1"/>
      <w:numFmt w:val="decimal"/>
      <w:suff w:val="nothing"/>
      <w:lvlText w:val="%1、"/>
      <w:lvlJc w:val="left"/>
      <w:pPr>
        <w:ind w:left="420" w:leftChars="0" w:firstLine="0" w:firstLineChars="0"/>
      </w:p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ZjViNmY4MTdmNmY3NDVhZmY0MTNjNDU4ZTExNTI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02588"/>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0365AE"/>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926B19"/>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540796"/>
    <w:rsid w:val="1F857EA5"/>
    <w:rsid w:val="1FED47E9"/>
    <w:rsid w:val="206816AC"/>
    <w:rsid w:val="21134335"/>
    <w:rsid w:val="226E581D"/>
    <w:rsid w:val="22A4003E"/>
    <w:rsid w:val="22D45398"/>
    <w:rsid w:val="23135C25"/>
    <w:rsid w:val="23C859E9"/>
    <w:rsid w:val="23EC61F6"/>
    <w:rsid w:val="244C543C"/>
    <w:rsid w:val="24624768"/>
    <w:rsid w:val="24BB7FDA"/>
    <w:rsid w:val="259B5BC5"/>
    <w:rsid w:val="25F62C4E"/>
    <w:rsid w:val="26643D6C"/>
    <w:rsid w:val="26FE109D"/>
    <w:rsid w:val="27073E1E"/>
    <w:rsid w:val="27B04AB3"/>
    <w:rsid w:val="282C3BA1"/>
    <w:rsid w:val="28A63332"/>
    <w:rsid w:val="28C96E8E"/>
    <w:rsid w:val="29C45F24"/>
    <w:rsid w:val="2C4209CD"/>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64747B"/>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7F5378"/>
    <w:rsid w:val="3BC92948"/>
    <w:rsid w:val="3BE370D4"/>
    <w:rsid w:val="3BF91F46"/>
    <w:rsid w:val="3C1A026D"/>
    <w:rsid w:val="3C29381E"/>
    <w:rsid w:val="3C711E1D"/>
    <w:rsid w:val="3C7F463D"/>
    <w:rsid w:val="3CAE3960"/>
    <w:rsid w:val="3CEF6494"/>
    <w:rsid w:val="3D365BF6"/>
    <w:rsid w:val="3D7F7007"/>
    <w:rsid w:val="3DB008AA"/>
    <w:rsid w:val="3DF23324"/>
    <w:rsid w:val="3EA14040"/>
    <w:rsid w:val="3EE8108D"/>
    <w:rsid w:val="3F3716A1"/>
    <w:rsid w:val="3F8201A3"/>
    <w:rsid w:val="3FA53AE5"/>
    <w:rsid w:val="402675EA"/>
    <w:rsid w:val="40520D87"/>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82379A"/>
    <w:rsid w:val="48B540F2"/>
    <w:rsid w:val="493F6F72"/>
    <w:rsid w:val="49645F71"/>
    <w:rsid w:val="499F5C68"/>
    <w:rsid w:val="4A52465C"/>
    <w:rsid w:val="4A5C4AC6"/>
    <w:rsid w:val="4A662FBF"/>
    <w:rsid w:val="4AB95907"/>
    <w:rsid w:val="4AF16062"/>
    <w:rsid w:val="4B0A57E5"/>
    <w:rsid w:val="4B18465C"/>
    <w:rsid w:val="4B646DDD"/>
    <w:rsid w:val="4B7F44F8"/>
    <w:rsid w:val="4B983D0E"/>
    <w:rsid w:val="4BAC24C5"/>
    <w:rsid w:val="4BFA0656"/>
    <w:rsid w:val="4D232DBE"/>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283090"/>
    <w:rsid w:val="614125C2"/>
    <w:rsid w:val="61AA1D1F"/>
    <w:rsid w:val="624C5C52"/>
    <w:rsid w:val="63316BFD"/>
    <w:rsid w:val="63DF08E4"/>
    <w:rsid w:val="64424A7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9F94B1C"/>
    <w:rsid w:val="6A5B6D7D"/>
    <w:rsid w:val="6A765FBC"/>
    <w:rsid w:val="6A80735F"/>
    <w:rsid w:val="6AC17181"/>
    <w:rsid w:val="6ACC5E47"/>
    <w:rsid w:val="6AD43ED1"/>
    <w:rsid w:val="6B11024D"/>
    <w:rsid w:val="6B7D5B36"/>
    <w:rsid w:val="6C834DAA"/>
    <w:rsid w:val="6C993CCE"/>
    <w:rsid w:val="6CF120A8"/>
    <w:rsid w:val="6D72413D"/>
    <w:rsid w:val="6DD7769F"/>
    <w:rsid w:val="6E9D47A1"/>
    <w:rsid w:val="6FF50B81"/>
    <w:rsid w:val="70166DFC"/>
    <w:rsid w:val="70330B9C"/>
    <w:rsid w:val="714213DD"/>
    <w:rsid w:val="717F272E"/>
    <w:rsid w:val="72783A23"/>
    <w:rsid w:val="728027C6"/>
    <w:rsid w:val="73992AC3"/>
    <w:rsid w:val="73D62FA6"/>
    <w:rsid w:val="73FE7ACC"/>
    <w:rsid w:val="74556746"/>
    <w:rsid w:val="74743258"/>
    <w:rsid w:val="761B13C4"/>
    <w:rsid w:val="764B6A8A"/>
    <w:rsid w:val="76C17E06"/>
    <w:rsid w:val="76CA67BD"/>
    <w:rsid w:val="774E6400"/>
    <w:rsid w:val="775B0046"/>
    <w:rsid w:val="776B2B9D"/>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 w:val="7E2670D6"/>
    <w:rsid w:val="7EBB57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uiPriority w:val="0"/>
    <w:pPr>
      <w:widowControl/>
    </w:pPr>
    <w:rPr>
      <w:rFonts w:eastAsia="宋体"/>
      <w:kern w:val="0"/>
      <w:szCs w:val="32"/>
    </w:rPr>
  </w:style>
  <w:style w:type="paragraph" w:customStyle="1" w:styleId="49">
    <w:name w:val="页脚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4499</Words>
  <Characters>5341</Characters>
  <Lines>71</Lines>
  <Paragraphs>20</Paragraphs>
  <TotalTime>3</TotalTime>
  <ScaleCrop>false</ScaleCrop>
  <LinksUpToDate>false</LinksUpToDate>
  <CharactersWithSpaces>6061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zhang</cp:lastModifiedBy>
  <cp:lastPrinted>2024-01-23T03:39:00Z</cp:lastPrinted>
  <dcterms:modified xsi:type="dcterms:W3CDTF">2024-02-26T02:11:48Z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2778DE0D3D1747E5A61F757C22D63E49_13</vt:lpwstr>
  </property>
</Properties>
</file>