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eastAsia="zh-CN"/>
        </w:rPr>
        <w:t>吉林市统计局</w:t>
      </w:r>
      <w:r>
        <w:rPr>
          <w:rFonts w:eastAsia="方正小标宋简体"/>
          <w:sz w:val="44"/>
          <w:szCs w:val="44"/>
          <w:u w:val="none"/>
        </w:rPr>
        <w:t>（</w:t>
      </w:r>
      <w:r>
        <w:rPr>
          <w:rFonts w:hint="eastAsia" w:eastAsia="方正小标宋简体"/>
          <w:sz w:val="44"/>
          <w:szCs w:val="44"/>
          <w:u w:val="none"/>
          <w:lang w:eastAsia="zh-CN"/>
        </w:rPr>
        <w:t>本级</w:t>
      </w:r>
      <w:r>
        <w:rPr>
          <w:rFonts w:eastAsia="方正小标宋简体"/>
          <w:sz w:val="44"/>
          <w:szCs w:val="44"/>
          <w:u w:val="none"/>
        </w:rPr>
        <w:t>）</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全省统计系统实行垂直管理，按照省编办批复《关于吉林市统计局主要职责内设机构和人员编制规定的批复》（吉编办〔2009〕127号），设立吉林市统计局，为吉林省统计局直属机构。</w:t>
      </w:r>
    </w:p>
    <w:p>
      <w:pPr>
        <w:ind w:firstLine="640" w:firstLineChars="200"/>
        <w:rPr>
          <w:rFonts w:hint="eastAsia"/>
          <w:color w:val="000000"/>
          <w:szCs w:val="32"/>
        </w:rPr>
      </w:pPr>
      <w:r>
        <w:rPr>
          <w:rFonts w:hint="eastAsia"/>
          <w:color w:val="000000"/>
          <w:szCs w:val="32"/>
        </w:rPr>
        <w:t>（一）贯彻执行国家统计方针、政策和法律、法规，制定全市统计规划以及统计调查计划；监察检查统计法律、法规的实施。组织领导全市统计工作，承担确保统计数据真实、准确、及时的责任。</w:t>
      </w:r>
    </w:p>
    <w:p>
      <w:pPr>
        <w:ind w:firstLine="640" w:firstLineChars="200"/>
        <w:rPr>
          <w:rFonts w:hint="eastAsia"/>
          <w:color w:val="000000"/>
          <w:szCs w:val="32"/>
        </w:rPr>
      </w:pPr>
      <w:r>
        <w:rPr>
          <w:rFonts w:hint="eastAsia"/>
          <w:color w:val="000000"/>
          <w:szCs w:val="32"/>
        </w:rPr>
        <w:t>（二）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pPr>
        <w:ind w:firstLine="640" w:firstLineChars="200"/>
        <w:rPr>
          <w:rFonts w:hint="eastAsia"/>
          <w:color w:val="000000"/>
          <w:szCs w:val="32"/>
        </w:rPr>
      </w:pPr>
      <w:r>
        <w:rPr>
          <w:rFonts w:hint="eastAsia"/>
          <w:color w:val="000000"/>
          <w:szCs w:val="32"/>
        </w:rPr>
        <w:t>（三）组织实施重大省情省力普查计划；统一组织协调全市社会经济统计调查；汇总全市的统计资料；对国民经济各行业、科技、资料环境和社会发展等情况进行统计分析、统计预测预警和统计监督，向省统计局及市委、市政府和有关部门提供统计信息和咨询建议；收集、整理、提供国家及省和外市（州）的统计资料，并进行对比分析和研究。</w:t>
      </w:r>
    </w:p>
    <w:p>
      <w:pPr>
        <w:ind w:firstLine="640" w:firstLineChars="200"/>
        <w:rPr>
          <w:rFonts w:hint="eastAsia"/>
          <w:color w:val="000000"/>
          <w:szCs w:val="32"/>
        </w:rPr>
      </w:pPr>
      <w:r>
        <w:rPr>
          <w:rFonts w:hint="eastAsia"/>
          <w:color w:val="000000"/>
          <w:szCs w:val="32"/>
        </w:rPr>
        <w:t>（四）统一核定、管理、公布全市基本统计资料，定期向社会公布全市国民经济和社会发展情况的统计信息。</w:t>
      </w:r>
    </w:p>
    <w:p>
      <w:pPr>
        <w:ind w:firstLine="640" w:firstLineChars="200"/>
        <w:rPr>
          <w:rFonts w:hint="eastAsia"/>
          <w:color w:val="000000"/>
          <w:szCs w:val="32"/>
        </w:rPr>
      </w:pPr>
      <w:r>
        <w:rPr>
          <w:rFonts w:hint="eastAsia"/>
          <w:color w:val="000000"/>
          <w:szCs w:val="32"/>
        </w:rPr>
        <w:t>（五）建立、完善和管理全市统计信息化系统和统计数据体系；组织指导各县（市、区）统计信息化网络和数据库系统建设。</w:t>
      </w:r>
    </w:p>
    <w:p>
      <w:pPr>
        <w:ind w:firstLine="640" w:firstLineChars="200"/>
        <w:rPr>
          <w:rFonts w:hint="eastAsia"/>
          <w:color w:val="000000"/>
          <w:szCs w:val="32"/>
        </w:rPr>
      </w:pPr>
      <w:r>
        <w:rPr>
          <w:rFonts w:hint="eastAsia"/>
          <w:color w:val="000000"/>
          <w:szCs w:val="32"/>
        </w:rPr>
        <w:t>（六）依法管理全市统计调查项目和统计标准，指导专业统计基础工作、统计基层业务基础建设；建立健全统计数据质量审核、监控和评估制度，负责重要统计数据的审核、监控和评估，依法监督管理涉外调查活动。</w:t>
      </w:r>
    </w:p>
    <w:p>
      <w:pPr>
        <w:ind w:firstLine="640" w:firstLineChars="200"/>
        <w:rPr>
          <w:rFonts w:hint="eastAsia"/>
          <w:color w:val="000000"/>
          <w:szCs w:val="32"/>
        </w:rPr>
      </w:pPr>
      <w:r>
        <w:rPr>
          <w:rFonts w:hint="eastAsia"/>
          <w:color w:val="000000"/>
          <w:szCs w:val="32"/>
        </w:rPr>
        <w:t>（七）负责全市统计系统的干部人事、劳动工资、机构编制和财务经费、审计监督及资产设施管理。</w:t>
      </w:r>
    </w:p>
    <w:p>
      <w:pPr>
        <w:ind w:firstLine="640" w:firstLineChars="200"/>
        <w:rPr>
          <w:rFonts w:hint="eastAsia"/>
          <w:color w:val="000000"/>
          <w:szCs w:val="32"/>
        </w:rPr>
      </w:pPr>
      <w:r>
        <w:rPr>
          <w:rFonts w:hint="eastAsia"/>
          <w:color w:val="000000"/>
          <w:szCs w:val="32"/>
        </w:rPr>
        <w:t>（八）领导局属事业单位。</w:t>
      </w:r>
    </w:p>
    <w:p>
      <w:pPr>
        <w:ind w:firstLine="640" w:firstLineChars="200"/>
        <w:rPr>
          <w:color w:val="000000"/>
          <w:sz w:val="21"/>
          <w:szCs w:val="21"/>
        </w:rPr>
      </w:pPr>
      <w:r>
        <w:rPr>
          <w:rFonts w:hint="eastAsia"/>
          <w:color w:val="000000"/>
          <w:szCs w:val="32"/>
        </w:rPr>
        <w:t>（九）承办省统计局和市政府交办的其他事项。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hint="eastAsia" w:eastAsia="仿宋_GB2312"/>
        </w:rPr>
        <w:t>根据上述职能，市统计局设11个内设机构，又根据省编办《统计系统增加能源统计机构的批复》（吉编行字〔2012〕46号），设立工业交通统计处（科），加挂能源统计处（科）牌子，故市统计局共12个内设机构：（一）办公室、（二）法规处（行政审批办公室）、（三）国民经济综合统计处、（四）国民经济核算处、（五）工业交通统计处、（六）固定资产投资统计处、（七）贸易与服务业统计处、（八）人口与就业统计处、（九）社会科技统计处、（十）农业统计处、（十一）人事处、（十二）能源统计处，另加机关党委、监察室。</w:t>
      </w:r>
    </w:p>
    <w:p>
      <w:pPr>
        <w:pStyle w:val="48"/>
        <w:ind w:firstLine="640" w:firstLineChars="200"/>
        <w:rPr>
          <w:rFonts w:eastAsia="楷体"/>
        </w:rPr>
      </w:pPr>
      <w:r>
        <w:rPr>
          <w:rFonts w:hint="eastAsia" w:eastAsia="仿宋_GB2312"/>
        </w:rPr>
        <w:t>无下设预算单位</w:t>
      </w:r>
      <w:r>
        <w:rPr>
          <w:rFonts w:eastAsia="仿宋_GB2312"/>
        </w:rPr>
        <w:t>。</w:t>
      </w: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pStyle w:val="48"/>
        <w:rPr>
          <w:rFonts w:hAnsi="楷体" w:eastAsia="楷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1142.94</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1089.74</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r>
              <w:rPr>
                <w:rFonts w:hint="eastAsia" w:eastAsia="宋体"/>
                <w:color w:val="000000"/>
                <w:kern w:val="0"/>
                <w:sz w:val="20"/>
              </w:rPr>
              <w:t>825.91</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807.19</w:t>
            </w: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18.72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1142.94</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1089.74</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53.20</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eastAsia="宋体"/>
                <w:color w:val="000000"/>
                <w:kern w:val="0"/>
                <w:sz w:val="20"/>
                <w:lang w:val="en-US" w:eastAsia="zh-CN"/>
              </w:rPr>
            </w:pPr>
            <w:r>
              <w:rPr>
                <w:rFonts w:hint="eastAsia" w:eastAsia="宋体"/>
                <w:color w:val="000000"/>
                <w:kern w:val="0"/>
                <w:sz w:val="20"/>
              </w:rPr>
              <w:t>194.5</w:t>
            </w:r>
            <w:r>
              <w:rPr>
                <w:rFonts w:hint="eastAsia" w:eastAsia="宋体"/>
                <w:color w:val="000000"/>
                <w:kern w:val="0"/>
                <w:sz w:val="20"/>
                <w:lang w:val="en-US" w:eastAsia="zh-CN"/>
              </w:rPr>
              <w:t>0</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164.46</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30.04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eastAsia="宋体"/>
                <w:color w:val="000000"/>
                <w:kern w:val="0"/>
                <w:sz w:val="20"/>
              </w:rPr>
            </w:pPr>
            <w:r>
              <w:rPr>
                <w:rFonts w:hint="eastAsia" w:eastAsia="宋体"/>
                <w:color w:val="000000"/>
                <w:kern w:val="0"/>
                <w:sz w:val="20"/>
              </w:rPr>
              <w:t>48.91</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48.91</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sz w:val="20"/>
                <w:lang w:eastAsia="zh-CN"/>
              </w:rPr>
              <w:t>四</w:t>
            </w:r>
            <w:r>
              <w:rPr>
                <w:rFonts w:eastAsia="宋体"/>
                <w:color w:val="000000"/>
                <w:sz w:val="20"/>
              </w:rPr>
              <w:t>、</w:t>
            </w:r>
            <w:r>
              <w:rPr>
                <w:rFonts w:hint="eastAsia" w:eastAsia="宋体"/>
                <w:color w:val="00000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eastAsia="宋体"/>
                <w:color w:val="000000"/>
                <w:kern w:val="0"/>
                <w:sz w:val="20"/>
              </w:rPr>
            </w:pPr>
            <w:r>
              <w:rPr>
                <w:rFonts w:hint="eastAsia" w:eastAsia="宋体"/>
                <w:color w:val="000000"/>
                <w:kern w:val="0"/>
                <w:sz w:val="20"/>
              </w:rPr>
              <w:t>73.62</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69.18</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4.44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1142.94</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1089.74</w:t>
            </w:r>
          </w:p>
        </w:tc>
        <w:tc>
          <w:tcPr>
            <w:tcW w:w="1134"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lang w:val="en-US" w:eastAsia="zh-CN"/>
              </w:rPr>
            </w:pPr>
            <w:r>
              <w:rPr>
                <w:rFonts w:hint="eastAsia" w:eastAsia="宋体"/>
                <w:kern w:val="0"/>
                <w:sz w:val="20"/>
              </w:rPr>
              <w:t>53.2</w:t>
            </w:r>
            <w:r>
              <w:rPr>
                <w:rFonts w:hint="eastAsia" w:eastAsia="宋体"/>
                <w:kern w:val="0"/>
                <w:sz w:val="20"/>
                <w:lang w:val="en-US" w:eastAsia="zh-CN"/>
              </w:rPr>
              <w:t>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b/>
                <w:bCs/>
                <w:kern w:val="0"/>
                <w:sz w:val="20"/>
              </w:rPr>
            </w:pPr>
            <w:r>
              <w:rPr>
                <w:rFonts w:hint="eastAsia" w:eastAsia="宋体"/>
                <w:kern w:val="0"/>
                <w:sz w:val="20"/>
              </w:rPr>
              <w:t>1142.94</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1089.74</w:t>
            </w: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53.2</w:t>
            </w:r>
            <w:r>
              <w:rPr>
                <w:rFonts w:hint="eastAsia" w:eastAsia="宋体"/>
                <w:kern w:val="0"/>
                <w:sz w:val="20"/>
                <w:lang w:val="en-US" w:eastAsia="zh-CN"/>
              </w:rPr>
              <w:t>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1142.94</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1089.74</w:t>
            </w:r>
          </w:p>
        </w:tc>
        <w:tc>
          <w:tcPr>
            <w:tcW w:w="1134"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lang w:val="en-US" w:eastAsia="zh-CN"/>
              </w:rPr>
            </w:pPr>
            <w:r>
              <w:rPr>
                <w:rFonts w:hint="eastAsia" w:eastAsia="宋体"/>
                <w:kern w:val="0"/>
                <w:sz w:val="20"/>
              </w:rPr>
              <w:t>53.2</w:t>
            </w:r>
            <w:r>
              <w:rPr>
                <w:rFonts w:hint="eastAsia" w:eastAsia="宋体"/>
                <w:kern w:val="0"/>
                <w:sz w:val="20"/>
                <w:lang w:val="en-US" w:eastAsia="zh-CN"/>
              </w:rPr>
              <w:t>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1142.94</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1089.74</w:t>
            </w: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53.2</w:t>
            </w:r>
            <w:r>
              <w:rPr>
                <w:rFonts w:hint="eastAsia" w:eastAsia="宋体"/>
                <w:kern w:val="0"/>
                <w:sz w:val="20"/>
                <w:lang w:val="en-US" w:eastAsia="zh-CN"/>
              </w:rPr>
              <w:t>0</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617" w:type="dxa"/>
        <w:jc w:val="center"/>
        <w:tblLayout w:type="fixed"/>
        <w:tblCellMar>
          <w:top w:w="0" w:type="dxa"/>
          <w:left w:w="108" w:type="dxa"/>
          <w:bottom w:w="0" w:type="dxa"/>
          <w:right w:w="108" w:type="dxa"/>
        </w:tblCellMar>
      </w:tblPr>
      <w:tblGrid>
        <w:gridCol w:w="1382"/>
        <w:gridCol w:w="897"/>
        <w:gridCol w:w="931"/>
        <w:gridCol w:w="973"/>
        <w:gridCol w:w="402"/>
        <w:gridCol w:w="362"/>
        <w:gridCol w:w="403"/>
        <w:gridCol w:w="362"/>
        <w:gridCol w:w="404"/>
        <w:gridCol w:w="403"/>
        <w:gridCol w:w="424"/>
        <w:gridCol w:w="435"/>
        <w:gridCol w:w="672"/>
        <w:gridCol w:w="659"/>
        <w:gridCol w:w="236"/>
        <w:gridCol w:w="209"/>
        <w:gridCol w:w="445"/>
        <w:gridCol w:w="434"/>
        <w:gridCol w:w="473"/>
        <w:gridCol w:w="111"/>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val="0"/>
            <w:vAlign w:val="top"/>
          </w:tcPr>
          <w:p>
            <w:pPr>
              <w:autoSpaceDN w:val="0"/>
              <w:jc w:val="left"/>
              <w:textAlignment w:val="center"/>
              <w:rPr>
                <w:rFonts w:eastAsia="华文细黑"/>
                <w:color w:val="000000"/>
                <w:sz w:val="20"/>
              </w:rPr>
            </w:pPr>
          </w:p>
        </w:tc>
        <w:tc>
          <w:tcPr>
            <w:tcW w:w="3968" w:type="dxa"/>
            <w:gridSpan w:val="6"/>
            <w:tcBorders>
              <w:bottom w:val="single" w:color="000000" w:sz="4" w:space="0"/>
            </w:tcBorders>
            <w:noWrap w:val="0"/>
            <w:vAlign w:val="center"/>
          </w:tcPr>
          <w:p>
            <w:pPr>
              <w:autoSpaceDN w:val="0"/>
              <w:jc w:val="left"/>
              <w:textAlignment w:val="center"/>
              <w:rPr>
                <w:rFonts w:eastAsia="华文细黑"/>
                <w:color w:val="000000"/>
                <w:sz w:val="20"/>
              </w:rPr>
            </w:pPr>
          </w:p>
        </w:tc>
        <w:tc>
          <w:tcPr>
            <w:tcW w:w="1593" w:type="dxa"/>
            <w:gridSpan w:val="4"/>
            <w:noWrap w:val="0"/>
            <w:vAlign w:val="center"/>
          </w:tcPr>
          <w:p>
            <w:pPr>
              <w:autoSpaceDN w:val="0"/>
              <w:jc w:val="left"/>
              <w:textAlignment w:val="center"/>
              <w:rPr>
                <w:rFonts w:eastAsia="华文细黑"/>
                <w:color w:val="000000"/>
                <w:sz w:val="20"/>
              </w:rPr>
            </w:pPr>
          </w:p>
        </w:tc>
        <w:tc>
          <w:tcPr>
            <w:tcW w:w="435" w:type="dxa"/>
            <w:noWrap w:val="0"/>
            <w:vAlign w:val="center"/>
          </w:tcPr>
          <w:p>
            <w:pPr>
              <w:autoSpaceDN w:val="0"/>
              <w:jc w:val="left"/>
              <w:textAlignment w:val="center"/>
              <w:rPr>
                <w:rFonts w:eastAsia="华文细黑"/>
                <w:color w:val="000000"/>
                <w:sz w:val="20"/>
              </w:rPr>
            </w:pPr>
          </w:p>
        </w:tc>
        <w:tc>
          <w:tcPr>
            <w:tcW w:w="1331"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111" w:type="dxa"/>
          <w:trHeight w:val="517" w:hRule="atLeast"/>
          <w:jc w:val="center"/>
        </w:trPr>
        <w:tc>
          <w:tcPr>
            <w:tcW w:w="138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97"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5099"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128"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111" w:type="dxa"/>
          <w:trHeight w:val="517" w:hRule="atLeast"/>
          <w:jc w:val="center"/>
        </w:trPr>
        <w:tc>
          <w:tcPr>
            <w:tcW w:w="138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97"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931"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737"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403"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028"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72"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49"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07"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111"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97"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93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97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02"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03"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0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5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4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4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3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111"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吉林市统计局（本级）</w:t>
            </w:r>
          </w:p>
        </w:tc>
        <w:tc>
          <w:tcPr>
            <w:tcW w:w="8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r>
              <w:rPr>
                <w:rFonts w:hint="eastAsia" w:eastAsia="宋体"/>
                <w:color w:val="000000"/>
                <w:sz w:val="18"/>
                <w:szCs w:val="18"/>
                <w:shd w:val="clear" w:color="auto" w:fill="FFFFFF"/>
              </w:rPr>
              <w:t>1142.94</w:t>
            </w: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r>
              <w:rPr>
                <w:rFonts w:hint="eastAsia" w:eastAsia="宋体"/>
                <w:color w:val="000000"/>
                <w:sz w:val="18"/>
                <w:szCs w:val="18"/>
                <w:shd w:val="clear" w:color="auto" w:fill="FFFFFF"/>
              </w:rPr>
              <w:t>1089.74</w:t>
            </w:r>
          </w:p>
        </w:tc>
        <w:tc>
          <w:tcPr>
            <w:tcW w:w="9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r>
              <w:rPr>
                <w:rFonts w:hint="eastAsia" w:eastAsia="宋体"/>
                <w:color w:val="000000"/>
                <w:sz w:val="18"/>
                <w:szCs w:val="18"/>
                <w:shd w:val="clear" w:color="auto" w:fill="FFFFFF"/>
              </w:rPr>
              <w:t>1089.74</w:t>
            </w:r>
          </w:p>
        </w:tc>
        <w:tc>
          <w:tcPr>
            <w:tcW w:w="40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40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8"/>
                <w:szCs w:val="18"/>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4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4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18"/>
                <w:szCs w:val="18"/>
                <w:shd w:val="clear" w:color="auto" w:fill="FFFFFF"/>
                <w:lang w:val="en-US" w:eastAsia="zh-CN"/>
              </w:rPr>
            </w:pPr>
            <w:r>
              <w:rPr>
                <w:rFonts w:hint="eastAsia" w:eastAsia="宋体"/>
                <w:color w:val="000000"/>
                <w:sz w:val="18"/>
                <w:szCs w:val="18"/>
                <w:shd w:val="clear" w:color="auto" w:fill="FFFFFF"/>
              </w:rPr>
              <w:t>53.2</w:t>
            </w:r>
            <w:r>
              <w:rPr>
                <w:rFonts w:hint="eastAsia" w:eastAsia="宋体"/>
                <w:color w:val="000000"/>
                <w:sz w:val="18"/>
                <w:szCs w:val="18"/>
                <w:shd w:val="clear" w:color="auto" w:fill="FFFFFF"/>
                <w:lang w:val="en-US" w:eastAsia="zh-CN"/>
              </w:rPr>
              <w:t>0</w:t>
            </w:r>
          </w:p>
        </w:tc>
        <w:tc>
          <w:tcPr>
            <w:tcW w:w="6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18"/>
                <w:szCs w:val="18"/>
                <w:shd w:val="clear" w:color="auto" w:fill="FFFFFF"/>
                <w:lang w:val="en-US" w:eastAsia="zh-CN"/>
              </w:rPr>
            </w:pPr>
            <w:r>
              <w:rPr>
                <w:rFonts w:hint="eastAsia" w:eastAsia="宋体"/>
                <w:color w:val="000000"/>
                <w:sz w:val="18"/>
                <w:szCs w:val="18"/>
                <w:shd w:val="clear" w:color="auto" w:fill="FFFFFF"/>
              </w:rPr>
              <w:t>53.2</w:t>
            </w:r>
            <w:r>
              <w:rPr>
                <w:rFonts w:hint="eastAsia" w:eastAsia="宋体"/>
                <w:color w:val="000000"/>
                <w:sz w:val="18"/>
                <w:szCs w:val="18"/>
                <w:shd w:val="clear" w:color="auto" w:fill="FFFFFF"/>
                <w:lang w:val="en-US" w:eastAsia="zh-CN"/>
              </w:rPr>
              <w:t>0</w:t>
            </w:r>
          </w:p>
        </w:tc>
        <w:tc>
          <w:tcPr>
            <w:tcW w:w="4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11"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11"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11"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11"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r>
              <w:rPr>
                <w:rFonts w:hint="eastAsia" w:eastAsia="宋体"/>
                <w:color w:val="000000"/>
                <w:sz w:val="18"/>
                <w:szCs w:val="18"/>
                <w:shd w:val="clear" w:color="auto" w:fill="FFFFFF"/>
              </w:rPr>
              <w:t>1142.94</w:t>
            </w: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r>
              <w:rPr>
                <w:rFonts w:hint="eastAsia" w:eastAsia="宋体"/>
                <w:color w:val="000000"/>
                <w:sz w:val="18"/>
                <w:szCs w:val="18"/>
                <w:shd w:val="clear" w:color="auto" w:fill="FFFFFF"/>
              </w:rPr>
              <w:t>1089.74</w:t>
            </w:r>
          </w:p>
        </w:tc>
        <w:tc>
          <w:tcPr>
            <w:tcW w:w="9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r>
              <w:rPr>
                <w:rFonts w:hint="eastAsia" w:eastAsia="宋体"/>
                <w:color w:val="000000"/>
                <w:sz w:val="18"/>
                <w:szCs w:val="18"/>
                <w:shd w:val="clear" w:color="auto" w:fill="FFFFFF"/>
              </w:rPr>
              <w:t>1089.74</w:t>
            </w:r>
          </w:p>
        </w:tc>
        <w:tc>
          <w:tcPr>
            <w:tcW w:w="40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p>
        </w:tc>
        <w:tc>
          <w:tcPr>
            <w:tcW w:w="40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p>
        </w:tc>
        <w:tc>
          <w:tcPr>
            <w:tcW w:w="4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p>
        </w:tc>
        <w:tc>
          <w:tcPr>
            <w:tcW w:w="4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8"/>
                <w:szCs w:val="18"/>
                <w:shd w:val="clear" w:color="auto" w:fill="FFFFFF"/>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18"/>
                <w:szCs w:val="18"/>
                <w:shd w:val="clear" w:color="auto" w:fill="FFFFFF"/>
                <w:lang w:val="en-US" w:eastAsia="zh-CN" w:bidi="ar-SA"/>
              </w:rPr>
            </w:pPr>
            <w:r>
              <w:rPr>
                <w:rFonts w:hint="eastAsia" w:eastAsia="宋体"/>
                <w:color w:val="000000"/>
                <w:sz w:val="18"/>
                <w:szCs w:val="18"/>
                <w:shd w:val="clear" w:color="auto" w:fill="FFFFFF"/>
              </w:rPr>
              <w:t>53.2</w:t>
            </w:r>
            <w:r>
              <w:rPr>
                <w:rFonts w:hint="eastAsia" w:eastAsia="宋体"/>
                <w:color w:val="000000"/>
                <w:sz w:val="18"/>
                <w:szCs w:val="18"/>
                <w:shd w:val="clear" w:color="auto" w:fill="FFFFFF"/>
                <w:lang w:val="en-US" w:eastAsia="zh-CN"/>
              </w:rPr>
              <w:t>0</w:t>
            </w:r>
          </w:p>
        </w:tc>
        <w:tc>
          <w:tcPr>
            <w:tcW w:w="6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18"/>
                <w:szCs w:val="18"/>
                <w:shd w:val="clear" w:color="auto" w:fill="FFFFFF"/>
                <w:lang w:val="en-US" w:eastAsia="zh-CN" w:bidi="ar-SA"/>
              </w:rPr>
            </w:pPr>
            <w:r>
              <w:rPr>
                <w:rFonts w:hint="eastAsia" w:eastAsia="宋体"/>
                <w:color w:val="000000"/>
                <w:sz w:val="18"/>
                <w:szCs w:val="18"/>
                <w:shd w:val="clear" w:color="auto" w:fill="FFFFFF"/>
              </w:rPr>
              <w:t>53.2</w:t>
            </w:r>
            <w:r>
              <w:rPr>
                <w:rFonts w:hint="eastAsia" w:eastAsia="宋体"/>
                <w:color w:val="000000"/>
                <w:sz w:val="18"/>
                <w:szCs w:val="18"/>
                <w:shd w:val="clear" w:color="auto" w:fill="FFFFFF"/>
                <w:lang w:val="en-US" w:eastAsia="zh-CN"/>
              </w:rPr>
              <w:t>0</w:t>
            </w:r>
          </w:p>
        </w:tc>
        <w:tc>
          <w:tcPr>
            <w:tcW w:w="4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825.91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652.71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173.2</w:t>
                  </w:r>
                  <w:r>
                    <w:rPr>
                      <w:rFonts w:hint="eastAsia" w:eastAsia="宋体"/>
                      <w:color w:val="000000"/>
                      <w:kern w:val="0"/>
                      <w:sz w:val="20"/>
                      <w:lang w:val="en-US" w:eastAsia="zh-CN"/>
                    </w:rPr>
                    <w:t>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华文细黑"/>
                      <w:color w:val="000000"/>
                      <w:kern w:val="0"/>
                      <w:sz w:val="20"/>
                    </w:rPr>
                  </w:pP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825.91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652.71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173.2</w:t>
                  </w:r>
                  <w:r>
                    <w:rPr>
                      <w:rFonts w:hint="eastAsia" w:eastAsia="宋体"/>
                      <w:color w:val="000000"/>
                      <w:kern w:val="0"/>
                      <w:sz w:val="20"/>
                      <w:lang w:val="en-US" w:eastAsia="zh-CN"/>
                    </w:rPr>
                    <w:t>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652.71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652.71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142.74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142.74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30.46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30.46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194.5</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194.5</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194.5</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194.5</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rPr>
                  </w:pPr>
                  <w:r>
                    <w:rPr>
                      <w:rFonts w:hint="eastAsia" w:eastAsia="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98.64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98.64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95.86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95.86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lang w:eastAsia="zh-CN"/>
                    </w:rPr>
                  </w:pPr>
                  <w:r>
                    <w:rPr>
                      <w:rFonts w:hint="eastAsia" w:eastAsia="宋体"/>
                      <w:color w:val="000000"/>
                      <w:kern w:val="0"/>
                      <w:sz w:val="20"/>
                      <w:lang w:eastAsia="zh-CN"/>
                    </w:rPr>
                    <w:t>三</w:t>
                  </w:r>
                  <w:r>
                    <w:rPr>
                      <w:rFonts w:hint="eastAsia" w:eastAsia="宋体"/>
                      <w:color w:val="000000"/>
                      <w:kern w:val="0"/>
                      <w:sz w:val="20"/>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48.91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48.91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49"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华文细黑"/>
                      <w:color w:val="000000"/>
                      <w:kern w:val="0"/>
                      <w:sz w:val="20"/>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48.91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48.91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48.91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48.91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rPr>
                  </w:pPr>
                  <w:r>
                    <w:rPr>
                      <w:rFonts w:hint="eastAsia"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1142.94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969.74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173.2</w:t>
                  </w:r>
                  <w:r>
                    <w:rPr>
                      <w:rFonts w:hint="eastAsia" w:eastAsia="宋体"/>
                      <w:color w:val="000000"/>
                      <w:kern w:val="0"/>
                      <w:sz w:val="20"/>
                      <w:lang w:val="en-US" w:eastAsia="zh-CN"/>
                    </w:rPr>
                    <w:t>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65"/>
              <w:gridCol w:w="1057"/>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46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57"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1142.94</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1089.74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53.2</w:t>
                  </w:r>
                  <w:r>
                    <w:rPr>
                      <w:rFonts w:hint="eastAsia" w:eastAsia="宋体"/>
                      <w:kern w:val="0"/>
                      <w:sz w:val="20"/>
                      <w:lang w:val="en-US" w:eastAsia="zh-CN"/>
                    </w:rPr>
                    <w:t>0</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1142.94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1089.74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szCs w:val="22"/>
                      <w:lang w:val="en-US" w:eastAsia="zh-CN"/>
                    </w:rPr>
                  </w:pPr>
                  <w:r>
                    <w:rPr>
                      <w:rFonts w:hint="eastAsia" w:eastAsia="宋体"/>
                      <w:kern w:val="0"/>
                      <w:sz w:val="20"/>
                      <w:szCs w:val="22"/>
                    </w:rPr>
                    <w:t>53.2</w:t>
                  </w:r>
                  <w:r>
                    <w:rPr>
                      <w:rFonts w:hint="eastAsia" w:eastAsia="宋体"/>
                      <w:kern w:val="0"/>
                      <w:sz w:val="20"/>
                      <w:szCs w:val="22"/>
                      <w:lang w:val="en-US" w:eastAsia="zh-CN"/>
                    </w:rPr>
                    <w:t>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1142.94</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1089.74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eastAsia="宋体"/>
                      <w:kern w:val="0"/>
                      <w:sz w:val="20"/>
                      <w:lang w:val="en-US" w:eastAsia="zh-CN"/>
                    </w:rPr>
                  </w:pPr>
                  <w:r>
                    <w:rPr>
                      <w:rFonts w:hint="eastAsia" w:eastAsia="宋体"/>
                      <w:kern w:val="0"/>
                      <w:sz w:val="20"/>
                    </w:rPr>
                    <w:t>53.2</w:t>
                  </w:r>
                  <w:r>
                    <w:rPr>
                      <w:rFonts w:hint="eastAsia" w:eastAsia="宋体"/>
                      <w:kern w:val="0"/>
                      <w:sz w:val="20"/>
                      <w:lang w:val="en-US" w:eastAsia="zh-CN"/>
                    </w:rPr>
                    <w:t>0</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825.91</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807.19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18.72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194.5</w:t>
                  </w:r>
                  <w:r>
                    <w:rPr>
                      <w:rFonts w:hint="eastAsia" w:eastAsia="宋体"/>
                      <w:kern w:val="0"/>
                      <w:sz w:val="20"/>
                      <w:lang w:val="en-US" w:eastAsia="zh-CN"/>
                    </w:rPr>
                    <w:t>0</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164.46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30.04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48.91</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48.91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（四）</w:t>
                  </w:r>
                  <w:r>
                    <w:rPr>
                      <w:rFonts w:hint="eastAsia" w:eastAsia="宋体"/>
                      <w:color w:val="000000"/>
                      <w:sz w:val="20"/>
                    </w:rPr>
                    <w:t>住房保障支出</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73.62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69.18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4.44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1142.94</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ascii="Times New Roman" w:hAnsi="Times New Roman" w:eastAsia="宋体" w:cs="Times New Roman"/>
                      <w:kern w:val="0"/>
                      <w:sz w:val="20"/>
                      <w:lang w:val="en-US" w:eastAsia="zh-CN" w:bidi="ar-SA"/>
                    </w:rPr>
                  </w:pPr>
                  <w:r>
                    <w:rPr>
                      <w:rFonts w:hint="eastAsia" w:eastAsia="宋体"/>
                      <w:kern w:val="0"/>
                      <w:sz w:val="20"/>
                    </w:rPr>
                    <w:t>1089.74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Times New Roman" w:hAnsi="Times New Roman" w:eastAsia="宋体" w:cs="Times New Roman"/>
                      <w:kern w:val="0"/>
                      <w:sz w:val="20"/>
                      <w:lang w:val="en-US" w:eastAsia="zh-CN" w:bidi="ar-SA"/>
                    </w:rPr>
                  </w:pPr>
                  <w:r>
                    <w:rPr>
                      <w:rFonts w:hint="eastAsia" w:eastAsia="宋体"/>
                      <w:kern w:val="0"/>
                      <w:sz w:val="20"/>
                    </w:rPr>
                    <w:t>53.2</w:t>
                  </w:r>
                  <w:r>
                    <w:rPr>
                      <w:rFonts w:hint="eastAsia" w:eastAsia="宋体"/>
                      <w:kern w:val="0"/>
                      <w:sz w:val="20"/>
                      <w:lang w:val="en-US" w:eastAsia="zh-CN"/>
                    </w:rPr>
                    <w:t>0</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1142.94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1089.74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szCs w:val="22"/>
                      <w:lang w:val="en-US" w:eastAsia="zh-CN" w:bidi="ar-SA"/>
                    </w:rPr>
                  </w:pPr>
                  <w:r>
                    <w:rPr>
                      <w:rFonts w:hint="eastAsia" w:eastAsia="宋体"/>
                      <w:kern w:val="0"/>
                      <w:sz w:val="20"/>
                      <w:szCs w:val="22"/>
                    </w:rPr>
                    <w:t>53.2</w:t>
                  </w:r>
                  <w:r>
                    <w:rPr>
                      <w:rFonts w:hint="eastAsia" w:eastAsia="宋体"/>
                      <w:kern w:val="0"/>
                      <w:sz w:val="20"/>
                      <w:szCs w:val="22"/>
                      <w:lang w:val="en-US" w:eastAsia="zh-CN"/>
                    </w:rPr>
                    <w:t>0</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825.91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652.71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506.73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145.99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173.2</w:t>
                  </w:r>
                  <w:r>
                    <w:rPr>
                      <w:rFonts w:hint="eastAsia" w:eastAsia="宋体"/>
                      <w:color w:val="000000"/>
                      <w:kern w:val="0"/>
                      <w:sz w:val="20"/>
                      <w:lang w:val="en-US" w:eastAsia="zh-CN"/>
                    </w:rPr>
                    <w:t>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825.91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652.71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506.73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145.99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173.2</w:t>
                  </w:r>
                  <w:r>
                    <w:rPr>
                      <w:rFonts w:hint="eastAsia" w:eastAsia="宋体"/>
                      <w:color w:val="000000"/>
                      <w:kern w:val="0"/>
                      <w:sz w:val="20"/>
                      <w:lang w:val="en-US" w:eastAsia="zh-CN"/>
                    </w:rPr>
                    <w:t>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652.71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652.71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506.73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145.99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142.74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142.74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30.46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30.46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194.5</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194.5</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194.5</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194.5</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194.5</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194.5</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98.64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98.64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98.64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95.86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95.86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95.86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48.91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48.91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48.91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kern w:val="0"/>
                      <w:sz w:val="20"/>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48.91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48.91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48.91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48.91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48.91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48.91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kern w:val="0"/>
                      <w:sz w:val="20"/>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rPr>
                  </w:pPr>
                  <w:r>
                    <w:rPr>
                      <w:rFonts w:hint="eastAsia" w:eastAsia="宋体"/>
                      <w:color w:val="000000"/>
                      <w:kern w:val="0"/>
                      <w:sz w:val="20"/>
                    </w:rPr>
                    <w:t>73.62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1142.94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969.74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823.76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rPr>
                    <w:t>145.99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173.2</w:t>
                  </w:r>
                  <w:r>
                    <w:rPr>
                      <w:rFonts w:hint="eastAsia" w:eastAsia="宋体"/>
                      <w:color w:val="000000"/>
                      <w:kern w:val="0"/>
                      <w:sz w:val="20"/>
                      <w:lang w:val="en-US" w:eastAsia="zh-CN"/>
                    </w:rPr>
                    <w:t>0</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461"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r>
              <w:rPr>
                <w:rFonts w:hint="eastAsia" w:eastAsia="宋体"/>
                <w:kern w:val="0"/>
                <w:sz w:val="20"/>
              </w:rPr>
              <w:t>722.84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722.84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221.95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221.95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134.41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134.41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127.12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127.12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95.86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95.86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26.43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26.43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13.37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13.37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14.82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14.82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73.62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73.62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7.44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7.44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rPr>
            </w:pPr>
            <w:r>
              <w:rPr>
                <w:rFonts w:hint="eastAsia"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7.82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7.82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142.95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142.95</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8.41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rPr>
            </w:pPr>
            <w:r>
              <w:rPr>
                <w:rFonts w:hint="eastAsia" w:eastAsia="宋体"/>
                <w:kern w:val="0"/>
                <w:sz w:val="20"/>
              </w:rPr>
              <w:t>8.41</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hint="eastAsia"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rPr>
              <w:t>6</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6</w:t>
            </w:r>
            <w:r>
              <w:rPr>
                <w:rFonts w:hint="eastAsia" w:eastAsia="宋体"/>
                <w:kern w:val="0"/>
                <w:sz w:val="20"/>
                <w:lang w:val="en-US" w:eastAsia="zh-CN"/>
              </w:rPr>
              <w:t>.00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3.00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8.6</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8.6</w:t>
            </w:r>
            <w:r>
              <w:rPr>
                <w:rFonts w:hint="eastAsia" w:eastAsia="宋体"/>
                <w:kern w:val="0"/>
                <w:sz w:val="20"/>
                <w:lang w:val="en-US" w:eastAsia="zh-CN"/>
              </w:rPr>
              <w:t>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7.5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7.5</w:t>
            </w:r>
            <w:r>
              <w:rPr>
                <w:rFonts w:hint="eastAsia" w:eastAsia="宋体"/>
                <w:kern w:val="0"/>
                <w:sz w:val="20"/>
                <w:lang w:val="en-US" w:eastAsia="zh-CN"/>
              </w:rPr>
              <w:t>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rPr>
              <w:t>8</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8</w:t>
            </w:r>
            <w:r>
              <w:rPr>
                <w:rFonts w:hint="eastAsia" w:eastAsia="宋体"/>
                <w:kern w:val="0"/>
                <w:sz w:val="20"/>
                <w:lang w:val="en-US" w:eastAsia="zh-CN"/>
              </w:rPr>
              <w:t>.00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3.5</w:t>
            </w:r>
            <w:r>
              <w:rPr>
                <w:rFonts w:hint="eastAsia" w:eastAsia="宋体"/>
                <w:kern w:val="0"/>
                <w:sz w:val="20"/>
                <w:lang w:val="en-US" w:eastAsia="zh-CN"/>
              </w:rPr>
              <w:t>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1.32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1.32</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9.75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9.75</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0.5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0.5</w:t>
            </w:r>
            <w:r>
              <w:rPr>
                <w:rFonts w:hint="eastAsia" w:eastAsia="宋体"/>
                <w:kern w:val="0"/>
                <w:sz w:val="20"/>
                <w:lang w:val="en-US" w:eastAsia="zh-CN"/>
              </w:rPr>
              <w:t>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3.6</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3.6</w:t>
            </w:r>
            <w:r>
              <w:rPr>
                <w:rFonts w:hint="eastAsia" w:eastAsia="宋体"/>
                <w:kern w:val="0"/>
                <w:sz w:val="20"/>
                <w:lang w:val="en-US" w:eastAsia="zh-CN"/>
              </w:rPr>
              <w:t>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7.14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7.14</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27.91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27.91</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公务用车运行维护</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3.33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3.33</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36.46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36.46</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7.93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7.93</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100.92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100.92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39.17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39.17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59.47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59.47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2.28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2.28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3.04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3.04</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3.04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3.04</w:t>
            </w:r>
          </w:p>
        </w:tc>
      </w:tr>
    </w:tbl>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r>
              <w:rPr>
                <w:rFonts w:hint="eastAsia" w:eastAsia="宋体"/>
                <w:color w:val="000000"/>
                <w:kern w:val="0"/>
                <w:sz w:val="20"/>
              </w:rPr>
              <w:t>3.83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rPr>
              <w:t>0.5</w:t>
            </w:r>
            <w:r>
              <w:rPr>
                <w:rFonts w:hint="eastAsia" w:eastAsia="宋体"/>
                <w:color w:val="000000"/>
                <w:kern w:val="0"/>
                <w:sz w:val="20"/>
                <w:lang w:val="en-US" w:eastAsia="zh-CN"/>
              </w:rPr>
              <w:t>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r>
              <w:rPr>
                <w:rFonts w:hint="eastAsia" w:eastAsia="宋体"/>
                <w:color w:val="000000"/>
                <w:kern w:val="0"/>
                <w:sz w:val="20"/>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r>
              <w:rPr>
                <w:rFonts w:hint="eastAsia" w:eastAsia="宋体"/>
                <w:color w:val="000000"/>
                <w:kern w:val="0"/>
                <w:sz w:val="20"/>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560" w:firstLineChars="200"/>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numPr>
                <w:ilvl w:val="0"/>
                <w:numId w:val="1"/>
              </w:numPr>
              <w:ind w:firstLine="1120" w:firstLineChars="400"/>
              <w:jc w:val="both"/>
              <w:rPr>
                <w:rFonts w:hint="eastAsia"/>
                <w:color w:val="000000"/>
                <w:kern w:val="0"/>
                <w:sz w:val="28"/>
                <w:szCs w:val="28"/>
                <w:lang w:val="en-US" w:eastAsia="zh-CN"/>
              </w:rPr>
            </w:pPr>
            <w:r>
              <w:rPr>
                <w:rFonts w:hint="eastAsia"/>
                <w:color w:val="000000"/>
                <w:kern w:val="0"/>
                <w:sz w:val="28"/>
                <w:szCs w:val="28"/>
                <w:lang w:val="en-US" w:eastAsia="zh-CN"/>
              </w:rPr>
              <w:t>“2024年预算数”的单位范围包括 1 个预算单位。</w:t>
            </w:r>
            <w:bookmarkStart w:id="0" w:name="_GoBack"/>
            <w:bookmarkEnd w:id="0"/>
          </w:p>
          <w:p>
            <w:pPr>
              <w:widowControl/>
              <w:numPr>
                <w:ilvl w:val="0"/>
                <w:numId w:val="1"/>
              </w:numPr>
              <w:ind w:firstLine="1120" w:firstLineChars="400"/>
              <w:jc w:val="both"/>
              <w:rPr>
                <w:rFonts w:hint="default"/>
                <w:color w:val="000000"/>
                <w:kern w:val="0"/>
                <w:sz w:val="28"/>
                <w:szCs w:val="28"/>
                <w:lang w:val="en-US" w:eastAsia="zh-CN"/>
              </w:rPr>
            </w:pPr>
            <w:r>
              <w:rPr>
                <w:rFonts w:hint="eastAsia"/>
                <w:color w:val="000000"/>
                <w:kern w:val="0"/>
                <w:sz w:val="28"/>
                <w:szCs w:val="28"/>
                <w:lang w:val="en-US" w:eastAsia="zh-CN"/>
              </w:rPr>
              <w:t>“2024年预算数”的实有人员94人，其中：在职人员47人，离退休人员47人。</w:t>
            </w:r>
          </w:p>
        </w:tc>
      </w:tr>
    </w:tbl>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83"/>
        <w:gridCol w:w="314"/>
        <w:gridCol w:w="1124"/>
        <w:gridCol w:w="972"/>
        <w:gridCol w:w="797"/>
        <w:gridCol w:w="776"/>
        <w:gridCol w:w="341"/>
        <w:gridCol w:w="331"/>
        <w:gridCol w:w="342"/>
        <w:gridCol w:w="331"/>
        <w:gridCol w:w="569"/>
        <w:gridCol w:w="320"/>
        <w:gridCol w:w="311"/>
        <w:gridCol w:w="351"/>
        <w:gridCol w:w="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9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2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9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121"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823"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4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121"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972"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97"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121"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823"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83"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438"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97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97"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448"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42"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31"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0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623"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42" w:type="dxa"/>
            <w:vMerge w:val="continue"/>
            <w:noWrap w:val="0"/>
            <w:vAlign w:val="center"/>
          </w:tcPr>
          <w:p>
            <w:pPr>
              <w:autoSpaceDN w:val="0"/>
              <w:jc w:val="center"/>
              <w:textAlignment w:val="center"/>
              <w:rPr>
                <w:rFonts w:ascii="Calibri" w:hAnsi="Calibri" w:eastAsia="华文细黑"/>
                <w:color w:val="000000"/>
                <w:sz w:val="20"/>
                <w:szCs w:val="22"/>
              </w:rPr>
            </w:pPr>
          </w:p>
        </w:tc>
        <w:tc>
          <w:tcPr>
            <w:tcW w:w="683" w:type="dxa"/>
            <w:vMerge w:val="continue"/>
            <w:noWrap w:val="0"/>
            <w:vAlign w:val="center"/>
          </w:tcPr>
          <w:p>
            <w:pPr>
              <w:autoSpaceDN w:val="0"/>
              <w:jc w:val="center"/>
              <w:textAlignment w:val="center"/>
              <w:rPr>
                <w:rFonts w:ascii="Calibri" w:hAnsi="Calibri" w:eastAsia="华文细黑"/>
                <w:color w:val="000000"/>
                <w:sz w:val="20"/>
                <w:szCs w:val="22"/>
              </w:rPr>
            </w:pPr>
          </w:p>
        </w:tc>
        <w:tc>
          <w:tcPr>
            <w:tcW w:w="1438"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72" w:type="dxa"/>
            <w:vMerge w:val="continue"/>
            <w:noWrap w:val="0"/>
            <w:vAlign w:val="center"/>
          </w:tcPr>
          <w:p>
            <w:pPr>
              <w:autoSpaceDN w:val="0"/>
              <w:jc w:val="center"/>
              <w:textAlignment w:val="center"/>
              <w:rPr>
                <w:rFonts w:ascii="Calibri" w:hAnsi="Calibri" w:eastAsia="华文细黑"/>
                <w:color w:val="000000"/>
                <w:sz w:val="20"/>
                <w:szCs w:val="22"/>
              </w:rPr>
            </w:pPr>
          </w:p>
        </w:tc>
        <w:tc>
          <w:tcPr>
            <w:tcW w:w="797" w:type="dxa"/>
            <w:vMerge w:val="continue"/>
            <w:noWrap w:val="0"/>
            <w:vAlign w:val="center"/>
          </w:tcPr>
          <w:p>
            <w:pPr>
              <w:autoSpaceDN w:val="0"/>
              <w:jc w:val="center"/>
              <w:textAlignment w:val="center"/>
              <w:rPr>
                <w:rFonts w:ascii="Calibri" w:hAnsi="Calibri" w:eastAsia="华文细黑"/>
                <w:color w:val="000000"/>
                <w:sz w:val="20"/>
                <w:szCs w:val="22"/>
              </w:rPr>
            </w:pPr>
          </w:p>
        </w:tc>
        <w:tc>
          <w:tcPr>
            <w:tcW w:w="776"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41"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31"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4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31"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569"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2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11"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51"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272"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2" w:type="dxa"/>
            <w:noWrap w:val="0"/>
            <w:vAlign w:val="center"/>
          </w:tcPr>
          <w:p>
            <w:pPr>
              <w:spacing w:line="240" w:lineRule="auto"/>
              <w:jc w:val="center"/>
              <w:rPr>
                <w:rFonts w:ascii="Calibri" w:hAnsi="Calibri" w:eastAsia="楷体"/>
                <w:kern w:val="0"/>
                <w:sz w:val="28"/>
                <w:szCs w:val="28"/>
              </w:rPr>
            </w:pPr>
            <w:r>
              <w:rPr>
                <w:rFonts w:hint="eastAsia" w:eastAsia="宋体"/>
                <w:color w:val="000000"/>
                <w:kern w:val="0"/>
                <w:sz w:val="20"/>
              </w:rPr>
              <w:t>专项业务支出</w:t>
            </w:r>
          </w:p>
        </w:tc>
        <w:tc>
          <w:tcPr>
            <w:tcW w:w="683" w:type="dxa"/>
            <w:noWrap w:val="0"/>
            <w:vAlign w:val="center"/>
          </w:tcPr>
          <w:p>
            <w:pPr>
              <w:spacing w:line="240" w:lineRule="auto"/>
              <w:jc w:val="center"/>
              <w:rPr>
                <w:rFonts w:hint="eastAsia" w:eastAsia="宋体"/>
                <w:color w:val="000000"/>
                <w:kern w:val="0"/>
                <w:sz w:val="20"/>
              </w:rPr>
            </w:pPr>
          </w:p>
        </w:tc>
        <w:tc>
          <w:tcPr>
            <w:tcW w:w="1438" w:type="dxa"/>
            <w:gridSpan w:val="2"/>
            <w:noWrap w:val="0"/>
            <w:vAlign w:val="center"/>
          </w:tcPr>
          <w:p>
            <w:pPr>
              <w:spacing w:line="240" w:lineRule="auto"/>
              <w:jc w:val="center"/>
              <w:rPr>
                <w:rFonts w:hint="eastAsia" w:eastAsia="宋体"/>
                <w:color w:val="000000"/>
                <w:kern w:val="0"/>
                <w:sz w:val="20"/>
              </w:rPr>
            </w:pPr>
          </w:p>
        </w:tc>
        <w:tc>
          <w:tcPr>
            <w:tcW w:w="972" w:type="dxa"/>
            <w:noWrap w:val="0"/>
            <w:vAlign w:val="center"/>
          </w:tcPr>
          <w:p>
            <w:pPr>
              <w:spacing w:line="240" w:lineRule="auto"/>
              <w:jc w:val="center"/>
              <w:rPr>
                <w:rFonts w:hint="eastAsia" w:eastAsia="宋体"/>
                <w:color w:val="000000"/>
                <w:kern w:val="0"/>
                <w:sz w:val="20"/>
              </w:rPr>
            </w:pPr>
          </w:p>
        </w:tc>
        <w:tc>
          <w:tcPr>
            <w:tcW w:w="797" w:type="dxa"/>
            <w:noWrap w:val="0"/>
            <w:vAlign w:val="center"/>
          </w:tcPr>
          <w:p>
            <w:pPr>
              <w:spacing w:line="240" w:lineRule="auto"/>
              <w:jc w:val="right"/>
              <w:rPr>
                <w:rFonts w:hint="eastAsia" w:eastAsia="宋体"/>
                <w:color w:val="000000"/>
                <w:kern w:val="0"/>
                <w:sz w:val="20"/>
                <w:lang w:val="en-US" w:eastAsia="zh-CN"/>
              </w:rPr>
            </w:pPr>
            <w:r>
              <w:rPr>
                <w:rFonts w:hint="eastAsia" w:eastAsia="宋体"/>
                <w:color w:val="000000"/>
                <w:kern w:val="0"/>
                <w:sz w:val="20"/>
              </w:rPr>
              <w:t>173.2</w:t>
            </w:r>
            <w:r>
              <w:rPr>
                <w:rFonts w:hint="eastAsia" w:eastAsia="宋体"/>
                <w:color w:val="000000"/>
                <w:kern w:val="0"/>
                <w:sz w:val="20"/>
                <w:lang w:val="en-US" w:eastAsia="zh-CN"/>
              </w:rPr>
              <w:t>0</w:t>
            </w:r>
          </w:p>
        </w:tc>
        <w:tc>
          <w:tcPr>
            <w:tcW w:w="776"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168.78</w:t>
            </w:r>
          </w:p>
        </w:tc>
        <w:tc>
          <w:tcPr>
            <w:tcW w:w="341" w:type="dxa"/>
            <w:noWrap w:val="0"/>
            <w:vAlign w:val="center"/>
          </w:tcPr>
          <w:p>
            <w:pPr>
              <w:spacing w:line="240" w:lineRule="auto"/>
              <w:jc w:val="right"/>
              <w:rPr>
                <w:rFonts w:hint="eastAsia" w:eastAsia="宋体"/>
                <w:color w:val="000000"/>
                <w:kern w:val="0"/>
                <w:sz w:val="20"/>
              </w:rPr>
            </w:pPr>
          </w:p>
        </w:tc>
        <w:tc>
          <w:tcPr>
            <w:tcW w:w="331" w:type="dxa"/>
            <w:noWrap w:val="0"/>
            <w:vAlign w:val="center"/>
          </w:tcPr>
          <w:p>
            <w:pPr>
              <w:spacing w:line="700" w:lineRule="exact"/>
              <w:jc w:val="right"/>
              <w:rPr>
                <w:rFonts w:ascii="Calibri" w:hAnsi="Calibri" w:eastAsia="楷体"/>
                <w:kern w:val="0"/>
                <w:szCs w:val="32"/>
              </w:rPr>
            </w:pPr>
          </w:p>
        </w:tc>
        <w:tc>
          <w:tcPr>
            <w:tcW w:w="342" w:type="dxa"/>
            <w:noWrap w:val="0"/>
            <w:vAlign w:val="center"/>
          </w:tcPr>
          <w:p>
            <w:pPr>
              <w:spacing w:line="700" w:lineRule="exact"/>
              <w:jc w:val="right"/>
              <w:rPr>
                <w:rFonts w:ascii="Calibri" w:hAnsi="Calibri" w:eastAsia="楷体"/>
                <w:kern w:val="0"/>
                <w:szCs w:val="32"/>
              </w:rPr>
            </w:pPr>
          </w:p>
        </w:tc>
        <w:tc>
          <w:tcPr>
            <w:tcW w:w="331" w:type="dxa"/>
            <w:noWrap w:val="0"/>
            <w:vAlign w:val="center"/>
          </w:tcPr>
          <w:p>
            <w:pPr>
              <w:spacing w:line="700" w:lineRule="exact"/>
              <w:jc w:val="right"/>
              <w:rPr>
                <w:rFonts w:ascii="Calibri" w:hAnsi="Calibri" w:eastAsia="楷体"/>
                <w:kern w:val="0"/>
                <w:szCs w:val="32"/>
              </w:rPr>
            </w:pPr>
          </w:p>
        </w:tc>
        <w:tc>
          <w:tcPr>
            <w:tcW w:w="569"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4.42</w:t>
            </w:r>
          </w:p>
        </w:tc>
        <w:tc>
          <w:tcPr>
            <w:tcW w:w="320" w:type="dxa"/>
            <w:noWrap w:val="0"/>
            <w:vAlign w:val="center"/>
          </w:tcPr>
          <w:p>
            <w:pPr>
              <w:spacing w:line="240" w:lineRule="auto"/>
              <w:jc w:val="right"/>
              <w:rPr>
                <w:rFonts w:hint="eastAsia" w:eastAsia="宋体"/>
                <w:color w:val="000000"/>
                <w:kern w:val="0"/>
                <w:sz w:val="20"/>
              </w:rPr>
            </w:pPr>
          </w:p>
        </w:tc>
        <w:tc>
          <w:tcPr>
            <w:tcW w:w="311" w:type="dxa"/>
            <w:noWrap w:val="0"/>
            <w:vAlign w:val="center"/>
          </w:tcPr>
          <w:p>
            <w:pPr>
              <w:spacing w:line="700" w:lineRule="exact"/>
              <w:jc w:val="right"/>
              <w:rPr>
                <w:rFonts w:ascii="Calibri" w:hAnsi="Calibri" w:eastAsia="楷体"/>
                <w:kern w:val="0"/>
                <w:szCs w:val="32"/>
              </w:rPr>
            </w:pPr>
          </w:p>
        </w:tc>
        <w:tc>
          <w:tcPr>
            <w:tcW w:w="351" w:type="dxa"/>
            <w:noWrap w:val="0"/>
            <w:vAlign w:val="center"/>
          </w:tcPr>
          <w:p>
            <w:pPr>
              <w:spacing w:line="700" w:lineRule="exact"/>
              <w:jc w:val="center"/>
              <w:rPr>
                <w:rFonts w:ascii="Calibri" w:hAnsi="Calibri" w:eastAsia="楷体"/>
                <w:kern w:val="0"/>
                <w:szCs w:val="32"/>
              </w:rPr>
            </w:pPr>
          </w:p>
        </w:tc>
        <w:tc>
          <w:tcPr>
            <w:tcW w:w="272"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2" w:type="dxa"/>
            <w:noWrap w:val="0"/>
            <w:vAlign w:val="center"/>
          </w:tcPr>
          <w:p>
            <w:pPr>
              <w:spacing w:line="240" w:lineRule="auto"/>
              <w:jc w:val="center"/>
              <w:rPr>
                <w:rFonts w:hint="default" w:eastAsia="宋体"/>
                <w:color w:val="000000"/>
                <w:kern w:val="0"/>
                <w:sz w:val="20"/>
                <w:lang w:val="en-US" w:eastAsia="zh-CN"/>
              </w:rPr>
            </w:pPr>
          </w:p>
        </w:tc>
        <w:tc>
          <w:tcPr>
            <w:tcW w:w="683" w:type="dxa"/>
            <w:noWrap w:val="0"/>
            <w:vAlign w:val="center"/>
          </w:tcPr>
          <w:p>
            <w:pPr>
              <w:spacing w:line="240" w:lineRule="auto"/>
              <w:jc w:val="center"/>
              <w:rPr>
                <w:rFonts w:hint="eastAsia" w:eastAsia="宋体"/>
                <w:color w:val="000000"/>
                <w:kern w:val="0"/>
                <w:sz w:val="20"/>
              </w:rPr>
            </w:pPr>
            <w:r>
              <w:rPr>
                <w:rFonts w:hint="eastAsia" w:eastAsia="宋体"/>
                <w:color w:val="000000"/>
                <w:kern w:val="0"/>
                <w:sz w:val="20"/>
              </w:rPr>
              <w:t>专项普查活动</w:t>
            </w:r>
          </w:p>
        </w:tc>
        <w:tc>
          <w:tcPr>
            <w:tcW w:w="1438" w:type="dxa"/>
            <w:gridSpan w:val="2"/>
            <w:noWrap w:val="0"/>
            <w:vAlign w:val="center"/>
          </w:tcPr>
          <w:p>
            <w:pPr>
              <w:spacing w:line="240" w:lineRule="auto"/>
              <w:jc w:val="center"/>
              <w:rPr>
                <w:rFonts w:hint="eastAsia" w:eastAsia="宋体"/>
                <w:color w:val="000000"/>
                <w:kern w:val="0"/>
                <w:sz w:val="20"/>
              </w:rPr>
            </w:pPr>
          </w:p>
        </w:tc>
        <w:tc>
          <w:tcPr>
            <w:tcW w:w="972" w:type="dxa"/>
            <w:noWrap w:val="0"/>
            <w:vAlign w:val="center"/>
          </w:tcPr>
          <w:p>
            <w:pPr>
              <w:spacing w:line="240" w:lineRule="auto"/>
              <w:jc w:val="center"/>
              <w:rPr>
                <w:rFonts w:hint="eastAsia" w:eastAsia="宋体"/>
                <w:color w:val="000000"/>
                <w:kern w:val="0"/>
                <w:sz w:val="20"/>
              </w:rPr>
            </w:pPr>
          </w:p>
        </w:tc>
        <w:tc>
          <w:tcPr>
            <w:tcW w:w="797"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30.46</w:t>
            </w:r>
          </w:p>
        </w:tc>
        <w:tc>
          <w:tcPr>
            <w:tcW w:w="776"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30.46</w:t>
            </w:r>
          </w:p>
        </w:tc>
        <w:tc>
          <w:tcPr>
            <w:tcW w:w="341" w:type="dxa"/>
            <w:noWrap w:val="0"/>
            <w:vAlign w:val="center"/>
          </w:tcPr>
          <w:p>
            <w:pPr>
              <w:spacing w:line="240" w:lineRule="auto"/>
              <w:jc w:val="right"/>
              <w:rPr>
                <w:rFonts w:hint="eastAsia" w:eastAsia="宋体"/>
                <w:color w:val="000000"/>
                <w:kern w:val="0"/>
                <w:sz w:val="20"/>
              </w:rPr>
            </w:pPr>
          </w:p>
        </w:tc>
        <w:tc>
          <w:tcPr>
            <w:tcW w:w="331" w:type="dxa"/>
            <w:noWrap w:val="0"/>
            <w:vAlign w:val="center"/>
          </w:tcPr>
          <w:p>
            <w:pPr>
              <w:spacing w:line="700" w:lineRule="exact"/>
              <w:jc w:val="right"/>
              <w:rPr>
                <w:rFonts w:ascii="Calibri" w:hAnsi="Calibri" w:eastAsia="楷体"/>
                <w:kern w:val="0"/>
                <w:szCs w:val="32"/>
              </w:rPr>
            </w:pPr>
          </w:p>
        </w:tc>
        <w:tc>
          <w:tcPr>
            <w:tcW w:w="342" w:type="dxa"/>
            <w:noWrap w:val="0"/>
            <w:vAlign w:val="center"/>
          </w:tcPr>
          <w:p>
            <w:pPr>
              <w:spacing w:line="700" w:lineRule="exact"/>
              <w:jc w:val="right"/>
              <w:rPr>
                <w:rFonts w:ascii="Calibri" w:hAnsi="Calibri" w:eastAsia="楷体"/>
                <w:kern w:val="0"/>
                <w:szCs w:val="32"/>
              </w:rPr>
            </w:pPr>
          </w:p>
        </w:tc>
        <w:tc>
          <w:tcPr>
            <w:tcW w:w="331" w:type="dxa"/>
            <w:noWrap w:val="0"/>
            <w:vAlign w:val="center"/>
          </w:tcPr>
          <w:p>
            <w:pPr>
              <w:spacing w:line="700" w:lineRule="exact"/>
              <w:jc w:val="right"/>
              <w:rPr>
                <w:rFonts w:ascii="Calibri" w:hAnsi="Calibri" w:eastAsia="楷体"/>
                <w:kern w:val="0"/>
                <w:szCs w:val="32"/>
              </w:rPr>
            </w:pPr>
          </w:p>
        </w:tc>
        <w:tc>
          <w:tcPr>
            <w:tcW w:w="569" w:type="dxa"/>
            <w:noWrap w:val="0"/>
            <w:vAlign w:val="center"/>
          </w:tcPr>
          <w:p>
            <w:pPr>
              <w:spacing w:line="700" w:lineRule="exact"/>
              <w:jc w:val="right"/>
              <w:rPr>
                <w:rFonts w:ascii="Calibri" w:hAnsi="Calibri" w:eastAsia="楷体"/>
                <w:kern w:val="0"/>
                <w:szCs w:val="32"/>
              </w:rPr>
            </w:pPr>
          </w:p>
        </w:tc>
        <w:tc>
          <w:tcPr>
            <w:tcW w:w="320" w:type="dxa"/>
            <w:noWrap w:val="0"/>
            <w:vAlign w:val="center"/>
          </w:tcPr>
          <w:p>
            <w:pPr>
              <w:spacing w:line="700" w:lineRule="exact"/>
              <w:jc w:val="right"/>
              <w:rPr>
                <w:rFonts w:ascii="Calibri" w:hAnsi="Calibri" w:eastAsia="楷体"/>
                <w:kern w:val="0"/>
                <w:szCs w:val="32"/>
              </w:rPr>
            </w:pPr>
          </w:p>
        </w:tc>
        <w:tc>
          <w:tcPr>
            <w:tcW w:w="311" w:type="dxa"/>
            <w:noWrap w:val="0"/>
            <w:vAlign w:val="center"/>
          </w:tcPr>
          <w:p>
            <w:pPr>
              <w:spacing w:line="700" w:lineRule="exact"/>
              <w:jc w:val="right"/>
              <w:rPr>
                <w:rFonts w:ascii="Calibri" w:hAnsi="Calibri" w:eastAsia="楷体"/>
                <w:kern w:val="0"/>
                <w:szCs w:val="32"/>
              </w:rPr>
            </w:pPr>
          </w:p>
        </w:tc>
        <w:tc>
          <w:tcPr>
            <w:tcW w:w="351" w:type="dxa"/>
            <w:noWrap w:val="0"/>
            <w:vAlign w:val="center"/>
          </w:tcPr>
          <w:p>
            <w:pPr>
              <w:spacing w:line="700" w:lineRule="exact"/>
              <w:jc w:val="center"/>
              <w:rPr>
                <w:rFonts w:ascii="Calibri" w:hAnsi="Calibri" w:eastAsia="楷体"/>
                <w:kern w:val="0"/>
                <w:szCs w:val="32"/>
              </w:rPr>
            </w:pPr>
          </w:p>
        </w:tc>
        <w:tc>
          <w:tcPr>
            <w:tcW w:w="272"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2" w:type="dxa"/>
            <w:noWrap w:val="0"/>
            <w:vAlign w:val="center"/>
          </w:tcPr>
          <w:p>
            <w:pPr>
              <w:spacing w:line="240" w:lineRule="auto"/>
              <w:jc w:val="center"/>
              <w:rPr>
                <w:rFonts w:hint="eastAsia" w:eastAsia="宋体"/>
                <w:color w:val="000000"/>
                <w:kern w:val="0"/>
                <w:sz w:val="20"/>
              </w:rPr>
            </w:pPr>
          </w:p>
        </w:tc>
        <w:tc>
          <w:tcPr>
            <w:tcW w:w="683" w:type="dxa"/>
            <w:noWrap w:val="0"/>
            <w:vAlign w:val="center"/>
          </w:tcPr>
          <w:p>
            <w:pPr>
              <w:spacing w:line="240" w:lineRule="auto"/>
              <w:jc w:val="center"/>
              <w:rPr>
                <w:rFonts w:hint="eastAsia" w:eastAsia="宋体"/>
                <w:color w:val="000000"/>
                <w:kern w:val="0"/>
                <w:sz w:val="20"/>
              </w:rPr>
            </w:pPr>
          </w:p>
        </w:tc>
        <w:tc>
          <w:tcPr>
            <w:tcW w:w="1438" w:type="dxa"/>
            <w:gridSpan w:val="2"/>
            <w:noWrap w:val="0"/>
            <w:vAlign w:val="center"/>
          </w:tcPr>
          <w:p>
            <w:pPr>
              <w:spacing w:line="240" w:lineRule="auto"/>
              <w:jc w:val="center"/>
              <w:rPr>
                <w:rFonts w:hint="eastAsia" w:eastAsia="宋体"/>
                <w:color w:val="000000"/>
                <w:kern w:val="0"/>
                <w:sz w:val="20"/>
              </w:rPr>
            </w:pPr>
            <w:r>
              <w:rPr>
                <w:rFonts w:hint="eastAsia" w:eastAsia="宋体"/>
                <w:color w:val="000000"/>
                <w:kern w:val="0"/>
                <w:sz w:val="20"/>
              </w:rPr>
              <w:t>第五次全国经济普查经费</w:t>
            </w:r>
          </w:p>
        </w:tc>
        <w:tc>
          <w:tcPr>
            <w:tcW w:w="972" w:type="dxa"/>
            <w:noWrap w:val="0"/>
            <w:vAlign w:val="center"/>
          </w:tcPr>
          <w:p>
            <w:pPr>
              <w:spacing w:line="240" w:lineRule="auto"/>
              <w:jc w:val="center"/>
              <w:rPr>
                <w:rFonts w:hint="eastAsia" w:eastAsia="宋体"/>
                <w:color w:val="000000"/>
                <w:kern w:val="0"/>
                <w:sz w:val="20"/>
              </w:rPr>
            </w:pPr>
            <w:r>
              <w:rPr>
                <w:rFonts w:hint="eastAsia" w:eastAsia="宋体"/>
                <w:color w:val="000000"/>
                <w:kern w:val="0"/>
                <w:sz w:val="20"/>
              </w:rPr>
              <w:t>吉林市统计局（本级）</w:t>
            </w:r>
          </w:p>
        </w:tc>
        <w:tc>
          <w:tcPr>
            <w:tcW w:w="797"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30.46</w:t>
            </w:r>
          </w:p>
        </w:tc>
        <w:tc>
          <w:tcPr>
            <w:tcW w:w="776"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30.46</w:t>
            </w:r>
          </w:p>
        </w:tc>
        <w:tc>
          <w:tcPr>
            <w:tcW w:w="341" w:type="dxa"/>
            <w:noWrap w:val="0"/>
            <w:vAlign w:val="center"/>
          </w:tcPr>
          <w:p>
            <w:pPr>
              <w:spacing w:line="240" w:lineRule="auto"/>
              <w:jc w:val="right"/>
              <w:rPr>
                <w:rFonts w:hint="eastAsia" w:eastAsia="宋体"/>
                <w:color w:val="000000"/>
                <w:kern w:val="0"/>
                <w:sz w:val="20"/>
              </w:rPr>
            </w:pPr>
          </w:p>
        </w:tc>
        <w:tc>
          <w:tcPr>
            <w:tcW w:w="331" w:type="dxa"/>
            <w:noWrap w:val="0"/>
            <w:vAlign w:val="center"/>
          </w:tcPr>
          <w:p>
            <w:pPr>
              <w:spacing w:line="700" w:lineRule="exact"/>
              <w:jc w:val="right"/>
              <w:rPr>
                <w:rFonts w:ascii="Calibri" w:hAnsi="Calibri" w:eastAsia="楷体"/>
                <w:kern w:val="0"/>
                <w:szCs w:val="32"/>
              </w:rPr>
            </w:pPr>
          </w:p>
        </w:tc>
        <w:tc>
          <w:tcPr>
            <w:tcW w:w="342" w:type="dxa"/>
            <w:noWrap w:val="0"/>
            <w:vAlign w:val="center"/>
          </w:tcPr>
          <w:p>
            <w:pPr>
              <w:spacing w:line="700" w:lineRule="exact"/>
              <w:jc w:val="right"/>
              <w:rPr>
                <w:rFonts w:ascii="Calibri" w:hAnsi="Calibri" w:eastAsia="楷体"/>
                <w:kern w:val="0"/>
                <w:szCs w:val="32"/>
              </w:rPr>
            </w:pPr>
          </w:p>
        </w:tc>
        <w:tc>
          <w:tcPr>
            <w:tcW w:w="331" w:type="dxa"/>
            <w:noWrap w:val="0"/>
            <w:vAlign w:val="center"/>
          </w:tcPr>
          <w:p>
            <w:pPr>
              <w:spacing w:line="700" w:lineRule="exact"/>
              <w:jc w:val="right"/>
              <w:rPr>
                <w:rFonts w:ascii="Calibri" w:hAnsi="Calibri" w:eastAsia="楷体"/>
                <w:kern w:val="0"/>
                <w:szCs w:val="32"/>
              </w:rPr>
            </w:pPr>
          </w:p>
        </w:tc>
        <w:tc>
          <w:tcPr>
            <w:tcW w:w="569" w:type="dxa"/>
            <w:noWrap w:val="0"/>
            <w:vAlign w:val="center"/>
          </w:tcPr>
          <w:p>
            <w:pPr>
              <w:spacing w:line="700" w:lineRule="exact"/>
              <w:jc w:val="right"/>
              <w:rPr>
                <w:rFonts w:ascii="Calibri" w:hAnsi="Calibri" w:eastAsia="楷体"/>
                <w:kern w:val="0"/>
                <w:szCs w:val="32"/>
              </w:rPr>
            </w:pPr>
          </w:p>
        </w:tc>
        <w:tc>
          <w:tcPr>
            <w:tcW w:w="320" w:type="dxa"/>
            <w:noWrap w:val="0"/>
            <w:vAlign w:val="center"/>
          </w:tcPr>
          <w:p>
            <w:pPr>
              <w:spacing w:line="700" w:lineRule="exact"/>
              <w:jc w:val="right"/>
              <w:rPr>
                <w:rFonts w:ascii="Calibri" w:hAnsi="Calibri" w:eastAsia="楷体"/>
                <w:kern w:val="0"/>
                <w:szCs w:val="32"/>
              </w:rPr>
            </w:pPr>
          </w:p>
        </w:tc>
        <w:tc>
          <w:tcPr>
            <w:tcW w:w="311" w:type="dxa"/>
            <w:noWrap w:val="0"/>
            <w:vAlign w:val="center"/>
          </w:tcPr>
          <w:p>
            <w:pPr>
              <w:spacing w:line="700" w:lineRule="exact"/>
              <w:jc w:val="right"/>
              <w:rPr>
                <w:rFonts w:ascii="Calibri" w:hAnsi="Calibri" w:eastAsia="楷体"/>
                <w:kern w:val="0"/>
                <w:szCs w:val="32"/>
              </w:rPr>
            </w:pPr>
          </w:p>
        </w:tc>
        <w:tc>
          <w:tcPr>
            <w:tcW w:w="351" w:type="dxa"/>
            <w:noWrap w:val="0"/>
            <w:vAlign w:val="center"/>
          </w:tcPr>
          <w:p>
            <w:pPr>
              <w:spacing w:line="700" w:lineRule="exact"/>
              <w:jc w:val="center"/>
              <w:rPr>
                <w:rFonts w:ascii="Calibri" w:hAnsi="Calibri" w:eastAsia="楷体"/>
                <w:kern w:val="0"/>
                <w:szCs w:val="32"/>
              </w:rPr>
            </w:pPr>
          </w:p>
        </w:tc>
        <w:tc>
          <w:tcPr>
            <w:tcW w:w="272"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2" w:type="dxa"/>
            <w:noWrap w:val="0"/>
            <w:vAlign w:val="center"/>
          </w:tcPr>
          <w:p>
            <w:pPr>
              <w:spacing w:line="240" w:lineRule="auto"/>
              <w:jc w:val="center"/>
              <w:rPr>
                <w:rFonts w:hint="eastAsia" w:eastAsia="宋体"/>
                <w:color w:val="000000"/>
                <w:kern w:val="0"/>
                <w:sz w:val="20"/>
              </w:rPr>
            </w:pPr>
          </w:p>
        </w:tc>
        <w:tc>
          <w:tcPr>
            <w:tcW w:w="683" w:type="dxa"/>
            <w:noWrap w:val="0"/>
            <w:vAlign w:val="center"/>
          </w:tcPr>
          <w:p>
            <w:pPr>
              <w:spacing w:line="240" w:lineRule="auto"/>
              <w:jc w:val="center"/>
              <w:rPr>
                <w:rFonts w:hint="eastAsia" w:eastAsia="宋体"/>
                <w:color w:val="000000"/>
                <w:kern w:val="0"/>
                <w:sz w:val="20"/>
              </w:rPr>
            </w:pPr>
            <w:r>
              <w:rPr>
                <w:rFonts w:hint="eastAsia" w:eastAsia="宋体"/>
                <w:color w:val="000000"/>
                <w:kern w:val="0"/>
                <w:sz w:val="20"/>
              </w:rPr>
              <w:t>专项统计业务</w:t>
            </w:r>
          </w:p>
        </w:tc>
        <w:tc>
          <w:tcPr>
            <w:tcW w:w="1438" w:type="dxa"/>
            <w:gridSpan w:val="2"/>
            <w:noWrap w:val="0"/>
            <w:vAlign w:val="center"/>
          </w:tcPr>
          <w:p>
            <w:pPr>
              <w:spacing w:line="240" w:lineRule="auto"/>
              <w:jc w:val="center"/>
              <w:rPr>
                <w:rFonts w:hint="eastAsia" w:eastAsia="宋体"/>
                <w:color w:val="000000"/>
                <w:kern w:val="0"/>
                <w:sz w:val="20"/>
              </w:rPr>
            </w:pPr>
          </w:p>
        </w:tc>
        <w:tc>
          <w:tcPr>
            <w:tcW w:w="972" w:type="dxa"/>
            <w:noWrap w:val="0"/>
            <w:vAlign w:val="center"/>
          </w:tcPr>
          <w:p>
            <w:pPr>
              <w:spacing w:line="240" w:lineRule="auto"/>
              <w:jc w:val="center"/>
              <w:rPr>
                <w:rFonts w:hint="eastAsia" w:eastAsia="宋体"/>
                <w:color w:val="000000"/>
                <w:kern w:val="0"/>
                <w:sz w:val="20"/>
              </w:rPr>
            </w:pPr>
          </w:p>
        </w:tc>
        <w:tc>
          <w:tcPr>
            <w:tcW w:w="797"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142.74</w:t>
            </w:r>
          </w:p>
        </w:tc>
        <w:tc>
          <w:tcPr>
            <w:tcW w:w="776"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138.32</w:t>
            </w:r>
          </w:p>
        </w:tc>
        <w:tc>
          <w:tcPr>
            <w:tcW w:w="341" w:type="dxa"/>
            <w:noWrap w:val="0"/>
            <w:vAlign w:val="center"/>
          </w:tcPr>
          <w:p>
            <w:pPr>
              <w:spacing w:line="240" w:lineRule="auto"/>
              <w:jc w:val="right"/>
              <w:rPr>
                <w:rFonts w:hint="eastAsia" w:eastAsia="宋体"/>
                <w:color w:val="000000"/>
                <w:kern w:val="0"/>
                <w:sz w:val="20"/>
              </w:rPr>
            </w:pPr>
          </w:p>
        </w:tc>
        <w:tc>
          <w:tcPr>
            <w:tcW w:w="331" w:type="dxa"/>
            <w:noWrap w:val="0"/>
            <w:vAlign w:val="center"/>
          </w:tcPr>
          <w:p>
            <w:pPr>
              <w:spacing w:line="700" w:lineRule="exact"/>
              <w:jc w:val="right"/>
              <w:rPr>
                <w:rFonts w:ascii="Calibri" w:hAnsi="Calibri" w:eastAsia="楷体"/>
                <w:kern w:val="0"/>
                <w:szCs w:val="32"/>
              </w:rPr>
            </w:pPr>
          </w:p>
        </w:tc>
        <w:tc>
          <w:tcPr>
            <w:tcW w:w="342" w:type="dxa"/>
            <w:noWrap w:val="0"/>
            <w:vAlign w:val="center"/>
          </w:tcPr>
          <w:p>
            <w:pPr>
              <w:spacing w:line="700" w:lineRule="exact"/>
              <w:jc w:val="right"/>
              <w:rPr>
                <w:rFonts w:ascii="Calibri" w:hAnsi="Calibri" w:eastAsia="楷体"/>
                <w:kern w:val="0"/>
                <w:szCs w:val="32"/>
              </w:rPr>
            </w:pPr>
          </w:p>
        </w:tc>
        <w:tc>
          <w:tcPr>
            <w:tcW w:w="331" w:type="dxa"/>
            <w:noWrap w:val="0"/>
            <w:vAlign w:val="center"/>
          </w:tcPr>
          <w:p>
            <w:pPr>
              <w:spacing w:line="240" w:lineRule="auto"/>
              <w:jc w:val="right"/>
              <w:rPr>
                <w:rFonts w:hint="eastAsia" w:eastAsia="宋体"/>
                <w:color w:val="000000"/>
                <w:kern w:val="0"/>
                <w:sz w:val="20"/>
              </w:rPr>
            </w:pPr>
          </w:p>
        </w:tc>
        <w:tc>
          <w:tcPr>
            <w:tcW w:w="569"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4.42</w:t>
            </w:r>
          </w:p>
        </w:tc>
        <w:tc>
          <w:tcPr>
            <w:tcW w:w="320" w:type="dxa"/>
            <w:noWrap w:val="0"/>
            <w:vAlign w:val="center"/>
          </w:tcPr>
          <w:p>
            <w:pPr>
              <w:spacing w:line="700" w:lineRule="exact"/>
              <w:jc w:val="right"/>
              <w:rPr>
                <w:rFonts w:ascii="Calibri" w:hAnsi="Calibri" w:eastAsia="楷体"/>
                <w:kern w:val="0"/>
                <w:szCs w:val="32"/>
              </w:rPr>
            </w:pPr>
          </w:p>
        </w:tc>
        <w:tc>
          <w:tcPr>
            <w:tcW w:w="311" w:type="dxa"/>
            <w:noWrap w:val="0"/>
            <w:vAlign w:val="center"/>
          </w:tcPr>
          <w:p>
            <w:pPr>
              <w:spacing w:line="700" w:lineRule="exact"/>
              <w:jc w:val="right"/>
              <w:rPr>
                <w:rFonts w:ascii="Calibri" w:hAnsi="Calibri" w:eastAsia="楷体"/>
                <w:kern w:val="0"/>
                <w:szCs w:val="32"/>
              </w:rPr>
            </w:pPr>
          </w:p>
        </w:tc>
        <w:tc>
          <w:tcPr>
            <w:tcW w:w="351" w:type="dxa"/>
            <w:noWrap w:val="0"/>
            <w:vAlign w:val="center"/>
          </w:tcPr>
          <w:p>
            <w:pPr>
              <w:spacing w:line="700" w:lineRule="exact"/>
              <w:jc w:val="center"/>
              <w:rPr>
                <w:rFonts w:ascii="Calibri" w:hAnsi="Calibri" w:eastAsia="楷体"/>
                <w:kern w:val="0"/>
                <w:szCs w:val="32"/>
              </w:rPr>
            </w:pPr>
          </w:p>
        </w:tc>
        <w:tc>
          <w:tcPr>
            <w:tcW w:w="272"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2" w:type="dxa"/>
            <w:noWrap w:val="0"/>
            <w:vAlign w:val="center"/>
          </w:tcPr>
          <w:p>
            <w:pPr>
              <w:spacing w:line="240" w:lineRule="auto"/>
              <w:jc w:val="center"/>
              <w:rPr>
                <w:rFonts w:hint="eastAsia" w:eastAsia="宋体"/>
                <w:color w:val="000000"/>
                <w:kern w:val="0"/>
                <w:sz w:val="20"/>
              </w:rPr>
            </w:pPr>
          </w:p>
        </w:tc>
        <w:tc>
          <w:tcPr>
            <w:tcW w:w="683" w:type="dxa"/>
            <w:noWrap w:val="0"/>
            <w:vAlign w:val="center"/>
          </w:tcPr>
          <w:p>
            <w:pPr>
              <w:spacing w:line="240" w:lineRule="auto"/>
              <w:jc w:val="center"/>
              <w:rPr>
                <w:rFonts w:hint="eastAsia" w:eastAsia="宋体"/>
                <w:color w:val="000000"/>
                <w:kern w:val="0"/>
                <w:sz w:val="20"/>
              </w:rPr>
            </w:pPr>
          </w:p>
        </w:tc>
        <w:tc>
          <w:tcPr>
            <w:tcW w:w="1438" w:type="dxa"/>
            <w:gridSpan w:val="2"/>
            <w:noWrap w:val="0"/>
            <w:vAlign w:val="center"/>
          </w:tcPr>
          <w:p>
            <w:pPr>
              <w:spacing w:line="240" w:lineRule="auto"/>
              <w:jc w:val="center"/>
              <w:rPr>
                <w:rFonts w:hint="eastAsia" w:eastAsia="宋体"/>
                <w:color w:val="000000"/>
                <w:kern w:val="0"/>
                <w:sz w:val="20"/>
              </w:rPr>
            </w:pPr>
            <w:r>
              <w:rPr>
                <w:rFonts w:hint="eastAsia" w:eastAsia="宋体"/>
                <w:color w:val="000000"/>
                <w:kern w:val="0"/>
                <w:sz w:val="20"/>
              </w:rPr>
              <w:t>统计调查经费</w:t>
            </w:r>
          </w:p>
        </w:tc>
        <w:tc>
          <w:tcPr>
            <w:tcW w:w="972" w:type="dxa"/>
            <w:noWrap w:val="0"/>
            <w:vAlign w:val="center"/>
          </w:tcPr>
          <w:p>
            <w:pPr>
              <w:spacing w:line="240" w:lineRule="auto"/>
              <w:jc w:val="center"/>
              <w:rPr>
                <w:rFonts w:hint="eastAsia" w:eastAsia="宋体"/>
                <w:color w:val="000000"/>
                <w:kern w:val="0"/>
                <w:sz w:val="20"/>
              </w:rPr>
            </w:pPr>
            <w:r>
              <w:rPr>
                <w:rFonts w:hint="eastAsia" w:eastAsia="宋体"/>
                <w:color w:val="000000"/>
                <w:kern w:val="0"/>
                <w:sz w:val="20"/>
              </w:rPr>
              <w:t>吉林市统计局（本级）</w:t>
            </w:r>
          </w:p>
        </w:tc>
        <w:tc>
          <w:tcPr>
            <w:tcW w:w="797"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142.74</w:t>
            </w:r>
          </w:p>
        </w:tc>
        <w:tc>
          <w:tcPr>
            <w:tcW w:w="776"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138.32</w:t>
            </w:r>
          </w:p>
        </w:tc>
        <w:tc>
          <w:tcPr>
            <w:tcW w:w="341" w:type="dxa"/>
            <w:noWrap w:val="0"/>
            <w:vAlign w:val="center"/>
          </w:tcPr>
          <w:p>
            <w:pPr>
              <w:spacing w:line="240" w:lineRule="auto"/>
              <w:jc w:val="right"/>
              <w:rPr>
                <w:rFonts w:hint="eastAsia" w:eastAsia="宋体"/>
                <w:color w:val="000000"/>
                <w:kern w:val="0"/>
                <w:sz w:val="20"/>
              </w:rPr>
            </w:pPr>
          </w:p>
        </w:tc>
        <w:tc>
          <w:tcPr>
            <w:tcW w:w="331" w:type="dxa"/>
            <w:noWrap w:val="0"/>
            <w:vAlign w:val="center"/>
          </w:tcPr>
          <w:p>
            <w:pPr>
              <w:spacing w:line="700" w:lineRule="exact"/>
              <w:jc w:val="right"/>
              <w:rPr>
                <w:rFonts w:ascii="Calibri" w:hAnsi="Calibri" w:eastAsia="楷体"/>
                <w:kern w:val="0"/>
                <w:szCs w:val="32"/>
              </w:rPr>
            </w:pPr>
          </w:p>
        </w:tc>
        <w:tc>
          <w:tcPr>
            <w:tcW w:w="342" w:type="dxa"/>
            <w:noWrap w:val="0"/>
            <w:vAlign w:val="center"/>
          </w:tcPr>
          <w:p>
            <w:pPr>
              <w:spacing w:line="700" w:lineRule="exact"/>
              <w:jc w:val="right"/>
              <w:rPr>
                <w:rFonts w:ascii="Calibri" w:hAnsi="Calibri" w:eastAsia="楷体"/>
                <w:kern w:val="0"/>
                <w:szCs w:val="32"/>
              </w:rPr>
            </w:pPr>
          </w:p>
        </w:tc>
        <w:tc>
          <w:tcPr>
            <w:tcW w:w="331" w:type="dxa"/>
            <w:noWrap w:val="0"/>
            <w:vAlign w:val="center"/>
          </w:tcPr>
          <w:p>
            <w:pPr>
              <w:spacing w:line="700" w:lineRule="exact"/>
              <w:jc w:val="right"/>
              <w:rPr>
                <w:rFonts w:ascii="Calibri" w:hAnsi="Calibri" w:eastAsia="楷体"/>
                <w:kern w:val="0"/>
                <w:szCs w:val="32"/>
              </w:rPr>
            </w:pPr>
          </w:p>
        </w:tc>
        <w:tc>
          <w:tcPr>
            <w:tcW w:w="569"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4.42</w:t>
            </w:r>
          </w:p>
        </w:tc>
        <w:tc>
          <w:tcPr>
            <w:tcW w:w="320" w:type="dxa"/>
            <w:noWrap w:val="0"/>
            <w:vAlign w:val="center"/>
          </w:tcPr>
          <w:p>
            <w:pPr>
              <w:spacing w:line="240" w:lineRule="auto"/>
              <w:jc w:val="right"/>
              <w:rPr>
                <w:rFonts w:hint="eastAsia" w:eastAsia="宋体"/>
                <w:color w:val="000000"/>
                <w:kern w:val="0"/>
                <w:sz w:val="20"/>
              </w:rPr>
            </w:pPr>
          </w:p>
        </w:tc>
        <w:tc>
          <w:tcPr>
            <w:tcW w:w="311" w:type="dxa"/>
            <w:noWrap w:val="0"/>
            <w:vAlign w:val="center"/>
          </w:tcPr>
          <w:p>
            <w:pPr>
              <w:spacing w:line="700" w:lineRule="exact"/>
              <w:jc w:val="right"/>
              <w:rPr>
                <w:rFonts w:ascii="Calibri" w:hAnsi="Calibri" w:eastAsia="楷体"/>
                <w:kern w:val="0"/>
                <w:szCs w:val="32"/>
              </w:rPr>
            </w:pPr>
          </w:p>
        </w:tc>
        <w:tc>
          <w:tcPr>
            <w:tcW w:w="351" w:type="dxa"/>
            <w:noWrap w:val="0"/>
            <w:vAlign w:val="center"/>
          </w:tcPr>
          <w:p>
            <w:pPr>
              <w:spacing w:line="700" w:lineRule="exact"/>
              <w:jc w:val="center"/>
              <w:rPr>
                <w:rFonts w:ascii="Calibri" w:hAnsi="Calibri" w:eastAsia="楷体"/>
                <w:kern w:val="0"/>
                <w:szCs w:val="32"/>
              </w:rPr>
            </w:pPr>
          </w:p>
        </w:tc>
        <w:tc>
          <w:tcPr>
            <w:tcW w:w="272"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83" w:type="dxa"/>
            <w:noWrap w:val="0"/>
            <w:vAlign w:val="center"/>
          </w:tcPr>
          <w:p>
            <w:pPr>
              <w:autoSpaceDN w:val="0"/>
              <w:jc w:val="center"/>
              <w:textAlignment w:val="center"/>
              <w:rPr>
                <w:rFonts w:ascii="Calibri" w:hAnsi="Calibri" w:eastAsia="华文细黑"/>
                <w:color w:val="000000"/>
                <w:sz w:val="20"/>
                <w:szCs w:val="22"/>
              </w:rPr>
            </w:pPr>
          </w:p>
        </w:tc>
        <w:tc>
          <w:tcPr>
            <w:tcW w:w="1438" w:type="dxa"/>
            <w:gridSpan w:val="2"/>
            <w:noWrap w:val="0"/>
            <w:vAlign w:val="center"/>
          </w:tcPr>
          <w:p>
            <w:pPr>
              <w:spacing w:line="700" w:lineRule="exact"/>
              <w:jc w:val="center"/>
              <w:rPr>
                <w:rFonts w:ascii="Calibri" w:hAnsi="Calibri" w:eastAsia="楷体"/>
                <w:kern w:val="0"/>
                <w:szCs w:val="32"/>
              </w:rPr>
            </w:pPr>
          </w:p>
        </w:tc>
        <w:tc>
          <w:tcPr>
            <w:tcW w:w="972" w:type="dxa"/>
            <w:noWrap w:val="0"/>
            <w:vAlign w:val="center"/>
          </w:tcPr>
          <w:p>
            <w:pPr>
              <w:spacing w:line="240" w:lineRule="auto"/>
              <w:jc w:val="center"/>
              <w:rPr>
                <w:rFonts w:hint="eastAsia" w:eastAsia="宋体"/>
                <w:color w:val="000000"/>
                <w:kern w:val="0"/>
                <w:sz w:val="20"/>
              </w:rPr>
            </w:pPr>
          </w:p>
        </w:tc>
        <w:tc>
          <w:tcPr>
            <w:tcW w:w="797" w:type="dxa"/>
            <w:noWrap w:val="0"/>
            <w:vAlign w:val="center"/>
          </w:tcPr>
          <w:p>
            <w:pPr>
              <w:spacing w:line="240" w:lineRule="auto"/>
              <w:jc w:val="right"/>
              <w:rPr>
                <w:rFonts w:hint="eastAsia" w:eastAsia="宋体"/>
                <w:color w:val="000000"/>
                <w:kern w:val="0"/>
                <w:sz w:val="20"/>
                <w:lang w:val="en-US" w:eastAsia="zh-CN"/>
              </w:rPr>
            </w:pPr>
            <w:r>
              <w:rPr>
                <w:rFonts w:hint="eastAsia" w:eastAsia="宋体"/>
                <w:color w:val="000000"/>
                <w:kern w:val="0"/>
                <w:sz w:val="20"/>
              </w:rPr>
              <w:t>173.2</w:t>
            </w:r>
            <w:r>
              <w:rPr>
                <w:rFonts w:hint="eastAsia" w:eastAsia="宋体"/>
                <w:color w:val="000000"/>
                <w:kern w:val="0"/>
                <w:sz w:val="20"/>
                <w:lang w:val="en-US" w:eastAsia="zh-CN"/>
              </w:rPr>
              <w:t>0</w:t>
            </w:r>
          </w:p>
        </w:tc>
        <w:tc>
          <w:tcPr>
            <w:tcW w:w="776"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168.78</w:t>
            </w:r>
          </w:p>
        </w:tc>
        <w:tc>
          <w:tcPr>
            <w:tcW w:w="341" w:type="dxa"/>
            <w:noWrap w:val="0"/>
            <w:vAlign w:val="center"/>
          </w:tcPr>
          <w:p>
            <w:pPr>
              <w:spacing w:line="240" w:lineRule="auto"/>
              <w:jc w:val="right"/>
              <w:rPr>
                <w:rFonts w:hint="eastAsia" w:eastAsia="宋体"/>
                <w:color w:val="000000"/>
                <w:kern w:val="0"/>
                <w:sz w:val="20"/>
              </w:rPr>
            </w:pPr>
          </w:p>
        </w:tc>
        <w:tc>
          <w:tcPr>
            <w:tcW w:w="331" w:type="dxa"/>
            <w:noWrap w:val="0"/>
            <w:vAlign w:val="center"/>
          </w:tcPr>
          <w:p>
            <w:pPr>
              <w:spacing w:line="700" w:lineRule="exact"/>
              <w:jc w:val="right"/>
              <w:rPr>
                <w:rFonts w:ascii="Calibri" w:hAnsi="Calibri" w:eastAsia="楷体"/>
                <w:kern w:val="0"/>
                <w:szCs w:val="32"/>
              </w:rPr>
            </w:pPr>
          </w:p>
        </w:tc>
        <w:tc>
          <w:tcPr>
            <w:tcW w:w="342" w:type="dxa"/>
            <w:noWrap w:val="0"/>
            <w:vAlign w:val="center"/>
          </w:tcPr>
          <w:p>
            <w:pPr>
              <w:spacing w:line="700" w:lineRule="exact"/>
              <w:jc w:val="right"/>
              <w:rPr>
                <w:rFonts w:ascii="Calibri" w:hAnsi="Calibri" w:eastAsia="楷体"/>
                <w:kern w:val="0"/>
                <w:szCs w:val="32"/>
              </w:rPr>
            </w:pPr>
          </w:p>
        </w:tc>
        <w:tc>
          <w:tcPr>
            <w:tcW w:w="331" w:type="dxa"/>
            <w:noWrap w:val="0"/>
            <w:vAlign w:val="center"/>
          </w:tcPr>
          <w:p>
            <w:pPr>
              <w:spacing w:line="700" w:lineRule="exact"/>
              <w:jc w:val="right"/>
              <w:rPr>
                <w:rFonts w:ascii="Calibri" w:hAnsi="Calibri" w:eastAsia="楷体"/>
                <w:kern w:val="0"/>
                <w:szCs w:val="32"/>
              </w:rPr>
            </w:pPr>
          </w:p>
        </w:tc>
        <w:tc>
          <w:tcPr>
            <w:tcW w:w="569" w:type="dxa"/>
            <w:noWrap w:val="0"/>
            <w:vAlign w:val="center"/>
          </w:tcPr>
          <w:p>
            <w:pPr>
              <w:spacing w:line="240" w:lineRule="auto"/>
              <w:jc w:val="right"/>
              <w:rPr>
                <w:rFonts w:hint="eastAsia" w:eastAsia="宋体"/>
                <w:color w:val="000000"/>
                <w:kern w:val="0"/>
                <w:sz w:val="20"/>
              </w:rPr>
            </w:pPr>
            <w:r>
              <w:rPr>
                <w:rFonts w:hint="eastAsia" w:eastAsia="宋体"/>
                <w:color w:val="000000"/>
                <w:kern w:val="0"/>
                <w:sz w:val="20"/>
              </w:rPr>
              <w:t>4.42</w:t>
            </w:r>
          </w:p>
        </w:tc>
        <w:tc>
          <w:tcPr>
            <w:tcW w:w="320" w:type="dxa"/>
            <w:noWrap w:val="0"/>
            <w:vAlign w:val="center"/>
          </w:tcPr>
          <w:p>
            <w:pPr>
              <w:spacing w:line="240" w:lineRule="auto"/>
              <w:jc w:val="right"/>
              <w:rPr>
                <w:rFonts w:hint="eastAsia" w:eastAsia="宋体"/>
                <w:color w:val="000000"/>
                <w:kern w:val="0"/>
                <w:sz w:val="20"/>
              </w:rPr>
            </w:pPr>
          </w:p>
        </w:tc>
        <w:tc>
          <w:tcPr>
            <w:tcW w:w="311" w:type="dxa"/>
            <w:noWrap w:val="0"/>
            <w:vAlign w:val="center"/>
          </w:tcPr>
          <w:p>
            <w:pPr>
              <w:spacing w:line="700" w:lineRule="exact"/>
              <w:jc w:val="right"/>
              <w:rPr>
                <w:rFonts w:ascii="Calibri" w:hAnsi="Calibri" w:eastAsia="楷体"/>
                <w:kern w:val="0"/>
                <w:szCs w:val="32"/>
              </w:rPr>
            </w:pPr>
          </w:p>
        </w:tc>
        <w:tc>
          <w:tcPr>
            <w:tcW w:w="351" w:type="dxa"/>
            <w:noWrap w:val="0"/>
            <w:vAlign w:val="center"/>
          </w:tcPr>
          <w:p>
            <w:pPr>
              <w:spacing w:line="700" w:lineRule="exact"/>
              <w:jc w:val="center"/>
              <w:rPr>
                <w:rFonts w:ascii="Calibri" w:hAnsi="Calibri" w:eastAsia="楷体"/>
                <w:kern w:val="0"/>
                <w:szCs w:val="32"/>
              </w:rPr>
            </w:pPr>
          </w:p>
        </w:tc>
        <w:tc>
          <w:tcPr>
            <w:tcW w:w="272"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9456"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47"/>
        <w:gridCol w:w="900"/>
        <w:gridCol w:w="1240"/>
        <w:gridCol w:w="1108"/>
        <w:gridCol w:w="887"/>
        <w:gridCol w:w="1200"/>
        <w:gridCol w:w="1370"/>
        <w:gridCol w:w="1017"/>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56"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35" w:type="dxa"/>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 位 名 称</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吉林市统计局（本级）</w:t>
            </w:r>
          </w:p>
        </w:tc>
        <w:tc>
          <w:tcPr>
            <w:tcW w:w="54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第五次全国经济普查经费</w:t>
            </w:r>
          </w:p>
        </w:tc>
        <w:tc>
          <w:tcPr>
            <w:tcW w:w="90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30.46</w:t>
            </w:r>
          </w:p>
        </w:tc>
        <w:tc>
          <w:tcPr>
            <w:tcW w:w="124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rPr>
              <w:t>第五次全国经济普查将全面调查我市第二、三产业发展规模、布局和效益，摸清各类单位基本情况，依法开展经济普查登记，普查表审核及数据处理，对普查登记阶段进行监督和执法检查，普查登记质量和数据处理质量进行抽查，汇总普查原始资料，审核汇总资料，完成技术总结。通过开展经济普查进一步夯实统计基础，推进统计现代化改革、科学制定中长期发展规划，为我市科学制定国民经济和社会发展规划提供科学准确的统计信息支持。</w:t>
            </w:r>
          </w:p>
        </w:tc>
        <w:tc>
          <w:tcPr>
            <w:tcW w:w="110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88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培训人均成本</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反映培训成本控制情况</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≤400元/天</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两员补贴费用</w:t>
            </w:r>
          </w:p>
        </w:tc>
        <w:tc>
          <w:tcPr>
            <w:tcW w:w="1370"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普查指导员与普查员补贴费用。</w:t>
            </w:r>
          </w:p>
        </w:tc>
        <w:tc>
          <w:tcPr>
            <w:tcW w:w="101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≤168800元</w:t>
            </w:r>
          </w:p>
        </w:tc>
        <w:tc>
          <w:tcPr>
            <w:tcW w:w="652"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887"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统计人员培训人次</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反映统计人员培训的人次情况</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≥480人</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普查员、普查指导员补贴发放人数</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反映普查员、普查指导员补贴发放人数。</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≥211人</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印刷发放业务资料数量</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印刷发放业务资料数量</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≥400本</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报表审核通过率</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反映报表审核通过的情况。</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≥98%</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“两员”劳务费发放率</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反映普查员及普查指导员劳务费发放率</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color w:val="auto"/>
                <w:kern w:val="0"/>
                <w:sz w:val="18"/>
                <w:szCs w:val="18"/>
                <w:highlight w:val="none"/>
                <w:vertAlign w:val="baseline"/>
              </w:rPr>
              <w:t>=100%</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按时发放两员补贴</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及时发放两员补贴</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6月底前</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效益指标</w:t>
            </w:r>
          </w:p>
        </w:tc>
        <w:tc>
          <w:tcPr>
            <w:tcW w:w="88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完成经济普查技术工作总结</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形成经济普查各阶段技术工作总结，便于指导今后工作。</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≥1篇</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88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培训人员满意度</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反映参加培训人员的满意度情况。</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≥95%</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56"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35" w:type="dxa"/>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 位 名 称</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吉林市统计局（本级）</w:t>
            </w:r>
          </w:p>
        </w:tc>
        <w:tc>
          <w:tcPr>
            <w:tcW w:w="54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90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138.32</w:t>
            </w:r>
          </w:p>
        </w:tc>
        <w:tc>
          <w:tcPr>
            <w:tcW w:w="124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按照上级统计部门工作要求，组织实施年度统计调查任务，全面、及时、准确地上报各专业统计报表，及时发布统计公报，为社会公众需要和政府决策提供详实统计数据。</w:t>
            </w:r>
          </w:p>
        </w:tc>
        <w:tc>
          <w:tcPr>
            <w:tcW w:w="110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88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培训人均成本</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反映培训成本控制情况</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≤400元/天</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单册年鉴出版成本</w:t>
            </w:r>
          </w:p>
        </w:tc>
        <w:tc>
          <w:tcPr>
            <w:tcW w:w="1370"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反映编制单册年鉴的成本情况。</w:t>
            </w:r>
          </w:p>
        </w:tc>
        <w:tc>
          <w:tcPr>
            <w:tcW w:w="101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≤248元/本</w:t>
            </w:r>
          </w:p>
        </w:tc>
        <w:tc>
          <w:tcPr>
            <w:tcW w:w="652"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887"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形成《月报》数量</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每月及时完成《月报》</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color w:val="auto"/>
                <w:kern w:val="0"/>
                <w:sz w:val="18"/>
                <w:szCs w:val="18"/>
                <w:highlight w:val="none"/>
                <w:vertAlign w:val="baseline"/>
                <w:lang w:eastAsia="zh-CN"/>
              </w:rPr>
              <w:t>≥</w:t>
            </w:r>
            <w:r>
              <w:rPr>
                <w:rFonts w:hint="eastAsia" w:ascii="华文细黑" w:hAnsi="华文细黑" w:eastAsia="华文细黑" w:cs="华文细黑"/>
                <w:color w:val="auto"/>
                <w:kern w:val="0"/>
                <w:sz w:val="18"/>
                <w:szCs w:val="18"/>
                <w:highlight w:val="none"/>
                <w:vertAlign w:val="baseline"/>
              </w:rPr>
              <w:t>1650本</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形成年度统计公报合订本数量</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年度统计公报合订本</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≥1本</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形成汇报材料数量</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统计分析、统计专报、经济运行和其他各类汇报材料</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≥6篇</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培训人数</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培训人数</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≥1890人</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开展统计法律知识讲座</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反映开展统计法律知识讲座</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≥1次</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普法宣传次数</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反映统计普法宣传情况。</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≥1次</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发布统计数据</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反映发布各类统计数据情况</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≥11篇</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统计分析报告篇数</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反应统计分析报告篇数情况</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≥10篇</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年鉴出版印刷数量</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 xml:space="preserve"> 年鉴出版印刷数量</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≥200本</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印刷发放业务资料数量</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印刷发放业务资料数量</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≥10800本</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数据采集率</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数据采集率</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highlight w:val="none"/>
                <w:vertAlign w:val="baseline"/>
              </w:rPr>
              <w:t>=100%</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培训合格率</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反映培训的质量情况</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≥95%</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w:t>
            </w:r>
          </w:p>
        </w:tc>
      </w:tr>
    </w:tbl>
    <w:p/>
    <w:tbl>
      <w:tblPr>
        <w:tblStyle w:val="10"/>
        <w:tblW w:w="9456"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47"/>
        <w:gridCol w:w="900"/>
        <w:gridCol w:w="1240"/>
        <w:gridCol w:w="1108"/>
        <w:gridCol w:w="887"/>
        <w:gridCol w:w="1200"/>
        <w:gridCol w:w="1370"/>
        <w:gridCol w:w="1017"/>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tcBorders>
              <w:left w:val="single" w:color="000000" w:sz="4" w:space="0"/>
              <w:right w:val="single" w:color="000000" w:sz="4" w:space="0"/>
            </w:tcBorders>
            <w:noWrap w:val="0"/>
            <w:textDirection w:val="tbRlV"/>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rPr>
              <w:t>单 位 名 称</w:t>
            </w:r>
          </w:p>
        </w:tc>
        <w:tc>
          <w:tcPr>
            <w:tcW w:w="547" w:type="dxa"/>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项目名称</w:t>
            </w:r>
          </w:p>
        </w:tc>
        <w:tc>
          <w:tcPr>
            <w:tcW w:w="900" w:type="dxa"/>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240" w:type="dxa"/>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年度绩效目标</w:t>
            </w:r>
          </w:p>
        </w:tc>
        <w:tc>
          <w:tcPr>
            <w:tcW w:w="1108" w:type="dxa"/>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一级指标</w:t>
            </w:r>
          </w:p>
        </w:tc>
        <w:tc>
          <w:tcPr>
            <w:tcW w:w="887"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二级指标</w:t>
            </w:r>
          </w:p>
        </w:tc>
        <w:tc>
          <w:tcPr>
            <w:tcW w:w="1200"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三级指标</w:t>
            </w:r>
          </w:p>
        </w:tc>
        <w:tc>
          <w:tcPr>
            <w:tcW w:w="1370"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指标解释</w:t>
            </w:r>
          </w:p>
        </w:tc>
        <w:tc>
          <w:tcPr>
            <w:tcW w:w="1017"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指标值</w:t>
            </w:r>
          </w:p>
        </w:tc>
        <w:tc>
          <w:tcPr>
            <w:tcW w:w="652"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吉林市统计局（本级）</w:t>
            </w:r>
          </w:p>
        </w:tc>
        <w:tc>
          <w:tcPr>
            <w:tcW w:w="547"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统计调查经费</w:t>
            </w:r>
          </w:p>
        </w:tc>
        <w:tc>
          <w:tcPr>
            <w:tcW w:w="900"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138.32</w:t>
            </w:r>
          </w:p>
        </w:tc>
        <w:tc>
          <w:tcPr>
            <w:tcW w:w="1240"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val="en-US" w:eastAsia="zh-CN" w:bidi="ar-SA"/>
              </w:rPr>
            </w:pPr>
            <w:r>
              <w:rPr>
                <w:rFonts w:hint="eastAsia" w:ascii="华文细黑" w:hAnsi="华文细黑" w:eastAsia="华文细黑" w:cs="华文细黑"/>
                <w:kern w:val="0"/>
                <w:sz w:val="18"/>
                <w:szCs w:val="18"/>
                <w:vertAlign w:val="baseline"/>
              </w:rPr>
              <w:t>按照上级统计部门工作要求，组织实施年度统计调查任务，全面、及时、准确地上报各专业统计报表，及时发布统计公报，为社会公众需要和政府决策提供详实统计数据。</w:t>
            </w:r>
          </w:p>
        </w:tc>
        <w:tc>
          <w:tcPr>
            <w:tcW w:w="1108"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产出指标</w:t>
            </w:r>
          </w:p>
        </w:tc>
        <w:tc>
          <w:tcPr>
            <w:tcW w:w="887"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分析报告完成时间</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反映分析报告完成及时性。</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12月底前</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8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统计公报撰写完成时间</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撰写年度统计公报完成时间</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4月底前</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noWrap w:val="0"/>
            <w:vAlign w:val="center"/>
          </w:tcPr>
          <w:p>
            <w:pPr>
              <w:spacing w:line="240" w:lineRule="auto"/>
              <w:jc w:val="center"/>
              <w:rPr>
                <w:rFonts w:hint="eastAsia" w:ascii="华文细黑" w:hAnsi="华文细黑" w:eastAsia="华文细黑" w:cs="华文细黑"/>
                <w:kern w:val="0"/>
                <w:sz w:val="20"/>
                <w:szCs w:val="20"/>
                <w:highlight w:val="none"/>
                <w:vertAlign w:val="baseline"/>
              </w:rPr>
            </w:pPr>
            <w:r>
              <w:rPr>
                <w:rFonts w:hint="eastAsia" w:ascii="华文细黑" w:hAnsi="华文细黑" w:eastAsia="华文细黑" w:cs="华文细黑"/>
                <w:kern w:val="0"/>
                <w:sz w:val="20"/>
                <w:szCs w:val="20"/>
                <w:highlight w:val="none"/>
                <w:vertAlign w:val="baseline"/>
                <w:lang w:eastAsia="zh-CN"/>
              </w:rPr>
              <w:t>效果指标</w:t>
            </w:r>
          </w:p>
        </w:tc>
        <w:tc>
          <w:tcPr>
            <w:tcW w:w="88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向社会公众提供统计公报</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向社会公众提供统计公报篇数</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≥1篇</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3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887" w:type="dxa"/>
            <w:noWrap w:val="0"/>
            <w:vAlign w:val="center"/>
          </w:tcPr>
          <w:p>
            <w:pPr>
              <w:spacing w:line="240" w:lineRule="auto"/>
              <w:jc w:val="center"/>
              <w:rPr>
                <w:rFonts w:hint="eastAsia" w:ascii="华文细黑" w:hAnsi="华文细黑" w:eastAsia="华文细黑" w:cs="华文细黑"/>
                <w:kern w:val="0"/>
                <w:sz w:val="20"/>
                <w:szCs w:val="20"/>
                <w:highlight w:val="none"/>
                <w:vertAlign w:val="baseline"/>
                <w:lang w:eastAsia="zh-CN"/>
              </w:rPr>
            </w:pPr>
            <w:r>
              <w:rPr>
                <w:rFonts w:hint="eastAsia" w:ascii="华文细黑" w:hAnsi="华文细黑" w:eastAsia="华文细黑" w:cs="华文细黑"/>
                <w:kern w:val="0"/>
                <w:sz w:val="20"/>
                <w:szCs w:val="20"/>
                <w:highlight w:val="none"/>
                <w:vertAlign w:val="baseline"/>
                <w:lang w:eastAsia="zh-CN"/>
              </w:rPr>
              <w:t>满意度指标</w:t>
            </w:r>
          </w:p>
        </w:tc>
        <w:tc>
          <w:tcPr>
            <w:tcW w:w="120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培训人员满意度</w:t>
            </w:r>
          </w:p>
        </w:tc>
        <w:tc>
          <w:tcPr>
            <w:tcW w:w="1370"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反映参加培训人员的满意度情况。</w:t>
            </w:r>
          </w:p>
        </w:tc>
        <w:tc>
          <w:tcPr>
            <w:tcW w:w="101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≥95%</w:t>
            </w:r>
          </w:p>
        </w:tc>
        <w:tc>
          <w:tcPr>
            <w:tcW w:w="65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10</w:t>
            </w: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lang w:eastAsia="zh-CN"/>
        </w:rPr>
        <w:t>卫生健康</w:t>
      </w:r>
      <w:r>
        <w:rPr>
          <w:szCs w:val="32"/>
        </w:rPr>
        <w:t>支出、住房保障支出等。20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1142.94</w:t>
      </w:r>
      <w:r>
        <w:rPr>
          <w:szCs w:val="32"/>
        </w:rPr>
        <w:t>万元</w:t>
      </w:r>
      <w:r>
        <w:rPr>
          <w:rFonts w:hint="eastAsia"/>
          <w:szCs w:val="32"/>
          <w:lang w:eastAsia="zh-CN"/>
        </w:rPr>
        <w:t>，其中：本年预算</w:t>
      </w:r>
      <w:r>
        <w:rPr>
          <w:rFonts w:hint="eastAsia"/>
          <w:szCs w:val="32"/>
          <w:lang w:val="en-US" w:eastAsia="zh-CN"/>
        </w:rPr>
        <w:t>1089.74</w:t>
      </w:r>
      <w:r>
        <w:rPr>
          <w:rFonts w:hint="eastAsia"/>
          <w:szCs w:val="32"/>
          <w:lang w:eastAsia="zh-CN"/>
        </w:rPr>
        <w:t>万元；上年结转</w:t>
      </w:r>
      <w:r>
        <w:rPr>
          <w:rFonts w:hint="eastAsia"/>
          <w:szCs w:val="32"/>
          <w:lang w:val="en-US" w:eastAsia="zh-CN"/>
        </w:rPr>
        <w:t>53.20</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82.77</w:t>
      </w:r>
      <w:r>
        <w:rPr>
          <w:szCs w:val="32"/>
        </w:rPr>
        <w:t>万元，主要原因</w:t>
      </w:r>
      <w:r>
        <w:rPr>
          <w:rFonts w:hint="eastAsia"/>
          <w:szCs w:val="32"/>
          <w:lang w:eastAsia="zh-CN"/>
        </w:rPr>
        <w:t>一</w:t>
      </w:r>
      <w:r>
        <w:rPr>
          <w:szCs w:val="32"/>
        </w:rPr>
        <w:t>是</w:t>
      </w:r>
      <w:r>
        <w:rPr>
          <w:rFonts w:hint="eastAsia"/>
          <w:szCs w:val="32"/>
          <w:lang w:eastAsia="zh-CN"/>
        </w:rPr>
        <w:t>本单位在职职工较上年增加；二是退休人员生活补贴调整，相应人员经费增加，致使</w:t>
      </w:r>
      <w:r>
        <w:rPr>
          <w:rFonts w:hint="eastAsia"/>
          <w:szCs w:val="32"/>
          <w:lang w:val="en-US" w:eastAsia="zh-CN"/>
        </w:rPr>
        <w:t>本年预算较2023年增加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eastAsia="仿宋_GB2312"/>
          <w:szCs w:val="30"/>
          <w:lang w:val="en-US" w:eastAsia="zh-CN"/>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1142.94</w:t>
      </w:r>
      <w:r>
        <w:rPr>
          <w:szCs w:val="32"/>
        </w:rPr>
        <w:t>万元，其中：本年收入</w:t>
      </w:r>
      <w:r>
        <w:rPr>
          <w:rFonts w:hint="eastAsia"/>
          <w:szCs w:val="32"/>
          <w:lang w:val="en-US" w:eastAsia="zh-CN"/>
        </w:rPr>
        <w:t>1089.74</w:t>
      </w:r>
      <w:r>
        <w:rPr>
          <w:szCs w:val="32"/>
        </w:rPr>
        <w:t>万元，占</w:t>
      </w:r>
      <w:r>
        <w:rPr>
          <w:rFonts w:hint="eastAsia"/>
          <w:szCs w:val="32"/>
          <w:lang w:val="en-US" w:eastAsia="zh-CN"/>
        </w:rPr>
        <w:t>95.3</w:t>
      </w:r>
      <w:r>
        <w:rPr>
          <w:szCs w:val="32"/>
        </w:rPr>
        <w:t>%；上年结转</w:t>
      </w:r>
      <w:r>
        <w:rPr>
          <w:rFonts w:hint="eastAsia"/>
          <w:szCs w:val="32"/>
          <w:lang w:eastAsia="zh-CN"/>
        </w:rPr>
        <w:t>结余</w:t>
      </w:r>
      <w:r>
        <w:rPr>
          <w:rFonts w:hint="eastAsia"/>
          <w:szCs w:val="32"/>
          <w:lang w:val="en-US" w:eastAsia="zh-CN"/>
        </w:rPr>
        <w:t>53.20</w:t>
      </w:r>
      <w:r>
        <w:rPr>
          <w:szCs w:val="32"/>
        </w:rPr>
        <w:t>万元，占</w:t>
      </w:r>
      <w:r>
        <w:rPr>
          <w:rFonts w:hint="eastAsia"/>
          <w:szCs w:val="32"/>
          <w:lang w:val="en-US" w:eastAsia="zh-CN"/>
        </w:rPr>
        <w:t>4.7</w:t>
      </w:r>
      <w:r>
        <w:rPr>
          <w:szCs w:val="32"/>
        </w:rPr>
        <w:t>%。本年收入中，一般公共预算拨款收入</w:t>
      </w:r>
      <w:r>
        <w:rPr>
          <w:rFonts w:hint="eastAsia"/>
          <w:szCs w:val="32"/>
          <w:lang w:val="en-US" w:eastAsia="zh-CN"/>
        </w:rPr>
        <w:t>1089.74</w:t>
      </w:r>
      <w:r>
        <w:rPr>
          <w:szCs w:val="32"/>
        </w:rPr>
        <w:t>万元，占</w:t>
      </w:r>
      <w:r>
        <w:rPr>
          <w:rFonts w:hint="eastAsia"/>
          <w:szCs w:val="32"/>
          <w:lang w:val="en-US" w:eastAsia="zh-CN"/>
        </w:rPr>
        <w:t>100</w:t>
      </w:r>
      <w:r>
        <w:rPr>
          <w:szCs w:val="32"/>
        </w:rPr>
        <w:t>%</w:t>
      </w:r>
      <w:r>
        <w:rPr>
          <w:rFonts w:hint="eastAsia"/>
          <w:szCs w:val="32"/>
          <w:lang w:eastAsia="zh-CN"/>
        </w:rPr>
        <w:t>。上年结转中，一般公共预算拨款结转</w:t>
      </w:r>
      <w:r>
        <w:rPr>
          <w:rFonts w:hint="eastAsia"/>
          <w:szCs w:val="32"/>
          <w:lang w:val="en-US" w:eastAsia="zh-CN"/>
        </w:rPr>
        <w:t>53.20</w:t>
      </w:r>
      <w:r>
        <w:rPr>
          <w:rFonts w:hint="eastAsia"/>
          <w:szCs w:val="32"/>
          <w:lang w:eastAsia="zh-CN"/>
        </w:rPr>
        <w:t>万元，占</w:t>
      </w:r>
      <w:r>
        <w:rPr>
          <w:rFonts w:hint="eastAsia"/>
          <w:szCs w:val="32"/>
          <w:lang w:val="en-US" w:eastAsia="zh-CN"/>
        </w:rPr>
        <w:t>100</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1142.94</w:t>
      </w:r>
      <w:r>
        <w:rPr>
          <w:szCs w:val="32"/>
        </w:rPr>
        <w:t>万元，其中：基本支出</w:t>
      </w:r>
      <w:r>
        <w:rPr>
          <w:rFonts w:hint="eastAsia"/>
          <w:szCs w:val="32"/>
          <w:lang w:val="en-US" w:eastAsia="zh-CN"/>
        </w:rPr>
        <w:t>969.74</w:t>
      </w:r>
      <w:r>
        <w:rPr>
          <w:szCs w:val="32"/>
        </w:rPr>
        <w:t>万元，占</w:t>
      </w:r>
      <w:r>
        <w:rPr>
          <w:rFonts w:hint="eastAsia"/>
          <w:szCs w:val="32"/>
          <w:lang w:val="en-US" w:eastAsia="zh-CN"/>
        </w:rPr>
        <w:t>84.8</w:t>
      </w:r>
      <w:r>
        <w:rPr>
          <w:szCs w:val="32"/>
        </w:rPr>
        <w:t>%；项目支出</w:t>
      </w:r>
      <w:r>
        <w:rPr>
          <w:rFonts w:hint="eastAsia"/>
          <w:szCs w:val="32"/>
          <w:lang w:val="en-US" w:eastAsia="zh-CN"/>
        </w:rPr>
        <w:t>173.20</w:t>
      </w:r>
      <w:r>
        <w:rPr>
          <w:szCs w:val="32"/>
        </w:rPr>
        <w:t>万元，占</w:t>
      </w:r>
      <w:r>
        <w:rPr>
          <w:rFonts w:hint="eastAsia"/>
          <w:szCs w:val="32"/>
          <w:lang w:val="en-US" w:eastAsia="zh-CN"/>
        </w:rPr>
        <w:t>15.2</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1142.94</w:t>
      </w:r>
      <w:r>
        <w:rPr>
          <w:szCs w:val="32"/>
        </w:rPr>
        <w:t>万元，其中：</w:t>
      </w:r>
      <w:r>
        <w:rPr>
          <w:rFonts w:hint="eastAsia"/>
          <w:szCs w:val="32"/>
        </w:rPr>
        <w:t>本年</w:t>
      </w:r>
      <w:r>
        <w:rPr>
          <w:rFonts w:hint="eastAsia"/>
          <w:szCs w:val="32"/>
          <w:lang w:eastAsia="zh-CN"/>
        </w:rPr>
        <w:t>预算</w:t>
      </w:r>
      <w:r>
        <w:rPr>
          <w:rFonts w:hint="eastAsia"/>
          <w:szCs w:val="32"/>
          <w:lang w:val="en-US" w:eastAsia="zh-CN"/>
        </w:rPr>
        <w:t>1089.74</w:t>
      </w:r>
      <w:r>
        <w:rPr>
          <w:szCs w:val="32"/>
        </w:rPr>
        <w:t>万元</w:t>
      </w:r>
      <w:r>
        <w:rPr>
          <w:rFonts w:hint="eastAsia"/>
          <w:szCs w:val="32"/>
        </w:rPr>
        <w:t>，上年结转</w:t>
      </w:r>
      <w:r>
        <w:rPr>
          <w:rFonts w:hint="eastAsia"/>
          <w:szCs w:val="32"/>
          <w:lang w:val="en-US" w:eastAsia="zh-CN"/>
        </w:rPr>
        <w:t>53.20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825.91</w:t>
      </w:r>
      <w:r>
        <w:rPr>
          <w:szCs w:val="32"/>
        </w:rPr>
        <w:t>万元，</w:t>
      </w:r>
      <w:r>
        <w:rPr>
          <w:kern w:val="0"/>
          <w:szCs w:val="32"/>
        </w:rPr>
        <w:t>社会保障和就业支出</w:t>
      </w:r>
      <w:r>
        <w:rPr>
          <w:rFonts w:hint="eastAsia"/>
          <w:szCs w:val="32"/>
          <w:lang w:val="en-US" w:eastAsia="zh-CN"/>
        </w:rPr>
        <w:t>194.50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48.91</w:t>
      </w:r>
      <w:r>
        <w:rPr>
          <w:szCs w:val="32"/>
        </w:rPr>
        <w:t>万元，</w:t>
      </w:r>
      <w:r>
        <w:rPr>
          <w:kern w:val="0"/>
          <w:szCs w:val="32"/>
        </w:rPr>
        <w:t>住房保障支出</w:t>
      </w:r>
      <w:r>
        <w:rPr>
          <w:rFonts w:hint="eastAsia"/>
          <w:szCs w:val="32"/>
          <w:lang w:val="en-US" w:eastAsia="zh-CN"/>
        </w:rPr>
        <w:t>73.62</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1142.94</w:t>
      </w:r>
      <w:r>
        <w:rPr>
          <w:szCs w:val="32"/>
        </w:rPr>
        <w:t>万元，其中：基本支出</w:t>
      </w:r>
      <w:r>
        <w:rPr>
          <w:rFonts w:hint="eastAsia"/>
          <w:szCs w:val="32"/>
          <w:lang w:val="en-US" w:eastAsia="zh-CN"/>
        </w:rPr>
        <w:t>969.74</w:t>
      </w:r>
      <w:r>
        <w:rPr>
          <w:szCs w:val="32"/>
        </w:rPr>
        <w:t>万元，占</w:t>
      </w:r>
      <w:r>
        <w:rPr>
          <w:rFonts w:hint="eastAsia"/>
          <w:szCs w:val="32"/>
          <w:lang w:val="en-US" w:eastAsia="zh-CN"/>
        </w:rPr>
        <w:t>84.8</w:t>
      </w:r>
      <w:r>
        <w:rPr>
          <w:szCs w:val="32"/>
        </w:rPr>
        <w:t>%；项目支出</w:t>
      </w:r>
      <w:r>
        <w:rPr>
          <w:rFonts w:hint="eastAsia"/>
          <w:szCs w:val="32"/>
          <w:lang w:val="en-US" w:eastAsia="zh-CN"/>
        </w:rPr>
        <w:t>173.20</w:t>
      </w:r>
      <w:r>
        <w:rPr>
          <w:szCs w:val="32"/>
        </w:rPr>
        <w:t>万元，占</w:t>
      </w:r>
      <w:r>
        <w:rPr>
          <w:rFonts w:hint="eastAsia"/>
          <w:szCs w:val="32"/>
          <w:lang w:val="en-US" w:eastAsia="zh-CN"/>
        </w:rPr>
        <w:t>15.2</w:t>
      </w:r>
      <w:r>
        <w:rPr>
          <w:szCs w:val="32"/>
        </w:rPr>
        <w:t>%。基本支出中，人员经费</w:t>
      </w:r>
      <w:r>
        <w:rPr>
          <w:rFonts w:hint="eastAsia"/>
          <w:szCs w:val="32"/>
          <w:lang w:val="en-US" w:eastAsia="zh-CN"/>
        </w:rPr>
        <w:t>823.76</w:t>
      </w:r>
      <w:r>
        <w:rPr>
          <w:szCs w:val="32"/>
        </w:rPr>
        <w:t>万元，占</w:t>
      </w:r>
      <w:r>
        <w:rPr>
          <w:rFonts w:hint="eastAsia"/>
          <w:szCs w:val="32"/>
          <w:lang w:val="en-US" w:eastAsia="zh-CN"/>
        </w:rPr>
        <w:t>84.9</w:t>
      </w:r>
      <w:r>
        <w:rPr>
          <w:szCs w:val="32"/>
        </w:rPr>
        <w:t>%；公用经费</w:t>
      </w:r>
      <w:r>
        <w:rPr>
          <w:rFonts w:hint="eastAsia"/>
          <w:szCs w:val="32"/>
          <w:lang w:val="en-US" w:eastAsia="zh-CN"/>
        </w:rPr>
        <w:t>145.99</w:t>
      </w:r>
      <w:r>
        <w:rPr>
          <w:szCs w:val="32"/>
        </w:rPr>
        <w:t>万元，占</w:t>
      </w:r>
      <w:r>
        <w:rPr>
          <w:rFonts w:hint="eastAsia"/>
          <w:szCs w:val="32"/>
          <w:lang w:val="en-US" w:eastAsia="zh-CN"/>
        </w:rPr>
        <w:t>15.1</w:t>
      </w:r>
      <w:r>
        <w:rPr>
          <w:szCs w:val="32"/>
        </w:rPr>
        <w:t>%。</w:t>
      </w:r>
    </w:p>
    <w:p>
      <w:pPr>
        <w:spacing w:line="520" w:lineRule="exact"/>
        <w:ind w:firstLine="640" w:firstLineChars="200"/>
        <w:rPr>
          <w:szCs w:val="32"/>
          <w:highlight w:val="none"/>
        </w:rPr>
      </w:pPr>
      <w:r>
        <w:rPr>
          <w:szCs w:val="32"/>
          <w:highlight w:val="none"/>
        </w:rPr>
        <w:t>一般公共服务（类）支出</w:t>
      </w:r>
      <w:r>
        <w:rPr>
          <w:rFonts w:hint="eastAsia"/>
          <w:szCs w:val="32"/>
          <w:highlight w:val="none"/>
          <w:lang w:val="en-US" w:eastAsia="zh-CN"/>
        </w:rPr>
        <w:t>825.91</w:t>
      </w:r>
      <w:r>
        <w:rPr>
          <w:szCs w:val="32"/>
          <w:highlight w:val="none"/>
        </w:rPr>
        <w:t>万元，占</w:t>
      </w:r>
      <w:r>
        <w:rPr>
          <w:rFonts w:hint="eastAsia"/>
          <w:szCs w:val="32"/>
          <w:highlight w:val="none"/>
          <w:lang w:val="en-US" w:eastAsia="zh-CN"/>
        </w:rPr>
        <w:t>72.3</w:t>
      </w:r>
      <w:r>
        <w:rPr>
          <w:szCs w:val="32"/>
          <w:highlight w:val="none"/>
        </w:rPr>
        <w:t>%，主要用于</w:t>
      </w:r>
      <w:r>
        <w:rPr>
          <w:rFonts w:hint="eastAsia"/>
          <w:szCs w:val="32"/>
          <w:highlight w:val="none"/>
          <w:lang w:eastAsia="zh-CN"/>
        </w:rPr>
        <w:t>保障本单位人员工资发放和机关运行正常开展</w:t>
      </w:r>
      <w:r>
        <w:rPr>
          <w:szCs w:val="32"/>
          <w:highlight w:val="none"/>
        </w:rPr>
        <w:t>。</w:t>
      </w:r>
    </w:p>
    <w:p>
      <w:pPr>
        <w:spacing w:line="520" w:lineRule="exact"/>
        <w:ind w:firstLine="640" w:firstLineChars="200"/>
        <w:rPr>
          <w:szCs w:val="32"/>
        </w:rPr>
      </w:pPr>
      <w:r>
        <w:rPr>
          <w:szCs w:val="32"/>
        </w:rPr>
        <w:t>社会保障和就业（类）支出</w:t>
      </w:r>
      <w:r>
        <w:rPr>
          <w:rFonts w:hint="eastAsia"/>
          <w:szCs w:val="32"/>
          <w:lang w:val="en-US" w:eastAsia="zh-CN"/>
        </w:rPr>
        <w:t>194.50</w:t>
      </w:r>
      <w:r>
        <w:rPr>
          <w:szCs w:val="32"/>
        </w:rPr>
        <w:t>万元，占</w:t>
      </w:r>
      <w:r>
        <w:rPr>
          <w:rFonts w:hint="eastAsia"/>
          <w:szCs w:val="32"/>
          <w:lang w:val="en-US" w:eastAsia="zh-CN"/>
        </w:rPr>
        <w:t>17</w:t>
      </w:r>
      <w:r>
        <w:rPr>
          <w:szCs w:val="32"/>
        </w:rPr>
        <w:t>%，主要用于</w:t>
      </w:r>
      <w:r>
        <w:rPr>
          <w:rFonts w:hint="eastAsia"/>
          <w:szCs w:val="32"/>
          <w:lang w:eastAsia="zh-CN"/>
        </w:rPr>
        <w:t>保障离退休职工生活补贴、取暖补贴及机关事业单位基本养老保险缴费</w:t>
      </w:r>
      <w:r>
        <w:rPr>
          <w:szCs w:val="32"/>
        </w:rPr>
        <w:t>。</w:t>
      </w:r>
    </w:p>
    <w:p>
      <w:pPr>
        <w:spacing w:line="520" w:lineRule="exact"/>
        <w:ind w:firstLine="640" w:firstLineChars="200"/>
        <w:rPr>
          <w:szCs w:val="32"/>
        </w:rPr>
      </w:pPr>
      <w:r>
        <w:rPr>
          <w:rFonts w:hint="eastAsia"/>
          <w:szCs w:val="32"/>
          <w:lang w:eastAsia="zh-CN"/>
        </w:rPr>
        <w:t>卫生健康</w:t>
      </w:r>
      <w:r>
        <w:rPr>
          <w:szCs w:val="32"/>
        </w:rPr>
        <w:t>（类）支出</w:t>
      </w:r>
      <w:r>
        <w:rPr>
          <w:rFonts w:hint="eastAsia"/>
          <w:szCs w:val="32"/>
          <w:lang w:val="en-US" w:eastAsia="zh-CN"/>
        </w:rPr>
        <w:t>48.91</w:t>
      </w:r>
      <w:r>
        <w:rPr>
          <w:szCs w:val="32"/>
        </w:rPr>
        <w:t>万元，占</w:t>
      </w:r>
      <w:r>
        <w:rPr>
          <w:rFonts w:hint="eastAsia"/>
          <w:szCs w:val="32"/>
          <w:lang w:val="en-US" w:eastAsia="zh-CN"/>
        </w:rPr>
        <w:t>4.3</w:t>
      </w:r>
      <w:r>
        <w:rPr>
          <w:szCs w:val="32"/>
        </w:rPr>
        <w:t>%，主要用于</w:t>
      </w:r>
      <w:r>
        <w:rPr>
          <w:rFonts w:hint="eastAsia"/>
          <w:szCs w:val="32"/>
          <w:lang w:eastAsia="zh-CN"/>
        </w:rPr>
        <w:t>缴纳在职及离退休人员基本医疗保险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73.62</w:t>
      </w:r>
      <w:r>
        <w:rPr>
          <w:szCs w:val="32"/>
        </w:rPr>
        <w:t>万元，占</w:t>
      </w:r>
      <w:r>
        <w:rPr>
          <w:rFonts w:hint="eastAsia"/>
          <w:szCs w:val="32"/>
          <w:lang w:val="en-US" w:eastAsia="zh-CN"/>
        </w:rPr>
        <w:t>6.4</w:t>
      </w:r>
      <w:r>
        <w:rPr>
          <w:szCs w:val="32"/>
        </w:rPr>
        <w:t>%，主要用于</w:t>
      </w:r>
      <w:r>
        <w:rPr>
          <w:rFonts w:hint="eastAsia"/>
          <w:szCs w:val="32"/>
          <w:lang w:eastAsia="zh-CN"/>
        </w:rPr>
        <w:t>缴纳在职人员住房公积金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w:t>
      </w:r>
      <w:r>
        <w:rPr>
          <w:color w:val="auto"/>
          <w:szCs w:val="32"/>
        </w:rPr>
        <w:t>出</w:t>
      </w:r>
      <w:r>
        <w:rPr>
          <w:rFonts w:hint="eastAsia"/>
          <w:color w:val="auto"/>
          <w:szCs w:val="32"/>
          <w:lang w:val="en-US" w:eastAsia="zh-CN"/>
        </w:rPr>
        <w:t>969.75</w:t>
      </w:r>
      <w:r>
        <w:rPr>
          <w:szCs w:val="32"/>
        </w:rPr>
        <w:t>万元，其中：</w:t>
      </w:r>
    </w:p>
    <w:p>
      <w:pPr>
        <w:ind w:firstLine="640" w:firstLineChars="200"/>
        <w:rPr>
          <w:kern w:val="0"/>
          <w:szCs w:val="32"/>
        </w:rPr>
      </w:pPr>
      <w:r>
        <w:rPr>
          <w:szCs w:val="32"/>
        </w:rPr>
        <w:t>人员经费</w:t>
      </w:r>
      <w:r>
        <w:rPr>
          <w:rFonts w:hint="eastAsia"/>
          <w:szCs w:val="32"/>
          <w:lang w:val="en-US" w:eastAsia="zh-CN"/>
        </w:rPr>
        <w:t>823.76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kern w:val="0"/>
          <w:szCs w:val="32"/>
          <w:lang w:eastAsia="zh-CN"/>
        </w:rPr>
        <w:t>机关事业单位基本养老保险缴费</w:t>
      </w:r>
      <w:r>
        <w:rPr>
          <w:szCs w:val="32"/>
        </w:rPr>
        <w:t>、</w:t>
      </w:r>
      <w:r>
        <w:rPr>
          <w:rFonts w:hint="eastAsia"/>
          <w:szCs w:val="32"/>
          <w:lang w:eastAsia="zh-CN"/>
        </w:rPr>
        <w:t>职工基本医疗保险缴费、公务员医疗补助缴费、其他社会保障缴费、住房公积金、医疗费、</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lang w:val="en-US" w:eastAsia="zh-CN"/>
        </w:rPr>
        <w:t>145.99</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rFonts w:hint="eastAsia"/>
          <w:szCs w:val="32"/>
        </w:rPr>
        <w:t>劳务费</w:t>
      </w:r>
      <w:r>
        <w:rPr>
          <w:rFonts w:hint="eastAsia"/>
          <w:szCs w:val="32"/>
          <w:lang w:eastAsia="zh-CN"/>
        </w:rPr>
        <w:t>、</w:t>
      </w:r>
      <w:r>
        <w:rPr>
          <w:kern w:val="0"/>
          <w:szCs w:val="32"/>
        </w:rPr>
        <w:t>工会经费、福利费</w:t>
      </w:r>
      <w:r>
        <w:rPr>
          <w:szCs w:val="32"/>
        </w:rPr>
        <w:t>、公</w:t>
      </w:r>
      <w:r>
        <w:rPr>
          <w:kern w:val="0"/>
          <w:szCs w:val="32"/>
        </w:rPr>
        <w:t>务用车运行维护费</w:t>
      </w:r>
      <w:r>
        <w:rPr>
          <w:szCs w:val="32"/>
        </w:rPr>
        <w:t>、</w:t>
      </w:r>
      <w:r>
        <w:rPr>
          <w:rFonts w:hint="eastAsia"/>
          <w:kern w:val="0"/>
          <w:szCs w:val="32"/>
        </w:rPr>
        <w:t>其他交通费用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3.83</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0.73</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0.50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0.73</w:t>
      </w:r>
      <w:r>
        <w:rPr>
          <w:szCs w:val="32"/>
        </w:rPr>
        <w:t>万元，主要原因是</w:t>
      </w:r>
      <w:r>
        <w:rPr>
          <w:rFonts w:hint="eastAsia"/>
          <w:szCs w:val="32"/>
          <w:lang w:eastAsia="zh-CN"/>
        </w:rPr>
        <w:t>落实过紧日子原则，减少公务接待费支出。</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3.33</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3.33</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jc w:val="both"/>
        <w:rPr>
          <w:rFonts w:eastAsia="楷体"/>
          <w:szCs w:val="32"/>
        </w:rPr>
      </w:pPr>
      <w:r>
        <w:rPr>
          <w:rFonts w:hint="eastAsia"/>
          <w:szCs w:val="32"/>
          <w:lang w:val="en-US"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jc w:val="both"/>
        <w:rPr>
          <w:rFonts w:eastAsia="楷体"/>
          <w:szCs w:val="32"/>
        </w:rPr>
      </w:pPr>
      <w:r>
        <w:rPr>
          <w:rFonts w:hint="eastAsia"/>
          <w:szCs w:val="32"/>
          <w:lang w:val="en-US"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145.99</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13.61</w:t>
      </w:r>
      <w:r>
        <w:rPr>
          <w:szCs w:val="32"/>
        </w:rPr>
        <w:t>万元，下降</w:t>
      </w:r>
      <w:r>
        <w:rPr>
          <w:rFonts w:hint="eastAsia"/>
          <w:szCs w:val="32"/>
          <w:lang w:val="en-US" w:eastAsia="zh-CN"/>
        </w:rPr>
        <w:t>8.5</w:t>
      </w:r>
      <w:r>
        <w:rPr>
          <w:szCs w:val="32"/>
        </w:rPr>
        <w:t>%</w:t>
      </w:r>
      <w:r>
        <w:rPr>
          <w:rFonts w:hint="eastAsia"/>
          <w:szCs w:val="32"/>
        </w:rPr>
        <w:t>，主要原因是</w:t>
      </w:r>
      <w:r>
        <w:rPr>
          <w:rFonts w:hint="eastAsia"/>
          <w:szCs w:val="32"/>
          <w:lang w:eastAsia="zh-CN"/>
        </w:rPr>
        <w:t>按照财政要求压减本年公用经费</w:t>
      </w:r>
      <w:r>
        <w:rPr>
          <w:rFonts w:hint="eastAsia"/>
          <w:szCs w:val="32"/>
          <w:lang w:val="en-US" w:eastAsia="zh-CN"/>
        </w:rPr>
        <w:t>，致使本年机关运行经费较2023年减少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rPr>
      </w:pPr>
      <w:r>
        <w:rPr>
          <w:rFonts w:hint="eastAsia"/>
          <w:szCs w:val="32"/>
        </w:rPr>
        <w:t>本单位无政府采购预算安排。</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本单位</w:t>
      </w:r>
      <w:r>
        <w:rPr>
          <w:rFonts w:hint="eastAsia"/>
          <w:szCs w:val="32"/>
        </w:rPr>
        <w:t>共有车辆</w:t>
      </w:r>
      <w:r>
        <w:rPr>
          <w:rFonts w:hint="eastAsia"/>
          <w:szCs w:val="32"/>
          <w:lang w:val="en-US" w:eastAsia="zh-CN"/>
        </w:rPr>
        <w:t>1</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173.20</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168.78</w:t>
      </w:r>
      <w:r>
        <w:rPr>
          <w:szCs w:val="32"/>
        </w:rPr>
        <w:t>万元，</w:t>
      </w:r>
      <w:r>
        <w:rPr>
          <w:rFonts w:hint="eastAsia"/>
          <w:szCs w:val="32"/>
        </w:rPr>
        <w:t>财政拨款结转</w:t>
      </w:r>
      <w:r>
        <w:rPr>
          <w:rFonts w:hint="eastAsia"/>
          <w:szCs w:val="32"/>
          <w:lang w:val="en-US" w:eastAsia="zh-CN"/>
        </w:rPr>
        <w:t>4.42</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szCs w:val="32"/>
          <w:lang w:val="en-US" w:eastAsia="zh-CN"/>
        </w:rPr>
        <w:t>168.78</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E0086"/>
    <w:multiLevelType w:val="singleLevel"/>
    <w:tmpl w:val="128E0086"/>
    <w:lvl w:ilvl="0" w:tentative="0">
      <w:start w:val="1"/>
      <w:numFmt w:val="decimal"/>
      <w:suff w:val="nothing"/>
      <w:lvlText w:val="%1、"/>
      <w:lvlJc w:val="left"/>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2RhNmRjMjBlMjY1ZDc0ZTY1NDVjNThjMWUwYm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B475FB"/>
    <w:rsid w:val="02C44267"/>
    <w:rsid w:val="031D7D4B"/>
    <w:rsid w:val="03423E72"/>
    <w:rsid w:val="037F2004"/>
    <w:rsid w:val="0486486A"/>
    <w:rsid w:val="048D195A"/>
    <w:rsid w:val="04954460"/>
    <w:rsid w:val="04B818D1"/>
    <w:rsid w:val="050D06DA"/>
    <w:rsid w:val="05310B72"/>
    <w:rsid w:val="05513E94"/>
    <w:rsid w:val="056F5A6D"/>
    <w:rsid w:val="059B3770"/>
    <w:rsid w:val="063949A0"/>
    <w:rsid w:val="06BD5BC7"/>
    <w:rsid w:val="06F008FF"/>
    <w:rsid w:val="079E5032"/>
    <w:rsid w:val="08D24E58"/>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4277E5"/>
    <w:rsid w:val="0F980230"/>
    <w:rsid w:val="0FD62F63"/>
    <w:rsid w:val="0FDE2A27"/>
    <w:rsid w:val="10AE7F82"/>
    <w:rsid w:val="10C93B35"/>
    <w:rsid w:val="11177619"/>
    <w:rsid w:val="112605C8"/>
    <w:rsid w:val="11A6707B"/>
    <w:rsid w:val="11B35B2F"/>
    <w:rsid w:val="12E711B7"/>
    <w:rsid w:val="131316DD"/>
    <w:rsid w:val="13427DB4"/>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025C2A"/>
    <w:rsid w:val="19132BE0"/>
    <w:rsid w:val="191F4716"/>
    <w:rsid w:val="194E1E2A"/>
    <w:rsid w:val="1954649C"/>
    <w:rsid w:val="1A817DF8"/>
    <w:rsid w:val="1A8A6135"/>
    <w:rsid w:val="1ADC594E"/>
    <w:rsid w:val="1AEB5252"/>
    <w:rsid w:val="1B8A03E4"/>
    <w:rsid w:val="1B9C1459"/>
    <w:rsid w:val="1C852172"/>
    <w:rsid w:val="1CA40C0C"/>
    <w:rsid w:val="1CFF4A32"/>
    <w:rsid w:val="1D06097E"/>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0D202F"/>
    <w:rsid w:val="27B04AB3"/>
    <w:rsid w:val="27E60399"/>
    <w:rsid w:val="282C3BA1"/>
    <w:rsid w:val="28A63332"/>
    <w:rsid w:val="28C96E8E"/>
    <w:rsid w:val="29C45F24"/>
    <w:rsid w:val="2CF47F19"/>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3E071A7"/>
    <w:rsid w:val="34555AF5"/>
    <w:rsid w:val="34D6004E"/>
    <w:rsid w:val="34FF687B"/>
    <w:rsid w:val="35041886"/>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EA67CE"/>
    <w:rsid w:val="3DF23324"/>
    <w:rsid w:val="3E720C9E"/>
    <w:rsid w:val="3EA14040"/>
    <w:rsid w:val="3EE8108D"/>
    <w:rsid w:val="3F8201A3"/>
    <w:rsid w:val="402675EA"/>
    <w:rsid w:val="40B80EFF"/>
    <w:rsid w:val="41A35364"/>
    <w:rsid w:val="41C31686"/>
    <w:rsid w:val="41C837BC"/>
    <w:rsid w:val="421643AC"/>
    <w:rsid w:val="4278779D"/>
    <w:rsid w:val="42982B4E"/>
    <w:rsid w:val="429F5D0C"/>
    <w:rsid w:val="42D83665"/>
    <w:rsid w:val="434A6B47"/>
    <w:rsid w:val="436B1E42"/>
    <w:rsid w:val="439E43F5"/>
    <w:rsid w:val="43F734FA"/>
    <w:rsid w:val="445C3466"/>
    <w:rsid w:val="456D114B"/>
    <w:rsid w:val="45EB670F"/>
    <w:rsid w:val="46AB7C0D"/>
    <w:rsid w:val="46D44808"/>
    <w:rsid w:val="46ED776B"/>
    <w:rsid w:val="479D2523"/>
    <w:rsid w:val="47CF49E6"/>
    <w:rsid w:val="48674ED2"/>
    <w:rsid w:val="487708E6"/>
    <w:rsid w:val="48B540F2"/>
    <w:rsid w:val="493F6F72"/>
    <w:rsid w:val="49645F71"/>
    <w:rsid w:val="499F5C68"/>
    <w:rsid w:val="4A404346"/>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760AC1"/>
    <w:rsid w:val="50987DC2"/>
    <w:rsid w:val="50A4703E"/>
    <w:rsid w:val="51282B99"/>
    <w:rsid w:val="5136104F"/>
    <w:rsid w:val="51465EDE"/>
    <w:rsid w:val="52071113"/>
    <w:rsid w:val="52085509"/>
    <w:rsid w:val="522774C4"/>
    <w:rsid w:val="522A7431"/>
    <w:rsid w:val="525A440D"/>
    <w:rsid w:val="52626449"/>
    <w:rsid w:val="5377480B"/>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4FE6FD1"/>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F21646"/>
    <w:rsid w:val="714213DD"/>
    <w:rsid w:val="717F272E"/>
    <w:rsid w:val="72783A23"/>
    <w:rsid w:val="728027C6"/>
    <w:rsid w:val="73D62FA6"/>
    <w:rsid w:val="73FE7ACC"/>
    <w:rsid w:val="74556746"/>
    <w:rsid w:val="74743258"/>
    <w:rsid w:val="761B13C4"/>
    <w:rsid w:val="76356B33"/>
    <w:rsid w:val="764B6A8A"/>
    <w:rsid w:val="76C17E06"/>
    <w:rsid w:val="76CA67BD"/>
    <w:rsid w:val="774E6400"/>
    <w:rsid w:val="775B0046"/>
    <w:rsid w:val="77925931"/>
    <w:rsid w:val="78C7785D"/>
    <w:rsid w:val="79700BEF"/>
    <w:rsid w:val="798D552B"/>
    <w:rsid w:val="7A090695"/>
    <w:rsid w:val="7A1D5951"/>
    <w:rsid w:val="7AE175F4"/>
    <w:rsid w:val="7B2965AD"/>
    <w:rsid w:val="7B417685"/>
    <w:rsid w:val="7B5220F0"/>
    <w:rsid w:val="7BA169C0"/>
    <w:rsid w:val="7BC55243"/>
    <w:rsid w:val="7BE35C58"/>
    <w:rsid w:val="7C2F4A9A"/>
    <w:rsid w:val="7CAD595B"/>
    <w:rsid w:val="7CF65D07"/>
    <w:rsid w:val="7D2975D1"/>
    <w:rsid w:val="7D2F3083"/>
    <w:rsid w:val="7D906046"/>
    <w:rsid w:val="7DCC0CD6"/>
    <w:rsid w:val="7FEA3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26</Pages>
  <Words>7102</Words>
  <Characters>8668</Characters>
  <Lines>71</Lines>
  <Paragraphs>20</Paragraphs>
  <TotalTime>7</TotalTime>
  <ScaleCrop>false</ScaleCrop>
  <LinksUpToDate>false</LinksUpToDate>
  <CharactersWithSpaces>9242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孜圩</cp:lastModifiedBy>
  <cp:lastPrinted>2024-01-23T03:39:00Z</cp:lastPrinted>
  <dcterms:modified xsi:type="dcterms:W3CDTF">2024-02-26T01:50:31Z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DE75725ED4E746A2B5ACDD04F5DD2B7E_13</vt:lpwstr>
  </property>
</Properties>
</file>