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eastAsia="黑体"/>
          <w:lang w:val="en-US" w:eastAsia="zh-CN"/>
        </w:rPr>
      </w:pPr>
      <w:r>
        <w:rPr>
          <w:rFonts w:hint="eastAsia" w:eastAsia="黑体"/>
          <w:lang w:val="en-US" w:eastAsia="zh-CN"/>
        </w:rPr>
        <w:t xml:space="preserve"> </w:t>
      </w:r>
    </w:p>
    <w:p>
      <w:pPr>
        <w:spacing w:line="700" w:lineRule="exact"/>
        <w:rPr>
          <w:rFonts w:hint="eastAsia" w:eastAsia="黑体"/>
          <w:lang w:val="en-US" w:eastAsia="zh-CN"/>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lang w:eastAsia="zh-CN"/>
        </w:rPr>
      </w:pPr>
      <w:r>
        <w:rPr>
          <w:rFonts w:hint="eastAsia" w:eastAsia="方正小标宋简体"/>
          <w:sz w:val="44"/>
          <w:szCs w:val="44"/>
          <w:lang w:eastAsia="zh-CN"/>
        </w:rPr>
        <w:t>吉林市统计局城市社会经济调查队</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（一）负责全市城市社会经济抽样调查和专项调查。</w:t>
      </w:r>
    </w:p>
    <w:p>
      <w:pPr>
        <w:ind w:firstLine="640" w:firstLineChars="200"/>
        <w:rPr>
          <w:rFonts w:hint="eastAsia"/>
          <w:color w:val="000000"/>
          <w:szCs w:val="32"/>
        </w:rPr>
      </w:pPr>
      <w:r>
        <w:rPr>
          <w:rFonts w:hint="eastAsia"/>
          <w:color w:val="000000"/>
          <w:szCs w:val="32"/>
        </w:rPr>
        <w:t>（二）负责统计调查数据的收集、汇总、整理、分析和预</w:t>
      </w:r>
    </w:p>
    <w:p>
      <w:pPr>
        <w:rPr>
          <w:rFonts w:hint="eastAsia"/>
          <w:color w:val="000000"/>
          <w:szCs w:val="32"/>
        </w:rPr>
      </w:pPr>
      <w:r>
        <w:rPr>
          <w:rFonts w:hint="eastAsia"/>
          <w:color w:val="000000"/>
          <w:szCs w:val="32"/>
        </w:rPr>
        <w:t>测。</w:t>
      </w:r>
    </w:p>
    <w:p>
      <w:pPr>
        <w:ind w:firstLine="640" w:firstLineChars="200"/>
      </w:pPr>
      <w:r>
        <w:rPr>
          <w:rFonts w:eastAsia="楷体_GB2312"/>
        </w:rPr>
        <w:t>二、机构设置</w:t>
      </w:r>
    </w:p>
    <w:p>
      <w:pPr>
        <w:pStyle w:val="48"/>
        <w:ind w:firstLine="640" w:firstLineChars="200"/>
        <w:rPr>
          <w:rFonts w:hint="eastAsia" w:eastAsia="仿宋_GB2312"/>
        </w:rPr>
      </w:pPr>
      <w:r>
        <w:rPr>
          <w:rFonts w:hint="eastAsia" w:eastAsia="仿宋_GB2312"/>
        </w:rPr>
        <w:t>根据机构编制管理有关规定，吉林市统计局城市社会经济</w:t>
      </w:r>
    </w:p>
    <w:p>
      <w:pPr>
        <w:pStyle w:val="48"/>
        <w:rPr>
          <w:rFonts w:hint="eastAsia" w:eastAsia="仿宋_GB2312"/>
        </w:rPr>
      </w:pPr>
      <w:r>
        <w:rPr>
          <w:rFonts w:hint="eastAsia" w:eastAsia="仿宋_GB2312"/>
        </w:rPr>
        <w:t>调查队不设置内设机构。</w:t>
      </w:r>
    </w:p>
    <w:p>
      <w:pPr>
        <w:pStyle w:val="48"/>
        <w:ind w:firstLine="640" w:firstLineChars="200"/>
        <w:rPr>
          <w:rFonts w:eastAsia="楷体"/>
        </w:rPr>
      </w:pPr>
      <w:r>
        <w:rPr>
          <w:rFonts w:hint="eastAsia" w:eastAsia="仿宋_GB2312"/>
        </w:rPr>
        <w:t>无下设预算单位。</w:t>
      </w: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87.03</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81.41</w:t>
            </w: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r>
              <w:rPr>
                <w:rFonts w:hint="eastAsia" w:eastAsia="宋体"/>
                <w:kern w:val="0"/>
                <w:sz w:val="20"/>
              </w:rPr>
              <w:t>5.62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r>
              <w:rPr>
                <w:rFonts w:hint="eastAsia" w:eastAsia="宋体"/>
                <w:color w:val="000000"/>
                <w:kern w:val="0"/>
                <w:sz w:val="20"/>
              </w:rPr>
              <w:t>67.52</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62.93</w:t>
            </w: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4.59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87.03</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81.41</w:t>
            </w:r>
          </w:p>
        </w:tc>
        <w:tc>
          <w:tcPr>
            <w:tcW w:w="1134" w:type="dxa"/>
            <w:tcBorders>
              <w:top w:val="nil"/>
              <w:left w:val="single" w:color="auto" w:sz="4" w:space="0"/>
              <w:bottom w:val="single" w:color="auto" w:sz="4" w:space="0"/>
              <w:right w:val="nil"/>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5.62</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eastAsia="宋体"/>
                <w:color w:val="000000"/>
                <w:kern w:val="0"/>
                <w:sz w:val="20"/>
                <w:lang w:val="en-US" w:eastAsia="zh-CN"/>
              </w:rPr>
            </w:pPr>
            <w:r>
              <w:rPr>
                <w:rFonts w:hint="eastAsia" w:eastAsia="宋体"/>
                <w:color w:val="000000"/>
                <w:kern w:val="0"/>
                <w:sz w:val="20"/>
              </w:rPr>
              <w:t>8.7</w:t>
            </w:r>
            <w:r>
              <w:rPr>
                <w:rFonts w:hint="eastAsia" w:eastAsia="宋体"/>
                <w:color w:val="000000"/>
                <w:kern w:val="0"/>
                <w:sz w:val="20"/>
                <w:lang w:val="en-US" w:eastAsia="zh-CN"/>
              </w:rPr>
              <w:t>0</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7.68</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1.02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eastAsia="宋体"/>
                <w:color w:val="000000"/>
                <w:kern w:val="0"/>
                <w:sz w:val="20"/>
              </w:rPr>
            </w:pPr>
            <w:r>
              <w:rPr>
                <w:rFonts w:hint="eastAsia" w:eastAsia="宋体"/>
                <w:color w:val="000000"/>
                <w:kern w:val="0"/>
                <w:sz w:val="20"/>
              </w:rPr>
              <w:t>3.54</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3.54</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sz w:val="20"/>
                <w:lang w:eastAsia="zh-CN"/>
              </w:rPr>
              <w:t>四</w:t>
            </w:r>
            <w:r>
              <w:rPr>
                <w:rFonts w:eastAsia="宋体"/>
                <w:color w:val="000000"/>
                <w:sz w:val="20"/>
              </w:rPr>
              <w:t>、</w:t>
            </w:r>
            <w:r>
              <w:rPr>
                <w:rFonts w:hint="eastAsia" w:eastAsia="宋体"/>
                <w:color w:val="00000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eastAsia="宋体"/>
                <w:color w:val="000000"/>
                <w:kern w:val="0"/>
                <w:sz w:val="20"/>
              </w:rPr>
            </w:pPr>
            <w:r>
              <w:rPr>
                <w:rFonts w:hint="eastAsia" w:eastAsia="宋体"/>
                <w:color w:val="000000"/>
                <w:kern w:val="0"/>
                <w:sz w:val="20"/>
              </w:rPr>
              <w:t>7.26</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7.26</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87.03</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81.41</w:t>
            </w:r>
          </w:p>
        </w:tc>
        <w:tc>
          <w:tcPr>
            <w:tcW w:w="1134" w:type="dxa"/>
            <w:tcBorders>
              <w:top w:val="nil"/>
              <w:left w:val="single" w:color="auto" w:sz="4" w:space="0"/>
              <w:bottom w:val="single" w:color="auto" w:sz="4" w:space="0"/>
              <w:right w:val="nil"/>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5.62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87.03</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81.41</w:t>
            </w:r>
          </w:p>
        </w:tc>
        <w:tc>
          <w:tcPr>
            <w:tcW w:w="1158"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5.62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87.03</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81.41</w:t>
            </w:r>
          </w:p>
        </w:tc>
        <w:tc>
          <w:tcPr>
            <w:tcW w:w="1134" w:type="dxa"/>
            <w:tcBorders>
              <w:top w:val="nil"/>
              <w:left w:val="single" w:color="auto" w:sz="4" w:space="0"/>
              <w:bottom w:val="single" w:color="auto" w:sz="4" w:space="0"/>
              <w:right w:val="nil"/>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5.62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87.03</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81.41</w:t>
            </w:r>
          </w:p>
        </w:tc>
        <w:tc>
          <w:tcPr>
            <w:tcW w:w="1158"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5.62</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003" w:type="dxa"/>
        <w:jc w:val="center"/>
        <w:tblLayout w:type="fixed"/>
        <w:tblCellMar>
          <w:top w:w="0" w:type="dxa"/>
          <w:left w:w="108" w:type="dxa"/>
          <w:bottom w:w="0" w:type="dxa"/>
          <w:right w:w="108" w:type="dxa"/>
        </w:tblCellMar>
      </w:tblPr>
      <w:tblGrid>
        <w:gridCol w:w="1382"/>
        <w:gridCol w:w="826"/>
        <w:gridCol w:w="798"/>
        <w:gridCol w:w="848"/>
        <w:gridCol w:w="339"/>
        <w:gridCol w:w="378"/>
        <w:gridCol w:w="326"/>
        <w:gridCol w:w="356"/>
        <w:gridCol w:w="375"/>
        <w:gridCol w:w="352"/>
        <w:gridCol w:w="378"/>
        <w:gridCol w:w="326"/>
        <w:gridCol w:w="691"/>
        <w:gridCol w:w="720"/>
        <w:gridCol w:w="236"/>
        <w:gridCol w:w="194"/>
        <w:gridCol w:w="457"/>
        <w:gridCol w:w="509"/>
        <w:gridCol w:w="438"/>
        <w:gridCol w:w="74"/>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val="0"/>
            <w:vAlign w:val="top"/>
          </w:tcPr>
          <w:p>
            <w:pPr>
              <w:autoSpaceDN w:val="0"/>
              <w:jc w:val="left"/>
              <w:textAlignment w:val="center"/>
              <w:rPr>
                <w:rFonts w:eastAsia="华文细黑"/>
                <w:color w:val="000000"/>
                <w:sz w:val="20"/>
              </w:rPr>
            </w:pPr>
          </w:p>
        </w:tc>
        <w:tc>
          <w:tcPr>
            <w:tcW w:w="3871"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1105" w:type="dxa"/>
            <w:gridSpan w:val="3"/>
            <w:noWrap w:val="0"/>
            <w:vAlign w:val="center"/>
          </w:tcPr>
          <w:p>
            <w:pPr>
              <w:autoSpaceDN w:val="0"/>
              <w:jc w:val="left"/>
              <w:textAlignment w:val="center"/>
              <w:rPr>
                <w:rFonts w:eastAsia="华文细黑"/>
                <w:color w:val="000000"/>
                <w:sz w:val="20"/>
              </w:rPr>
            </w:pPr>
          </w:p>
        </w:tc>
        <w:tc>
          <w:tcPr>
            <w:tcW w:w="326" w:type="dxa"/>
            <w:noWrap w:val="0"/>
            <w:vAlign w:val="center"/>
          </w:tcPr>
          <w:p>
            <w:pPr>
              <w:autoSpaceDN w:val="0"/>
              <w:jc w:val="left"/>
              <w:textAlignment w:val="center"/>
              <w:rPr>
                <w:rFonts w:eastAsia="华文细黑"/>
                <w:color w:val="000000"/>
                <w:sz w:val="20"/>
              </w:rPr>
            </w:pPr>
          </w:p>
        </w:tc>
        <w:tc>
          <w:tcPr>
            <w:tcW w:w="1411"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74" w:type="dxa"/>
          <w:trHeight w:val="517" w:hRule="atLeast"/>
          <w:jc w:val="center"/>
        </w:trPr>
        <w:tc>
          <w:tcPr>
            <w:tcW w:w="138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2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476"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245"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74" w:type="dxa"/>
          <w:trHeight w:val="517" w:hRule="atLeast"/>
          <w:jc w:val="center"/>
        </w:trPr>
        <w:tc>
          <w:tcPr>
            <w:tcW w:w="138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2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98"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6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26"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87"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91"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07"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47"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74"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4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39"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26"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2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9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57"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50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74"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吉林市统计局城市社会经济调查队</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87.03</w:t>
            </w: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81.41</w:t>
            </w:r>
          </w:p>
        </w:tc>
        <w:tc>
          <w:tcPr>
            <w:tcW w:w="8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81.41</w:t>
            </w:r>
          </w:p>
        </w:tc>
        <w:tc>
          <w:tcPr>
            <w:tcW w:w="33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5.62</w:t>
            </w: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5.62</w:t>
            </w: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74"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74"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74"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74"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87.03</w:t>
            </w: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81.41</w:t>
            </w:r>
          </w:p>
        </w:tc>
        <w:tc>
          <w:tcPr>
            <w:tcW w:w="8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81.41</w:t>
            </w:r>
          </w:p>
        </w:tc>
        <w:tc>
          <w:tcPr>
            <w:tcW w:w="33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2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6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5.62</w:t>
            </w: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5.62</w:t>
            </w: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67.52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67.52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67.52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67.52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67.52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67.52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8.7</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8.7</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8.7</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8.7</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8.7</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8.7</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w:t>
                  </w:r>
                  <w:r>
                    <w:rPr>
                      <w:rFonts w:hint="eastAsia" w:eastAsia="宋体"/>
                      <w:color w:val="000000"/>
                      <w:kern w:val="0"/>
                      <w:sz w:val="20"/>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3.54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3.54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3.54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3.54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3.54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3.54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7.26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7.26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7.26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7.26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7.26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7.26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87.02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87.02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87.03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81.41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5.62</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87.03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81.41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szCs w:val="22"/>
                    </w:rPr>
                  </w:pPr>
                  <w:r>
                    <w:rPr>
                      <w:rFonts w:hint="eastAsia" w:eastAsia="宋体"/>
                      <w:kern w:val="0"/>
                      <w:sz w:val="20"/>
                      <w:szCs w:val="22"/>
                    </w:rPr>
                    <w:t>5.62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87.03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81.41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5.62</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67.52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62.93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4.59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8.7</w:t>
                  </w:r>
                  <w:r>
                    <w:rPr>
                      <w:rFonts w:hint="eastAsia" w:eastAsia="宋体"/>
                      <w:kern w:val="0"/>
                      <w:sz w:val="20"/>
                      <w:lang w:val="en-US" w:eastAsia="zh-CN"/>
                    </w:rPr>
                    <w:t>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7.68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1.02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3.54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3.54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（四）</w:t>
                  </w:r>
                  <w:r>
                    <w:rPr>
                      <w:rFonts w:hint="eastAsia" w:eastAsia="宋体"/>
                      <w:color w:val="00000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7.26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7.26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87.03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81.41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5.62</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87.03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81.41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5.62</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51.25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16.27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67.52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67.52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51.25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16.27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67.52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67.52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51.25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16.27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8.7</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8.7</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8.7</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8.7</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8.7</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8.7</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8.7</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8.7</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8.7</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3.54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3.54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3.54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3.54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3.54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3.54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3.54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3.54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3.54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87.02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87.02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70.75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16.27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4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70.52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70.52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22.88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22.88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13.56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13.56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12.85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12.85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eastAsia" w:eastAsia="宋体"/>
                <w:kern w:val="0"/>
                <w:sz w:val="20"/>
              </w:rPr>
              <w:t>8.7</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8.7</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2.73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2.73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0.74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0.74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0.66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0.66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7.26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7.26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eastAsia" w:eastAsia="宋体"/>
                <w:kern w:val="0"/>
                <w:sz w:val="20"/>
              </w:rPr>
              <w:t>0.4</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0.4</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0.74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0.74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16.27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16.27</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3.51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3.51</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印刷费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1.76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1.76</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1.35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1.39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1.39</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0.74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0.74</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2.77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2.77</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3.30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1.45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1.45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eastAsia="宋体"/>
                <w:color w:val="000000"/>
                <w:sz w:val="20"/>
              </w:rPr>
            </w:pPr>
            <w:r>
              <w:rPr>
                <w:rFonts w:hint="eastAsia" w:eastAsia="宋体"/>
                <w:color w:val="000000"/>
                <w:sz w:val="20"/>
                <w:lang w:eastAsia="zh-CN"/>
              </w:rPr>
              <w:t>三、</w:t>
            </w:r>
            <w:r>
              <w:rPr>
                <w:rFonts w:hint="eastAsia" w:eastAsia="宋体"/>
                <w:color w:val="000000"/>
                <w:sz w:val="20"/>
              </w:rPr>
              <w:t>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0.23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0.23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0.23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0.23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r>
    </w:tbl>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560" w:firstLineChars="200"/>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numPr>
                <w:ilvl w:val="0"/>
                <w:numId w:val="1"/>
              </w:numPr>
              <w:ind w:firstLine="1120" w:firstLineChars="400"/>
              <w:jc w:val="both"/>
              <w:rPr>
                <w:rFonts w:hint="eastAsia"/>
                <w:color w:val="000000"/>
                <w:kern w:val="0"/>
                <w:sz w:val="28"/>
                <w:szCs w:val="28"/>
                <w:lang w:val="en-US" w:eastAsia="zh-CN"/>
              </w:rPr>
            </w:pPr>
            <w:r>
              <w:rPr>
                <w:rFonts w:hint="eastAsia"/>
                <w:color w:val="000000"/>
                <w:kern w:val="0"/>
                <w:sz w:val="28"/>
                <w:szCs w:val="28"/>
                <w:lang w:val="en-US" w:eastAsia="zh-CN"/>
              </w:rPr>
              <w:t>“2024年预算数”的单位范围包括 1 个预算单位。</w:t>
            </w:r>
          </w:p>
          <w:p>
            <w:pPr>
              <w:widowControl/>
              <w:ind w:firstLine="1120" w:firstLineChars="400"/>
              <w:jc w:val="both"/>
              <w:rPr>
                <w:rFonts w:hint="eastAsia" w:eastAsia="仿宋_GB2312"/>
                <w:color w:val="000000"/>
                <w:kern w:val="0"/>
                <w:sz w:val="28"/>
                <w:szCs w:val="28"/>
                <w:lang w:val="en-US" w:eastAsia="zh-CN"/>
              </w:rPr>
            </w:pPr>
            <w:r>
              <w:rPr>
                <w:rFonts w:hint="eastAsia"/>
                <w:color w:val="000000"/>
                <w:kern w:val="0"/>
                <w:sz w:val="28"/>
                <w:szCs w:val="28"/>
                <w:lang w:val="en-US" w:eastAsia="zh-CN"/>
              </w:rPr>
              <w:t>2、“2024年预算数”的实有人员5人，其中：在职人员5人,离退休人员0人</w:t>
            </w:r>
            <w:bookmarkStart w:id="0" w:name="_GoBack"/>
            <w:bookmarkEnd w:id="0"/>
            <w:r>
              <w:rPr>
                <w:rFonts w:hint="eastAsia"/>
                <w:color w:val="000000"/>
                <w:kern w:val="0"/>
                <w:sz w:val="28"/>
                <w:szCs w:val="28"/>
                <w:lang w:val="en-US" w:eastAsia="zh-CN"/>
              </w:rPr>
              <w:t>。</w:t>
            </w:r>
          </w:p>
        </w:tc>
      </w:tr>
    </w:tbl>
    <w:p>
      <w:pPr>
        <w:ind w:firstLine="640" w:firstLineChars="200"/>
        <w:rPr>
          <w:rFonts w:hAnsi="楷体" w:eastAsia="楷体"/>
        </w:rPr>
      </w:pPr>
    </w:p>
    <w:p>
      <w:pPr>
        <w:ind w:firstLine="640" w:firstLineChars="200"/>
        <w:rPr>
          <w:rFonts w:hAnsi="楷体" w:eastAsia="楷体"/>
        </w:rPr>
      </w:pPr>
    </w:p>
    <w:p>
      <w:pPr>
        <w:rPr>
          <w:rFonts w:hAnsi="楷体" w:eastAsia="楷体"/>
        </w:rPr>
      </w:pPr>
    </w:p>
    <w:p>
      <w:pPr>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625"/>
        <w:gridCol w:w="540"/>
        <w:gridCol w:w="527"/>
        <w:gridCol w:w="527"/>
        <w:gridCol w:w="528"/>
        <w:gridCol w:w="552"/>
        <w:gridCol w:w="540"/>
        <w:gridCol w:w="468"/>
        <w:gridCol w:w="552"/>
        <w:gridCol w:w="504"/>
        <w:gridCol w:w="6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5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0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25"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54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674"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758"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2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4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82"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552"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4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524"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234"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5" w:type="dxa"/>
            <w:vMerge w:val="continue"/>
            <w:noWrap w:val="0"/>
            <w:vAlign w:val="center"/>
          </w:tcPr>
          <w:p>
            <w:pPr>
              <w:autoSpaceDN w:val="0"/>
              <w:jc w:val="center"/>
              <w:textAlignment w:val="center"/>
              <w:rPr>
                <w:rFonts w:ascii="Calibri" w:hAnsi="Calibri" w:eastAsia="华文细黑"/>
                <w:color w:val="000000"/>
                <w:sz w:val="20"/>
                <w:szCs w:val="22"/>
              </w:rPr>
            </w:pPr>
          </w:p>
        </w:tc>
        <w:tc>
          <w:tcPr>
            <w:tcW w:w="540" w:type="dxa"/>
            <w:vMerge w:val="continue"/>
            <w:noWrap w:val="0"/>
            <w:vAlign w:val="center"/>
          </w:tcPr>
          <w:p>
            <w:pPr>
              <w:autoSpaceDN w:val="0"/>
              <w:jc w:val="center"/>
              <w:textAlignment w:val="center"/>
              <w:rPr>
                <w:rFonts w:ascii="Calibri" w:hAnsi="Calibri" w:eastAsia="华文细黑"/>
                <w:color w:val="000000"/>
                <w:sz w:val="20"/>
                <w:szCs w:val="22"/>
              </w:rPr>
            </w:pPr>
          </w:p>
        </w:tc>
        <w:tc>
          <w:tcPr>
            <w:tcW w:w="52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27"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52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55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4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6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52"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04"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68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54"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ascii="Calibri" w:hAnsi="Calibri" w:eastAsia="华文细黑"/>
                <w:color w:val="000000"/>
                <w:sz w:val="20"/>
                <w:szCs w:val="2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pPr>
    </w:p>
    <w:p>
      <w:pPr>
        <w:ind w:firstLine="640" w:firstLineChars="200"/>
        <w:rPr>
          <w:rFonts w:hAnsi="楷体" w:eastAsia="楷体"/>
        </w:rPr>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ascii="楷体" w:hAnsi="楷体" w:eastAsia="楷体" w:cs="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hint="eastAsia"/>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lang w:eastAsia="zh-CN"/>
        </w:rPr>
        <w:t>卫生健康</w:t>
      </w:r>
      <w:r>
        <w:rPr>
          <w:szCs w:val="32"/>
        </w:rPr>
        <w:t>支出、住房保障支出等。20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87.03</w:t>
      </w:r>
      <w:r>
        <w:rPr>
          <w:szCs w:val="32"/>
        </w:rPr>
        <w:t>万元</w:t>
      </w:r>
      <w:r>
        <w:rPr>
          <w:rFonts w:hint="eastAsia"/>
          <w:szCs w:val="32"/>
          <w:lang w:eastAsia="zh-CN"/>
        </w:rPr>
        <w:t>，其中：本年预算</w:t>
      </w:r>
      <w:r>
        <w:rPr>
          <w:rFonts w:hint="eastAsia"/>
          <w:szCs w:val="32"/>
          <w:lang w:val="en-US" w:eastAsia="zh-CN"/>
        </w:rPr>
        <w:t>81.41</w:t>
      </w:r>
      <w:r>
        <w:rPr>
          <w:rFonts w:hint="eastAsia"/>
          <w:szCs w:val="32"/>
          <w:lang w:eastAsia="zh-CN"/>
        </w:rPr>
        <w:t>万元；上年结转</w:t>
      </w:r>
      <w:r>
        <w:rPr>
          <w:rFonts w:hint="eastAsia"/>
          <w:szCs w:val="32"/>
          <w:lang w:val="en-US" w:eastAsia="zh-CN"/>
        </w:rPr>
        <w:t>5.62</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1.36</w:t>
      </w:r>
      <w:r>
        <w:rPr>
          <w:szCs w:val="32"/>
        </w:rPr>
        <w:t>万元，主要原因是</w:t>
      </w:r>
      <w:r>
        <w:rPr>
          <w:rFonts w:hint="eastAsia"/>
          <w:szCs w:val="32"/>
        </w:rPr>
        <w:t>人员工资调整，相应人员经费增加，致使 2023 年预算增加。</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eastAsia="仿宋_GB2312"/>
          <w:szCs w:val="32"/>
          <w:lang w:val="en-US" w:eastAsia="zh-CN"/>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87.03</w:t>
      </w:r>
      <w:r>
        <w:rPr>
          <w:szCs w:val="32"/>
        </w:rPr>
        <w:t>万元，其中：本年收入</w:t>
      </w:r>
      <w:r>
        <w:rPr>
          <w:rFonts w:hint="eastAsia"/>
          <w:szCs w:val="32"/>
          <w:lang w:val="en-US" w:eastAsia="zh-CN"/>
        </w:rPr>
        <w:t>81.41</w:t>
      </w:r>
      <w:r>
        <w:rPr>
          <w:szCs w:val="32"/>
        </w:rPr>
        <w:t>万元，占</w:t>
      </w:r>
      <w:r>
        <w:rPr>
          <w:rFonts w:hint="eastAsia"/>
          <w:szCs w:val="32"/>
          <w:lang w:val="en-US" w:eastAsia="zh-CN"/>
        </w:rPr>
        <w:t>93.5</w:t>
      </w:r>
      <w:r>
        <w:rPr>
          <w:szCs w:val="32"/>
        </w:rPr>
        <w:t>%；上年结转</w:t>
      </w:r>
      <w:r>
        <w:rPr>
          <w:rFonts w:hint="eastAsia"/>
          <w:szCs w:val="32"/>
          <w:lang w:eastAsia="zh-CN"/>
        </w:rPr>
        <w:t>结余</w:t>
      </w:r>
      <w:r>
        <w:rPr>
          <w:rFonts w:hint="eastAsia"/>
          <w:szCs w:val="32"/>
          <w:lang w:val="en-US" w:eastAsia="zh-CN"/>
        </w:rPr>
        <w:t>5.62</w:t>
      </w:r>
      <w:r>
        <w:rPr>
          <w:szCs w:val="32"/>
        </w:rPr>
        <w:t>万元，占</w:t>
      </w:r>
      <w:r>
        <w:rPr>
          <w:rFonts w:hint="eastAsia"/>
          <w:szCs w:val="32"/>
          <w:lang w:val="en-US" w:eastAsia="zh-CN"/>
        </w:rPr>
        <w:t>6.5</w:t>
      </w:r>
      <w:r>
        <w:rPr>
          <w:szCs w:val="32"/>
        </w:rPr>
        <w:t>%。本年收入中，一般公共预算拨款收入</w:t>
      </w:r>
      <w:r>
        <w:rPr>
          <w:rFonts w:hint="eastAsia"/>
          <w:szCs w:val="32"/>
          <w:lang w:val="en-US" w:eastAsia="zh-CN"/>
        </w:rPr>
        <w:t>81.41</w:t>
      </w:r>
      <w:r>
        <w:rPr>
          <w:szCs w:val="32"/>
        </w:rPr>
        <w:t>万元，占</w:t>
      </w:r>
      <w:r>
        <w:rPr>
          <w:rFonts w:hint="eastAsia"/>
          <w:szCs w:val="32"/>
          <w:lang w:val="en-US" w:eastAsia="zh-CN"/>
        </w:rPr>
        <w:t>100</w:t>
      </w:r>
      <w:r>
        <w:rPr>
          <w:szCs w:val="32"/>
        </w:rPr>
        <w:t>%</w:t>
      </w:r>
      <w:r>
        <w:rPr>
          <w:rFonts w:hint="eastAsia"/>
          <w:szCs w:val="32"/>
          <w:lang w:eastAsia="zh-CN"/>
        </w:rPr>
        <w:t>。上年结转中，一般公共预算拨款结转</w:t>
      </w:r>
      <w:r>
        <w:rPr>
          <w:rFonts w:hint="eastAsia"/>
          <w:szCs w:val="32"/>
          <w:lang w:val="en-US" w:eastAsia="zh-CN"/>
        </w:rPr>
        <w:t>5.62</w:t>
      </w:r>
      <w:r>
        <w:rPr>
          <w:rFonts w:hint="eastAsia"/>
          <w:szCs w:val="32"/>
          <w:lang w:eastAsia="zh-CN"/>
        </w:rPr>
        <w:t>万元，占</w:t>
      </w:r>
      <w:r>
        <w:rPr>
          <w:rFonts w:hint="eastAsia"/>
          <w:szCs w:val="32"/>
          <w:lang w:val="en-US" w:eastAsia="zh-CN"/>
        </w:rPr>
        <w:t>100</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87.02</w:t>
      </w:r>
      <w:r>
        <w:rPr>
          <w:szCs w:val="32"/>
        </w:rPr>
        <w:t>万元，其中：基本支出</w:t>
      </w:r>
      <w:r>
        <w:rPr>
          <w:rFonts w:hint="eastAsia"/>
          <w:szCs w:val="32"/>
          <w:lang w:val="en-US" w:eastAsia="zh-CN"/>
        </w:rPr>
        <w:t>87.02</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万元，占</w:t>
      </w:r>
      <w:r>
        <w:rPr>
          <w:rFonts w:hint="eastAsia"/>
          <w:szCs w:val="32"/>
          <w:lang w:val="en-US" w:eastAsia="zh-CN"/>
        </w:rPr>
        <w:t>0</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87.03</w:t>
      </w:r>
      <w:r>
        <w:rPr>
          <w:szCs w:val="32"/>
        </w:rPr>
        <w:t>万元，其中：</w:t>
      </w:r>
      <w:r>
        <w:rPr>
          <w:rFonts w:hint="eastAsia"/>
          <w:szCs w:val="32"/>
        </w:rPr>
        <w:t>本年</w:t>
      </w:r>
      <w:r>
        <w:rPr>
          <w:rFonts w:hint="eastAsia"/>
          <w:szCs w:val="32"/>
          <w:lang w:eastAsia="zh-CN"/>
        </w:rPr>
        <w:t>预算</w:t>
      </w:r>
      <w:r>
        <w:rPr>
          <w:rFonts w:hint="eastAsia"/>
          <w:szCs w:val="32"/>
          <w:lang w:val="en-US" w:eastAsia="zh-CN"/>
        </w:rPr>
        <w:t>81.41</w:t>
      </w:r>
      <w:r>
        <w:rPr>
          <w:szCs w:val="32"/>
        </w:rPr>
        <w:t>万元</w:t>
      </w:r>
      <w:r>
        <w:rPr>
          <w:rFonts w:hint="eastAsia"/>
          <w:szCs w:val="32"/>
        </w:rPr>
        <w:t>，上年结转</w:t>
      </w:r>
      <w:r>
        <w:rPr>
          <w:rFonts w:hint="eastAsia"/>
          <w:szCs w:val="32"/>
          <w:lang w:val="en-US" w:eastAsia="zh-CN"/>
        </w:rPr>
        <w:t>5.62</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67.52</w:t>
      </w:r>
      <w:r>
        <w:rPr>
          <w:szCs w:val="32"/>
        </w:rPr>
        <w:t>万元，</w:t>
      </w:r>
      <w:r>
        <w:rPr>
          <w:kern w:val="0"/>
          <w:szCs w:val="32"/>
        </w:rPr>
        <w:t>社会保障和就业支出</w:t>
      </w:r>
      <w:r>
        <w:rPr>
          <w:rFonts w:hint="eastAsia"/>
          <w:szCs w:val="32"/>
          <w:lang w:val="en-US" w:eastAsia="zh-CN"/>
        </w:rPr>
        <w:t>8.70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3.54</w:t>
      </w:r>
      <w:r>
        <w:rPr>
          <w:szCs w:val="32"/>
        </w:rPr>
        <w:t>万元，</w:t>
      </w:r>
      <w:r>
        <w:rPr>
          <w:kern w:val="0"/>
          <w:szCs w:val="32"/>
        </w:rPr>
        <w:t>住房保障支出</w:t>
      </w:r>
      <w:r>
        <w:rPr>
          <w:rFonts w:hint="eastAsia"/>
          <w:szCs w:val="32"/>
          <w:lang w:val="en-US" w:eastAsia="zh-CN"/>
        </w:rPr>
        <w:t>7.26</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87.02</w:t>
      </w:r>
      <w:r>
        <w:rPr>
          <w:szCs w:val="32"/>
        </w:rPr>
        <w:t>万元，其中：基本支出</w:t>
      </w:r>
      <w:r>
        <w:rPr>
          <w:rFonts w:hint="eastAsia"/>
          <w:szCs w:val="32"/>
          <w:lang w:val="en-US" w:eastAsia="zh-CN"/>
        </w:rPr>
        <w:t>87.02</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万元，占</w:t>
      </w:r>
      <w:r>
        <w:rPr>
          <w:rFonts w:hint="eastAsia"/>
          <w:szCs w:val="32"/>
          <w:lang w:val="en-US" w:eastAsia="zh-CN"/>
        </w:rPr>
        <w:t>0</w:t>
      </w:r>
      <w:r>
        <w:rPr>
          <w:szCs w:val="32"/>
        </w:rPr>
        <w:t>%。基本支出中，人员经费</w:t>
      </w:r>
      <w:r>
        <w:rPr>
          <w:rFonts w:hint="eastAsia"/>
          <w:szCs w:val="32"/>
          <w:lang w:val="en-US" w:eastAsia="zh-CN"/>
        </w:rPr>
        <w:t>70.75</w:t>
      </w:r>
      <w:r>
        <w:rPr>
          <w:szCs w:val="32"/>
        </w:rPr>
        <w:t>万元，占</w:t>
      </w:r>
      <w:r>
        <w:rPr>
          <w:rFonts w:hint="eastAsia"/>
          <w:szCs w:val="32"/>
          <w:lang w:val="en-US" w:eastAsia="zh-CN"/>
        </w:rPr>
        <w:t>81.3</w:t>
      </w:r>
      <w:r>
        <w:rPr>
          <w:szCs w:val="32"/>
        </w:rPr>
        <w:t>%；公用经费</w:t>
      </w:r>
      <w:r>
        <w:rPr>
          <w:rFonts w:hint="eastAsia"/>
          <w:szCs w:val="32"/>
          <w:lang w:val="en-US" w:eastAsia="zh-CN"/>
        </w:rPr>
        <w:t>16.27</w:t>
      </w:r>
      <w:r>
        <w:rPr>
          <w:szCs w:val="32"/>
        </w:rPr>
        <w:t>万元，占</w:t>
      </w:r>
      <w:r>
        <w:rPr>
          <w:rFonts w:hint="eastAsia"/>
          <w:szCs w:val="32"/>
          <w:lang w:val="en-US" w:eastAsia="zh-CN"/>
        </w:rPr>
        <w:t>18.7</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67.52</w:t>
      </w:r>
      <w:r>
        <w:rPr>
          <w:szCs w:val="32"/>
        </w:rPr>
        <w:t>万元，占</w:t>
      </w:r>
      <w:r>
        <w:rPr>
          <w:rFonts w:hint="eastAsia"/>
          <w:szCs w:val="32"/>
          <w:lang w:val="en-US" w:eastAsia="zh-CN"/>
        </w:rPr>
        <w:t>77.6</w:t>
      </w:r>
      <w:r>
        <w:rPr>
          <w:szCs w:val="32"/>
        </w:rPr>
        <w:t>%，主要用于</w:t>
      </w:r>
      <w:r>
        <w:rPr>
          <w:rFonts w:hint="eastAsia"/>
          <w:szCs w:val="32"/>
          <w:lang w:eastAsia="zh-CN"/>
        </w:rPr>
        <w:t>保障本单位人员工资发放和机关运行正常开展</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8.70</w:t>
      </w:r>
      <w:r>
        <w:rPr>
          <w:szCs w:val="32"/>
        </w:rPr>
        <w:t>万元，占</w:t>
      </w:r>
      <w:r>
        <w:rPr>
          <w:rFonts w:hint="eastAsia"/>
          <w:szCs w:val="32"/>
          <w:lang w:val="en-US" w:eastAsia="zh-CN"/>
        </w:rPr>
        <w:t>10</w:t>
      </w:r>
      <w:r>
        <w:rPr>
          <w:szCs w:val="32"/>
        </w:rPr>
        <w:t>%，主要用于</w:t>
      </w:r>
      <w:r>
        <w:rPr>
          <w:rFonts w:hint="eastAsia"/>
          <w:szCs w:val="32"/>
          <w:lang w:eastAsia="zh-CN"/>
        </w:rPr>
        <w:t>保障机关事业单位基本养老保险缴费。</w:t>
      </w:r>
    </w:p>
    <w:p>
      <w:pPr>
        <w:spacing w:line="520" w:lineRule="exact"/>
        <w:ind w:firstLine="640" w:firstLineChars="200"/>
        <w:rPr>
          <w:szCs w:val="32"/>
        </w:rPr>
      </w:pPr>
      <w:r>
        <w:rPr>
          <w:rFonts w:hint="eastAsia"/>
          <w:szCs w:val="32"/>
          <w:lang w:eastAsia="zh-CN"/>
        </w:rPr>
        <w:t>卫生健康</w:t>
      </w:r>
      <w:r>
        <w:rPr>
          <w:szCs w:val="32"/>
        </w:rPr>
        <w:t>（类）支出</w:t>
      </w:r>
      <w:r>
        <w:rPr>
          <w:rFonts w:hint="eastAsia"/>
          <w:szCs w:val="32"/>
          <w:lang w:val="en-US" w:eastAsia="zh-CN"/>
        </w:rPr>
        <w:t>3.54</w:t>
      </w:r>
      <w:r>
        <w:rPr>
          <w:szCs w:val="32"/>
        </w:rPr>
        <w:t>万元，占</w:t>
      </w:r>
      <w:r>
        <w:rPr>
          <w:rFonts w:hint="eastAsia"/>
          <w:szCs w:val="32"/>
          <w:lang w:val="en-US" w:eastAsia="zh-CN"/>
        </w:rPr>
        <w:t>4.1</w:t>
      </w:r>
      <w:r>
        <w:rPr>
          <w:szCs w:val="32"/>
        </w:rPr>
        <w:t>%，主要用于</w:t>
      </w:r>
      <w:r>
        <w:rPr>
          <w:rFonts w:hint="eastAsia"/>
          <w:szCs w:val="32"/>
        </w:rPr>
        <w:t>缴纳在职人员基本医疗保险。</w:t>
      </w:r>
    </w:p>
    <w:p>
      <w:pPr>
        <w:spacing w:line="520" w:lineRule="exact"/>
        <w:ind w:firstLine="640" w:firstLineChars="200"/>
        <w:rPr>
          <w:rFonts w:hint="eastAsia"/>
          <w:szCs w:val="32"/>
        </w:rPr>
      </w:pPr>
      <w:r>
        <w:rPr>
          <w:szCs w:val="32"/>
        </w:rPr>
        <w:t>住房保障（类）支出</w:t>
      </w:r>
      <w:r>
        <w:rPr>
          <w:rFonts w:hint="eastAsia"/>
          <w:szCs w:val="32"/>
          <w:lang w:val="en-US" w:eastAsia="zh-CN"/>
        </w:rPr>
        <w:t>7.26</w:t>
      </w:r>
      <w:r>
        <w:rPr>
          <w:szCs w:val="32"/>
        </w:rPr>
        <w:t>万元，占</w:t>
      </w:r>
      <w:r>
        <w:rPr>
          <w:rFonts w:hint="eastAsia"/>
          <w:szCs w:val="32"/>
          <w:lang w:val="en-US" w:eastAsia="zh-CN"/>
        </w:rPr>
        <w:t>8.3</w:t>
      </w:r>
      <w:r>
        <w:rPr>
          <w:szCs w:val="32"/>
        </w:rPr>
        <w:t>%，主要用于</w:t>
      </w:r>
      <w:r>
        <w:rPr>
          <w:rFonts w:hint="eastAsia"/>
          <w:szCs w:val="32"/>
        </w:rPr>
        <w:t>缴纳在职人员住房公积金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87.02</w:t>
      </w:r>
      <w:r>
        <w:rPr>
          <w:szCs w:val="32"/>
        </w:rPr>
        <w:t>万元，其中：</w:t>
      </w:r>
    </w:p>
    <w:p>
      <w:pPr>
        <w:ind w:firstLine="640" w:firstLineChars="200"/>
        <w:rPr>
          <w:rFonts w:hint="eastAsia"/>
          <w:kern w:val="0"/>
          <w:szCs w:val="32"/>
        </w:rPr>
      </w:pPr>
      <w:r>
        <w:rPr>
          <w:szCs w:val="32"/>
        </w:rPr>
        <w:t>人员经费</w:t>
      </w:r>
      <w:r>
        <w:rPr>
          <w:rFonts w:hint="eastAsia"/>
          <w:szCs w:val="32"/>
          <w:lang w:val="en-US" w:eastAsia="zh-CN"/>
        </w:rPr>
        <w:t>70.75</w:t>
      </w:r>
      <w:r>
        <w:rPr>
          <w:szCs w:val="32"/>
        </w:rPr>
        <w:t>万元，主要包括：</w:t>
      </w:r>
      <w:r>
        <w:rPr>
          <w:rFonts w:hint="eastAsia"/>
          <w:kern w:val="0"/>
          <w:szCs w:val="32"/>
        </w:rPr>
        <w:t>基本工资、津贴补贴、奖金、机关事业单位基本养老保险缴费、职工基本医疗保险缴费、公务员医疗补助缴费、其他社会保障缴费、住房公积金、医疗费、其他工资福利支出、其他对个人和家庭的补助。</w:t>
      </w:r>
    </w:p>
    <w:p>
      <w:pPr>
        <w:ind w:firstLine="640" w:firstLineChars="200"/>
        <w:rPr>
          <w:szCs w:val="32"/>
        </w:rPr>
      </w:pPr>
      <w:r>
        <w:rPr>
          <w:kern w:val="0"/>
          <w:szCs w:val="32"/>
        </w:rPr>
        <w:t>公用经费</w:t>
      </w:r>
      <w:r>
        <w:rPr>
          <w:rFonts w:hint="eastAsia"/>
          <w:szCs w:val="32"/>
          <w:lang w:val="en-US" w:eastAsia="zh-CN"/>
        </w:rPr>
        <w:t>16.27</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rFonts w:hint="eastAsia"/>
          <w:szCs w:val="32"/>
          <w:lang w:eastAsia="zh-CN"/>
        </w:rPr>
        <w:t>其他交通费用、</w:t>
      </w:r>
      <w:r>
        <w:rPr>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hint="eastAsia"/>
          <w:szCs w:val="32"/>
          <w:lang w:val="en-US" w:eastAsia="zh-CN"/>
        </w:rPr>
      </w:pPr>
      <w:r>
        <w:rPr>
          <w:rFonts w:hint="eastAsia"/>
          <w:szCs w:val="32"/>
          <w:lang w:val="en-US"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jc w:val="both"/>
        <w:rPr>
          <w:rFonts w:eastAsia="楷体"/>
          <w:szCs w:val="32"/>
        </w:rPr>
      </w:pPr>
      <w:r>
        <w:rPr>
          <w:rFonts w:hint="eastAsia"/>
          <w:szCs w:val="32"/>
          <w:lang w:val="en-US"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rPr>
        <w:t>本单位1</w:t>
      </w:r>
      <w:r>
        <w:rPr>
          <w:szCs w:val="32"/>
        </w:rPr>
        <w:t>家</w:t>
      </w:r>
      <w:r>
        <w:rPr>
          <w:rFonts w:hint="eastAsia"/>
          <w:szCs w:val="32"/>
          <w:lang w:eastAsia="zh-CN"/>
        </w:rPr>
        <w:t>参照公务员法管理的事业</w:t>
      </w:r>
      <w:r>
        <w:rPr>
          <w:szCs w:val="32"/>
        </w:rPr>
        <w:t>单位的机关运行经费财政拨款预算</w:t>
      </w:r>
      <w:r>
        <w:rPr>
          <w:rFonts w:hint="eastAsia"/>
          <w:szCs w:val="32"/>
          <w:lang w:val="en-US" w:eastAsia="zh-CN"/>
        </w:rPr>
        <w:t>16.27</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0.70</w:t>
      </w:r>
      <w:r>
        <w:rPr>
          <w:szCs w:val="32"/>
        </w:rPr>
        <w:t>万元，下降</w:t>
      </w:r>
      <w:r>
        <w:rPr>
          <w:rFonts w:hint="eastAsia"/>
          <w:szCs w:val="32"/>
          <w:lang w:val="en-US" w:eastAsia="zh-CN"/>
        </w:rPr>
        <w:t>4.1</w:t>
      </w:r>
      <w:r>
        <w:rPr>
          <w:szCs w:val="32"/>
        </w:rPr>
        <w:t>%</w:t>
      </w:r>
      <w:r>
        <w:rPr>
          <w:rFonts w:hint="eastAsia"/>
          <w:szCs w:val="32"/>
        </w:rPr>
        <w:t>，主要原因是</w:t>
      </w:r>
      <w:r>
        <w:rPr>
          <w:rFonts w:hint="eastAsia"/>
          <w:szCs w:val="32"/>
          <w:lang w:eastAsia="zh-CN"/>
        </w:rPr>
        <w:t>按照财政要求压减公用经费</w:t>
      </w:r>
      <w:r>
        <w:rPr>
          <w:rFonts w:hint="eastAsia"/>
          <w:szCs w:val="32"/>
        </w:rPr>
        <w:t>，致使本年机关运行经费较2023年减少。</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本单位无政府采购预算安排。</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rPr>
          <w:rFonts w:hint="eastAsia"/>
        </w:rPr>
      </w:pPr>
      <w:r>
        <w:rPr>
          <w:rFonts w:hint="eastAsia"/>
        </w:rPr>
        <w:t>本单位无项目支出预算安排。</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rPr>
          <w:szCs w:val="32"/>
        </w:rPr>
      </w:pPr>
    </w:p>
    <w:p>
      <w:pPr>
        <w:rPr>
          <w:szCs w:val="32"/>
        </w:rPr>
      </w:pPr>
    </w:p>
    <w:p>
      <w:pPr>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E0086"/>
    <w:multiLevelType w:val="singleLevel"/>
    <w:tmpl w:val="128E0086"/>
    <w:lvl w:ilvl="0" w:tentative="0">
      <w:start w:val="1"/>
      <w:numFmt w:val="decimal"/>
      <w:suff w:val="nothing"/>
      <w:lvlText w:val="%1、"/>
      <w:lvlJc w:val="left"/>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2RhNmRjMjBlMjY1ZDc0ZTY1NDVjNThjMWUwYm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652CA2"/>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D9F3254"/>
    <w:rsid w:val="1E3A3FD0"/>
    <w:rsid w:val="1EB55C07"/>
    <w:rsid w:val="1F351A10"/>
    <w:rsid w:val="1F857EA5"/>
    <w:rsid w:val="1FED47E9"/>
    <w:rsid w:val="206816AC"/>
    <w:rsid w:val="21134335"/>
    <w:rsid w:val="225A0D18"/>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2F685A"/>
    <w:rsid w:val="3C711E1D"/>
    <w:rsid w:val="3C7F463D"/>
    <w:rsid w:val="3CAE3960"/>
    <w:rsid w:val="3CEF6494"/>
    <w:rsid w:val="3D365BF6"/>
    <w:rsid w:val="3D7F7007"/>
    <w:rsid w:val="3DB008AA"/>
    <w:rsid w:val="3DF23324"/>
    <w:rsid w:val="3EA14040"/>
    <w:rsid w:val="3EE8108D"/>
    <w:rsid w:val="3F0574A3"/>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570729"/>
    <w:rsid w:val="4B646DDD"/>
    <w:rsid w:val="4B7F44F8"/>
    <w:rsid w:val="4BAC24C5"/>
    <w:rsid w:val="4BFA0656"/>
    <w:rsid w:val="4CF8344A"/>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2DA40B5"/>
    <w:rsid w:val="544E511A"/>
    <w:rsid w:val="54741940"/>
    <w:rsid w:val="54810E66"/>
    <w:rsid w:val="54C063E4"/>
    <w:rsid w:val="54C2556E"/>
    <w:rsid w:val="55480EEF"/>
    <w:rsid w:val="564F59C3"/>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9938B6"/>
    <w:rsid w:val="5BEC6771"/>
    <w:rsid w:val="5CA506B9"/>
    <w:rsid w:val="5CF74CE4"/>
    <w:rsid w:val="5D211FF7"/>
    <w:rsid w:val="5D5A7C63"/>
    <w:rsid w:val="5E256F6F"/>
    <w:rsid w:val="5F6235A9"/>
    <w:rsid w:val="60962F5C"/>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915030"/>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703E99"/>
    <w:rsid w:val="7BA169C0"/>
    <w:rsid w:val="7BC55243"/>
    <w:rsid w:val="7BE35C58"/>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孜圩</cp:lastModifiedBy>
  <cp:lastPrinted>2024-01-23T03:39:00Z</cp:lastPrinted>
  <dcterms:modified xsi:type="dcterms:W3CDTF">2024-02-26T02:05:25Z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B050B8C255A840ED8C1D2469F23534C3_13</vt:lpwstr>
  </property>
</Properties>
</file>