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eastAsia="zh-CN"/>
        </w:rPr>
        <w:t>吉林市统计局龙潭区分局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color w:val="auto"/>
        </w:rPr>
      </w:pPr>
      <w:r>
        <w:rPr>
          <w:rFonts w:hint="eastAsia"/>
          <w:color w:val="auto"/>
          <w:lang w:eastAsia="zh-CN"/>
        </w:rPr>
        <w:t>十、</w:t>
      </w:r>
      <w:r>
        <w:rPr>
          <w:rFonts w:hint="eastAsia"/>
          <w:color w:val="auto"/>
        </w:rPr>
        <w:t>项目支出</w:t>
      </w:r>
      <w:r>
        <w:rPr>
          <w:rFonts w:hint="eastAsia"/>
          <w:color w:val="auto"/>
          <w:lang w:eastAsia="zh-CN"/>
        </w:rPr>
        <w:t>预算</w:t>
      </w:r>
      <w:r>
        <w:rPr>
          <w:rFonts w:hint="eastAsia"/>
          <w:color w:val="auto"/>
        </w:rPr>
        <w:t>表</w:t>
      </w:r>
    </w:p>
    <w:p>
      <w:pPr>
        <w:ind w:left="320" w:leftChars="100" w:firstLine="320" w:firstLineChars="100"/>
        <w:rPr>
          <w:rFonts w:hint="eastAsia" w:eastAsia="仿宋_GB2312"/>
          <w:color w:val="auto"/>
          <w:lang w:eastAsia="zh-CN"/>
        </w:rPr>
      </w:pPr>
      <w:r>
        <w:rPr>
          <w:rFonts w:hint="eastAsia"/>
          <w:color w:val="auto"/>
          <w:lang w:eastAsia="zh-CN"/>
        </w:rPr>
        <w:t>十一、财政拨款委托业务费支出预算表</w:t>
      </w:r>
    </w:p>
    <w:p>
      <w:pPr>
        <w:ind w:firstLine="640" w:firstLineChars="200"/>
        <w:rPr>
          <w:rFonts w:hint="eastAsia"/>
          <w:color w:val="auto"/>
        </w:rPr>
      </w:pPr>
      <w:r>
        <w:rPr>
          <w:rFonts w:hint="eastAsia"/>
          <w:color w:val="auto"/>
        </w:rPr>
        <w:t>十</w:t>
      </w:r>
      <w:r>
        <w:rPr>
          <w:rFonts w:hint="eastAsia"/>
          <w:color w:val="auto"/>
          <w:lang w:eastAsia="zh-CN"/>
        </w:rPr>
        <w:t>二</w:t>
      </w:r>
      <w:r>
        <w:rPr>
          <w:rFonts w:hint="eastAsia"/>
          <w:color w:val="auto"/>
        </w:rPr>
        <w:t>、项目支出绩效目标表</w:t>
      </w:r>
    </w:p>
    <w:p>
      <w:pPr>
        <w:rPr>
          <w:rFonts w:eastAsia="黑体"/>
          <w:color w:val="auto"/>
        </w:rPr>
      </w:pPr>
      <w:r>
        <w:rPr>
          <w:rFonts w:eastAsia="黑体"/>
          <w:color w:val="auto"/>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color w:val="000000"/>
          <w:szCs w:val="32"/>
        </w:rPr>
      </w:pPr>
      <w:r>
        <w:rPr>
          <w:rFonts w:hint="eastAsia"/>
          <w:color w:val="000000"/>
          <w:szCs w:val="32"/>
          <w:lang w:eastAsia="zh-CN"/>
        </w:rPr>
        <w:t>（一）</w:t>
      </w:r>
      <w:r>
        <w:rPr>
          <w:rFonts w:hint="eastAsia"/>
          <w:color w:val="000000"/>
          <w:szCs w:val="32"/>
        </w:rPr>
        <w:t>贯彻执行国家、省、市统计局的各项工作方针，组织领导和监督检查各乡、镇、街各部门及有关单位的统计和国民经济核算工作，监督检查统计法律、法规的实施。</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color w:val="000000"/>
          <w:szCs w:val="32"/>
        </w:rPr>
      </w:pPr>
      <w:r>
        <w:rPr>
          <w:rFonts w:hint="eastAsia"/>
          <w:color w:val="000000"/>
          <w:szCs w:val="32"/>
          <w:lang w:eastAsia="zh-CN"/>
        </w:rPr>
        <w:t>（</w:t>
      </w:r>
      <w:r>
        <w:rPr>
          <w:rFonts w:hint="eastAsia"/>
          <w:color w:val="000000"/>
          <w:szCs w:val="32"/>
        </w:rPr>
        <w:t>二</w:t>
      </w:r>
      <w:r>
        <w:rPr>
          <w:rFonts w:hint="eastAsia"/>
          <w:color w:val="000000"/>
          <w:szCs w:val="32"/>
          <w:lang w:eastAsia="zh-CN"/>
        </w:rPr>
        <w:t>）</w:t>
      </w:r>
      <w:r>
        <w:rPr>
          <w:rFonts w:hint="eastAsia"/>
          <w:color w:val="000000"/>
          <w:szCs w:val="32"/>
        </w:rPr>
        <w:t>根据全国、全省、全市统一的基本统计制度，建立健全全区的国民经济核算体系，统计调查项目。</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color w:val="000000"/>
          <w:szCs w:val="32"/>
        </w:rPr>
      </w:pPr>
      <w:r>
        <w:rPr>
          <w:rFonts w:hint="eastAsia"/>
          <w:color w:val="000000"/>
          <w:szCs w:val="32"/>
          <w:lang w:eastAsia="zh-CN"/>
        </w:rPr>
        <w:t>（</w:t>
      </w:r>
      <w:r>
        <w:rPr>
          <w:rFonts w:hint="eastAsia"/>
          <w:color w:val="000000"/>
          <w:szCs w:val="32"/>
        </w:rPr>
        <w:t>三</w:t>
      </w:r>
      <w:r>
        <w:rPr>
          <w:rFonts w:hint="eastAsia"/>
          <w:color w:val="000000"/>
          <w:szCs w:val="32"/>
          <w:lang w:eastAsia="zh-CN"/>
        </w:rPr>
        <w:t>）</w:t>
      </w:r>
      <w:r>
        <w:rPr>
          <w:rFonts w:hint="eastAsia"/>
          <w:color w:val="000000"/>
          <w:szCs w:val="32"/>
        </w:rPr>
        <w:t>代表</w:t>
      </w:r>
      <w:r>
        <w:rPr>
          <w:rFonts w:hint="eastAsia"/>
          <w:color w:val="auto"/>
          <w:szCs w:val="32"/>
          <w:lang w:val="en-US" w:eastAsia="zh-CN"/>
        </w:rPr>
        <w:t>区</w:t>
      </w:r>
      <w:r>
        <w:rPr>
          <w:rFonts w:hint="eastAsia"/>
          <w:color w:val="auto"/>
          <w:szCs w:val="32"/>
        </w:rPr>
        <w:t>政府组织实施重大的国情、国力普查及重大的</w:t>
      </w:r>
      <w:r>
        <w:rPr>
          <w:rFonts w:hint="eastAsia"/>
          <w:color w:val="auto"/>
          <w:szCs w:val="32"/>
          <w:lang w:val="en-US" w:eastAsia="zh-CN"/>
        </w:rPr>
        <w:t>区</w:t>
      </w:r>
      <w:r>
        <w:rPr>
          <w:rFonts w:hint="eastAsia"/>
          <w:color w:val="auto"/>
          <w:szCs w:val="32"/>
        </w:rPr>
        <w:t>情、</w:t>
      </w:r>
      <w:r>
        <w:rPr>
          <w:rFonts w:hint="eastAsia"/>
          <w:color w:val="auto"/>
          <w:szCs w:val="32"/>
          <w:lang w:val="en-US" w:eastAsia="zh-CN"/>
        </w:rPr>
        <w:t>区</w:t>
      </w:r>
      <w:r>
        <w:rPr>
          <w:rFonts w:hint="eastAsia"/>
          <w:color w:val="auto"/>
          <w:szCs w:val="32"/>
        </w:rPr>
        <w:t>力调查</w:t>
      </w:r>
      <w:r>
        <w:rPr>
          <w:rFonts w:hint="eastAsia"/>
          <w:color w:val="000000"/>
          <w:szCs w:val="32"/>
        </w:rPr>
        <w:t>，统一组织各乡、镇、街道及各部门的社会经济统计调查。</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color w:val="000000"/>
          <w:szCs w:val="32"/>
        </w:rPr>
      </w:pPr>
      <w:r>
        <w:rPr>
          <w:rFonts w:hint="eastAsia"/>
          <w:color w:val="000000"/>
          <w:szCs w:val="32"/>
          <w:lang w:eastAsia="zh-CN"/>
        </w:rPr>
        <w:t>（</w:t>
      </w:r>
      <w:r>
        <w:rPr>
          <w:rFonts w:hint="eastAsia"/>
          <w:color w:val="000000"/>
          <w:szCs w:val="32"/>
        </w:rPr>
        <w:t>四</w:t>
      </w:r>
      <w:r>
        <w:rPr>
          <w:rFonts w:hint="eastAsia"/>
          <w:color w:val="000000"/>
          <w:szCs w:val="32"/>
          <w:lang w:eastAsia="zh-CN"/>
        </w:rPr>
        <w:t>）</w:t>
      </w:r>
      <w:r>
        <w:rPr>
          <w:rFonts w:hint="eastAsia"/>
          <w:color w:val="000000"/>
          <w:szCs w:val="32"/>
        </w:rPr>
        <w:t>统一核定、管理、公布全区的基本统计资料，定期向社会公众发布全区国民经济和社会发展状况的统计信息。</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color w:val="000000"/>
          <w:szCs w:val="32"/>
        </w:rPr>
      </w:pPr>
      <w:r>
        <w:rPr>
          <w:rFonts w:hint="eastAsia"/>
          <w:color w:val="000000"/>
          <w:szCs w:val="32"/>
          <w:lang w:eastAsia="zh-CN"/>
        </w:rPr>
        <w:t>（</w:t>
      </w:r>
      <w:r>
        <w:rPr>
          <w:rFonts w:hint="eastAsia"/>
          <w:color w:val="000000"/>
          <w:szCs w:val="32"/>
        </w:rPr>
        <w:t>五</w:t>
      </w:r>
      <w:r>
        <w:rPr>
          <w:rFonts w:hint="eastAsia"/>
          <w:color w:val="000000"/>
          <w:szCs w:val="32"/>
          <w:lang w:eastAsia="zh-CN"/>
        </w:rPr>
        <w:t>）</w:t>
      </w:r>
      <w:r>
        <w:rPr>
          <w:rFonts w:hint="eastAsia"/>
          <w:color w:val="000000"/>
          <w:szCs w:val="32"/>
        </w:rPr>
        <w:t>建立、完善和管理全区统计信息自动化系统和全区统计数据库体系。</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color w:val="000000"/>
          <w:szCs w:val="32"/>
        </w:rPr>
      </w:pPr>
      <w:r>
        <w:rPr>
          <w:rFonts w:hint="eastAsia"/>
          <w:color w:val="000000"/>
          <w:szCs w:val="32"/>
          <w:lang w:eastAsia="zh-CN"/>
        </w:rPr>
        <w:t>（</w:t>
      </w:r>
      <w:r>
        <w:rPr>
          <w:rFonts w:hint="eastAsia"/>
          <w:color w:val="000000"/>
          <w:szCs w:val="32"/>
        </w:rPr>
        <w:t>六</w:t>
      </w:r>
      <w:r>
        <w:rPr>
          <w:rFonts w:hint="eastAsia"/>
          <w:color w:val="000000"/>
          <w:szCs w:val="32"/>
          <w:lang w:eastAsia="zh-CN"/>
        </w:rPr>
        <w:t>）</w:t>
      </w:r>
      <w:r>
        <w:rPr>
          <w:rFonts w:hint="eastAsia"/>
          <w:color w:val="000000"/>
          <w:szCs w:val="32"/>
        </w:rPr>
        <w:t>组织全区统计干部业务培训，组织指导全区统计科学研究、统计宣传。</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color w:val="000000"/>
          <w:sz w:val="21"/>
          <w:szCs w:val="21"/>
        </w:rPr>
      </w:pPr>
      <w:r>
        <w:rPr>
          <w:rFonts w:hint="eastAsia"/>
          <w:color w:val="000000"/>
          <w:szCs w:val="32"/>
          <w:lang w:eastAsia="zh-CN"/>
        </w:rPr>
        <w:t>（</w:t>
      </w:r>
      <w:r>
        <w:rPr>
          <w:rFonts w:hint="eastAsia"/>
          <w:color w:val="000000"/>
          <w:szCs w:val="32"/>
        </w:rPr>
        <w:t>七</w:t>
      </w:r>
      <w:r>
        <w:rPr>
          <w:rFonts w:hint="eastAsia"/>
          <w:color w:val="000000"/>
          <w:szCs w:val="32"/>
          <w:lang w:eastAsia="zh-CN"/>
        </w:rPr>
        <w:t>）</w:t>
      </w:r>
      <w:r>
        <w:rPr>
          <w:rFonts w:hint="eastAsia"/>
          <w:color w:val="000000"/>
          <w:szCs w:val="32"/>
        </w:rPr>
        <w:t>承办区政府交办的其他事项。</w:t>
      </w:r>
    </w:p>
    <w:p>
      <w:pPr>
        <w:ind w:firstLine="640" w:firstLineChars="200"/>
      </w:pPr>
      <w:r>
        <w:rPr>
          <w:rFonts w:eastAsia="楷体_GB2312"/>
        </w:rPr>
        <w:t>二、机构设置</w:t>
      </w: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根据上述职责，</w:t>
      </w:r>
      <w:r>
        <w:rPr>
          <w:rFonts w:hint="eastAsia" w:ascii="Times New Roman" w:hAnsi="Times New Roman" w:eastAsia="仿宋_GB2312" w:cs="Times New Roman"/>
          <w:kern w:val="0"/>
          <w:sz w:val="32"/>
          <w:szCs w:val="32"/>
          <w:lang w:val="en-US" w:eastAsia="zh-CN" w:bidi="ar-SA"/>
        </w:rPr>
        <w:t>吉林市统计局龙潭区分局</w:t>
      </w:r>
      <w:r>
        <w:rPr>
          <w:rFonts w:ascii="Times New Roman" w:hAnsi="Times New Roman" w:eastAsia="仿宋_GB2312" w:cs="Times New Roman"/>
          <w:kern w:val="0"/>
          <w:sz w:val="32"/>
          <w:szCs w:val="32"/>
          <w:lang w:val="en-US" w:eastAsia="zh-CN" w:bidi="ar-SA"/>
        </w:rPr>
        <w:t>内设</w:t>
      </w:r>
      <w:r>
        <w:rPr>
          <w:rFonts w:hint="eastAsia" w:ascii="Times New Roman" w:hAnsi="Times New Roman" w:eastAsia="仿宋_GB2312" w:cs="Times New Roman"/>
          <w:kern w:val="0"/>
          <w:sz w:val="32"/>
          <w:szCs w:val="32"/>
          <w:lang w:val="en-US" w:eastAsia="zh-CN" w:bidi="ar-SA"/>
        </w:rPr>
        <w:t>1</w:t>
      </w:r>
      <w:r>
        <w:rPr>
          <w:rFonts w:ascii="Times New Roman" w:hAnsi="Times New Roman" w:eastAsia="仿宋_GB2312" w:cs="Times New Roman"/>
          <w:kern w:val="0"/>
          <w:sz w:val="32"/>
          <w:szCs w:val="32"/>
          <w:lang w:val="en-US" w:eastAsia="zh-CN" w:bidi="ar-SA"/>
        </w:rPr>
        <w:t>个机构</w:t>
      </w:r>
      <w:r>
        <w:rPr>
          <w:rFonts w:hint="eastAsia" w:ascii="Times New Roman" w:hAnsi="Times New Roman" w:eastAsia="仿宋_GB2312" w:cs="Times New Roman"/>
          <w:kern w:val="0"/>
          <w:sz w:val="32"/>
          <w:szCs w:val="32"/>
          <w:lang w:val="en-US" w:eastAsia="zh-CN" w:bidi="ar-SA"/>
        </w:rPr>
        <w:t>：综合科</w:t>
      </w:r>
      <w:r>
        <w:rPr>
          <w:rFonts w:ascii="Times New Roman" w:hAnsi="Times New Roman" w:eastAsia="仿宋_GB2312" w:cs="Times New Roman"/>
          <w:kern w:val="0"/>
          <w:sz w:val="32"/>
          <w:szCs w:val="32"/>
          <w:lang w:val="en-US" w:eastAsia="zh-CN" w:bidi="ar-SA"/>
        </w:rPr>
        <w:t>。</w:t>
      </w:r>
    </w:p>
    <w:p>
      <w:pPr>
        <w:pStyle w:val="48"/>
        <w:ind w:firstLine="640" w:firstLineChars="200"/>
        <w:rPr>
          <w:rFonts w:eastAsia="楷体"/>
        </w:rPr>
      </w:pPr>
      <w:r>
        <w:rPr>
          <w:rFonts w:hint="eastAsia" w:ascii="Times New Roman" w:hAnsi="Times New Roman" w:eastAsia="仿宋_GB2312" w:cs="Times New Roman"/>
          <w:color w:val="auto"/>
          <w:kern w:val="0"/>
          <w:sz w:val="32"/>
          <w:szCs w:val="32"/>
          <w:lang w:val="en-US" w:eastAsia="zh-CN" w:bidi="ar-SA"/>
        </w:rPr>
        <w:t>无下设预算单位</w:t>
      </w:r>
      <w:r>
        <w:rPr>
          <w:rFonts w:ascii="Times New Roman" w:hAnsi="Times New Roman" w:eastAsia="仿宋_GB2312" w:cs="Times New Roman"/>
          <w:color w:val="auto"/>
          <w:kern w:val="0"/>
          <w:sz w:val="32"/>
          <w:szCs w:val="32"/>
          <w:lang w:val="en-US" w:eastAsia="zh-CN" w:bidi="ar-SA"/>
        </w:rPr>
        <w:t>。</w:t>
      </w:r>
    </w:p>
    <w:p>
      <w:pPr>
        <w:pStyle w:val="48"/>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179.72</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174.19</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ascii="Times New Roman" w:hAnsi="Times New Roman" w:eastAsia="宋体" w:cs="Times New Roman"/>
                <w:color w:val="000000"/>
                <w:kern w:val="0"/>
                <w:sz w:val="20"/>
                <w:lang w:val="en-US" w:eastAsia="zh-CN"/>
              </w:rPr>
              <w:t>一、一般公共服务支出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148.93</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143.99</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4.94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179.72</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174.19</w:t>
            </w: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5.53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ascii="Times New Roman" w:hAnsi="Times New Roman" w:eastAsia="宋体" w:cs="Times New Roman"/>
                <w:color w:val="000000"/>
                <w:kern w:val="0"/>
                <w:sz w:val="20"/>
                <w:lang w:val="en-US" w:eastAsia="zh-CN"/>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19.04</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18.53</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0.51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4.59</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ascii="Times New Roman" w:hAnsi="Times New Roman" w:eastAsia="宋体" w:cs="Times New Roman"/>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7.08</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0.08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179.72</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174.19</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b w:val="0"/>
                <w:bCs w:val="0"/>
                <w:color w:val="auto"/>
                <w:kern w:val="0"/>
                <w:sz w:val="20"/>
                <w:highlight w:val="none"/>
                <w:lang w:val="en-US" w:eastAsia="zh-CN"/>
              </w:rPr>
              <w:t>179.72</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174.19</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179.72</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174.19</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179.72</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174.19</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5.53</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581" w:type="dxa"/>
        <w:jc w:val="center"/>
        <w:tblLayout w:type="fixed"/>
        <w:tblCellMar>
          <w:top w:w="0" w:type="dxa"/>
          <w:left w:w="108" w:type="dxa"/>
          <w:bottom w:w="0" w:type="dxa"/>
          <w:right w:w="108" w:type="dxa"/>
        </w:tblCellMar>
      </w:tblPr>
      <w:tblGrid>
        <w:gridCol w:w="1442"/>
        <w:gridCol w:w="766"/>
        <w:gridCol w:w="816"/>
        <w:gridCol w:w="777"/>
        <w:gridCol w:w="368"/>
        <w:gridCol w:w="327"/>
        <w:gridCol w:w="450"/>
        <w:gridCol w:w="307"/>
        <w:gridCol w:w="375"/>
        <w:gridCol w:w="437"/>
        <w:gridCol w:w="182"/>
        <w:gridCol w:w="172"/>
        <w:gridCol w:w="409"/>
        <w:gridCol w:w="573"/>
        <w:gridCol w:w="586"/>
        <w:gridCol w:w="369"/>
        <w:gridCol w:w="395"/>
        <w:gridCol w:w="450"/>
        <w:gridCol w:w="380"/>
      </w:tblGrid>
      <w:tr>
        <w:tblPrEx>
          <w:tblCellMar>
            <w:top w:w="0" w:type="dxa"/>
            <w:left w:w="108" w:type="dxa"/>
            <w:bottom w:w="0" w:type="dxa"/>
            <w:right w:w="108" w:type="dxa"/>
          </w:tblCellMar>
        </w:tblPrEx>
        <w:trPr>
          <w:trHeight w:val="335" w:hRule="atLeast"/>
          <w:jc w:val="center"/>
        </w:trPr>
        <w:tc>
          <w:tcPr>
            <w:tcW w:w="1442" w:type="dxa"/>
            <w:tcBorders>
              <w:bottom w:val="single" w:color="000000" w:sz="4" w:space="0"/>
            </w:tcBorders>
            <w:noWrap w:val="0"/>
            <w:vAlign w:val="top"/>
          </w:tcPr>
          <w:p>
            <w:pPr>
              <w:autoSpaceDN w:val="0"/>
              <w:jc w:val="left"/>
              <w:textAlignment w:val="center"/>
              <w:rPr>
                <w:rFonts w:eastAsia="华文细黑"/>
                <w:color w:val="000000"/>
                <w:sz w:val="20"/>
              </w:rPr>
            </w:pPr>
          </w:p>
        </w:tc>
        <w:tc>
          <w:tcPr>
            <w:tcW w:w="3811"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581" w:type="dxa"/>
            <w:gridSpan w:val="2"/>
            <w:noWrap w:val="0"/>
            <w:vAlign w:val="center"/>
          </w:tcPr>
          <w:p>
            <w:pPr>
              <w:autoSpaceDN w:val="0"/>
              <w:jc w:val="left"/>
              <w:textAlignment w:val="center"/>
              <w:rPr>
                <w:rFonts w:eastAsia="华文细黑"/>
                <w:color w:val="000000"/>
                <w:sz w:val="20"/>
              </w:rPr>
            </w:pPr>
          </w:p>
        </w:tc>
        <w:tc>
          <w:tcPr>
            <w:tcW w:w="1159" w:type="dxa"/>
            <w:gridSpan w:val="2"/>
            <w:noWrap w:val="0"/>
            <w:vAlign w:val="center"/>
          </w:tcPr>
          <w:p>
            <w:pPr>
              <w:autoSpaceDN w:val="0"/>
              <w:jc w:val="left"/>
              <w:textAlignment w:val="center"/>
              <w:rPr>
                <w:rFonts w:eastAsia="华文细黑"/>
                <w:color w:val="000000"/>
                <w:sz w:val="20"/>
              </w:rPr>
            </w:pPr>
          </w:p>
        </w:tc>
        <w:tc>
          <w:tcPr>
            <w:tcW w:w="369" w:type="dxa"/>
            <w:noWrap w:val="0"/>
            <w:vAlign w:val="bottom"/>
          </w:tcPr>
          <w:p>
            <w:pPr>
              <w:autoSpaceDN w:val="0"/>
              <w:jc w:val="right"/>
              <w:textAlignment w:val="bottom"/>
              <w:rPr>
                <w:rFonts w:eastAsia="宋体"/>
                <w:color w:val="000000"/>
                <w:sz w:val="20"/>
              </w:rPr>
            </w:pPr>
          </w:p>
        </w:tc>
        <w:tc>
          <w:tcPr>
            <w:tcW w:w="1225"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44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6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620"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753" w:type="dxa"/>
            <w:gridSpan w:val="6"/>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44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6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16"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2"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45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82"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573"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35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830"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44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6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1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7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8"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5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0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57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9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44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吉林市统计局龙潭区分局</w:t>
            </w:r>
          </w:p>
        </w:tc>
        <w:tc>
          <w:tcPr>
            <w:tcW w:w="7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179.72</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174.19</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174.19</w:t>
            </w:r>
          </w:p>
        </w:tc>
        <w:tc>
          <w:tcPr>
            <w:tcW w:w="36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5.53</w:t>
            </w: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5.53</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44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179.72</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174.19</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174.19</w:t>
            </w:r>
          </w:p>
        </w:tc>
        <w:tc>
          <w:tcPr>
            <w:tcW w:w="36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5.53</w:t>
            </w:r>
          </w:p>
        </w:tc>
        <w:tc>
          <w:tcPr>
            <w:tcW w:w="5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5.53</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420"/>
              <w:gridCol w:w="996"/>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42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96"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FF0000"/>
                      <w:kern w:val="0"/>
                      <w:sz w:val="20"/>
                      <w:lang w:eastAsia="zh-CN"/>
                    </w:rPr>
                  </w:pPr>
                  <w:r>
                    <w:rPr>
                      <w:rFonts w:hint="eastAsia" w:eastAsia="华文细黑"/>
                      <w:color w:val="auto"/>
                      <w:kern w:val="0"/>
                      <w:sz w:val="20"/>
                      <w:lang w:eastAsia="zh-CN"/>
                    </w:rPr>
                    <w:t>合计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148.93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79.72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统计信息事务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148.93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79.72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专项普查活动</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lang w:eastAsia="zh-CN"/>
                    </w:rPr>
                    <w:t>社会保障和就业支出</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行政事业单位养老支出</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行政单位离退休</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机关事业单位基本养老保险缴费支出</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三、卫生健康支出</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行政事业单位医疗</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行政单位医疗</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四、住房保障支出</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住房改革支出</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住房公积金</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42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179.72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79.72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53"/>
              <w:gridCol w:w="969"/>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553"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69"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179.72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174.19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5.53</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179.72</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174.19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szCs w:val="22"/>
                      <w:lang w:val="en-US" w:eastAsia="zh-CN"/>
                    </w:rPr>
                    <w:t>5.53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179.72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174.19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5.53</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148.93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143.99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4.94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19.04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18.53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4.59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4.59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（四）住房保障支出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7.16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7.08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969"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179.72</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174.19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5.53</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179.72</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174.19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5.53</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148.93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17.16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79.72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148.93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52.05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79.72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17.16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36.48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二、</w:t>
                  </w:r>
                  <w:r>
                    <w:rPr>
                      <w:rFonts w:hint="eastAsia" w:eastAsia="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179.72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100.00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82.84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17.16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79.72</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417"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宋体"/>
                <w:color w:val="000000"/>
                <w:kern w:val="0"/>
                <w:sz w:val="20"/>
              </w:rPr>
            </w:pPr>
            <w:r>
              <w:rPr>
                <w:rFonts w:hint="eastAsia" w:ascii="Times New Roman" w:hAnsi="Times New Roman" w:eastAsia="宋体" w:cs="Times New Roman"/>
                <w:kern w:val="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71.43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71.43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21.53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21.53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2.60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其他社会保险缴费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eastAsia="zh-CN"/>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7.16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7.16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Times New Roman" w:hAnsi="Times New Roman" w:eastAsia="宋体" w:cs="Times New Roman"/>
                <w:kern w:val="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14.33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14.33</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1.35</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0.62</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0.35</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0.35</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5.94</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3.58</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0.84</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Times New Roman" w:hAnsi="Times New Roman" w:eastAsia="宋体" w:cs="Times New Roman"/>
                <w:kern w:val="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11.18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11.18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Times New Roman" w:hAnsi="Times New Roman" w:eastAsia="宋体" w:cs="Times New Roman"/>
                <w:kern w:val="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2.83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2.83</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2.83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2.83</w:t>
            </w:r>
          </w:p>
        </w:tc>
      </w:tr>
    </w:tbl>
    <w:p>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eastAsia="宋体"/>
                <w:color w:val="000000"/>
                <w:kern w:val="0"/>
                <w:sz w:val="28"/>
                <w:szCs w:val="28"/>
                <w:u w:val="none"/>
                <w:lang w:val="en-US" w:eastAsia="zh-CN"/>
              </w:rPr>
            </w:pPr>
            <w:r>
              <w:rPr>
                <w:rFonts w:eastAsia="宋体"/>
                <w:color w:val="000000"/>
                <w:kern w:val="0"/>
                <w:sz w:val="28"/>
                <w:szCs w:val="28"/>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eastAsia="宋体"/>
                <w:color w:val="000000"/>
                <w:kern w:val="0"/>
                <w:sz w:val="28"/>
                <w:szCs w:val="28"/>
                <w:u w:val="none"/>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u w:val="none"/>
                <w:lang w:val="en-US" w:eastAsia="zh-CN"/>
              </w:rPr>
              <w:t>1</w:t>
            </w:r>
            <w:r>
              <w:rPr>
                <w:rFonts w:hint="eastAsia" w:eastAsia="宋体"/>
                <w:color w:val="000000"/>
                <w:kern w:val="0"/>
                <w:sz w:val="28"/>
                <w:szCs w:val="28"/>
                <w:u w:val="none"/>
                <w:lang w:val="en-US" w:eastAsia="zh-CN"/>
              </w:rPr>
              <w:t>4</w:t>
            </w:r>
            <w:r>
              <w:rPr>
                <w:color w:val="000000"/>
                <w:kern w:val="0"/>
                <w:sz w:val="28"/>
                <w:szCs w:val="28"/>
                <w:u w:val="none"/>
              </w:rPr>
              <w:t>人，其中：在职人员</w:t>
            </w:r>
            <w:r>
              <w:rPr>
                <w:rFonts w:hint="eastAsia" w:eastAsia="宋体"/>
                <w:color w:val="000000"/>
                <w:kern w:val="0"/>
                <w:sz w:val="28"/>
                <w:szCs w:val="28"/>
                <w:u w:val="none"/>
                <w:lang w:val="en-US" w:eastAsia="zh-CN"/>
              </w:rPr>
              <w:t>5</w:t>
            </w:r>
            <w:r>
              <w:rPr>
                <w:color w:val="000000"/>
                <w:kern w:val="0"/>
                <w:sz w:val="28"/>
                <w:szCs w:val="28"/>
                <w:u w:val="none"/>
              </w:rPr>
              <w:t>人，</w:t>
            </w:r>
            <w:r>
              <w:rPr>
                <w:rFonts w:hint="eastAsia"/>
                <w:color w:val="000000"/>
                <w:kern w:val="0"/>
                <w:sz w:val="28"/>
                <w:szCs w:val="28"/>
                <w:u w:val="none"/>
                <w:lang w:val="en-US" w:eastAsia="zh-CN"/>
              </w:rPr>
              <w:t>离</w:t>
            </w:r>
            <w:r>
              <w:rPr>
                <w:color w:val="000000"/>
                <w:kern w:val="0"/>
                <w:sz w:val="28"/>
                <w:szCs w:val="28"/>
                <w:u w:val="none"/>
              </w:rPr>
              <w:t>退休人员</w:t>
            </w:r>
            <w:r>
              <w:rPr>
                <w:rFonts w:hint="eastAsia" w:eastAsia="宋体"/>
                <w:color w:val="000000"/>
                <w:kern w:val="0"/>
                <w:sz w:val="28"/>
                <w:szCs w:val="28"/>
                <w:u w:val="none"/>
                <w:lang w:val="en-US" w:eastAsia="zh-CN"/>
              </w:rPr>
              <w:t>9</w:t>
            </w:r>
            <w:r>
              <w:rPr>
                <w:color w:val="000000"/>
                <w:kern w:val="0"/>
                <w:sz w:val="28"/>
                <w:szCs w:val="28"/>
                <w:u w:val="none"/>
              </w:rPr>
              <w:t>人。</w:t>
            </w:r>
          </w:p>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rPr>
          <w:rFonts w:hAnsi="楷体" w:eastAsia="楷体"/>
        </w:rPr>
      </w:pPr>
      <w:bookmarkStart w:id="0" w:name="_GoBack"/>
      <w:bookmarkEnd w:id="0"/>
    </w:p>
    <w:p>
      <w:pPr>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tbl>
      <w:tblPr>
        <w:tblStyle w:val="9"/>
        <w:tblpPr w:leftFromText="180" w:rightFromText="180" w:vertAnchor="page" w:horzAnchor="page" w:tblpX="1558" w:tblpY="2192"/>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83"/>
        <w:gridCol w:w="864"/>
        <w:gridCol w:w="554"/>
        <w:gridCol w:w="1472"/>
        <w:gridCol w:w="819"/>
        <w:gridCol w:w="872"/>
        <w:gridCol w:w="369"/>
        <w:gridCol w:w="395"/>
        <w:gridCol w:w="341"/>
        <w:gridCol w:w="314"/>
        <w:gridCol w:w="395"/>
        <w:gridCol w:w="382"/>
        <w:gridCol w:w="450"/>
        <w:gridCol w:w="518"/>
        <w:gridCol w:w="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420"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4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55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1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91"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08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101"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472"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81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291"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085"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83"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418"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147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81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636"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41"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14"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2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858"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52" w:type="dxa"/>
            <w:vMerge w:val="continue"/>
            <w:noWrap w:val="0"/>
            <w:vAlign w:val="center"/>
          </w:tcPr>
          <w:p>
            <w:pPr>
              <w:autoSpaceDN w:val="0"/>
              <w:jc w:val="center"/>
              <w:textAlignment w:val="center"/>
              <w:rPr>
                <w:rFonts w:ascii="Calibri" w:hAnsi="Calibri" w:eastAsia="华文细黑"/>
                <w:color w:val="000000"/>
                <w:sz w:val="20"/>
                <w:szCs w:val="22"/>
              </w:rPr>
            </w:pPr>
          </w:p>
        </w:tc>
        <w:tc>
          <w:tcPr>
            <w:tcW w:w="683" w:type="dxa"/>
            <w:vMerge w:val="continue"/>
            <w:noWrap w:val="0"/>
            <w:vAlign w:val="center"/>
          </w:tcPr>
          <w:p>
            <w:pPr>
              <w:autoSpaceDN w:val="0"/>
              <w:jc w:val="center"/>
              <w:textAlignment w:val="center"/>
              <w:rPr>
                <w:rFonts w:ascii="Calibri" w:hAnsi="Calibri" w:eastAsia="华文细黑"/>
                <w:color w:val="000000"/>
                <w:sz w:val="20"/>
                <w:szCs w:val="22"/>
              </w:rPr>
            </w:pPr>
          </w:p>
        </w:tc>
        <w:tc>
          <w:tcPr>
            <w:tcW w:w="1418"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472" w:type="dxa"/>
            <w:vMerge w:val="continue"/>
            <w:noWrap w:val="0"/>
            <w:vAlign w:val="center"/>
          </w:tcPr>
          <w:p>
            <w:pPr>
              <w:autoSpaceDN w:val="0"/>
              <w:jc w:val="center"/>
              <w:textAlignment w:val="center"/>
              <w:rPr>
                <w:rFonts w:ascii="Calibri" w:hAnsi="Calibri" w:eastAsia="华文细黑"/>
                <w:color w:val="000000"/>
                <w:sz w:val="20"/>
                <w:szCs w:val="22"/>
              </w:rPr>
            </w:pPr>
          </w:p>
        </w:tc>
        <w:tc>
          <w:tcPr>
            <w:tcW w:w="819" w:type="dxa"/>
            <w:vMerge w:val="continue"/>
            <w:noWrap w:val="0"/>
            <w:vAlign w:val="center"/>
          </w:tcPr>
          <w:p>
            <w:pPr>
              <w:autoSpaceDN w:val="0"/>
              <w:jc w:val="center"/>
              <w:textAlignment w:val="center"/>
              <w:rPr>
                <w:rFonts w:ascii="Calibri" w:hAnsi="Calibri" w:eastAsia="华文细黑"/>
                <w:color w:val="000000"/>
                <w:sz w:val="20"/>
                <w:szCs w:val="22"/>
              </w:rPr>
            </w:pPr>
          </w:p>
        </w:tc>
        <w:tc>
          <w:tcPr>
            <w:tcW w:w="87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69"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9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41"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14"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39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8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18"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40"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52" w:type="dxa"/>
            <w:noWrap w:val="0"/>
            <w:vAlign w:val="top"/>
          </w:tcPr>
          <w:p>
            <w:pPr>
              <w:widowControl/>
              <w:jc w:val="left"/>
              <w:rPr>
                <w:rFonts w:hint="eastAsia" w:ascii="Times New Roman" w:hAnsi="Times New Roman" w:eastAsia="宋体" w:cs="Times New Roman"/>
                <w:kern w:val="0"/>
                <w:sz w:val="20"/>
                <w:lang w:eastAsia="zh-CN"/>
              </w:rPr>
            </w:pPr>
            <w:r>
              <w:rPr>
                <w:rFonts w:hint="eastAsia" w:ascii="Times New Roman" w:hAnsi="Times New Roman" w:eastAsia="宋体" w:cs="Times New Roman"/>
                <w:kern w:val="0"/>
                <w:sz w:val="20"/>
                <w:lang w:eastAsia="zh-CN"/>
              </w:rPr>
              <w:t>专项业务支出</w:t>
            </w:r>
          </w:p>
        </w:tc>
        <w:tc>
          <w:tcPr>
            <w:tcW w:w="683"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1418" w:type="dxa"/>
            <w:gridSpan w:val="2"/>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1472"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819"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79.72</w:t>
            </w:r>
          </w:p>
        </w:tc>
        <w:tc>
          <w:tcPr>
            <w:tcW w:w="872"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79.72</w:t>
            </w:r>
          </w:p>
        </w:tc>
        <w:tc>
          <w:tcPr>
            <w:tcW w:w="369"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395"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341"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314"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395"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382"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450"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518"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c>
          <w:tcPr>
            <w:tcW w:w="340" w:type="dxa"/>
            <w:noWrap w:val="0"/>
            <w:vAlign w:val="center"/>
          </w:tcPr>
          <w:p>
            <w:pPr>
              <w:widowControl/>
              <w:ind w:firstLine="400" w:firstLineChars="200"/>
              <w:jc w:val="left"/>
              <w:rPr>
                <w:rFonts w:hint="eastAsia" w:ascii="Times New Roman" w:hAnsi="Times New Roman" w:eastAsia="宋体" w:cs="Times New Roman"/>
                <w:kern w:val="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pPr>
              <w:widowControl/>
              <w:jc w:val="left"/>
              <w:rPr>
                <w:rFonts w:hint="eastAsia" w:ascii="Times New Roman" w:hAnsi="Times New Roman" w:eastAsia="宋体" w:cs="Times New Roman"/>
                <w:kern w:val="0"/>
                <w:sz w:val="20"/>
                <w:lang w:eastAsia="zh-CN"/>
              </w:rPr>
            </w:pPr>
          </w:p>
        </w:tc>
        <w:tc>
          <w:tcPr>
            <w:tcW w:w="683" w:type="dxa"/>
            <w:noWrap w:val="0"/>
            <w:vAlign w:val="center"/>
          </w:tcPr>
          <w:p>
            <w:pPr>
              <w:widowControl/>
              <w:jc w:val="left"/>
              <w:rPr>
                <w:rFonts w:hint="eastAsia" w:ascii="Times New Roman" w:hAnsi="Times New Roman" w:eastAsia="宋体" w:cs="Times New Roman"/>
                <w:kern w:val="0"/>
                <w:sz w:val="20"/>
                <w:lang w:eastAsia="zh-CN"/>
              </w:rPr>
            </w:pPr>
            <w:r>
              <w:rPr>
                <w:rFonts w:hint="eastAsia" w:ascii="Times New Roman" w:hAnsi="Times New Roman" w:eastAsia="宋体" w:cs="Times New Roman"/>
                <w:kern w:val="0"/>
                <w:sz w:val="20"/>
                <w:lang w:eastAsia="zh-CN"/>
              </w:rPr>
              <w:t>专项普查</w:t>
            </w:r>
            <w:r>
              <w:rPr>
                <w:rFonts w:hint="eastAsia" w:eastAsia="宋体" w:cs="Times New Roman"/>
                <w:kern w:val="0"/>
                <w:sz w:val="20"/>
                <w:lang w:eastAsia="zh-CN"/>
              </w:rPr>
              <w:t>活动</w:t>
            </w:r>
          </w:p>
        </w:tc>
        <w:tc>
          <w:tcPr>
            <w:tcW w:w="1418" w:type="dxa"/>
            <w:gridSpan w:val="2"/>
            <w:noWrap w:val="0"/>
            <w:vAlign w:val="center"/>
          </w:tcPr>
          <w:p>
            <w:pPr>
              <w:widowControl/>
              <w:jc w:val="left"/>
              <w:rPr>
                <w:rFonts w:hint="eastAsia" w:ascii="Times New Roman" w:hAnsi="Times New Roman" w:eastAsia="宋体" w:cs="Times New Roman"/>
                <w:kern w:val="0"/>
                <w:sz w:val="20"/>
                <w:lang w:eastAsia="zh-CN"/>
              </w:rPr>
            </w:pPr>
          </w:p>
        </w:tc>
        <w:tc>
          <w:tcPr>
            <w:tcW w:w="1472" w:type="dxa"/>
            <w:noWrap w:val="0"/>
            <w:vAlign w:val="center"/>
          </w:tcPr>
          <w:p>
            <w:pPr>
              <w:widowControl/>
              <w:jc w:val="left"/>
              <w:rPr>
                <w:rFonts w:hint="eastAsia" w:ascii="Times New Roman" w:hAnsi="Times New Roman" w:eastAsia="宋体" w:cs="Times New Roman"/>
                <w:kern w:val="0"/>
                <w:sz w:val="20"/>
                <w:lang w:eastAsia="zh-CN"/>
              </w:rPr>
            </w:pPr>
          </w:p>
        </w:tc>
        <w:tc>
          <w:tcPr>
            <w:tcW w:w="819"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43.24</w:t>
            </w:r>
          </w:p>
        </w:tc>
        <w:tc>
          <w:tcPr>
            <w:tcW w:w="872"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43.24</w:t>
            </w:r>
          </w:p>
        </w:tc>
        <w:tc>
          <w:tcPr>
            <w:tcW w:w="369"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41" w:type="dxa"/>
            <w:noWrap w:val="0"/>
            <w:vAlign w:val="center"/>
          </w:tcPr>
          <w:p>
            <w:pPr>
              <w:widowControl/>
              <w:jc w:val="left"/>
              <w:rPr>
                <w:rFonts w:hint="eastAsia" w:ascii="Times New Roman" w:hAnsi="Times New Roman" w:eastAsia="宋体" w:cs="Times New Roman"/>
                <w:kern w:val="0"/>
                <w:sz w:val="20"/>
                <w:lang w:eastAsia="zh-CN"/>
              </w:rPr>
            </w:pPr>
          </w:p>
        </w:tc>
        <w:tc>
          <w:tcPr>
            <w:tcW w:w="314"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82" w:type="dxa"/>
            <w:noWrap w:val="0"/>
            <w:vAlign w:val="center"/>
          </w:tcPr>
          <w:p>
            <w:pPr>
              <w:widowControl/>
              <w:jc w:val="left"/>
              <w:rPr>
                <w:rFonts w:hint="eastAsia" w:ascii="Times New Roman" w:hAnsi="Times New Roman" w:eastAsia="宋体" w:cs="Times New Roman"/>
                <w:kern w:val="0"/>
                <w:sz w:val="20"/>
                <w:lang w:eastAsia="zh-CN"/>
              </w:rPr>
            </w:pPr>
          </w:p>
        </w:tc>
        <w:tc>
          <w:tcPr>
            <w:tcW w:w="450" w:type="dxa"/>
            <w:noWrap w:val="0"/>
            <w:vAlign w:val="center"/>
          </w:tcPr>
          <w:p>
            <w:pPr>
              <w:widowControl/>
              <w:jc w:val="left"/>
              <w:rPr>
                <w:rFonts w:hint="eastAsia" w:ascii="Times New Roman" w:hAnsi="Times New Roman" w:eastAsia="宋体" w:cs="Times New Roman"/>
                <w:kern w:val="0"/>
                <w:sz w:val="20"/>
                <w:lang w:eastAsia="zh-CN"/>
              </w:rPr>
            </w:pPr>
          </w:p>
        </w:tc>
        <w:tc>
          <w:tcPr>
            <w:tcW w:w="518" w:type="dxa"/>
            <w:noWrap w:val="0"/>
            <w:vAlign w:val="center"/>
          </w:tcPr>
          <w:p>
            <w:pPr>
              <w:widowControl/>
              <w:jc w:val="left"/>
              <w:rPr>
                <w:rFonts w:hint="eastAsia" w:ascii="Times New Roman" w:hAnsi="Times New Roman" w:eastAsia="宋体" w:cs="Times New Roman"/>
                <w:kern w:val="0"/>
                <w:sz w:val="20"/>
                <w:lang w:eastAsia="zh-CN"/>
              </w:rPr>
            </w:pPr>
          </w:p>
        </w:tc>
        <w:tc>
          <w:tcPr>
            <w:tcW w:w="340" w:type="dxa"/>
            <w:noWrap w:val="0"/>
            <w:vAlign w:val="center"/>
          </w:tcPr>
          <w:p>
            <w:pPr>
              <w:widowControl/>
              <w:jc w:val="left"/>
              <w:rPr>
                <w:rFonts w:hint="eastAsia" w:ascii="Times New Roman" w:hAnsi="Times New Roman" w:eastAsia="宋体" w:cs="Times New Roman"/>
                <w:kern w:val="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pPr>
              <w:widowControl/>
              <w:jc w:val="left"/>
              <w:rPr>
                <w:rFonts w:hint="eastAsia" w:ascii="Times New Roman" w:hAnsi="Times New Roman" w:eastAsia="宋体" w:cs="Times New Roman"/>
                <w:kern w:val="0"/>
                <w:sz w:val="20"/>
                <w:lang w:eastAsia="zh-CN"/>
              </w:rPr>
            </w:pPr>
          </w:p>
        </w:tc>
        <w:tc>
          <w:tcPr>
            <w:tcW w:w="683" w:type="dxa"/>
            <w:noWrap w:val="0"/>
            <w:vAlign w:val="center"/>
          </w:tcPr>
          <w:p>
            <w:pPr>
              <w:widowControl/>
              <w:jc w:val="left"/>
              <w:rPr>
                <w:rFonts w:hint="eastAsia" w:ascii="Times New Roman" w:hAnsi="Times New Roman" w:eastAsia="宋体" w:cs="Times New Roman"/>
                <w:kern w:val="0"/>
                <w:sz w:val="20"/>
                <w:lang w:eastAsia="zh-CN"/>
              </w:rPr>
            </w:pPr>
          </w:p>
        </w:tc>
        <w:tc>
          <w:tcPr>
            <w:tcW w:w="1418" w:type="dxa"/>
            <w:gridSpan w:val="2"/>
            <w:noWrap w:val="0"/>
            <w:vAlign w:val="center"/>
          </w:tcPr>
          <w:p>
            <w:pPr>
              <w:widowControl/>
              <w:jc w:val="left"/>
              <w:rPr>
                <w:rFonts w:hint="eastAsia" w:ascii="Times New Roman" w:hAnsi="Times New Roman" w:eastAsia="宋体" w:cs="Times New Roman"/>
                <w:kern w:val="0"/>
                <w:sz w:val="20"/>
                <w:lang w:eastAsia="zh-CN"/>
              </w:rPr>
            </w:pPr>
            <w:r>
              <w:rPr>
                <w:rFonts w:hint="eastAsia" w:eastAsia="宋体" w:cs="Times New Roman"/>
                <w:kern w:val="0"/>
                <w:sz w:val="20"/>
                <w:lang w:eastAsia="zh-CN"/>
              </w:rPr>
              <w:t>第五次全国经济普查经费</w:t>
            </w:r>
          </w:p>
        </w:tc>
        <w:tc>
          <w:tcPr>
            <w:tcW w:w="1472" w:type="dxa"/>
            <w:noWrap w:val="0"/>
            <w:vAlign w:val="center"/>
          </w:tcPr>
          <w:p>
            <w:pPr>
              <w:widowControl/>
              <w:jc w:val="left"/>
              <w:rPr>
                <w:rFonts w:hint="eastAsia" w:ascii="Times New Roman" w:hAnsi="Times New Roman" w:eastAsia="宋体" w:cs="Times New Roman"/>
                <w:kern w:val="0"/>
                <w:sz w:val="20"/>
                <w:lang w:eastAsia="zh-CN"/>
              </w:rPr>
            </w:pPr>
            <w:r>
              <w:rPr>
                <w:rFonts w:hint="eastAsia" w:eastAsia="宋体" w:cs="Times New Roman"/>
                <w:kern w:val="0"/>
                <w:sz w:val="20"/>
                <w:lang w:eastAsia="zh-CN"/>
              </w:rPr>
              <w:t>吉林市统计局龙潭区分局</w:t>
            </w:r>
          </w:p>
        </w:tc>
        <w:tc>
          <w:tcPr>
            <w:tcW w:w="819"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43.24</w:t>
            </w:r>
          </w:p>
        </w:tc>
        <w:tc>
          <w:tcPr>
            <w:tcW w:w="872"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43.24</w:t>
            </w:r>
          </w:p>
        </w:tc>
        <w:tc>
          <w:tcPr>
            <w:tcW w:w="369"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41" w:type="dxa"/>
            <w:noWrap w:val="0"/>
            <w:vAlign w:val="center"/>
          </w:tcPr>
          <w:p>
            <w:pPr>
              <w:widowControl/>
              <w:jc w:val="left"/>
              <w:rPr>
                <w:rFonts w:hint="eastAsia" w:ascii="Times New Roman" w:hAnsi="Times New Roman" w:eastAsia="宋体" w:cs="Times New Roman"/>
                <w:kern w:val="0"/>
                <w:sz w:val="20"/>
                <w:lang w:eastAsia="zh-CN"/>
              </w:rPr>
            </w:pPr>
          </w:p>
        </w:tc>
        <w:tc>
          <w:tcPr>
            <w:tcW w:w="314"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82" w:type="dxa"/>
            <w:noWrap w:val="0"/>
            <w:vAlign w:val="center"/>
          </w:tcPr>
          <w:p>
            <w:pPr>
              <w:widowControl/>
              <w:jc w:val="left"/>
              <w:rPr>
                <w:rFonts w:hint="eastAsia" w:ascii="Times New Roman" w:hAnsi="Times New Roman" w:eastAsia="宋体" w:cs="Times New Roman"/>
                <w:kern w:val="0"/>
                <w:sz w:val="20"/>
                <w:lang w:eastAsia="zh-CN"/>
              </w:rPr>
            </w:pPr>
          </w:p>
        </w:tc>
        <w:tc>
          <w:tcPr>
            <w:tcW w:w="450" w:type="dxa"/>
            <w:noWrap w:val="0"/>
            <w:vAlign w:val="center"/>
          </w:tcPr>
          <w:p>
            <w:pPr>
              <w:widowControl/>
              <w:jc w:val="left"/>
              <w:rPr>
                <w:rFonts w:hint="eastAsia" w:ascii="Times New Roman" w:hAnsi="Times New Roman" w:eastAsia="宋体" w:cs="Times New Roman"/>
                <w:kern w:val="0"/>
                <w:sz w:val="20"/>
                <w:lang w:eastAsia="zh-CN"/>
              </w:rPr>
            </w:pPr>
          </w:p>
        </w:tc>
        <w:tc>
          <w:tcPr>
            <w:tcW w:w="518" w:type="dxa"/>
            <w:noWrap w:val="0"/>
            <w:vAlign w:val="center"/>
          </w:tcPr>
          <w:p>
            <w:pPr>
              <w:widowControl/>
              <w:jc w:val="left"/>
              <w:rPr>
                <w:rFonts w:hint="eastAsia" w:ascii="Times New Roman" w:hAnsi="Times New Roman" w:eastAsia="宋体" w:cs="Times New Roman"/>
                <w:kern w:val="0"/>
                <w:sz w:val="20"/>
                <w:lang w:eastAsia="zh-CN"/>
              </w:rPr>
            </w:pPr>
          </w:p>
        </w:tc>
        <w:tc>
          <w:tcPr>
            <w:tcW w:w="340" w:type="dxa"/>
            <w:noWrap w:val="0"/>
            <w:vAlign w:val="center"/>
          </w:tcPr>
          <w:p>
            <w:pPr>
              <w:widowControl/>
              <w:jc w:val="left"/>
              <w:rPr>
                <w:rFonts w:hint="eastAsia" w:ascii="Times New Roman" w:hAnsi="Times New Roman" w:eastAsia="宋体" w:cs="Times New Roman"/>
                <w:kern w:val="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pPr>
              <w:widowControl/>
              <w:jc w:val="left"/>
              <w:rPr>
                <w:rFonts w:hint="eastAsia" w:ascii="Times New Roman" w:hAnsi="Times New Roman" w:eastAsia="宋体" w:cs="Times New Roman"/>
                <w:kern w:val="0"/>
                <w:sz w:val="20"/>
                <w:lang w:eastAsia="zh-CN"/>
              </w:rPr>
            </w:pPr>
          </w:p>
        </w:tc>
        <w:tc>
          <w:tcPr>
            <w:tcW w:w="683" w:type="dxa"/>
            <w:noWrap w:val="0"/>
            <w:vAlign w:val="center"/>
          </w:tcPr>
          <w:p>
            <w:pPr>
              <w:widowControl/>
              <w:jc w:val="left"/>
              <w:rPr>
                <w:rFonts w:hint="eastAsia" w:ascii="Times New Roman" w:hAnsi="Times New Roman" w:eastAsia="宋体" w:cs="Times New Roman"/>
                <w:kern w:val="0"/>
                <w:sz w:val="20"/>
                <w:lang w:eastAsia="zh-CN"/>
              </w:rPr>
            </w:pPr>
            <w:r>
              <w:rPr>
                <w:rFonts w:hint="eastAsia" w:eastAsia="宋体" w:cs="Times New Roman"/>
                <w:kern w:val="0"/>
                <w:sz w:val="20"/>
                <w:lang w:eastAsia="zh-CN"/>
              </w:rPr>
              <w:t>专项统计业务</w:t>
            </w:r>
          </w:p>
        </w:tc>
        <w:tc>
          <w:tcPr>
            <w:tcW w:w="1418" w:type="dxa"/>
            <w:gridSpan w:val="2"/>
            <w:noWrap w:val="0"/>
            <w:vAlign w:val="center"/>
          </w:tcPr>
          <w:p>
            <w:pPr>
              <w:widowControl/>
              <w:jc w:val="left"/>
              <w:rPr>
                <w:rFonts w:hint="eastAsia" w:ascii="Times New Roman" w:hAnsi="Times New Roman" w:eastAsia="宋体" w:cs="Times New Roman"/>
                <w:kern w:val="0"/>
                <w:sz w:val="20"/>
                <w:lang w:eastAsia="zh-CN"/>
              </w:rPr>
            </w:pPr>
          </w:p>
        </w:tc>
        <w:tc>
          <w:tcPr>
            <w:tcW w:w="1472" w:type="dxa"/>
            <w:noWrap w:val="0"/>
            <w:vAlign w:val="center"/>
          </w:tcPr>
          <w:p>
            <w:pPr>
              <w:widowControl/>
              <w:jc w:val="left"/>
              <w:rPr>
                <w:rFonts w:hint="eastAsia" w:ascii="Times New Roman" w:hAnsi="Times New Roman" w:eastAsia="宋体" w:cs="Times New Roman"/>
                <w:kern w:val="0"/>
                <w:sz w:val="20"/>
                <w:lang w:eastAsia="zh-CN"/>
              </w:rPr>
            </w:pPr>
          </w:p>
        </w:tc>
        <w:tc>
          <w:tcPr>
            <w:tcW w:w="819"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36.48</w:t>
            </w:r>
          </w:p>
        </w:tc>
        <w:tc>
          <w:tcPr>
            <w:tcW w:w="872"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36.48</w:t>
            </w:r>
          </w:p>
        </w:tc>
        <w:tc>
          <w:tcPr>
            <w:tcW w:w="369"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41" w:type="dxa"/>
            <w:noWrap w:val="0"/>
            <w:vAlign w:val="center"/>
          </w:tcPr>
          <w:p>
            <w:pPr>
              <w:widowControl/>
              <w:jc w:val="left"/>
              <w:rPr>
                <w:rFonts w:hint="eastAsia" w:ascii="Times New Roman" w:hAnsi="Times New Roman" w:eastAsia="宋体" w:cs="Times New Roman"/>
                <w:kern w:val="0"/>
                <w:sz w:val="20"/>
                <w:lang w:eastAsia="zh-CN"/>
              </w:rPr>
            </w:pPr>
          </w:p>
        </w:tc>
        <w:tc>
          <w:tcPr>
            <w:tcW w:w="314"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82" w:type="dxa"/>
            <w:noWrap w:val="0"/>
            <w:vAlign w:val="center"/>
          </w:tcPr>
          <w:p>
            <w:pPr>
              <w:widowControl/>
              <w:jc w:val="left"/>
              <w:rPr>
                <w:rFonts w:hint="eastAsia" w:ascii="Times New Roman" w:hAnsi="Times New Roman" w:eastAsia="宋体" w:cs="Times New Roman"/>
                <w:kern w:val="0"/>
                <w:sz w:val="20"/>
                <w:lang w:eastAsia="zh-CN"/>
              </w:rPr>
            </w:pPr>
          </w:p>
        </w:tc>
        <w:tc>
          <w:tcPr>
            <w:tcW w:w="450" w:type="dxa"/>
            <w:noWrap w:val="0"/>
            <w:vAlign w:val="center"/>
          </w:tcPr>
          <w:p>
            <w:pPr>
              <w:widowControl/>
              <w:jc w:val="left"/>
              <w:rPr>
                <w:rFonts w:hint="eastAsia" w:ascii="Times New Roman" w:hAnsi="Times New Roman" w:eastAsia="宋体" w:cs="Times New Roman"/>
                <w:kern w:val="0"/>
                <w:sz w:val="20"/>
                <w:lang w:eastAsia="zh-CN"/>
              </w:rPr>
            </w:pPr>
          </w:p>
        </w:tc>
        <w:tc>
          <w:tcPr>
            <w:tcW w:w="518" w:type="dxa"/>
            <w:noWrap w:val="0"/>
            <w:vAlign w:val="center"/>
          </w:tcPr>
          <w:p>
            <w:pPr>
              <w:widowControl/>
              <w:jc w:val="left"/>
              <w:rPr>
                <w:rFonts w:hint="eastAsia" w:ascii="Times New Roman" w:hAnsi="Times New Roman" w:eastAsia="宋体" w:cs="Times New Roman"/>
                <w:kern w:val="0"/>
                <w:sz w:val="20"/>
                <w:lang w:eastAsia="zh-CN"/>
              </w:rPr>
            </w:pPr>
          </w:p>
        </w:tc>
        <w:tc>
          <w:tcPr>
            <w:tcW w:w="340" w:type="dxa"/>
            <w:noWrap w:val="0"/>
            <w:vAlign w:val="center"/>
          </w:tcPr>
          <w:p>
            <w:pPr>
              <w:widowControl/>
              <w:jc w:val="left"/>
              <w:rPr>
                <w:rFonts w:hint="eastAsia" w:ascii="Times New Roman" w:hAnsi="Times New Roman" w:eastAsia="宋体" w:cs="Times New Roman"/>
                <w:kern w:val="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pPr>
              <w:widowControl/>
              <w:jc w:val="left"/>
              <w:rPr>
                <w:rFonts w:hint="eastAsia" w:ascii="Times New Roman" w:hAnsi="Times New Roman" w:eastAsia="宋体" w:cs="Times New Roman"/>
                <w:kern w:val="0"/>
                <w:sz w:val="20"/>
                <w:lang w:eastAsia="zh-CN"/>
              </w:rPr>
            </w:pPr>
          </w:p>
        </w:tc>
        <w:tc>
          <w:tcPr>
            <w:tcW w:w="683" w:type="dxa"/>
            <w:noWrap w:val="0"/>
            <w:vAlign w:val="center"/>
          </w:tcPr>
          <w:p>
            <w:pPr>
              <w:widowControl/>
              <w:jc w:val="left"/>
              <w:rPr>
                <w:rFonts w:hint="eastAsia" w:ascii="Times New Roman" w:hAnsi="Times New Roman" w:eastAsia="宋体" w:cs="Times New Roman"/>
                <w:kern w:val="0"/>
                <w:sz w:val="20"/>
                <w:lang w:eastAsia="zh-CN"/>
              </w:rPr>
            </w:pPr>
          </w:p>
        </w:tc>
        <w:tc>
          <w:tcPr>
            <w:tcW w:w="1418" w:type="dxa"/>
            <w:gridSpan w:val="2"/>
            <w:noWrap w:val="0"/>
            <w:vAlign w:val="center"/>
          </w:tcPr>
          <w:p>
            <w:pPr>
              <w:widowControl/>
              <w:jc w:val="left"/>
              <w:rPr>
                <w:rFonts w:hint="eastAsia" w:ascii="Times New Roman" w:hAnsi="Times New Roman" w:eastAsia="宋体" w:cs="Times New Roman"/>
                <w:kern w:val="0"/>
                <w:sz w:val="20"/>
                <w:lang w:eastAsia="zh-CN"/>
              </w:rPr>
            </w:pPr>
            <w:r>
              <w:rPr>
                <w:rFonts w:hint="eastAsia" w:eastAsia="宋体" w:cs="Times New Roman"/>
                <w:kern w:val="0"/>
                <w:sz w:val="20"/>
                <w:lang w:eastAsia="zh-CN"/>
              </w:rPr>
              <w:t>统计调查经费</w:t>
            </w:r>
          </w:p>
        </w:tc>
        <w:tc>
          <w:tcPr>
            <w:tcW w:w="1472" w:type="dxa"/>
            <w:noWrap w:val="0"/>
            <w:vAlign w:val="center"/>
          </w:tcPr>
          <w:p>
            <w:pPr>
              <w:widowControl/>
              <w:jc w:val="left"/>
              <w:rPr>
                <w:rFonts w:hint="eastAsia" w:ascii="Times New Roman" w:hAnsi="Times New Roman" w:eastAsia="宋体" w:cs="Times New Roman"/>
                <w:kern w:val="0"/>
                <w:sz w:val="20"/>
                <w:lang w:eastAsia="zh-CN"/>
              </w:rPr>
            </w:pPr>
            <w:r>
              <w:rPr>
                <w:rFonts w:hint="eastAsia" w:eastAsia="宋体" w:cs="Times New Roman"/>
                <w:kern w:val="0"/>
                <w:sz w:val="20"/>
                <w:lang w:eastAsia="zh-CN"/>
              </w:rPr>
              <w:t>吉林市统计局龙潭区分局</w:t>
            </w:r>
          </w:p>
        </w:tc>
        <w:tc>
          <w:tcPr>
            <w:tcW w:w="819"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36.48</w:t>
            </w:r>
          </w:p>
        </w:tc>
        <w:tc>
          <w:tcPr>
            <w:tcW w:w="872"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36.48</w:t>
            </w:r>
          </w:p>
        </w:tc>
        <w:tc>
          <w:tcPr>
            <w:tcW w:w="369"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41" w:type="dxa"/>
            <w:noWrap w:val="0"/>
            <w:vAlign w:val="center"/>
          </w:tcPr>
          <w:p>
            <w:pPr>
              <w:widowControl/>
              <w:jc w:val="left"/>
              <w:rPr>
                <w:rFonts w:hint="eastAsia" w:ascii="Times New Roman" w:hAnsi="Times New Roman" w:eastAsia="宋体" w:cs="Times New Roman"/>
                <w:kern w:val="0"/>
                <w:sz w:val="20"/>
                <w:lang w:eastAsia="zh-CN"/>
              </w:rPr>
            </w:pPr>
          </w:p>
        </w:tc>
        <w:tc>
          <w:tcPr>
            <w:tcW w:w="314"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82" w:type="dxa"/>
            <w:noWrap w:val="0"/>
            <w:vAlign w:val="center"/>
          </w:tcPr>
          <w:p>
            <w:pPr>
              <w:widowControl/>
              <w:jc w:val="left"/>
              <w:rPr>
                <w:rFonts w:hint="eastAsia" w:ascii="Times New Roman" w:hAnsi="Times New Roman" w:eastAsia="宋体" w:cs="Times New Roman"/>
                <w:kern w:val="0"/>
                <w:sz w:val="20"/>
                <w:lang w:eastAsia="zh-CN"/>
              </w:rPr>
            </w:pPr>
          </w:p>
        </w:tc>
        <w:tc>
          <w:tcPr>
            <w:tcW w:w="450" w:type="dxa"/>
            <w:noWrap w:val="0"/>
            <w:vAlign w:val="center"/>
          </w:tcPr>
          <w:p>
            <w:pPr>
              <w:widowControl/>
              <w:jc w:val="left"/>
              <w:rPr>
                <w:rFonts w:hint="eastAsia" w:ascii="Times New Roman" w:hAnsi="Times New Roman" w:eastAsia="宋体" w:cs="Times New Roman"/>
                <w:kern w:val="0"/>
                <w:sz w:val="20"/>
                <w:lang w:eastAsia="zh-CN"/>
              </w:rPr>
            </w:pPr>
          </w:p>
        </w:tc>
        <w:tc>
          <w:tcPr>
            <w:tcW w:w="518" w:type="dxa"/>
            <w:noWrap w:val="0"/>
            <w:vAlign w:val="center"/>
          </w:tcPr>
          <w:p>
            <w:pPr>
              <w:widowControl/>
              <w:jc w:val="left"/>
              <w:rPr>
                <w:rFonts w:hint="eastAsia" w:ascii="Times New Roman" w:hAnsi="Times New Roman" w:eastAsia="宋体" w:cs="Times New Roman"/>
                <w:kern w:val="0"/>
                <w:sz w:val="20"/>
                <w:lang w:eastAsia="zh-CN"/>
              </w:rPr>
            </w:pPr>
          </w:p>
        </w:tc>
        <w:tc>
          <w:tcPr>
            <w:tcW w:w="340" w:type="dxa"/>
            <w:noWrap w:val="0"/>
            <w:vAlign w:val="center"/>
          </w:tcPr>
          <w:p>
            <w:pPr>
              <w:widowControl/>
              <w:jc w:val="left"/>
              <w:rPr>
                <w:rFonts w:hint="eastAsia" w:ascii="Times New Roman" w:hAnsi="Times New Roman" w:eastAsia="宋体" w:cs="Times New Roman"/>
                <w:kern w:val="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83" w:type="dxa"/>
            <w:noWrap w:val="0"/>
            <w:vAlign w:val="center"/>
          </w:tcPr>
          <w:p>
            <w:pPr>
              <w:autoSpaceDN w:val="0"/>
              <w:jc w:val="center"/>
              <w:textAlignment w:val="center"/>
              <w:rPr>
                <w:rFonts w:ascii="Calibri" w:hAnsi="Calibri" w:eastAsia="华文细黑"/>
                <w:color w:val="000000"/>
                <w:sz w:val="20"/>
                <w:szCs w:val="22"/>
              </w:rPr>
            </w:pPr>
          </w:p>
        </w:tc>
        <w:tc>
          <w:tcPr>
            <w:tcW w:w="1418" w:type="dxa"/>
            <w:gridSpan w:val="2"/>
            <w:noWrap w:val="0"/>
            <w:vAlign w:val="center"/>
          </w:tcPr>
          <w:p>
            <w:pPr>
              <w:spacing w:line="700" w:lineRule="exact"/>
              <w:jc w:val="center"/>
              <w:rPr>
                <w:rFonts w:ascii="Calibri" w:hAnsi="Calibri" w:eastAsia="楷体"/>
                <w:kern w:val="0"/>
                <w:szCs w:val="32"/>
              </w:rPr>
            </w:pPr>
          </w:p>
        </w:tc>
        <w:tc>
          <w:tcPr>
            <w:tcW w:w="1472" w:type="dxa"/>
            <w:noWrap w:val="0"/>
            <w:vAlign w:val="center"/>
          </w:tcPr>
          <w:p>
            <w:pPr>
              <w:spacing w:line="700" w:lineRule="exact"/>
              <w:jc w:val="center"/>
              <w:rPr>
                <w:rFonts w:ascii="Calibri" w:hAnsi="Calibri" w:eastAsia="楷体"/>
                <w:kern w:val="0"/>
                <w:szCs w:val="32"/>
              </w:rPr>
            </w:pPr>
          </w:p>
        </w:tc>
        <w:tc>
          <w:tcPr>
            <w:tcW w:w="819"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79.72</w:t>
            </w:r>
          </w:p>
        </w:tc>
        <w:tc>
          <w:tcPr>
            <w:tcW w:w="872"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79.72</w:t>
            </w:r>
          </w:p>
        </w:tc>
        <w:tc>
          <w:tcPr>
            <w:tcW w:w="369"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41" w:type="dxa"/>
            <w:noWrap w:val="0"/>
            <w:vAlign w:val="center"/>
          </w:tcPr>
          <w:p>
            <w:pPr>
              <w:widowControl/>
              <w:jc w:val="left"/>
              <w:rPr>
                <w:rFonts w:hint="eastAsia" w:ascii="Times New Roman" w:hAnsi="Times New Roman" w:eastAsia="宋体" w:cs="Times New Roman"/>
                <w:kern w:val="0"/>
                <w:sz w:val="20"/>
                <w:lang w:eastAsia="zh-CN"/>
              </w:rPr>
            </w:pPr>
          </w:p>
        </w:tc>
        <w:tc>
          <w:tcPr>
            <w:tcW w:w="314" w:type="dxa"/>
            <w:noWrap w:val="0"/>
            <w:vAlign w:val="center"/>
          </w:tcPr>
          <w:p>
            <w:pPr>
              <w:widowControl/>
              <w:jc w:val="left"/>
              <w:rPr>
                <w:rFonts w:hint="eastAsia" w:ascii="Times New Roman" w:hAnsi="Times New Roman" w:eastAsia="宋体" w:cs="Times New Roman"/>
                <w:kern w:val="0"/>
                <w:sz w:val="20"/>
                <w:lang w:eastAsia="zh-CN"/>
              </w:rPr>
            </w:pPr>
          </w:p>
        </w:tc>
        <w:tc>
          <w:tcPr>
            <w:tcW w:w="395" w:type="dxa"/>
            <w:noWrap w:val="0"/>
            <w:vAlign w:val="center"/>
          </w:tcPr>
          <w:p>
            <w:pPr>
              <w:widowControl/>
              <w:jc w:val="left"/>
              <w:rPr>
                <w:rFonts w:hint="eastAsia" w:ascii="Times New Roman" w:hAnsi="Times New Roman" w:eastAsia="宋体" w:cs="Times New Roman"/>
                <w:kern w:val="0"/>
                <w:sz w:val="20"/>
                <w:lang w:eastAsia="zh-CN"/>
              </w:rPr>
            </w:pPr>
          </w:p>
        </w:tc>
        <w:tc>
          <w:tcPr>
            <w:tcW w:w="382" w:type="dxa"/>
            <w:noWrap w:val="0"/>
            <w:vAlign w:val="center"/>
          </w:tcPr>
          <w:p>
            <w:pPr>
              <w:widowControl/>
              <w:jc w:val="left"/>
              <w:rPr>
                <w:rFonts w:hint="eastAsia" w:ascii="Times New Roman" w:hAnsi="Times New Roman" w:eastAsia="宋体" w:cs="Times New Roman"/>
                <w:kern w:val="0"/>
                <w:sz w:val="20"/>
                <w:lang w:eastAsia="zh-CN"/>
              </w:rPr>
            </w:pPr>
          </w:p>
        </w:tc>
        <w:tc>
          <w:tcPr>
            <w:tcW w:w="450" w:type="dxa"/>
            <w:noWrap w:val="0"/>
            <w:vAlign w:val="center"/>
          </w:tcPr>
          <w:p>
            <w:pPr>
              <w:widowControl/>
              <w:jc w:val="left"/>
              <w:rPr>
                <w:rFonts w:hint="eastAsia" w:ascii="Times New Roman" w:hAnsi="Times New Roman" w:eastAsia="宋体" w:cs="Times New Roman"/>
                <w:kern w:val="0"/>
                <w:sz w:val="20"/>
                <w:lang w:eastAsia="zh-CN"/>
              </w:rPr>
            </w:pPr>
          </w:p>
        </w:tc>
        <w:tc>
          <w:tcPr>
            <w:tcW w:w="518" w:type="dxa"/>
            <w:noWrap w:val="0"/>
            <w:vAlign w:val="center"/>
          </w:tcPr>
          <w:p>
            <w:pPr>
              <w:widowControl/>
              <w:jc w:val="left"/>
              <w:rPr>
                <w:rFonts w:hint="eastAsia" w:ascii="Times New Roman" w:hAnsi="Times New Roman" w:eastAsia="宋体" w:cs="Times New Roman"/>
                <w:kern w:val="0"/>
                <w:sz w:val="20"/>
                <w:lang w:eastAsia="zh-CN"/>
              </w:rPr>
            </w:pPr>
          </w:p>
        </w:tc>
        <w:tc>
          <w:tcPr>
            <w:tcW w:w="340" w:type="dxa"/>
            <w:noWrap w:val="0"/>
            <w:vAlign w:val="center"/>
          </w:tcPr>
          <w:p>
            <w:pPr>
              <w:widowControl/>
              <w:jc w:val="left"/>
              <w:rPr>
                <w:rFonts w:hint="eastAsia" w:ascii="Times New Roman" w:hAnsi="Times New Roman" w:eastAsia="宋体" w:cs="Times New Roman"/>
                <w:kern w:val="0"/>
                <w:sz w:val="20"/>
                <w:lang w:eastAsia="zh-CN"/>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9843" w:type="dxa"/>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14"/>
        <w:gridCol w:w="986"/>
        <w:gridCol w:w="1071"/>
        <w:gridCol w:w="714"/>
        <w:gridCol w:w="629"/>
        <w:gridCol w:w="1471"/>
        <w:gridCol w:w="1034"/>
        <w:gridCol w:w="1266"/>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843"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0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吉林市统计局龙潭区分局</w:t>
            </w:r>
          </w:p>
        </w:tc>
        <w:tc>
          <w:tcPr>
            <w:tcW w:w="111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统计调查经费</w:t>
            </w:r>
          </w:p>
        </w:tc>
        <w:tc>
          <w:tcPr>
            <w:tcW w:w="98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36.48</w:t>
            </w:r>
          </w:p>
        </w:tc>
        <w:tc>
          <w:tcPr>
            <w:tcW w:w="107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按照上级统计部门工作要求，组织实施年度统计调查任务，全面、及时、准确地上报各专业统计报表，及时发布统计公报，为社会公众需要和政府决策提供详实统计数据。</w:t>
            </w:r>
          </w:p>
        </w:tc>
        <w:tc>
          <w:tcPr>
            <w:tcW w:w="714"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29"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471"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统计分析报告篇数</w:t>
            </w:r>
          </w:p>
        </w:tc>
        <w:tc>
          <w:tcPr>
            <w:tcW w:w="1034"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反映统计分析报告篇数情况。</w:t>
            </w:r>
          </w:p>
        </w:tc>
        <w:tc>
          <w:tcPr>
            <w:tcW w:w="126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≥5篇</w:t>
            </w:r>
          </w:p>
        </w:tc>
        <w:tc>
          <w:tcPr>
            <w:tcW w:w="45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7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4"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471"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统计培训人次</w:t>
            </w:r>
          </w:p>
        </w:tc>
        <w:tc>
          <w:tcPr>
            <w:tcW w:w="1034"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反映统计培训人次情况。</w:t>
            </w:r>
          </w:p>
        </w:tc>
        <w:tc>
          <w:tcPr>
            <w:tcW w:w="126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≥300人次</w:t>
            </w:r>
          </w:p>
        </w:tc>
        <w:tc>
          <w:tcPr>
            <w:tcW w:w="45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7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4"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471"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统计专报篇数</w:t>
            </w:r>
          </w:p>
        </w:tc>
        <w:tc>
          <w:tcPr>
            <w:tcW w:w="1034"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反映统计专报篇数情况。</w:t>
            </w:r>
          </w:p>
        </w:tc>
        <w:tc>
          <w:tcPr>
            <w:tcW w:w="126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≥10篇</w:t>
            </w:r>
          </w:p>
        </w:tc>
        <w:tc>
          <w:tcPr>
            <w:tcW w:w="45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1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7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4"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471"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发布统计数据</w:t>
            </w:r>
          </w:p>
        </w:tc>
        <w:tc>
          <w:tcPr>
            <w:tcW w:w="1034"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反映发布各类统计数据情况。</w:t>
            </w:r>
          </w:p>
        </w:tc>
        <w:tc>
          <w:tcPr>
            <w:tcW w:w="126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≥5次</w:t>
            </w:r>
          </w:p>
        </w:tc>
        <w:tc>
          <w:tcPr>
            <w:tcW w:w="45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11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7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4"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2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1471"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调查户、调查员补助发放覆盖率</w:t>
            </w:r>
          </w:p>
        </w:tc>
        <w:tc>
          <w:tcPr>
            <w:tcW w:w="1034"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反映抽样调查户补助发放覆盖情况。</w:t>
            </w:r>
          </w:p>
        </w:tc>
        <w:tc>
          <w:tcPr>
            <w:tcW w:w="126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≥100%</w:t>
            </w:r>
          </w:p>
        </w:tc>
        <w:tc>
          <w:tcPr>
            <w:tcW w:w="45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40</w:t>
            </w: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10"/>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734"/>
        <w:gridCol w:w="1086"/>
        <w:gridCol w:w="909"/>
        <w:gridCol w:w="104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35"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吉林市统计局龙潭区分局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第五次全国经济普查经费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43.24</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普查登记、数据处理、数据质量抽查和技术总结阶段。进行普查登记，普查表审核及数据处理，对普查登记阶段进行监督和检查，汇总普查数据和资料。</w:t>
            </w: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产出指标</w:t>
            </w:r>
          </w:p>
        </w:tc>
        <w:tc>
          <w:tcPr>
            <w:tcW w:w="734"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数量指标</w:t>
            </w:r>
          </w:p>
        </w:tc>
        <w:tc>
          <w:tcPr>
            <w:tcW w:w="108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普查员、普查指导员补贴发放人数</w:t>
            </w:r>
          </w:p>
        </w:tc>
        <w:tc>
          <w:tcPr>
            <w:tcW w:w="90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反映普查员、普查指导员补贴发放人数。</w:t>
            </w:r>
          </w:p>
        </w:tc>
        <w:tc>
          <w:tcPr>
            <w:tcW w:w="104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≥500人</w:t>
            </w:r>
          </w:p>
        </w:tc>
        <w:tc>
          <w:tcPr>
            <w:tcW w:w="828" w:type="dxa"/>
            <w:noWrap w:val="0"/>
            <w:vAlign w:val="center"/>
          </w:tcPr>
          <w:p>
            <w:pPr>
              <w:keepNext w:val="0"/>
              <w:keepLines w:val="0"/>
              <w:widowControl/>
              <w:suppressLineNumbers w:val="0"/>
              <w:jc w:val="righ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效益指标</w:t>
            </w:r>
          </w:p>
        </w:tc>
        <w:tc>
          <w:tcPr>
            <w:tcW w:w="734"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社会效益指标</w:t>
            </w:r>
          </w:p>
        </w:tc>
        <w:tc>
          <w:tcPr>
            <w:tcW w:w="108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普查员、普查指导员补贴发放覆盖率</w:t>
            </w:r>
          </w:p>
        </w:tc>
        <w:tc>
          <w:tcPr>
            <w:tcW w:w="90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反映普查员、普查指导员补贴发放覆盖率情况。</w:t>
            </w:r>
          </w:p>
        </w:tc>
        <w:tc>
          <w:tcPr>
            <w:tcW w:w="104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≥100%</w:t>
            </w:r>
          </w:p>
        </w:tc>
        <w:tc>
          <w:tcPr>
            <w:tcW w:w="828" w:type="dxa"/>
            <w:noWrap w:val="0"/>
            <w:vAlign w:val="center"/>
          </w:tcPr>
          <w:p>
            <w:pPr>
              <w:keepNext w:val="0"/>
              <w:keepLines w:val="0"/>
              <w:widowControl/>
              <w:suppressLineNumbers w:val="0"/>
              <w:jc w:val="righ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40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color w:val="auto"/>
          <w:szCs w:val="32"/>
          <w:highlight w:val="none"/>
          <w:lang w:val="en-US"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lang w:eastAsia="zh-CN"/>
        </w:rPr>
        <w:t>卫生健康支出</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179.72</w:t>
      </w:r>
      <w:r>
        <w:rPr>
          <w:szCs w:val="32"/>
        </w:rPr>
        <w:t>万元</w:t>
      </w:r>
      <w:r>
        <w:rPr>
          <w:rFonts w:hint="eastAsia"/>
          <w:szCs w:val="32"/>
          <w:lang w:eastAsia="zh-CN"/>
        </w:rPr>
        <w:t>，其中：本年预算</w:t>
      </w:r>
      <w:r>
        <w:rPr>
          <w:rFonts w:hint="eastAsia"/>
          <w:szCs w:val="32"/>
          <w:lang w:val="en-US" w:eastAsia="zh-CN"/>
        </w:rPr>
        <w:t>174.19</w:t>
      </w:r>
      <w:r>
        <w:rPr>
          <w:rFonts w:hint="eastAsia"/>
          <w:szCs w:val="32"/>
          <w:lang w:eastAsia="zh-CN"/>
        </w:rPr>
        <w:t>万元；上年结转</w:t>
      </w:r>
      <w:r>
        <w:rPr>
          <w:rFonts w:hint="eastAsia"/>
          <w:szCs w:val="32"/>
          <w:lang w:val="en-US" w:eastAsia="zh-CN"/>
        </w:rPr>
        <w:t>5.53</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48.97</w:t>
      </w:r>
      <w:r>
        <w:rPr>
          <w:szCs w:val="32"/>
        </w:rPr>
        <w:t>万元，主要原因是</w:t>
      </w:r>
      <w:r>
        <w:rPr>
          <w:rFonts w:hint="eastAsia"/>
          <w:szCs w:val="32"/>
          <w:lang w:eastAsia="zh-CN"/>
        </w:rPr>
        <w:t>本年增加了第五次全国经济普查经费预算</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179.72</w:t>
      </w:r>
      <w:r>
        <w:rPr>
          <w:szCs w:val="32"/>
        </w:rPr>
        <w:t>万元，其中：本年收入</w:t>
      </w:r>
      <w:r>
        <w:rPr>
          <w:rFonts w:hint="eastAsia"/>
          <w:szCs w:val="32"/>
          <w:lang w:val="en-US" w:eastAsia="zh-CN"/>
        </w:rPr>
        <w:t>174.19</w:t>
      </w:r>
      <w:r>
        <w:rPr>
          <w:szCs w:val="32"/>
        </w:rPr>
        <w:t>万元，占</w:t>
      </w:r>
      <w:r>
        <w:rPr>
          <w:rFonts w:hint="eastAsia"/>
          <w:szCs w:val="32"/>
          <w:lang w:val="en-US" w:eastAsia="zh-CN"/>
        </w:rPr>
        <w:t>96.9</w:t>
      </w:r>
      <w:r>
        <w:rPr>
          <w:szCs w:val="32"/>
        </w:rPr>
        <w:t>%；上年结转</w:t>
      </w:r>
      <w:r>
        <w:rPr>
          <w:rFonts w:hint="eastAsia"/>
          <w:szCs w:val="32"/>
          <w:lang w:eastAsia="zh-CN"/>
        </w:rPr>
        <w:t>结余</w:t>
      </w:r>
      <w:r>
        <w:rPr>
          <w:rFonts w:hint="eastAsia"/>
          <w:szCs w:val="32"/>
          <w:lang w:val="en-US" w:eastAsia="zh-CN"/>
        </w:rPr>
        <w:t>5.53</w:t>
      </w:r>
      <w:r>
        <w:rPr>
          <w:szCs w:val="32"/>
        </w:rPr>
        <w:t>万元，占</w:t>
      </w:r>
      <w:r>
        <w:rPr>
          <w:rFonts w:hint="eastAsia"/>
          <w:szCs w:val="32"/>
          <w:lang w:val="en-US" w:eastAsia="zh-CN"/>
        </w:rPr>
        <w:t>3.1</w:t>
      </w:r>
      <w:r>
        <w:rPr>
          <w:szCs w:val="32"/>
        </w:rPr>
        <w:t>%。本年收入中，一般公共预算拨款收入</w:t>
      </w:r>
      <w:r>
        <w:rPr>
          <w:rFonts w:hint="eastAsia"/>
          <w:szCs w:val="32"/>
          <w:lang w:val="en-US" w:eastAsia="zh-CN"/>
        </w:rPr>
        <w:t>174.19</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5.53</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179.72</w:t>
      </w:r>
      <w:r>
        <w:rPr>
          <w:szCs w:val="32"/>
        </w:rPr>
        <w:t>万元，其中：基本支出</w:t>
      </w:r>
      <w:r>
        <w:rPr>
          <w:rFonts w:hint="eastAsia"/>
          <w:szCs w:val="32"/>
          <w:lang w:val="en-US" w:eastAsia="zh-CN"/>
        </w:rPr>
        <w:t>100.00</w:t>
      </w:r>
      <w:r>
        <w:rPr>
          <w:szCs w:val="32"/>
        </w:rPr>
        <w:t>万元，占</w:t>
      </w:r>
      <w:r>
        <w:rPr>
          <w:rFonts w:hint="eastAsia"/>
          <w:szCs w:val="32"/>
          <w:lang w:val="en-US" w:eastAsia="zh-CN"/>
        </w:rPr>
        <w:t>55.6</w:t>
      </w:r>
      <w:r>
        <w:rPr>
          <w:szCs w:val="32"/>
        </w:rPr>
        <w:t>%；项目支出</w:t>
      </w:r>
      <w:r>
        <w:rPr>
          <w:rFonts w:hint="eastAsia"/>
          <w:szCs w:val="32"/>
          <w:lang w:val="en-US" w:eastAsia="zh-CN"/>
        </w:rPr>
        <w:t>79.72</w:t>
      </w:r>
      <w:r>
        <w:rPr>
          <w:szCs w:val="32"/>
        </w:rPr>
        <w:t>万元，占</w:t>
      </w:r>
      <w:r>
        <w:rPr>
          <w:rFonts w:hint="eastAsia"/>
          <w:szCs w:val="32"/>
          <w:lang w:val="en-US" w:eastAsia="zh-CN"/>
        </w:rPr>
        <w:t>44.4</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179.72</w:t>
      </w:r>
      <w:r>
        <w:rPr>
          <w:szCs w:val="32"/>
        </w:rPr>
        <w:t>万元，其中：</w:t>
      </w:r>
      <w:r>
        <w:rPr>
          <w:rFonts w:hint="eastAsia"/>
          <w:szCs w:val="32"/>
        </w:rPr>
        <w:t>本年</w:t>
      </w:r>
      <w:r>
        <w:rPr>
          <w:rFonts w:hint="eastAsia"/>
          <w:szCs w:val="32"/>
          <w:lang w:eastAsia="zh-CN"/>
        </w:rPr>
        <w:t>预算</w:t>
      </w:r>
      <w:r>
        <w:rPr>
          <w:rFonts w:hint="eastAsia"/>
          <w:szCs w:val="32"/>
          <w:lang w:val="en-US" w:eastAsia="zh-CN"/>
        </w:rPr>
        <w:t>174.19</w:t>
      </w:r>
      <w:r>
        <w:rPr>
          <w:szCs w:val="32"/>
        </w:rPr>
        <w:t>万元</w:t>
      </w:r>
      <w:r>
        <w:rPr>
          <w:rFonts w:hint="eastAsia"/>
          <w:szCs w:val="32"/>
        </w:rPr>
        <w:t>，上年结转</w:t>
      </w:r>
      <w:r>
        <w:rPr>
          <w:rFonts w:hint="eastAsia"/>
          <w:szCs w:val="32"/>
          <w:lang w:val="en-US" w:eastAsia="zh-CN"/>
        </w:rPr>
        <w:t>5.53</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148.93</w:t>
      </w:r>
      <w:r>
        <w:rPr>
          <w:szCs w:val="32"/>
        </w:rPr>
        <w:t>万元，</w:t>
      </w:r>
      <w:r>
        <w:rPr>
          <w:kern w:val="0"/>
          <w:szCs w:val="32"/>
        </w:rPr>
        <w:t>社会保障和就业支出</w:t>
      </w:r>
      <w:r>
        <w:rPr>
          <w:rFonts w:hint="eastAsia"/>
          <w:szCs w:val="32"/>
          <w:lang w:val="en-US" w:eastAsia="zh-CN"/>
        </w:rPr>
        <w:t>19.04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4.59</w:t>
      </w:r>
      <w:r>
        <w:rPr>
          <w:szCs w:val="32"/>
        </w:rPr>
        <w:t>万元，</w:t>
      </w:r>
      <w:r>
        <w:rPr>
          <w:kern w:val="0"/>
          <w:szCs w:val="32"/>
        </w:rPr>
        <w:t>住房保障支出</w:t>
      </w:r>
      <w:r>
        <w:rPr>
          <w:rFonts w:hint="eastAsia"/>
          <w:szCs w:val="32"/>
          <w:lang w:val="en-US" w:eastAsia="zh-CN"/>
        </w:rPr>
        <w:t>7.16</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179.72</w:t>
      </w:r>
      <w:r>
        <w:rPr>
          <w:szCs w:val="32"/>
        </w:rPr>
        <w:t>万元，其中：基本支出</w:t>
      </w:r>
      <w:r>
        <w:rPr>
          <w:rFonts w:hint="eastAsia"/>
          <w:szCs w:val="32"/>
          <w:lang w:val="en-US" w:eastAsia="zh-CN"/>
        </w:rPr>
        <w:t>100.00</w:t>
      </w:r>
      <w:r>
        <w:rPr>
          <w:szCs w:val="32"/>
        </w:rPr>
        <w:t>万元，占</w:t>
      </w:r>
      <w:r>
        <w:rPr>
          <w:rFonts w:hint="eastAsia"/>
          <w:szCs w:val="32"/>
          <w:lang w:val="en-US" w:eastAsia="zh-CN"/>
        </w:rPr>
        <w:t>55.6</w:t>
      </w:r>
      <w:r>
        <w:rPr>
          <w:szCs w:val="32"/>
        </w:rPr>
        <w:t>%；项目支出</w:t>
      </w:r>
      <w:r>
        <w:rPr>
          <w:rFonts w:hint="eastAsia"/>
          <w:szCs w:val="32"/>
          <w:lang w:val="en-US" w:eastAsia="zh-CN"/>
        </w:rPr>
        <w:t>79.72</w:t>
      </w:r>
      <w:r>
        <w:rPr>
          <w:szCs w:val="32"/>
        </w:rPr>
        <w:t>万元，占</w:t>
      </w:r>
      <w:r>
        <w:rPr>
          <w:rFonts w:hint="eastAsia"/>
          <w:szCs w:val="32"/>
          <w:lang w:val="en-US" w:eastAsia="zh-CN"/>
        </w:rPr>
        <w:t>44.4</w:t>
      </w:r>
      <w:r>
        <w:rPr>
          <w:szCs w:val="32"/>
        </w:rPr>
        <w:t>%。基本支出中，人员经费</w:t>
      </w:r>
      <w:r>
        <w:rPr>
          <w:rFonts w:hint="eastAsia"/>
          <w:szCs w:val="32"/>
          <w:lang w:val="en-US" w:eastAsia="zh-CN"/>
        </w:rPr>
        <w:t>82.84</w:t>
      </w:r>
      <w:r>
        <w:rPr>
          <w:szCs w:val="32"/>
        </w:rPr>
        <w:t>万元，占</w:t>
      </w:r>
      <w:r>
        <w:rPr>
          <w:rFonts w:hint="eastAsia"/>
          <w:szCs w:val="32"/>
          <w:lang w:val="en-US" w:eastAsia="zh-CN"/>
        </w:rPr>
        <w:t>82.8</w:t>
      </w:r>
      <w:r>
        <w:rPr>
          <w:szCs w:val="32"/>
        </w:rPr>
        <w:t>%；公用经费</w:t>
      </w:r>
      <w:r>
        <w:rPr>
          <w:rFonts w:hint="eastAsia"/>
          <w:szCs w:val="32"/>
          <w:lang w:val="en-US" w:eastAsia="zh-CN"/>
        </w:rPr>
        <w:t>17.16</w:t>
      </w:r>
      <w:r>
        <w:rPr>
          <w:szCs w:val="32"/>
        </w:rPr>
        <w:t>万元，占</w:t>
      </w:r>
      <w:r>
        <w:rPr>
          <w:rFonts w:hint="eastAsia"/>
          <w:szCs w:val="32"/>
          <w:lang w:val="en-US" w:eastAsia="zh-CN"/>
        </w:rPr>
        <w:t>17.2</w:t>
      </w:r>
      <w:r>
        <w:rPr>
          <w:szCs w:val="32"/>
        </w:rPr>
        <w:t>%。</w:t>
      </w:r>
    </w:p>
    <w:p>
      <w:pPr>
        <w:spacing w:line="520" w:lineRule="exact"/>
        <w:ind w:firstLine="518" w:firstLineChars="162"/>
        <w:rPr>
          <w:szCs w:val="32"/>
        </w:rPr>
      </w:pPr>
      <w:r>
        <w:rPr>
          <w:szCs w:val="32"/>
        </w:rPr>
        <w:t>一般公共服务（类）支出</w:t>
      </w:r>
      <w:r>
        <w:rPr>
          <w:rFonts w:hint="eastAsia"/>
          <w:szCs w:val="32"/>
          <w:lang w:val="en-US" w:eastAsia="zh-CN"/>
        </w:rPr>
        <w:t>148.93</w:t>
      </w:r>
      <w:r>
        <w:rPr>
          <w:szCs w:val="32"/>
        </w:rPr>
        <w:t>万元，占</w:t>
      </w:r>
      <w:r>
        <w:rPr>
          <w:rFonts w:hint="eastAsia"/>
          <w:szCs w:val="32"/>
          <w:lang w:val="en-US" w:eastAsia="zh-CN"/>
        </w:rPr>
        <w:t>82.9</w:t>
      </w:r>
      <w:r>
        <w:rPr>
          <w:szCs w:val="32"/>
        </w:rPr>
        <w:t>%，主要用于</w:t>
      </w:r>
      <w:r>
        <w:rPr>
          <w:rFonts w:hint="eastAsia"/>
          <w:szCs w:val="32"/>
          <w:lang w:eastAsia="zh-CN"/>
        </w:rPr>
        <w:t>保障本单位人员工资发放和机关运行正常开展</w:t>
      </w:r>
      <w:r>
        <w:rPr>
          <w:szCs w:val="32"/>
        </w:rPr>
        <w:t>。</w:t>
      </w:r>
    </w:p>
    <w:p>
      <w:pPr>
        <w:spacing w:line="520" w:lineRule="exact"/>
        <w:ind w:firstLine="518" w:firstLineChars="162"/>
        <w:rPr>
          <w:szCs w:val="32"/>
        </w:rPr>
      </w:pPr>
      <w:r>
        <w:rPr>
          <w:szCs w:val="32"/>
        </w:rPr>
        <w:t>社会保障和就业（类）支出</w:t>
      </w:r>
      <w:r>
        <w:rPr>
          <w:rFonts w:hint="eastAsia"/>
          <w:szCs w:val="32"/>
          <w:lang w:val="en-US" w:eastAsia="zh-CN"/>
        </w:rPr>
        <w:t>19.04</w:t>
      </w:r>
      <w:r>
        <w:rPr>
          <w:szCs w:val="32"/>
        </w:rPr>
        <w:t>万元，占</w:t>
      </w:r>
      <w:r>
        <w:rPr>
          <w:rFonts w:hint="eastAsia"/>
          <w:szCs w:val="32"/>
          <w:lang w:val="en-US" w:eastAsia="zh-CN"/>
        </w:rPr>
        <w:t>10.6</w:t>
      </w:r>
      <w:r>
        <w:rPr>
          <w:szCs w:val="32"/>
        </w:rPr>
        <w:t>%，主要用于</w:t>
      </w:r>
      <w:r>
        <w:rPr>
          <w:rFonts w:hint="eastAsia"/>
          <w:szCs w:val="32"/>
          <w:lang w:eastAsia="zh-CN"/>
        </w:rPr>
        <w:t>保障退休职工生活补贴、取暖补贴及机关事业单位基本养老保险缴费</w:t>
      </w:r>
      <w:r>
        <w:rPr>
          <w:szCs w:val="32"/>
        </w:rPr>
        <w:t>。</w:t>
      </w:r>
    </w:p>
    <w:p>
      <w:pPr>
        <w:spacing w:line="520" w:lineRule="exact"/>
        <w:ind w:firstLine="640" w:firstLineChars="200"/>
        <w:rPr>
          <w:szCs w:val="32"/>
        </w:rPr>
      </w:pPr>
      <w:r>
        <w:rPr>
          <w:rFonts w:hint="eastAsia"/>
          <w:szCs w:val="32"/>
          <w:lang w:eastAsia="zh-CN"/>
        </w:rPr>
        <w:t>卫生健康</w:t>
      </w:r>
      <w:r>
        <w:rPr>
          <w:szCs w:val="32"/>
        </w:rPr>
        <w:t>（类）支出</w:t>
      </w:r>
      <w:r>
        <w:rPr>
          <w:rFonts w:hint="eastAsia"/>
          <w:szCs w:val="32"/>
          <w:lang w:val="en-US" w:eastAsia="zh-CN"/>
        </w:rPr>
        <w:t>4.59</w:t>
      </w:r>
      <w:r>
        <w:rPr>
          <w:szCs w:val="32"/>
        </w:rPr>
        <w:t>万元，占</w:t>
      </w:r>
      <w:r>
        <w:rPr>
          <w:rFonts w:hint="eastAsia"/>
          <w:szCs w:val="32"/>
          <w:lang w:val="en-US" w:eastAsia="zh-CN"/>
        </w:rPr>
        <w:t>2.5</w:t>
      </w:r>
      <w:r>
        <w:rPr>
          <w:szCs w:val="32"/>
        </w:rPr>
        <w:t>%，主要用于</w:t>
      </w:r>
      <w:r>
        <w:rPr>
          <w:rFonts w:hint="eastAsia"/>
          <w:szCs w:val="32"/>
          <w:lang w:eastAsia="zh-CN"/>
        </w:rPr>
        <w:t>缴纳在职及退休人员基本医疗保险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7.16</w:t>
      </w:r>
      <w:r>
        <w:rPr>
          <w:szCs w:val="32"/>
        </w:rPr>
        <w:t>万元，占</w:t>
      </w:r>
      <w:r>
        <w:rPr>
          <w:rFonts w:hint="eastAsia"/>
          <w:szCs w:val="32"/>
          <w:lang w:val="en-US" w:eastAsia="zh-CN"/>
        </w:rPr>
        <w:t>4</w:t>
      </w:r>
      <w:r>
        <w:rPr>
          <w:szCs w:val="32"/>
        </w:rPr>
        <w:t>%，主要用于</w:t>
      </w:r>
      <w:r>
        <w:rPr>
          <w:rFonts w:hint="eastAsia"/>
          <w:szCs w:val="32"/>
          <w:lang w:eastAsia="zh-CN"/>
        </w:rPr>
        <w:t>缴纳在职人员住房公积金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100.00</w:t>
      </w:r>
      <w:r>
        <w:rPr>
          <w:szCs w:val="32"/>
        </w:rPr>
        <w:t>万元，其中：</w:t>
      </w:r>
    </w:p>
    <w:p>
      <w:pPr>
        <w:ind w:firstLine="640" w:firstLineChars="200"/>
        <w:rPr>
          <w:rFonts w:hint="eastAsia"/>
          <w:szCs w:val="32"/>
          <w:lang w:eastAsia="zh-CN"/>
        </w:rPr>
      </w:pPr>
      <w:r>
        <w:rPr>
          <w:szCs w:val="32"/>
        </w:rPr>
        <w:t>人员经费</w:t>
      </w:r>
      <w:r>
        <w:rPr>
          <w:rFonts w:hint="eastAsia"/>
          <w:szCs w:val="32"/>
          <w:lang w:val="en-US" w:eastAsia="zh-CN"/>
        </w:rPr>
        <w:t>82.84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机关事业单位基本养老保险缴费、职工基本医疗保险缴费、公务员医疗补助缴费、其他社会保障缴费、住房公积金、医疗费、其他工资福利支出、退休费、其他对个人和家庭的补助。</w:t>
      </w:r>
    </w:p>
    <w:p>
      <w:pPr>
        <w:ind w:firstLine="640" w:firstLineChars="200"/>
        <w:rPr>
          <w:szCs w:val="32"/>
        </w:rPr>
      </w:pPr>
      <w:r>
        <w:rPr>
          <w:kern w:val="0"/>
          <w:szCs w:val="32"/>
        </w:rPr>
        <w:t>公用经费</w:t>
      </w:r>
      <w:r>
        <w:rPr>
          <w:rFonts w:hint="eastAsia"/>
          <w:szCs w:val="32"/>
          <w:lang w:val="en-US" w:eastAsia="zh-CN"/>
        </w:rPr>
        <w:t>17.16</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rFonts w:hint="eastAsia"/>
          <w:szCs w:val="32"/>
          <w:lang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szCs w:val="32"/>
          <w:lang w:eastAsia="zh-CN"/>
        </w:rPr>
      </w:pPr>
      <w:r>
        <w:rPr>
          <w:rFonts w:hint="eastAsia"/>
          <w:szCs w:val="32"/>
          <w:lang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17.16</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0.17</w:t>
      </w:r>
      <w:r>
        <w:rPr>
          <w:szCs w:val="32"/>
        </w:rPr>
        <w:t>万元，下降</w:t>
      </w:r>
      <w:r>
        <w:rPr>
          <w:rFonts w:hint="eastAsia"/>
          <w:szCs w:val="32"/>
          <w:lang w:val="en-US" w:eastAsia="zh-CN"/>
        </w:rPr>
        <w:t>1.0</w:t>
      </w:r>
      <w:r>
        <w:rPr>
          <w:szCs w:val="32"/>
        </w:rPr>
        <w:t>%</w:t>
      </w:r>
      <w:r>
        <w:rPr>
          <w:rFonts w:hint="eastAsia"/>
          <w:szCs w:val="32"/>
        </w:rPr>
        <w:t>，主要原因是</w:t>
      </w:r>
      <w:r>
        <w:rPr>
          <w:rFonts w:hint="eastAsia"/>
          <w:szCs w:val="32"/>
          <w:lang w:eastAsia="zh-CN"/>
        </w:rPr>
        <w:t>按照财政要求压减本年公用经费，致使本年机关运行经费较</w:t>
      </w:r>
      <w:r>
        <w:rPr>
          <w:rFonts w:hint="eastAsia"/>
          <w:szCs w:val="32"/>
          <w:lang w:val="en-US" w:eastAsia="zh-CN"/>
        </w:rPr>
        <w:t>2023年减少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lang w:eastAsia="zh-CN"/>
        </w:rPr>
        <w:t>本单位无政府采购预算安排</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0平</w:t>
      </w:r>
      <w:r>
        <w:rPr>
          <w:rFonts w:hint="eastAsia"/>
          <w:szCs w:val="32"/>
        </w:rPr>
        <w:t>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79.72</w:t>
      </w:r>
      <w:r>
        <w:rPr>
          <w:szCs w:val="32"/>
        </w:rPr>
        <w:t>万元，其中：一级项目</w:t>
      </w:r>
      <w:r>
        <w:rPr>
          <w:rFonts w:hint="eastAsia"/>
          <w:szCs w:val="32"/>
          <w:highlight w:val="none"/>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79.72</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szCs w:val="32"/>
          <w:highlight w:val="none"/>
          <w:lang w:val="en-US" w:eastAsia="zh-CN"/>
        </w:rPr>
        <w:t>79.72</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rPr>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highlight w:val="none"/>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highlight w:val="none"/>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decimal" w:start="1"/>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- 4 -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- 4 -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r>
                      <w:rPr>
                        <w:rFonts w:hint="eastAsia" w:ascii="宋体" w:hAnsi="宋体" w:eastAsia="宋体" w:cs="宋体"/>
                        <w:sz w:val="28"/>
                        <w:szCs w:val="28"/>
                        <w:lang w:eastAsia="zh-CN"/>
                      </w:rPr>
                      <w:t>—</w:t>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ZDgzMzkwYmRjNzkxYTliZTIzNWM5MTg0NWUyZDYifQ=="/>
    <w:docVar w:name="KSO_WPS_MARK_KEY" w:val="bf1aeb89-6d59-49db-944e-9eeaae69854f"/>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79740A"/>
    <w:rsid w:val="09A0082A"/>
    <w:rsid w:val="0A00435B"/>
    <w:rsid w:val="0AAA1697"/>
    <w:rsid w:val="0ABA06FE"/>
    <w:rsid w:val="0B49202F"/>
    <w:rsid w:val="0B5F5ADA"/>
    <w:rsid w:val="0C2A5C84"/>
    <w:rsid w:val="0C4F64D9"/>
    <w:rsid w:val="0C583939"/>
    <w:rsid w:val="0C6D1BAE"/>
    <w:rsid w:val="0D2A2435"/>
    <w:rsid w:val="0D3C5C25"/>
    <w:rsid w:val="0DA001B0"/>
    <w:rsid w:val="0DEB170B"/>
    <w:rsid w:val="0E4C7841"/>
    <w:rsid w:val="0E97506F"/>
    <w:rsid w:val="0ED51DBA"/>
    <w:rsid w:val="0F3E0406"/>
    <w:rsid w:val="0F980230"/>
    <w:rsid w:val="0FD62F63"/>
    <w:rsid w:val="0FDE2A27"/>
    <w:rsid w:val="10AE7F82"/>
    <w:rsid w:val="10C93B35"/>
    <w:rsid w:val="11177619"/>
    <w:rsid w:val="112605C8"/>
    <w:rsid w:val="11A6707B"/>
    <w:rsid w:val="11B35B2F"/>
    <w:rsid w:val="12E711B7"/>
    <w:rsid w:val="13031039"/>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9C71CCF"/>
    <w:rsid w:val="2D797E11"/>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19D56B0"/>
    <w:rsid w:val="32332703"/>
    <w:rsid w:val="32CF2C5D"/>
    <w:rsid w:val="32EE2C61"/>
    <w:rsid w:val="335402B5"/>
    <w:rsid w:val="339466B2"/>
    <w:rsid w:val="34555AF5"/>
    <w:rsid w:val="34FF687B"/>
    <w:rsid w:val="354C4987"/>
    <w:rsid w:val="35616772"/>
    <w:rsid w:val="356822C7"/>
    <w:rsid w:val="35EA1663"/>
    <w:rsid w:val="36026CDC"/>
    <w:rsid w:val="364C598E"/>
    <w:rsid w:val="368A3622"/>
    <w:rsid w:val="36B543E5"/>
    <w:rsid w:val="36CC2B0F"/>
    <w:rsid w:val="36FC762F"/>
    <w:rsid w:val="3838492F"/>
    <w:rsid w:val="383A009B"/>
    <w:rsid w:val="3887374F"/>
    <w:rsid w:val="38CB0ABC"/>
    <w:rsid w:val="39041A07"/>
    <w:rsid w:val="39043B77"/>
    <w:rsid w:val="392A1AFE"/>
    <w:rsid w:val="39670895"/>
    <w:rsid w:val="397B4EE2"/>
    <w:rsid w:val="3A387943"/>
    <w:rsid w:val="3A657F9A"/>
    <w:rsid w:val="3A9113D4"/>
    <w:rsid w:val="3AC54F32"/>
    <w:rsid w:val="3B144A0A"/>
    <w:rsid w:val="3B254018"/>
    <w:rsid w:val="3B5257F8"/>
    <w:rsid w:val="3BAC7C77"/>
    <w:rsid w:val="3BC92948"/>
    <w:rsid w:val="3BE370D4"/>
    <w:rsid w:val="3C1A026D"/>
    <w:rsid w:val="3C29381E"/>
    <w:rsid w:val="3C642299"/>
    <w:rsid w:val="3C711E1D"/>
    <w:rsid w:val="3C7F463D"/>
    <w:rsid w:val="3CAE3960"/>
    <w:rsid w:val="3CEF6494"/>
    <w:rsid w:val="3D365BF6"/>
    <w:rsid w:val="3D7F7007"/>
    <w:rsid w:val="3DB008AA"/>
    <w:rsid w:val="3DF23324"/>
    <w:rsid w:val="3EA14040"/>
    <w:rsid w:val="3EE8108D"/>
    <w:rsid w:val="3F772117"/>
    <w:rsid w:val="3F8201A3"/>
    <w:rsid w:val="402675EA"/>
    <w:rsid w:val="40B80EFF"/>
    <w:rsid w:val="41A35364"/>
    <w:rsid w:val="41C31686"/>
    <w:rsid w:val="41C837BC"/>
    <w:rsid w:val="421643AC"/>
    <w:rsid w:val="42982B4E"/>
    <w:rsid w:val="429F5D0C"/>
    <w:rsid w:val="42D83665"/>
    <w:rsid w:val="43466984"/>
    <w:rsid w:val="434A6B47"/>
    <w:rsid w:val="436B1E42"/>
    <w:rsid w:val="456D114B"/>
    <w:rsid w:val="45EB670F"/>
    <w:rsid w:val="46AB7C0D"/>
    <w:rsid w:val="46D44808"/>
    <w:rsid w:val="46ED776B"/>
    <w:rsid w:val="475A6032"/>
    <w:rsid w:val="479D2523"/>
    <w:rsid w:val="47CF49E6"/>
    <w:rsid w:val="48674ED2"/>
    <w:rsid w:val="487708E6"/>
    <w:rsid w:val="48B540F2"/>
    <w:rsid w:val="48B562E6"/>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4FED287A"/>
    <w:rsid w:val="501B3C66"/>
    <w:rsid w:val="504B40C5"/>
    <w:rsid w:val="50987DC2"/>
    <w:rsid w:val="50A4703E"/>
    <w:rsid w:val="51282B99"/>
    <w:rsid w:val="5136104F"/>
    <w:rsid w:val="51465EDE"/>
    <w:rsid w:val="52071113"/>
    <w:rsid w:val="52085509"/>
    <w:rsid w:val="522774C4"/>
    <w:rsid w:val="52295BA6"/>
    <w:rsid w:val="522A7431"/>
    <w:rsid w:val="525A440D"/>
    <w:rsid w:val="52626449"/>
    <w:rsid w:val="544E511A"/>
    <w:rsid w:val="54741940"/>
    <w:rsid w:val="54810E66"/>
    <w:rsid w:val="54C063E4"/>
    <w:rsid w:val="54C2556E"/>
    <w:rsid w:val="54F51258"/>
    <w:rsid w:val="55480EEF"/>
    <w:rsid w:val="56470E83"/>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2887B94"/>
    <w:rsid w:val="63DF08E4"/>
    <w:rsid w:val="64C04AFD"/>
    <w:rsid w:val="655B219F"/>
    <w:rsid w:val="661A7B69"/>
    <w:rsid w:val="66455323"/>
    <w:rsid w:val="664909C1"/>
    <w:rsid w:val="66635AE4"/>
    <w:rsid w:val="66C63EB5"/>
    <w:rsid w:val="67592674"/>
    <w:rsid w:val="679461D3"/>
    <w:rsid w:val="67D920E6"/>
    <w:rsid w:val="6858287E"/>
    <w:rsid w:val="68593A1E"/>
    <w:rsid w:val="68C04D52"/>
    <w:rsid w:val="68D33DE9"/>
    <w:rsid w:val="69157114"/>
    <w:rsid w:val="691A443E"/>
    <w:rsid w:val="69E203A0"/>
    <w:rsid w:val="6A1A584B"/>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7F4439"/>
    <w:rsid w:val="728027C6"/>
    <w:rsid w:val="73D62FA6"/>
    <w:rsid w:val="73FE7ACC"/>
    <w:rsid w:val="74556746"/>
    <w:rsid w:val="74743258"/>
    <w:rsid w:val="74924EB1"/>
    <w:rsid w:val="761B13C4"/>
    <w:rsid w:val="764B6A8A"/>
    <w:rsid w:val="76C17E06"/>
    <w:rsid w:val="76CA67BD"/>
    <w:rsid w:val="774E6400"/>
    <w:rsid w:val="775B0046"/>
    <w:rsid w:val="79700BEF"/>
    <w:rsid w:val="798D552B"/>
    <w:rsid w:val="7A090695"/>
    <w:rsid w:val="7A1D5951"/>
    <w:rsid w:val="7A3C1B84"/>
    <w:rsid w:val="7AE175F4"/>
    <w:rsid w:val="7B417685"/>
    <w:rsid w:val="7B5220F0"/>
    <w:rsid w:val="7BA169C0"/>
    <w:rsid w:val="7BC55243"/>
    <w:rsid w:val="7C2F4A9A"/>
    <w:rsid w:val="7CAD595B"/>
    <w:rsid w:val="7CF65D07"/>
    <w:rsid w:val="7D2975D1"/>
    <w:rsid w:val="7D2F3083"/>
    <w:rsid w:val="7D906046"/>
    <w:rsid w:val="7DCC0CD6"/>
    <w:rsid w:val="7F7814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5615</Words>
  <Characters>6796</Characters>
  <Lines>71</Lines>
  <Paragraphs>20</Paragraphs>
  <TotalTime>8</TotalTime>
  <ScaleCrop>false</ScaleCrop>
  <LinksUpToDate>false</LinksUpToDate>
  <CharactersWithSpaces>7467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Y歪歪Y</cp:lastModifiedBy>
  <cp:lastPrinted>2024-02-22T00:45:00Z</cp:lastPrinted>
  <dcterms:modified xsi:type="dcterms:W3CDTF">2024-02-26T02:05:21Z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2778DE0D3D1747E5A61F757C22D63E49_13</vt:lpwstr>
  </property>
</Properties>
</file>