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ascii="方正小标宋简体" w:hAnsi="方正小标宋简体" w:eastAsia="方正小标宋简体" w:cs="方正小标宋简体"/>
          <w:sz w:val="44"/>
          <w:szCs w:val="44"/>
        </w:rPr>
        <w:t>吉林市统计局船营区分局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全省统计系统实行垂直管理，按照省编办批复《关于吉林市统计局主要职责内设机构和人员编制规定的批复》（吉编办〔2009〕127号），设立吉林市统计局船营区分局，为吉林市统计局的派出机构。</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（一）</w:t>
      </w:r>
      <w:r>
        <w:rPr>
          <w:rFonts w:hint="eastAsia" w:ascii="仿宋_GB2312" w:hAnsi="仿宋_GB2312" w:cs="仿宋_GB2312"/>
          <w:color w:val="000000"/>
          <w:szCs w:val="32"/>
        </w:rPr>
        <w:t>依照国家法律、法规、政策和计划，制定全区的统计工作规章制度、统计现代化建设规划、统计调查计</w:t>
      </w:r>
      <w:r>
        <w:rPr>
          <w:rFonts w:hint="eastAsia" w:ascii="仿宋_GB2312" w:hAnsi="仿宋_GB2312" w:cs="仿宋_GB2312"/>
          <w:color w:val="000000"/>
          <w:szCs w:val="32"/>
          <w:highlight w:val="none"/>
        </w:rPr>
        <w:t>划</w:t>
      </w:r>
      <w:r>
        <w:rPr>
          <w:rFonts w:hint="eastAsia" w:ascii="仿宋_GB2312" w:hAnsi="仿宋_GB2312" w:cs="仿宋_GB2312"/>
          <w:szCs w:val="32"/>
          <w:highlight w:val="none"/>
          <w:lang w:eastAsia="zh-CN"/>
        </w:rPr>
        <w:t>、</w:t>
      </w:r>
      <w:r>
        <w:rPr>
          <w:rFonts w:hint="eastAsia" w:ascii="仿宋_GB2312" w:hAnsi="仿宋_GB2312" w:cs="仿宋_GB2312"/>
          <w:color w:val="000000"/>
          <w:szCs w:val="32"/>
          <w:highlight w:val="none"/>
        </w:rPr>
        <w:t>统</w:t>
      </w:r>
      <w:r>
        <w:rPr>
          <w:rFonts w:hint="eastAsia" w:ascii="仿宋_GB2312" w:hAnsi="仿宋_GB2312" w:cs="仿宋_GB2312"/>
          <w:color w:val="000000"/>
          <w:szCs w:val="32"/>
        </w:rPr>
        <w:t>计改革方案和实施办法。</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（二）</w:t>
      </w:r>
      <w:r>
        <w:rPr>
          <w:rFonts w:hint="eastAsia" w:ascii="仿宋_GB2312" w:hAnsi="仿宋_GB2312" w:cs="仿宋_GB2312"/>
          <w:color w:val="000000"/>
          <w:szCs w:val="32"/>
        </w:rPr>
        <w:t>贯彻执行国家和省、市确定的统计方法制度和工作方针，具体组织落实全区国民经济和社会发展各专业的全面调查、抽样调查、重点调查和典型调查任务。监督检查《统计法》的实施，与有关单位共同调查（独立调查）处理统计违法案件。</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（三）</w:t>
      </w:r>
      <w:r>
        <w:rPr>
          <w:rFonts w:hint="eastAsia" w:ascii="仿宋_GB2312" w:hAnsi="仿宋_GB2312" w:cs="仿宋_GB2312"/>
          <w:color w:val="000000"/>
          <w:szCs w:val="32"/>
        </w:rPr>
        <w:t>组织领导全区政府统计系统的统计工作，指导各行业单位和基层统计组织的统计工作。</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（四）</w:t>
      </w:r>
      <w:r>
        <w:rPr>
          <w:rFonts w:hint="eastAsia" w:ascii="仿宋_GB2312" w:hAnsi="仿宋_GB2312" w:cs="仿宋_GB2312"/>
          <w:color w:val="000000"/>
          <w:szCs w:val="32"/>
        </w:rPr>
        <w:t>搜集、整理、提供全区性的基本统计资料，根据区委、区政府宏观管理和科学决策的需要，及时对全区国民经济、社会发展和科学进步情况进行统计分析、统计预测和统计监督，向区委、区政府及有关单位提供咨询建议。</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（五）</w:t>
      </w:r>
      <w:r>
        <w:rPr>
          <w:rFonts w:hint="eastAsia" w:ascii="仿宋_GB2312" w:hAnsi="仿宋_GB2312" w:cs="仿宋_GB2312"/>
          <w:color w:val="000000"/>
          <w:szCs w:val="32"/>
        </w:rPr>
        <w:t>统一核定、管理、公布、出版、发行全区性的基本统计资料，定期发布全区国民经济和社会发展情况的统计公报。</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（六）</w:t>
      </w:r>
      <w:r>
        <w:rPr>
          <w:rFonts w:hint="eastAsia" w:ascii="仿宋_GB2312" w:hAnsi="仿宋_GB2312" w:cs="仿宋_GB2312"/>
          <w:color w:val="000000"/>
          <w:szCs w:val="32"/>
        </w:rPr>
        <w:t>建立健全和统一管理全区统计信息自动化系统和统计数据库体系。</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（七）</w:t>
      </w:r>
      <w:r>
        <w:rPr>
          <w:rFonts w:hint="eastAsia" w:ascii="仿宋_GB2312" w:hAnsi="仿宋_GB2312" w:cs="仿宋_GB2312"/>
          <w:color w:val="000000"/>
          <w:szCs w:val="32"/>
        </w:rPr>
        <w:t>组织开展全区统计和经济管理干部的业务培训教育工作。</w:t>
      </w:r>
    </w:p>
    <w:p>
      <w:pPr>
        <w:spacing w:line="600" w:lineRule="exact"/>
        <w:ind w:firstLine="640" w:firstLineChars="200"/>
        <w:rPr>
          <w:rFonts w:hint="eastAsia" w:ascii="仿宋_GB2312" w:hAnsi="仿宋_GB2312" w:cs="仿宋_GB2312"/>
          <w:color w:val="000000"/>
          <w:szCs w:val="32"/>
        </w:rPr>
      </w:pPr>
      <w:r>
        <w:rPr>
          <w:rFonts w:hint="eastAsia" w:ascii="楷体_GB2312" w:hAnsi="楷体_GB2312" w:eastAsia="楷体_GB2312" w:cs="楷体_GB2312"/>
          <w:color w:val="000000"/>
          <w:szCs w:val="32"/>
        </w:rPr>
        <w:t>（八）</w:t>
      </w:r>
      <w:r>
        <w:rPr>
          <w:rFonts w:hint="eastAsia" w:ascii="仿宋_GB2312" w:hAnsi="仿宋_GB2312" w:cs="仿宋_GB2312"/>
          <w:color w:val="000000"/>
          <w:szCs w:val="32"/>
        </w:rPr>
        <w:t>接受国家各项重大的国情国力的普查任务，在</w:t>
      </w:r>
      <w:r>
        <w:rPr>
          <w:rFonts w:hint="eastAsia" w:ascii="仿宋_GB2312" w:hAnsi="仿宋_GB2312" w:cs="仿宋_GB2312"/>
          <w:color w:val="000000"/>
          <w:szCs w:val="32"/>
          <w:highlight w:val="none"/>
        </w:rPr>
        <w:t>区</w:t>
      </w:r>
      <w:r>
        <w:rPr>
          <w:rFonts w:hint="eastAsia" w:ascii="仿宋_GB2312" w:hAnsi="仿宋_GB2312" w:cs="仿宋_GB2312"/>
          <w:color w:val="000000"/>
          <w:szCs w:val="32"/>
        </w:rPr>
        <w:t>政府的统一领导下，做好其组织、发动、协调、管理、实施等各项工作。</w:t>
      </w:r>
    </w:p>
    <w:p>
      <w:pPr>
        <w:ind w:firstLine="640" w:firstLineChars="200"/>
        <w:rPr>
          <w:color w:val="000000"/>
          <w:sz w:val="21"/>
          <w:szCs w:val="21"/>
        </w:rPr>
      </w:pPr>
      <w:r>
        <w:rPr>
          <w:rFonts w:hint="eastAsia" w:ascii="楷体_GB2312" w:hAnsi="楷体_GB2312" w:eastAsia="楷体_GB2312" w:cs="楷体_GB2312"/>
          <w:color w:val="000000"/>
          <w:szCs w:val="32"/>
        </w:rPr>
        <w:t>（九）</w:t>
      </w:r>
      <w:r>
        <w:rPr>
          <w:rFonts w:hint="eastAsia" w:ascii="仿宋_GB2312" w:hAnsi="仿宋_GB2312" w:cs="仿宋_GB2312"/>
          <w:color w:val="000000"/>
          <w:szCs w:val="32"/>
        </w:rPr>
        <w:t>完成区委、区政府交办的其他工作。</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ascii="仿宋_GB2312" w:hAnsi="仿宋_GB2312" w:eastAsia="仿宋_GB2312" w:cs="仿宋_GB2312"/>
        </w:rPr>
        <w:t>吉林市统计局船营区分局</w:t>
      </w:r>
      <w:r>
        <w:rPr>
          <w:rFonts w:eastAsia="仿宋_GB2312"/>
        </w:rPr>
        <w:t>内设</w:t>
      </w:r>
      <w:r>
        <w:rPr>
          <w:rFonts w:hint="eastAsia" w:eastAsia="仿宋_GB2312"/>
          <w:u w:val="none"/>
          <w:lang w:val="en-US" w:eastAsia="zh-CN"/>
        </w:rPr>
        <w:t>1</w:t>
      </w:r>
      <w:r>
        <w:rPr>
          <w:rFonts w:eastAsia="仿宋_GB2312"/>
        </w:rPr>
        <w:t>个机构，为</w:t>
      </w:r>
      <w:r>
        <w:rPr>
          <w:rFonts w:hint="eastAsia" w:ascii="仿宋_GB2312" w:hAnsi="仿宋_GB2312" w:eastAsia="仿宋_GB2312" w:cs="仿宋_GB2312"/>
        </w:rPr>
        <w:t>综合科</w:t>
      </w:r>
      <w:r>
        <w:rPr>
          <w:rFonts w:eastAsia="仿宋_GB2312"/>
        </w:rPr>
        <w:t>。</w:t>
      </w:r>
    </w:p>
    <w:p>
      <w:pPr>
        <w:pStyle w:val="48"/>
        <w:ind w:firstLine="640" w:firstLineChars="200"/>
        <w:rPr>
          <w:rFonts w:eastAsia="仿宋_GB2312"/>
        </w:rPr>
      </w:pPr>
      <w:r>
        <w:rPr>
          <w:rFonts w:hint="eastAsia" w:eastAsia="仿宋_GB2312"/>
        </w:rPr>
        <w:t>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158.26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color w:val="000000"/>
                <w:kern w:val="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四、</w:t>
            </w:r>
            <w:r>
              <w:rPr>
                <w:rFonts w:hint="eastAsia" w:ascii="宋体" w:hAnsi="宋体" w:eastAsia="宋体" w:cs="宋体"/>
                <w:color w:val="000000"/>
                <w:kern w:val="0"/>
                <w:sz w:val="20"/>
                <w:lang w:bidi="ar"/>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int="eastAsia" w:hAnsi="楷体" w:eastAsia="楷体"/>
          <w:lang w:val="en-US" w:eastAsia="zh-CN"/>
        </w:rPr>
      </w:pPr>
      <w:r>
        <w:rPr>
          <w:rFonts w:hint="eastAsia" w:hAnsi="楷体" w:eastAsia="楷体"/>
          <w:lang w:val="en-US" w:eastAsia="zh-CN"/>
        </w:rPr>
        <w:t xml:space="preserve"> </w:t>
      </w: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561" w:type="dxa"/>
        <w:jc w:val="center"/>
        <w:tblLayout w:type="fixed"/>
        <w:tblCellMar>
          <w:top w:w="0" w:type="dxa"/>
          <w:left w:w="108" w:type="dxa"/>
          <w:bottom w:w="0" w:type="dxa"/>
          <w:right w:w="108" w:type="dxa"/>
        </w:tblCellMar>
      </w:tblPr>
      <w:tblGrid>
        <w:gridCol w:w="1425"/>
        <w:gridCol w:w="882"/>
        <w:gridCol w:w="870"/>
        <w:gridCol w:w="858"/>
        <w:gridCol w:w="285"/>
        <w:gridCol w:w="300"/>
        <w:gridCol w:w="300"/>
        <w:gridCol w:w="330"/>
        <w:gridCol w:w="168"/>
        <w:gridCol w:w="132"/>
        <w:gridCol w:w="345"/>
        <w:gridCol w:w="375"/>
        <w:gridCol w:w="360"/>
        <w:gridCol w:w="666"/>
        <w:gridCol w:w="675"/>
        <w:gridCol w:w="390"/>
        <w:gridCol w:w="360"/>
        <w:gridCol w:w="386"/>
        <w:gridCol w:w="454"/>
      </w:tblGrid>
      <w:tr>
        <w:tblPrEx>
          <w:tblCellMar>
            <w:top w:w="0" w:type="dxa"/>
            <w:left w:w="108" w:type="dxa"/>
            <w:bottom w:w="0" w:type="dxa"/>
            <w:right w:w="108" w:type="dxa"/>
          </w:tblCellMar>
        </w:tblPrEx>
        <w:trPr>
          <w:trHeight w:val="335" w:hRule="atLeast"/>
          <w:jc w:val="center"/>
        </w:trPr>
        <w:tc>
          <w:tcPr>
            <w:tcW w:w="1425" w:type="dxa"/>
            <w:tcBorders>
              <w:bottom w:val="single" w:color="000000" w:sz="4" w:space="0"/>
            </w:tcBorders>
            <w:noWrap w:val="0"/>
            <w:vAlign w:val="top"/>
          </w:tcPr>
          <w:p>
            <w:pPr>
              <w:autoSpaceDN w:val="0"/>
              <w:jc w:val="left"/>
              <w:textAlignment w:val="center"/>
              <w:rPr>
                <w:rFonts w:eastAsia="华文细黑"/>
                <w:color w:val="000000"/>
                <w:sz w:val="20"/>
              </w:rPr>
            </w:pPr>
          </w:p>
        </w:tc>
        <w:tc>
          <w:tcPr>
            <w:tcW w:w="3993"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852" w:type="dxa"/>
            <w:gridSpan w:val="3"/>
            <w:noWrap w:val="0"/>
            <w:vAlign w:val="center"/>
          </w:tcPr>
          <w:p>
            <w:pPr>
              <w:autoSpaceDN w:val="0"/>
              <w:jc w:val="left"/>
              <w:textAlignment w:val="center"/>
              <w:rPr>
                <w:rFonts w:eastAsia="华文细黑"/>
                <w:color w:val="000000"/>
                <w:sz w:val="20"/>
              </w:rPr>
            </w:pPr>
          </w:p>
        </w:tc>
        <w:tc>
          <w:tcPr>
            <w:tcW w:w="360" w:type="dxa"/>
            <w:noWrap w:val="0"/>
            <w:vAlign w:val="center"/>
          </w:tcPr>
          <w:p>
            <w:pPr>
              <w:autoSpaceDN w:val="0"/>
              <w:jc w:val="left"/>
              <w:textAlignment w:val="center"/>
              <w:rPr>
                <w:rFonts w:eastAsia="华文细黑"/>
                <w:color w:val="000000"/>
                <w:sz w:val="20"/>
              </w:rPr>
            </w:pPr>
          </w:p>
        </w:tc>
        <w:tc>
          <w:tcPr>
            <w:tcW w:w="1341" w:type="dxa"/>
            <w:gridSpan w:val="2"/>
            <w:noWrap w:val="0"/>
            <w:vAlign w:val="center"/>
          </w:tcPr>
          <w:p>
            <w:pPr>
              <w:autoSpaceDN w:val="0"/>
              <w:jc w:val="left"/>
              <w:textAlignment w:val="center"/>
              <w:rPr>
                <w:rFonts w:eastAsia="华文细黑"/>
                <w:color w:val="000000"/>
                <w:sz w:val="20"/>
              </w:rPr>
            </w:pPr>
          </w:p>
        </w:tc>
        <w:tc>
          <w:tcPr>
            <w:tcW w:w="390" w:type="dxa"/>
            <w:noWrap w:val="0"/>
            <w:vAlign w:val="bottom"/>
          </w:tcPr>
          <w:p>
            <w:pPr>
              <w:autoSpaceDN w:val="0"/>
              <w:jc w:val="right"/>
              <w:textAlignment w:val="bottom"/>
              <w:rPr>
                <w:rFonts w:eastAsia="宋体"/>
                <w:color w:val="000000"/>
                <w:sz w:val="20"/>
              </w:rPr>
            </w:pPr>
          </w:p>
        </w:tc>
        <w:tc>
          <w:tcPr>
            <w:tcW w:w="1200" w:type="dxa"/>
            <w:gridSpan w:val="3"/>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2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82"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23"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31" w:type="dxa"/>
            <w:gridSpan w:val="6"/>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2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82"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7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43"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0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10"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6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4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25"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82"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5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8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0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6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6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8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2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ascii="宋体" w:hAnsi="宋体" w:eastAsia="宋体" w:cs="宋体"/>
                <w:color w:val="000000"/>
                <w:kern w:val="0"/>
                <w:sz w:val="20"/>
                <w:lang w:bidi="ar"/>
              </w:rPr>
              <w:t>吉林市统计局船营区分局</w:t>
            </w:r>
          </w:p>
        </w:tc>
        <w:tc>
          <w:tcPr>
            <w:tcW w:w="8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184.33</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181.06</w:t>
            </w:r>
          </w:p>
        </w:tc>
        <w:tc>
          <w:tcPr>
            <w:tcW w:w="8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181.06</w:t>
            </w:r>
          </w:p>
        </w:tc>
        <w:tc>
          <w:tcPr>
            <w:tcW w:w="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3.27</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3.27</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2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184.33</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i w:val="0"/>
                <w:iCs w:val="0"/>
                <w:color w:val="000000"/>
                <w:kern w:val="0"/>
                <w:sz w:val="20"/>
                <w:szCs w:val="20"/>
                <w:u w:val="none"/>
                <w:lang w:val="en-US" w:eastAsia="zh-CN" w:bidi="ar"/>
              </w:rPr>
              <w:t>181.06</w:t>
            </w:r>
          </w:p>
        </w:tc>
        <w:tc>
          <w:tcPr>
            <w:tcW w:w="8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181.06</w:t>
            </w:r>
          </w:p>
        </w:tc>
        <w:tc>
          <w:tcPr>
            <w:tcW w:w="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3.27</w:t>
            </w:r>
          </w:p>
        </w:tc>
        <w:tc>
          <w:tcPr>
            <w:tcW w:w="6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20"/>
                <w:szCs w:val="20"/>
                <w:shd w:val="clear" w:color="auto" w:fill="FFFFFF"/>
                <w:lang w:val="en-US" w:eastAsia="zh-CN" w:bidi="ar-SA"/>
              </w:rPr>
            </w:pPr>
            <w:r>
              <w:rPr>
                <w:rFonts w:hint="eastAsia" w:ascii="宋体" w:hAnsi="宋体" w:eastAsia="宋体" w:cs="宋体"/>
                <w:color w:val="000000"/>
                <w:sz w:val="20"/>
                <w:szCs w:val="20"/>
                <w:shd w:val="clear" w:color="auto" w:fill="FFFFFF"/>
                <w:lang w:val="en-US" w:eastAsia="zh-CN"/>
              </w:rPr>
              <w:t>3.27</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9"/>
        <w:tblW w:w="10040" w:type="dxa"/>
        <w:jc w:val="center"/>
        <w:tblLayout w:type="fixed"/>
        <w:tblCellMar>
          <w:top w:w="0" w:type="dxa"/>
          <w:left w:w="108" w:type="dxa"/>
          <w:bottom w:w="0" w:type="dxa"/>
          <w:right w:w="108" w:type="dxa"/>
        </w:tblCellMar>
      </w:tblPr>
      <w:tblGrid>
        <w:gridCol w:w="10040"/>
      </w:tblGrid>
      <w:tr>
        <w:tblPrEx>
          <w:tblCellMar>
            <w:top w:w="0" w:type="dxa"/>
            <w:left w:w="108" w:type="dxa"/>
            <w:bottom w:w="0" w:type="dxa"/>
            <w:right w:w="108" w:type="dxa"/>
          </w:tblCellMar>
        </w:tblPrEx>
        <w:trPr>
          <w:trHeight w:val="12549" w:hRule="atLeast"/>
          <w:jc w:val="center"/>
        </w:trPr>
        <w:tc>
          <w:tcPr>
            <w:tcW w:w="10040"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258" w:type="dxa"/>
              <w:jc w:val="center"/>
              <w:tblLayout w:type="fixed"/>
              <w:tblCellMar>
                <w:top w:w="15" w:type="dxa"/>
                <w:left w:w="15" w:type="dxa"/>
                <w:bottom w:w="15" w:type="dxa"/>
                <w:right w:w="15" w:type="dxa"/>
              </w:tblCellMar>
            </w:tblPr>
            <w:tblGrid>
              <w:gridCol w:w="2126"/>
              <w:gridCol w:w="1174"/>
              <w:gridCol w:w="1210"/>
              <w:gridCol w:w="1015"/>
              <w:gridCol w:w="1202"/>
              <w:gridCol w:w="1173"/>
              <w:gridCol w:w="28"/>
              <w:gridCol w:w="1202"/>
              <w:gridCol w:w="128"/>
            </w:tblGrid>
            <w:tr>
              <w:tblPrEx>
                <w:tblCellMar>
                  <w:top w:w="15" w:type="dxa"/>
                  <w:left w:w="15" w:type="dxa"/>
                  <w:bottom w:w="15" w:type="dxa"/>
                  <w:right w:w="15" w:type="dxa"/>
                </w:tblCellMar>
              </w:tblPrEx>
              <w:trPr>
                <w:gridAfter w:val="1"/>
                <w:wAfter w:w="128" w:type="dxa"/>
                <w:trHeight w:val="417" w:hRule="atLeast"/>
                <w:jc w:val="center"/>
              </w:trPr>
              <w:tc>
                <w:tcPr>
                  <w:tcW w:w="5525" w:type="dxa"/>
                  <w:gridSpan w:val="4"/>
                  <w:tcBorders>
                    <w:bottom w:val="single" w:color="000000" w:sz="4" w:space="0"/>
                  </w:tcBorders>
                  <w:noWrap w:val="0"/>
                  <w:vAlign w:val="center"/>
                </w:tcPr>
                <w:p>
                  <w:pPr>
                    <w:widowControl/>
                    <w:jc w:val="left"/>
                    <w:rPr>
                      <w:rFonts w:eastAsia="华文细黑"/>
                      <w:color w:val="000000"/>
                      <w:kern w:val="0"/>
                      <w:sz w:val="20"/>
                    </w:rPr>
                  </w:pPr>
                </w:p>
              </w:tc>
              <w:tc>
                <w:tcPr>
                  <w:tcW w:w="1202" w:type="dxa"/>
                  <w:tcBorders>
                    <w:bottom w:val="single" w:color="000000" w:sz="4" w:space="0"/>
                  </w:tcBorders>
                  <w:noWrap w:val="0"/>
                  <w:vAlign w:val="center"/>
                </w:tcPr>
                <w:p>
                  <w:pPr>
                    <w:widowControl/>
                    <w:jc w:val="right"/>
                    <w:rPr>
                      <w:rFonts w:eastAsia="华文细黑"/>
                      <w:color w:val="000000"/>
                      <w:kern w:val="0"/>
                      <w:sz w:val="20"/>
                    </w:rPr>
                  </w:pPr>
                </w:p>
              </w:tc>
              <w:tc>
                <w:tcPr>
                  <w:tcW w:w="1201"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02" w:type="dxa"/>
                  <w:tcBorders>
                    <w:bottom w:val="single" w:color="000000" w:sz="4" w:space="0"/>
                  </w:tcBorders>
                  <w:noWrap w:val="0"/>
                  <w:vAlign w:val="bottom"/>
                </w:tcPr>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1556" w:hRule="atLeast"/>
                <w:jc w:val="center"/>
              </w:trPr>
              <w:tc>
                <w:tcPr>
                  <w:tcW w:w="212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74"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合</w:t>
                  </w:r>
                  <w:r>
                    <w:rPr>
                      <w:rFonts w:hint="eastAsia" w:ascii="宋体" w:hAnsi="宋体" w:eastAsia="宋体" w:cs="宋体"/>
                      <w:color w:val="000000"/>
                      <w:kern w:val="0"/>
                      <w:sz w:val="20"/>
                    </w:rPr>
                    <w:t>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135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专项普查活动</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806"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806"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机关事业单位基本养老保险缴费支出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32"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6" w:hRule="atLeast"/>
                <w:jc w:val="center"/>
              </w:trPr>
              <w:tc>
                <w:tcPr>
                  <w:tcW w:w="212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100.62</w:t>
                  </w:r>
                </w:p>
              </w:tc>
              <w:tc>
                <w:tcPr>
                  <w:tcW w:w="10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12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358"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Spec="center" w:tblpY="657"/>
              <w:tblOverlap w:val="never"/>
              <w:tblW w:w="0" w:type="auto"/>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jc w:val="center"/>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ascii="宋体" w:hAnsi="宋体" w:eastAsia="宋体" w:cs="宋体"/>
                      <w:color w:val="000000"/>
                      <w:kern w:val="0"/>
                      <w:sz w:val="20"/>
                    </w:rPr>
                    <w:t xml:space="preserve"> 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158.26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（二）社会保障和就业支出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三</w:t>
                  </w:r>
                  <w:r>
                    <w:rPr>
                      <w:rFonts w:hint="eastAsia" w:ascii="宋体" w:hAnsi="宋体" w:eastAsia="宋体" w:cs="宋体"/>
                      <w:sz w:val="20"/>
                      <w:szCs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四</w:t>
                  </w:r>
                  <w:r>
                    <w:rPr>
                      <w:rFonts w:hint="eastAsia" w:ascii="宋体" w:hAnsi="宋体" w:eastAsia="宋体" w:cs="宋体"/>
                      <w:sz w:val="20"/>
                      <w:szCs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szCs w:val="20"/>
                    </w:rPr>
                  </w:pPr>
                </w:p>
              </w:tc>
            </w:tr>
            <w:tr>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181.06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3.27</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合</w:t>
                  </w:r>
                  <w:r>
                    <w:rPr>
                      <w:rFonts w:hint="eastAsia" w:ascii="宋体" w:hAnsi="宋体" w:eastAsia="宋体" w:cs="宋体"/>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小</w:t>
                  </w:r>
                  <w:r>
                    <w:rPr>
                      <w:rFonts w:hint="eastAsia" w:ascii="宋体" w:hAnsi="宋体" w:eastAsia="宋体" w:cs="宋体"/>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60.72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17.10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60.72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17.10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60.72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17.10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33.82</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49.89</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184.33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100.62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17.10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83.71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288"/>
        <w:gridCol w:w="2108"/>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288"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108"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ascii="宋体" w:hAnsi="宋体" w:eastAsia="宋体" w:cs="宋体"/>
                <w:kern w:val="0"/>
                <w:sz w:val="20"/>
              </w:rPr>
              <w:t>单位：万元</w:t>
            </w:r>
          </w:p>
        </w:tc>
      </w:tr>
      <w:tr>
        <w:tblPrEx>
          <w:tblCellMar>
            <w:top w:w="0" w:type="dxa"/>
            <w:left w:w="108" w:type="dxa"/>
            <w:bottom w:w="0" w:type="dxa"/>
            <w:right w:w="108" w:type="dxa"/>
          </w:tblCellMar>
        </w:tblPrEx>
        <w:trPr>
          <w:trHeight w:val="812" w:hRule="atLeast"/>
          <w:jc w:val="center"/>
        </w:trPr>
        <w:tc>
          <w:tcPr>
            <w:tcW w:w="328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部门预算支出</w:t>
            </w:r>
            <w:r>
              <w:rPr>
                <w:rFonts w:hint="eastAsia" w:ascii="宋体" w:hAnsi="宋体" w:eastAsia="宋体" w:cs="宋体"/>
                <w:kern w:val="0"/>
                <w:sz w:val="20"/>
              </w:rPr>
              <w:t>经济分类科目</w:t>
            </w:r>
          </w:p>
        </w:tc>
        <w:tc>
          <w:tcPr>
            <w:tcW w:w="210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公用经费</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81.96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81.96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基本工资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27.41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27.41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津贴补贴</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奖金</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14.63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　医疗费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0.98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0.98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16.09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16.09</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办公费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4.27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4.27</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印刷费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0.32</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邮电费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0.41</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1.52</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维修（护）费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培训费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0.40</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工会经费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0.87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0.87</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福利费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1.91</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其他交通费用</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4.48</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0.41</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退休费</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1.25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0.31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0.31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69" w:hRule="exact"/>
          <w:jc w:val="center"/>
        </w:trPr>
        <w:tc>
          <w:tcPr>
            <w:tcW w:w="3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1.00</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560" w:firstLineChars="200"/>
              <w:jc w:val="left"/>
              <w:rPr>
                <w:color w:val="auto"/>
                <w:kern w:val="0"/>
                <w:sz w:val="28"/>
                <w:szCs w:val="28"/>
              </w:rPr>
            </w:pPr>
            <w:r>
              <w:rPr>
                <w:color w:val="auto"/>
                <w:kern w:val="0"/>
                <w:sz w:val="28"/>
                <w:szCs w:val="28"/>
              </w:rPr>
              <w:t>说明：</w:t>
            </w:r>
          </w:p>
          <w:p>
            <w:pPr>
              <w:widowControl/>
              <w:jc w:val="left"/>
              <w:rPr>
                <w:rFonts w:eastAsia="宋体"/>
                <w:color w:val="auto"/>
                <w:kern w:val="0"/>
                <w:sz w:val="28"/>
                <w:szCs w:val="28"/>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24</w:t>
            </w:r>
            <w:r>
              <w:rPr>
                <w:color w:val="auto"/>
                <w:kern w:val="0"/>
                <w:sz w:val="28"/>
                <w:szCs w:val="28"/>
              </w:rPr>
              <w:t>年预算数</w:t>
            </w:r>
            <w:r>
              <w:rPr>
                <w:rFonts w:eastAsia="宋体"/>
                <w:color w:val="auto"/>
                <w:kern w:val="0"/>
                <w:sz w:val="28"/>
                <w:szCs w:val="28"/>
              </w:rPr>
              <w:t>”</w:t>
            </w:r>
            <w:r>
              <w:rPr>
                <w:color w:val="auto"/>
                <w:kern w:val="0"/>
                <w:sz w:val="28"/>
                <w:szCs w:val="28"/>
              </w:rPr>
              <w:t>的单位范围包括</w:t>
            </w:r>
            <w:r>
              <w:rPr>
                <w:rFonts w:hint="eastAsia" w:eastAsia="宋体"/>
                <w:color w:val="auto"/>
                <w:kern w:val="0"/>
                <w:sz w:val="28"/>
                <w:szCs w:val="28"/>
              </w:rPr>
              <w:t xml:space="preserve"> 1</w:t>
            </w:r>
            <w:r>
              <w:rPr>
                <w:color w:val="auto"/>
                <w:kern w:val="0"/>
                <w:sz w:val="28"/>
                <w:szCs w:val="28"/>
              </w:rPr>
              <w:t>个预算单位。</w:t>
            </w:r>
            <w:r>
              <w:rPr>
                <w:rFonts w:eastAsia="宋体"/>
                <w:color w:val="auto"/>
                <w:kern w:val="0"/>
                <w:sz w:val="28"/>
                <w:szCs w:val="28"/>
              </w:rPr>
              <w:t xml:space="preserve">   </w:t>
            </w:r>
          </w:p>
          <w:p>
            <w:pPr>
              <w:widowControl/>
              <w:jc w:val="left"/>
              <w:rPr>
                <w:color w:val="auto"/>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“20</w:t>
            </w:r>
            <w:r>
              <w:rPr>
                <w:rFonts w:hint="eastAsia" w:eastAsia="宋体"/>
                <w:color w:val="auto"/>
                <w:kern w:val="0"/>
                <w:sz w:val="28"/>
                <w:szCs w:val="28"/>
              </w:rPr>
              <w:t>24</w:t>
            </w:r>
            <w:r>
              <w:rPr>
                <w:color w:val="auto"/>
                <w:kern w:val="0"/>
                <w:sz w:val="28"/>
                <w:szCs w:val="28"/>
              </w:rPr>
              <w:t>年预算数</w:t>
            </w:r>
            <w:r>
              <w:rPr>
                <w:rFonts w:eastAsia="宋体"/>
                <w:color w:val="auto"/>
                <w:kern w:val="0"/>
                <w:sz w:val="28"/>
                <w:szCs w:val="28"/>
              </w:rPr>
              <w:t>”</w:t>
            </w:r>
            <w:r>
              <w:rPr>
                <w:color w:val="auto"/>
                <w:kern w:val="0"/>
                <w:sz w:val="28"/>
                <w:szCs w:val="28"/>
              </w:rPr>
              <w:t>的实有人员</w:t>
            </w:r>
            <w:r>
              <w:rPr>
                <w:rFonts w:hint="eastAsia" w:eastAsia="宋体"/>
                <w:color w:val="auto"/>
                <w:kern w:val="0"/>
                <w:sz w:val="28"/>
                <w:szCs w:val="28"/>
                <w:lang w:val="en-US" w:eastAsia="zh-CN"/>
              </w:rPr>
              <w:t>7</w:t>
            </w:r>
            <w:r>
              <w:rPr>
                <w:rFonts w:eastAsia="宋体"/>
                <w:color w:val="auto"/>
                <w:kern w:val="0"/>
                <w:sz w:val="28"/>
                <w:szCs w:val="28"/>
              </w:rPr>
              <w:t xml:space="preserve"> </w:t>
            </w:r>
            <w:r>
              <w:rPr>
                <w:color w:val="auto"/>
                <w:kern w:val="0"/>
                <w:sz w:val="28"/>
                <w:szCs w:val="28"/>
              </w:rPr>
              <w:t>人，其中：在职人员</w:t>
            </w:r>
            <w:r>
              <w:rPr>
                <w:rFonts w:hint="eastAsia" w:eastAsia="宋体"/>
                <w:color w:val="auto"/>
                <w:kern w:val="0"/>
                <w:sz w:val="28"/>
                <w:szCs w:val="28"/>
                <w:lang w:val="en-US" w:eastAsia="zh-CN"/>
              </w:rPr>
              <w:t>6</w:t>
            </w:r>
            <w:r>
              <w:rPr>
                <w:rFonts w:eastAsia="宋体"/>
                <w:color w:val="auto"/>
                <w:kern w:val="0"/>
                <w:sz w:val="28"/>
                <w:szCs w:val="28"/>
              </w:rPr>
              <w:t xml:space="preserve"> </w:t>
            </w:r>
            <w:r>
              <w:rPr>
                <w:color w:val="auto"/>
                <w:kern w:val="0"/>
                <w:sz w:val="28"/>
                <w:szCs w:val="28"/>
              </w:rPr>
              <w:t>人，离退休人员</w:t>
            </w:r>
            <w:r>
              <w:rPr>
                <w:rFonts w:eastAsia="宋体"/>
                <w:color w:val="auto"/>
                <w:kern w:val="0"/>
                <w:sz w:val="28"/>
                <w:szCs w:val="28"/>
              </w:rPr>
              <w:t xml:space="preserve"> </w:t>
            </w:r>
            <w:r>
              <w:rPr>
                <w:rFonts w:hint="eastAsia" w:eastAsia="宋体"/>
                <w:color w:val="auto"/>
                <w:kern w:val="0"/>
                <w:sz w:val="28"/>
                <w:szCs w:val="28"/>
                <w:lang w:val="en-US" w:eastAsia="zh-CN"/>
              </w:rPr>
              <w:t>1</w:t>
            </w:r>
            <w:r>
              <w:rPr>
                <w:rFonts w:eastAsia="宋体"/>
                <w:color w:val="auto"/>
                <w:kern w:val="0"/>
                <w:sz w:val="28"/>
                <w:szCs w:val="28"/>
              </w:rPr>
              <w:t xml:space="preserve"> </w:t>
            </w:r>
            <w:r>
              <w:rPr>
                <w:color w:val="auto"/>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bookmarkStart w:id="0" w:name="_GoBack"/>
      <w:bookmarkEnd w:id="0"/>
    </w:p>
    <w:p>
      <w:pPr>
        <w:rPr>
          <w:rFonts w:eastAsia="楷体"/>
          <w:kern w:val="0"/>
          <w:szCs w:val="32"/>
        </w:rPr>
      </w:pPr>
    </w:p>
    <w:tbl>
      <w:tblPr>
        <w:tblStyle w:val="9"/>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46"/>
        <w:gridCol w:w="388"/>
        <w:gridCol w:w="602"/>
        <w:gridCol w:w="990"/>
        <w:gridCol w:w="810"/>
        <w:gridCol w:w="945"/>
        <w:gridCol w:w="450"/>
        <w:gridCol w:w="450"/>
        <w:gridCol w:w="525"/>
        <w:gridCol w:w="495"/>
        <w:gridCol w:w="555"/>
        <w:gridCol w:w="450"/>
        <w:gridCol w:w="480"/>
        <w:gridCol w:w="510"/>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0237"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2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34"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0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9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1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6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1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2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136"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90" w:type="dxa"/>
            <w:vMerge w:val="restart"/>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81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865"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410"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2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4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90"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9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81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84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25"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95"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8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25"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102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4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90"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9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1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4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2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49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55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1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15"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noWrap w:val="0"/>
            <w:vAlign w:val="top"/>
          </w:tcPr>
          <w:p>
            <w:pPr>
              <w:jc w:val="left"/>
              <w:rPr>
                <w:rFonts w:hint="eastAsia" w:ascii="宋体" w:hAnsi="宋体" w:eastAsia="宋体" w:cs="宋体"/>
                <w:kern w:val="0"/>
                <w:sz w:val="20"/>
                <w:szCs w:val="20"/>
              </w:rPr>
            </w:pPr>
            <w:r>
              <w:rPr>
                <w:rFonts w:hint="eastAsia" w:ascii="宋体" w:hAnsi="宋体" w:eastAsia="宋体" w:cs="宋体"/>
                <w:kern w:val="0"/>
                <w:sz w:val="20"/>
                <w:szCs w:val="20"/>
              </w:rPr>
              <w:t>专项业务支出</w:t>
            </w:r>
          </w:p>
        </w:tc>
        <w:tc>
          <w:tcPr>
            <w:tcW w:w="1146" w:type="dxa"/>
            <w:noWrap w:val="0"/>
            <w:vAlign w:val="center"/>
          </w:tcPr>
          <w:p>
            <w:pPr>
              <w:spacing w:line="700" w:lineRule="exact"/>
              <w:jc w:val="center"/>
              <w:rPr>
                <w:rFonts w:hint="eastAsia" w:ascii="宋体" w:hAnsi="宋体" w:eastAsia="宋体" w:cs="宋体"/>
                <w:kern w:val="0"/>
                <w:sz w:val="20"/>
                <w:szCs w:val="20"/>
              </w:rPr>
            </w:pPr>
          </w:p>
        </w:tc>
        <w:tc>
          <w:tcPr>
            <w:tcW w:w="990" w:type="dxa"/>
            <w:gridSpan w:val="2"/>
            <w:noWrap w:val="0"/>
            <w:vAlign w:val="center"/>
          </w:tcPr>
          <w:p>
            <w:pPr>
              <w:spacing w:line="700" w:lineRule="exact"/>
              <w:jc w:val="center"/>
              <w:rPr>
                <w:rFonts w:hint="eastAsia" w:ascii="宋体" w:hAnsi="宋体" w:eastAsia="宋体" w:cs="宋体"/>
                <w:kern w:val="0"/>
                <w:sz w:val="20"/>
                <w:szCs w:val="20"/>
              </w:rPr>
            </w:pPr>
          </w:p>
        </w:tc>
        <w:tc>
          <w:tcPr>
            <w:tcW w:w="990" w:type="dxa"/>
            <w:noWrap w:val="0"/>
            <w:vAlign w:val="center"/>
          </w:tcPr>
          <w:p>
            <w:pPr>
              <w:jc w:val="left"/>
              <w:rPr>
                <w:rFonts w:hint="eastAsia" w:ascii="宋体" w:hAnsi="宋体" w:eastAsia="宋体" w:cs="宋体"/>
                <w:kern w:val="0"/>
                <w:sz w:val="20"/>
                <w:szCs w:val="20"/>
              </w:rPr>
            </w:pP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6" w:type="dxa"/>
            <w:noWrap w:val="0"/>
            <w:vAlign w:val="center"/>
          </w:tcPr>
          <w:p>
            <w:pPr>
              <w:spacing w:line="700" w:lineRule="exact"/>
              <w:jc w:val="center"/>
              <w:rPr>
                <w:rFonts w:hint="eastAsia" w:ascii="宋体" w:hAnsi="宋体" w:eastAsia="宋体" w:cs="宋体"/>
                <w:kern w:val="0"/>
                <w:sz w:val="20"/>
                <w:szCs w:val="20"/>
              </w:rPr>
            </w:pPr>
          </w:p>
        </w:tc>
        <w:tc>
          <w:tcPr>
            <w:tcW w:w="1146"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990" w:type="dxa"/>
            <w:gridSpan w:val="2"/>
            <w:noWrap w:val="0"/>
            <w:vAlign w:val="center"/>
          </w:tcPr>
          <w:p>
            <w:pPr>
              <w:jc w:val="left"/>
              <w:rPr>
                <w:rFonts w:hint="eastAsia" w:ascii="宋体" w:hAnsi="宋体" w:eastAsia="宋体" w:cs="宋体"/>
                <w:kern w:val="0"/>
                <w:sz w:val="20"/>
                <w:szCs w:val="20"/>
              </w:rPr>
            </w:pPr>
          </w:p>
        </w:tc>
        <w:tc>
          <w:tcPr>
            <w:tcW w:w="990" w:type="dxa"/>
            <w:noWrap w:val="0"/>
            <w:vAlign w:val="center"/>
          </w:tcPr>
          <w:p>
            <w:pPr>
              <w:jc w:val="left"/>
              <w:rPr>
                <w:rFonts w:hint="eastAsia" w:ascii="宋体" w:hAnsi="宋体" w:eastAsia="宋体" w:cs="宋体"/>
                <w:kern w:val="0"/>
                <w:sz w:val="20"/>
                <w:szCs w:val="20"/>
              </w:rPr>
            </w:pP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26" w:type="dxa"/>
            <w:noWrap w:val="0"/>
            <w:vAlign w:val="center"/>
          </w:tcPr>
          <w:p>
            <w:pPr>
              <w:spacing w:line="700" w:lineRule="exact"/>
              <w:jc w:val="center"/>
              <w:rPr>
                <w:rFonts w:hint="eastAsia" w:ascii="宋体" w:hAnsi="宋体" w:eastAsia="宋体" w:cs="宋体"/>
                <w:kern w:val="0"/>
                <w:sz w:val="20"/>
                <w:szCs w:val="20"/>
              </w:rPr>
            </w:pPr>
          </w:p>
        </w:tc>
        <w:tc>
          <w:tcPr>
            <w:tcW w:w="1146" w:type="dxa"/>
            <w:noWrap w:val="0"/>
            <w:vAlign w:val="center"/>
          </w:tcPr>
          <w:p>
            <w:pPr>
              <w:jc w:val="left"/>
              <w:rPr>
                <w:rFonts w:hint="eastAsia" w:ascii="宋体" w:hAnsi="宋体" w:eastAsia="宋体" w:cs="宋体"/>
                <w:kern w:val="0"/>
                <w:sz w:val="20"/>
                <w:szCs w:val="20"/>
              </w:rPr>
            </w:pPr>
          </w:p>
        </w:tc>
        <w:tc>
          <w:tcPr>
            <w:tcW w:w="990"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第五次全国经济普查经费</w:t>
            </w:r>
          </w:p>
        </w:tc>
        <w:tc>
          <w:tcPr>
            <w:tcW w:w="990" w:type="dxa"/>
            <w:noWrap w:val="0"/>
            <w:vAlign w:val="center"/>
          </w:tcPr>
          <w:p>
            <w:pPr>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吉林市统计局船营区分局</w:t>
            </w: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49.89</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6" w:type="dxa"/>
            <w:noWrap w:val="0"/>
            <w:vAlign w:val="center"/>
          </w:tcPr>
          <w:p>
            <w:pPr>
              <w:spacing w:line="700" w:lineRule="exact"/>
              <w:jc w:val="center"/>
              <w:rPr>
                <w:rFonts w:hint="eastAsia" w:ascii="宋体" w:hAnsi="宋体" w:eastAsia="宋体" w:cs="宋体"/>
                <w:kern w:val="0"/>
                <w:sz w:val="20"/>
                <w:szCs w:val="20"/>
              </w:rPr>
            </w:pPr>
          </w:p>
        </w:tc>
        <w:tc>
          <w:tcPr>
            <w:tcW w:w="1146"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专项统计业务</w:t>
            </w:r>
          </w:p>
        </w:tc>
        <w:tc>
          <w:tcPr>
            <w:tcW w:w="990" w:type="dxa"/>
            <w:gridSpan w:val="2"/>
            <w:noWrap w:val="0"/>
            <w:vAlign w:val="center"/>
          </w:tcPr>
          <w:p>
            <w:pPr>
              <w:jc w:val="left"/>
              <w:rPr>
                <w:rFonts w:hint="eastAsia" w:ascii="宋体" w:hAnsi="宋体" w:eastAsia="宋体" w:cs="宋体"/>
                <w:kern w:val="0"/>
                <w:sz w:val="20"/>
                <w:szCs w:val="20"/>
              </w:rPr>
            </w:pPr>
          </w:p>
        </w:tc>
        <w:tc>
          <w:tcPr>
            <w:tcW w:w="990" w:type="dxa"/>
            <w:noWrap w:val="0"/>
            <w:vAlign w:val="center"/>
          </w:tcPr>
          <w:p>
            <w:pPr>
              <w:spacing w:line="700" w:lineRule="exact"/>
              <w:jc w:val="center"/>
              <w:rPr>
                <w:rFonts w:hint="eastAsia" w:ascii="宋体" w:hAnsi="宋体" w:eastAsia="宋体" w:cs="宋体"/>
                <w:kern w:val="0"/>
                <w:sz w:val="20"/>
                <w:szCs w:val="20"/>
              </w:rPr>
            </w:pP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6" w:type="dxa"/>
            <w:noWrap w:val="0"/>
            <w:vAlign w:val="center"/>
          </w:tcPr>
          <w:p>
            <w:pPr>
              <w:spacing w:line="700" w:lineRule="exact"/>
              <w:jc w:val="center"/>
              <w:rPr>
                <w:rFonts w:hint="eastAsia" w:ascii="宋体" w:hAnsi="宋体" w:eastAsia="宋体" w:cs="宋体"/>
                <w:kern w:val="0"/>
                <w:sz w:val="20"/>
                <w:szCs w:val="20"/>
              </w:rPr>
            </w:pPr>
          </w:p>
        </w:tc>
        <w:tc>
          <w:tcPr>
            <w:tcW w:w="1146" w:type="dxa"/>
            <w:noWrap w:val="0"/>
            <w:vAlign w:val="center"/>
          </w:tcPr>
          <w:p>
            <w:pPr>
              <w:jc w:val="left"/>
              <w:rPr>
                <w:rFonts w:hint="eastAsia" w:ascii="宋体" w:hAnsi="宋体" w:eastAsia="宋体" w:cs="宋体"/>
                <w:kern w:val="0"/>
                <w:sz w:val="20"/>
                <w:szCs w:val="20"/>
              </w:rPr>
            </w:pPr>
          </w:p>
        </w:tc>
        <w:tc>
          <w:tcPr>
            <w:tcW w:w="990" w:type="dxa"/>
            <w:gridSpan w:val="2"/>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统计调查经费</w:t>
            </w:r>
          </w:p>
        </w:tc>
        <w:tc>
          <w:tcPr>
            <w:tcW w:w="990" w:type="dxa"/>
            <w:noWrap w:val="0"/>
            <w:vAlign w:val="center"/>
          </w:tcPr>
          <w:p>
            <w:pPr>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吉林市统计局船营区分局</w:t>
            </w: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33.82</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6"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1146" w:type="dxa"/>
            <w:noWrap w:val="0"/>
            <w:vAlign w:val="center"/>
          </w:tcPr>
          <w:p>
            <w:pPr>
              <w:autoSpaceDN w:val="0"/>
              <w:jc w:val="center"/>
              <w:textAlignment w:val="center"/>
              <w:rPr>
                <w:rFonts w:hint="eastAsia" w:ascii="宋体" w:hAnsi="宋体" w:eastAsia="宋体" w:cs="宋体"/>
                <w:color w:val="000000"/>
                <w:sz w:val="20"/>
                <w:szCs w:val="20"/>
              </w:rPr>
            </w:pPr>
          </w:p>
        </w:tc>
        <w:tc>
          <w:tcPr>
            <w:tcW w:w="990" w:type="dxa"/>
            <w:gridSpan w:val="2"/>
            <w:noWrap w:val="0"/>
            <w:vAlign w:val="center"/>
          </w:tcPr>
          <w:p>
            <w:pPr>
              <w:spacing w:line="700" w:lineRule="exact"/>
              <w:jc w:val="center"/>
              <w:rPr>
                <w:rFonts w:hint="eastAsia" w:ascii="宋体" w:hAnsi="宋体" w:eastAsia="宋体" w:cs="宋体"/>
                <w:kern w:val="0"/>
                <w:sz w:val="20"/>
                <w:szCs w:val="20"/>
              </w:rPr>
            </w:pPr>
          </w:p>
        </w:tc>
        <w:tc>
          <w:tcPr>
            <w:tcW w:w="990" w:type="dxa"/>
            <w:noWrap w:val="0"/>
            <w:vAlign w:val="center"/>
          </w:tcPr>
          <w:p>
            <w:pPr>
              <w:spacing w:line="700" w:lineRule="exact"/>
              <w:jc w:val="center"/>
              <w:rPr>
                <w:rFonts w:hint="eastAsia" w:ascii="宋体" w:hAnsi="宋体" w:eastAsia="宋体" w:cs="宋体"/>
                <w:kern w:val="0"/>
                <w:sz w:val="20"/>
                <w:szCs w:val="20"/>
              </w:rPr>
            </w:pPr>
          </w:p>
        </w:tc>
        <w:tc>
          <w:tcPr>
            <w:tcW w:w="810"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94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83.71</w:t>
            </w: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525" w:type="dxa"/>
            <w:noWrap w:val="0"/>
            <w:vAlign w:val="center"/>
          </w:tcPr>
          <w:p>
            <w:pPr>
              <w:spacing w:line="700" w:lineRule="exact"/>
              <w:jc w:val="center"/>
              <w:rPr>
                <w:rFonts w:hint="eastAsia" w:ascii="宋体" w:hAnsi="宋体" w:eastAsia="宋体" w:cs="宋体"/>
                <w:kern w:val="0"/>
                <w:sz w:val="20"/>
                <w:szCs w:val="20"/>
              </w:rPr>
            </w:pPr>
          </w:p>
        </w:tc>
        <w:tc>
          <w:tcPr>
            <w:tcW w:w="495" w:type="dxa"/>
            <w:noWrap w:val="0"/>
            <w:vAlign w:val="center"/>
          </w:tcPr>
          <w:p>
            <w:pPr>
              <w:spacing w:line="700" w:lineRule="exact"/>
              <w:jc w:val="center"/>
              <w:rPr>
                <w:rFonts w:hint="eastAsia" w:ascii="宋体" w:hAnsi="宋体" w:eastAsia="宋体" w:cs="宋体"/>
                <w:kern w:val="0"/>
                <w:sz w:val="20"/>
                <w:szCs w:val="20"/>
              </w:rPr>
            </w:pPr>
          </w:p>
        </w:tc>
        <w:tc>
          <w:tcPr>
            <w:tcW w:w="555" w:type="dxa"/>
            <w:noWrap w:val="0"/>
            <w:vAlign w:val="center"/>
          </w:tcPr>
          <w:p>
            <w:pPr>
              <w:spacing w:line="700" w:lineRule="exact"/>
              <w:jc w:val="center"/>
              <w:rPr>
                <w:rFonts w:hint="eastAsia" w:ascii="宋体" w:hAnsi="宋体" w:eastAsia="宋体" w:cs="宋体"/>
                <w:kern w:val="0"/>
                <w:sz w:val="20"/>
                <w:szCs w:val="20"/>
              </w:rPr>
            </w:pPr>
          </w:p>
        </w:tc>
        <w:tc>
          <w:tcPr>
            <w:tcW w:w="450" w:type="dxa"/>
            <w:noWrap w:val="0"/>
            <w:vAlign w:val="center"/>
          </w:tcPr>
          <w:p>
            <w:pPr>
              <w:spacing w:line="700" w:lineRule="exact"/>
              <w:jc w:val="center"/>
              <w:rPr>
                <w:rFonts w:hint="eastAsia" w:ascii="宋体" w:hAnsi="宋体" w:eastAsia="宋体" w:cs="宋体"/>
                <w:kern w:val="0"/>
                <w:sz w:val="20"/>
                <w:szCs w:val="20"/>
              </w:rPr>
            </w:pPr>
          </w:p>
        </w:tc>
        <w:tc>
          <w:tcPr>
            <w:tcW w:w="480" w:type="dxa"/>
            <w:noWrap w:val="0"/>
            <w:vAlign w:val="center"/>
          </w:tcPr>
          <w:p>
            <w:pPr>
              <w:spacing w:line="700" w:lineRule="exact"/>
              <w:jc w:val="center"/>
              <w:rPr>
                <w:rFonts w:hint="eastAsia" w:ascii="宋体" w:hAnsi="宋体" w:eastAsia="宋体" w:cs="宋体"/>
                <w:kern w:val="0"/>
                <w:sz w:val="20"/>
                <w:szCs w:val="20"/>
              </w:rPr>
            </w:pPr>
          </w:p>
        </w:tc>
        <w:tc>
          <w:tcPr>
            <w:tcW w:w="510" w:type="dxa"/>
            <w:noWrap w:val="0"/>
            <w:vAlign w:val="center"/>
          </w:tcPr>
          <w:p>
            <w:pPr>
              <w:spacing w:line="700" w:lineRule="exact"/>
              <w:jc w:val="center"/>
              <w:rPr>
                <w:rFonts w:hint="eastAsia" w:ascii="宋体" w:hAnsi="宋体" w:eastAsia="宋体" w:cs="宋体"/>
                <w:kern w:val="0"/>
                <w:sz w:val="20"/>
                <w:szCs w:val="20"/>
              </w:rPr>
            </w:pPr>
          </w:p>
        </w:tc>
        <w:tc>
          <w:tcPr>
            <w:tcW w:w="415" w:type="dxa"/>
            <w:noWrap w:val="0"/>
            <w:vAlign w:val="center"/>
          </w:tcPr>
          <w:p>
            <w:pPr>
              <w:spacing w:line="700" w:lineRule="exact"/>
              <w:jc w:val="center"/>
              <w:rPr>
                <w:rFonts w:hint="eastAsia" w:ascii="宋体" w:hAnsi="宋体" w:eastAsia="宋体" w:cs="宋体"/>
                <w:kern w:val="0"/>
                <w:sz w:val="20"/>
                <w:szCs w:val="20"/>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宋体" w:hAnsi="宋体" w:eastAsia="宋体" w:cs="宋体"/>
                <w:kern w:val="0"/>
                <w:sz w:val="20"/>
                <w:szCs w:val="20"/>
                <w:vertAlign w:val="baseline"/>
                <w:lang w:eastAsia="zh-CN"/>
              </w:rPr>
            </w:pPr>
            <w:r>
              <w:rPr>
                <w:rFonts w:hint="eastAsia" w:ascii="宋体" w:hAnsi="宋体" w:eastAsia="宋体" w:cs="宋体"/>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719"/>
        <w:gridCol w:w="1075"/>
        <w:gridCol w:w="1050"/>
        <w:gridCol w:w="81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186"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吉林市统计局船营区分局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49.89</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依法开展普查数据登记工作，确保普查数出有据。做好数据质量控制及抽查工作，全面了解全区产业组织、产业结构、产业技术、产业形成的现状及各生产要素的构成情况。“两员”补助发放率达100%。</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普查员、普查指导员补贴发放人数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反映普查员、普查指导员补贴发放人数。</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≥705人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719"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75"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普查员、普查指导员补贴发放覆盖率</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反映普查员、普查指导员补贴发放覆盖率情况。</w:t>
            </w:r>
          </w:p>
        </w:tc>
        <w:tc>
          <w:tcPr>
            <w:tcW w:w="81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60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40</w:t>
            </w:r>
          </w:p>
        </w:tc>
      </w:tr>
    </w:tbl>
    <w:p/>
    <w:p/>
    <w:p/>
    <w:p/>
    <w:p/>
    <w:p/>
    <w:p/>
    <w:tbl>
      <w:tblPr>
        <w:tblStyle w:val="10"/>
        <w:tblW w:w="9186" w:type="dxa"/>
        <w:jc w:val="center"/>
        <w:tblBorders>
          <w:top w:val="none" w:color="auto" w:sz="0"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38"/>
        <w:gridCol w:w="1038"/>
        <w:gridCol w:w="1038"/>
        <w:gridCol w:w="1038"/>
        <w:gridCol w:w="778"/>
        <w:gridCol w:w="719"/>
        <w:gridCol w:w="1075"/>
        <w:gridCol w:w="1050"/>
        <w:gridCol w:w="812"/>
        <w:gridCol w:w="600"/>
      </w:tblGrid>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24" w:hRule="atLeast"/>
          <w:jc w:val="center"/>
        </w:trPr>
        <w:tc>
          <w:tcPr>
            <w:tcW w:w="9186" w:type="dxa"/>
            <w:gridSpan w:val="10"/>
            <w:tcBorders>
              <w:left w:val="nil"/>
              <w:right w:val="nil"/>
            </w:tcBorders>
            <w:noWrap w:val="0"/>
            <w:vAlign w:val="center"/>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sz w:val="20"/>
                <w:szCs w:val="22"/>
              </w:rPr>
              <w:t>单位：万元</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highlight w:val="none"/>
                <w:vertAlign w:val="baseline"/>
              </w:rPr>
            </w:pPr>
            <w:r>
              <w:rPr>
                <w:rFonts w:hint="eastAsia" w:ascii="宋体" w:hAnsi="宋体" w:eastAsia="宋体" w:cs="宋体"/>
                <w:kern w:val="0"/>
                <w:sz w:val="20"/>
                <w:szCs w:val="20"/>
                <w:highlight w:val="none"/>
                <w:vertAlign w:val="baseline"/>
                <w:lang w:val="en-US" w:eastAsia="zh-CN"/>
              </w:rPr>
              <w:t>单位名称</w:t>
            </w:r>
          </w:p>
        </w:tc>
        <w:tc>
          <w:tcPr>
            <w:tcW w:w="10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highlight w:val="none"/>
                <w:vertAlign w:val="baseline"/>
              </w:rPr>
            </w:pPr>
            <w:r>
              <w:rPr>
                <w:rFonts w:hint="eastAsia" w:ascii="宋体" w:hAnsi="宋体" w:eastAsia="宋体" w:cs="宋体"/>
                <w:kern w:val="0"/>
                <w:sz w:val="20"/>
                <w:szCs w:val="20"/>
                <w:highlight w:val="none"/>
                <w:vertAlign w:val="baseline"/>
                <w:lang w:eastAsia="zh-CN"/>
              </w:rPr>
              <w:t>项目名称</w:t>
            </w:r>
          </w:p>
        </w:tc>
        <w:tc>
          <w:tcPr>
            <w:tcW w:w="10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highlight w:val="none"/>
                <w:vertAlign w:val="baseline"/>
              </w:rPr>
            </w:pPr>
            <w:r>
              <w:rPr>
                <w:rFonts w:hint="eastAsia" w:ascii="宋体" w:hAnsi="宋体" w:eastAsia="宋体" w:cs="宋体"/>
                <w:kern w:val="0"/>
                <w:sz w:val="20"/>
                <w:szCs w:val="20"/>
                <w:highlight w:val="none"/>
                <w:vertAlign w:val="baseline"/>
                <w:lang w:eastAsia="zh-CN"/>
              </w:rPr>
              <w:t>年度资</w:t>
            </w:r>
            <w:r>
              <w:rPr>
                <w:rFonts w:hint="eastAsia" w:ascii="宋体" w:hAnsi="宋体" w:eastAsia="宋体" w:cs="宋体"/>
                <w:kern w:val="0"/>
                <w:sz w:val="20"/>
                <w:szCs w:val="20"/>
                <w:highlight w:val="none"/>
                <w:vertAlign w:val="baseline"/>
                <w:lang w:val="en-US" w:eastAsia="zh-CN"/>
              </w:rPr>
              <w:t xml:space="preserve">  </w:t>
            </w:r>
            <w:r>
              <w:rPr>
                <w:rFonts w:hint="eastAsia" w:ascii="宋体" w:hAnsi="宋体" w:eastAsia="宋体" w:cs="宋体"/>
                <w:kern w:val="0"/>
                <w:sz w:val="20"/>
                <w:szCs w:val="20"/>
                <w:highlight w:val="none"/>
                <w:vertAlign w:val="baseline"/>
                <w:lang w:eastAsia="zh-CN"/>
              </w:rPr>
              <w:t>金总额</w:t>
            </w:r>
            <w:r>
              <w:rPr>
                <w:rFonts w:hint="eastAsia" w:ascii="宋体" w:hAnsi="宋体" w:eastAsia="宋体" w:cs="宋体"/>
                <w:kern w:val="0"/>
                <w:sz w:val="20"/>
                <w:szCs w:val="20"/>
                <w:highlight w:val="none"/>
                <w:vertAlign w:val="baseline"/>
                <w:lang w:val="en-US" w:eastAsia="zh-CN"/>
              </w:rPr>
              <w:t xml:space="preserve">   </w:t>
            </w:r>
            <w:r>
              <w:rPr>
                <w:rFonts w:hint="eastAsia" w:ascii="宋体" w:hAnsi="宋体" w:eastAsia="宋体" w:cs="宋体"/>
                <w:kern w:val="0"/>
                <w:sz w:val="20"/>
                <w:szCs w:val="20"/>
                <w:highlight w:val="none"/>
                <w:vertAlign w:val="baseline"/>
                <w:lang w:eastAsia="zh-CN"/>
              </w:rPr>
              <w:t>（万元）</w:t>
            </w:r>
          </w:p>
        </w:tc>
        <w:tc>
          <w:tcPr>
            <w:tcW w:w="103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highlight w:val="none"/>
                <w:vertAlign w:val="baseline"/>
              </w:rPr>
            </w:pPr>
            <w:r>
              <w:rPr>
                <w:rFonts w:hint="eastAsia" w:ascii="宋体" w:hAnsi="宋体" w:eastAsia="宋体" w:cs="宋体"/>
                <w:kern w:val="0"/>
                <w:sz w:val="20"/>
                <w:szCs w:val="20"/>
                <w:highlight w:val="none"/>
                <w:vertAlign w:val="baseline"/>
                <w:lang w:eastAsia="zh-CN"/>
              </w:rPr>
              <w:t>年度绩</w:t>
            </w:r>
            <w:r>
              <w:rPr>
                <w:rFonts w:hint="eastAsia" w:ascii="宋体" w:hAnsi="宋体" w:eastAsia="宋体" w:cs="宋体"/>
                <w:kern w:val="0"/>
                <w:sz w:val="20"/>
                <w:szCs w:val="20"/>
                <w:highlight w:val="none"/>
                <w:vertAlign w:val="baseline"/>
                <w:lang w:val="en-US" w:eastAsia="zh-CN"/>
              </w:rPr>
              <w:t xml:space="preserve">  </w:t>
            </w:r>
            <w:r>
              <w:rPr>
                <w:rFonts w:hint="eastAsia" w:ascii="宋体" w:hAnsi="宋体" w:eastAsia="宋体" w:cs="宋体"/>
                <w:kern w:val="0"/>
                <w:sz w:val="20"/>
                <w:szCs w:val="20"/>
                <w:highlight w:val="none"/>
                <w:vertAlign w:val="baseline"/>
                <w:lang w:eastAsia="zh-CN"/>
              </w:rPr>
              <w:t>效目标</w:t>
            </w:r>
          </w:p>
        </w:tc>
        <w:tc>
          <w:tcPr>
            <w:tcW w:w="778"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一级指标</w:t>
            </w:r>
          </w:p>
        </w:tc>
        <w:tc>
          <w:tcPr>
            <w:tcW w:w="719"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二级指标</w:t>
            </w:r>
          </w:p>
        </w:tc>
        <w:tc>
          <w:tcPr>
            <w:tcW w:w="1075"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三级指标</w:t>
            </w:r>
          </w:p>
        </w:tc>
        <w:tc>
          <w:tcPr>
            <w:tcW w:w="1050"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指标解释</w:t>
            </w:r>
          </w:p>
        </w:tc>
        <w:tc>
          <w:tcPr>
            <w:tcW w:w="812"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指标值</w:t>
            </w:r>
          </w:p>
        </w:tc>
        <w:tc>
          <w:tcPr>
            <w:tcW w:w="600" w:type="dxa"/>
            <w:tcBorders>
              <w:left w:val="single" w:color="auto" w:sz="4" w:space="0"/>
            </w:tcBorders>
            <w:noWrap w:val="0"/>
            <w:vAlign w:val="center"/>
          </w:tcPr>
          <w:p>
            <w:pPr>
              <w:spacing w:line="24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kern w:val="0"/>
                <w:sz w:val="20"/>
                <w:szCs w:val="20"/>
                <w:highlight w:val="none"/>
                <w:vertAlign w:val="baseline"/>
                <w:lang w:eastAsia="zh-CN"/>
              </w:rPr>
              <w:t>权重</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vMerge w:val="restart"/>
            <w:tcBorders>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吉林市统计局船营区分局</w:t>
            </w:r>
          </w:p>
        </w:tc>
        <w:tc>
          <w:tcPr>
            <w:tcW w:w="1038"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统计调查经费</w:t>
            </w:r>
          </w:p>
        </w:tc>
        <w:tc>
          <w:tcPr>
            <w:tcW w:w="1038"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33.82</w:t>
            </w:r>
          </w:p>
        </w:tc>
        <w:tc>
          <w:tcPr>
            <w:tcW w:w="1038" w:type="dxa"/>
            <w:vMerge w:val="restart"/>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国家、省、市统计局工作要求及区委区政府统计数据需求，组织实施全年规模以上工业、资质建筑业、限额以上商贸业、重点服务业及人口变动情况抽样调查任务，做好各专业统计数据的审核验收及上报工作，形成统计月刊、运行服务及统计年鉴，为区委区政府提供经济运行分析预测所需的统计数据，为社会各界提供行业发展所需的统计服务。</w:t>
            </w:r>
          </w:p>
        </w:tc>
        <w:tc>
          <w:tcPr>
            <w:tcW w:w="7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成本指标</w:t>
            </w:r>
          </w:p>
        </w:tc>
        <w:tc>
          <w:tcPr>
            <w:tcW w:w="71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经济成本指标</w:t>
            </w:r>
          </w:p>
        </w:tc>
        <w:tc>
          <w:tcPr>
            <w:tcW w:w="1075"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统计年鉴印刷成本费用</w:t>
            </w:r>
          </w:p>
        </w:tc>
        <w:tc>
          <w:tcPr>
            <w:tcW w:w="10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编印统计年鉴印刷成本费用</w:t>
            </w:r>
          </w:p>
        </w:tc>
        <w:tc>
          <w:tcPr>
            <w:tcW w:w="81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≤3.5万元</w:t>
            </w:r>
          </w:p>
        </w:tc>
        <w:tc>
          <w:tcPr>
            <w:tcW w:w="60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产出指标</w:t>
            </w:r>
          </w:p>
        </w:tc>
        <w:tc>
          <w:tcPr>
            <w:tcW w:w="719"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数量指标</w:t>
            </w:r>
          </w:p>
        </w:tc>
        <w:tc>
          <w:tcPr>
            <w:tcW w:w="1075"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统计专报篇数</w:t>
            </w:r>
          </w:p>
        </w:tc>
        <w:tc>
          <w:tcPr>
            <w:tcW w:w="10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反映统计专报篇数情况</w:t>
            </w:r>
          </w:p>
        </w:tc>
        <w:tc>
          <w:tcPr>
            <w:tcW w:w="81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≥10篇</w:t>
            </w:r>
          </w:p>
        </w:tc>
        <w:tc>
          <w:tcPr>
            <w:tcW w:w="60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719"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75"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统计培训人次</w:t>
            </w:r>
          </w:p>
        </w:tc>
        <w:tc>
          <w:tcPr>
            <w:tcW w:w="10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反应统计培训人次情况</w:t>
            </w:r>
          </w:p>
        </w:tc>
        <w:tc>
          <w:tcPr>
            <w:tcW w:w="81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≥200人（次）</w:t>
            </w:r>
          </w:p>
        </w:tc>
        <w:tc>
          <w:tcPr>
            <w:tcW w:w="60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719"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75"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统计公报撰写</w:t>
            </w:r>
          </w:p>
        </w:tc>
        <w:tc>
          <w:tcPr>
            <w:tcW w:w="10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撰写统计公报</w:t>
            </w:r>
          </w:p>
        </w:tc>
        <w:tc>
          <w:tcPr>
            <w:tcW w:w="81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=1份</w:t>
            </w:r>
          </w:p>
        </w:tc>
        <w:tc>
          <w:tcPr>
            <w:tcW w:w="60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61" w:hRule="atLeast"/>
          <w:jc w:val="center"/>
        </w:trPr>
        <w:tc>
          <w:tcPr>
            <w:tcW w:w="1038" w:type="dxa"/>
            <w:vMerge w:val="continue"/>
            <w:tcBorders>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效益指标</w:t>
            </w:r>
          </w:p>
        </w:tc>
        <w:tc>
          <w:tcPr>
            <w:tcW w:w="71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社会效益指标</w:t>
            </w:r>
          </w:p>
        </w:tc>
        <w:tc>
          <w:tcPr>
            <w:tcW w:w="1075"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数据被采用的次数</w:t>
            </w:r>
          </w:p>
        </w:tc>
        <w:tc>
          <w:tcPr>
            <w:tcW w:w="10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反映数据被国家或相关单位采用的次数。</w:t>
            </w:r>
          </w:p>
        </w:tc>
        <w:tc>
          <w:tcPr>
            <w:tcW w:w="81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≥1篇</w:t>
            </w:r>
          </w:p>
        </w:tc>
        <w:tc>
          <w:tcPr>
            <w:tcW w:w="60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184.33</w:t>
      </w:r>
      <w:r>
        <w:rPr>
          <w:szCs w:val="32"/>
        </w:rPr>
        <w:t>万元</w:t>
      </w:r>
      <w:r>
        <w:rPr>
          <w:rFonts w:hint="eastAsia"/>
          <w:szCs w:val="32"/>
          <w:lang w:eastAsia="zh-CN"/>
        </w:rPr>
        <w:t>，其中：本年预算</w:t>
      </w:r>
      <w:r>
        <w:rPr>
          <w:rFonts w:hint="eastAsia"/>
          <w:szCs w:val="32"/>
          <w:lang w:val="en-US" w:eastAsia="zh-CN"/>
        </w:rPr>
        <w:t>181.06</w:t>
      </w:r>
      <w:r>
        <w:rPr>
          <w:rFonts w:hint="eastAsia"/>
          <w:szCs w:val="32"/>
          <w:lang w:eastAsia="zh-CN"/>
        </w:rPr>
        <w:t>万元；上年结转</w:t>
      </w:r>
      <w:r>
        <w:rPr>
          <w:rFonts w:hint="eastAsia"/>
          <w:szCs w:val="32"/>
          <w:lang w:val="en-US" w:eastAsia="zh-CN"/>
        </w:rPr>
        <w:t>3.27</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53.82</w:t>
      </w:r>
      <w:r>
        <w:rPr>
          <w:szCs w:val="32"/>
        </w:rPr>
        <w:t>万元，主要原因是</w:t>
      </w:r>
      <w:r>
        <w:rPr>
          <w:rFonts w:hint="eastAsia"/>
          <w:szCs w:val="32"/>
          <w:lang w:val="en-US" w:eastAsia="zh-CN"/>
        </w:rPr>
        <w:t>2024年新增</w:t>
      </w:r>
      <w:r>
        <w:rPr>
          <w:rFonts w:hint="eastAsia"/>
          <w:szCs w:val="32"/>
        </w:rPr>
        <w:t>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184.33</w:t>
      </w:r>
      <w:r>
        <w:rPr>
          <w:szCs w:val="32"/>
        </w:rPr>
        <w:t>万元，其中：本年收入</w:t>
      </w:r>
      <w:r>
        <w:rPr>
          <w:rFonts w:hint="eastAsia"/>
          <w:szCs w:val="32"/>
          <w:lang w:val="en-US" w:eastAsia="zh-CN"/>
        </w:rPr>
        <w:t>181.06</w:t>
      </w:r>
      <w:r>
        <w:rPr>
          <w:szCs w:val="32"/>
        </w:rPr>
        <w:t>万元，占</w:t>
      </w:r>
      <w:r>
        <w:rPr>
          <w:rFonts w:hint="eastAsia"/>
          <w:szCs w:val="32"/>
          <w:lang w:val="en-US" w:eastAsia="zh-CN"/>
        </w:rPr>
        <w:t>98.2</w:t>
      </w:r>
      <w:r>
        <w:rPr>
          <w:szCs w:val="32"/>
        </w:rPr>
        <w:t>%；上年结转</w:t>
      </w:r>
      <w:r>
        <w:rPr>
          <w:rFonts w:hint="eastAsia"/>
          <w:szCs w:val="32"/>
          <w:lang w:eastAsia="zh-CN"/>
        </w:rPr>
        <w:t>结余</w:t>
      </w:r>
      <w:r>
        <w:rPr>
          <w:rFonts w:hint="eastAsia"/>
          <w:szCs w:val="32"/>
          <w:lang w:val="en-US" w:eastAsia="zh-CN"/>
        </w:rPr>
        <w:t>3.27</w:t>
      </w:r>
      <w:r>
        <w:rPr>
          <w:szCs w:val="32"/>
        </w:rPr>
        <w:t>万元，占</w:t>
      </w:r>
      <w:r>
        <w:rPr>
          <w:rFonts w:hint="eastAsia"/>
          <w:szCs w:val="32"/>
          <w:lang w:val="en-US" w:eastAsia="zh-CN"/>
        </w:rPr>
        <w:t>1.8</w:t>
      </w:r>
      <w:r>
        <w:rPr>
          <w:szCs w:val="32"/>
        </w:rPr>
        <w:t>%。本年收入中，一般公共预算拨款收入</w:t>
      </w:r>
      <w:r>
        <w:rPr>
          <w:rFonts w:hint="eastAsia"/>
          <w:szCs w:val="32"/>
          <w:lang w:val="en-US" w:eastAsia="zh-CN"/>
        </w:rPr>
        <w:t>181.06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3.27</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184.33</w:t>
      </w:r>
      <w:r>
        <w:rPr>
          <w:szCs w:val="32"/>
        </w:rPr>
        <w:t>万元，其中：基本支出</w:t>
      </w:r>
      <w:r>
        <w:rPr>
          <w:rFonts w:hint="eastAsia"/>
          <w:szCs w:val="32"/>
          <w:lang w:val="en-US" w:eastAsia="zh-CN"/>
        </w:rPr>
        <w:t>100.62</w:t>
      </w:r>
      <w:r>
        <w:rPr>
          <w:szCs w:val="32"/>
        </w:rPr>
        <w:t>万元，占</w:t>
      </w:r>
      <w:r>
        <w:rPr>
          <w:rFonts w:hint="eastAsia"/>
          <w:szCs w:val="32"/>
          <w:lang w:val="en-US" w:eastAsia="zh-CN"/>
        </w:rPr>
        <w:t>54.6</w:t>
      </w:r>
      <w:r>
        <w:rPr>
          <w:szCs w:val="32"/>
        </w:rPr>
        <w:t>%；项目支出</w:t>
      </w:r>
      <w:r>
        <w:rPr>
          <w:rFonts w:hint="eastAsia"/>
          <w:szCs w:val="32"/>
          <w:lang w:val="en-US" w:eastAsia="zh-CN"/>
        </w:rPr>
        <w:t>83.71</w:t>
      </w:r>
      <w:r>
        <w:rPr>
          <w:szCs w:val="32"/>
        </w:rPr>
        <w:t>万元，占</w:t>
      </w:r>
      <w:r>
        <w:rPr>
          <w:rFonts w:hint="eastAsia"/>
          <w:szCs w:val="32"/>
          <w:lang w:val="en-US" w:eastAsia="zh-CN"/>
        </w:rPr>
        <w:t>45.4</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184.33</w:t>
      </w:r>
      <w:r>
        <w:rPr>
          <w:szCs w:val="32"/>
        </w:rPr>
        <w:t>万元，其中：</w:t>
      </w:r>
      <w:r>
        <w:rPr>
          <w:rFonts w:hint="eastAsia"/>
          <w:szCs w:val="32"/>
        </w:rPr>
        <w:t>本年</w:t>
      </w:r>
      <w:r>
        <w:rPr>
          <w:rFonts w:hint="eastAsia"/>
          <w:szCs w:val="32"/>
          <w:lang w:eastAsia="zh-CN"/>
        </w:rPr>
        <w:t>预算</w:t>
      </w:r>
      <w:r>
        <w:rPr>
          <w:rFonts w:hint="eastAsia"/>
          <w:szCs w:val="32"/>
          <w:lang w:val="en-US" w:eastAsia="zh-CN"/>
        </w:rPr>
        <w:t>181.06</w:t>
      </w:r>
      <w:r>
        <w:rPr>
          <w:szCs w:val="32"/>
        </w:rPr>
        <w:t>万元</w:t>
      </w:r>
      <w:r>
        <w:rPr>
          <w:rFonts w:hint="eastAsia"/>
          <w:szCs w:val="32"/>
        </w:rPr>
        <w:t>，上年结转</w:t>
      </w:r>
      <w:r>
        <w:rPr>
          <w:rFonts w:hint="eastAsia"/>
          <w:szCs w:val="32"/>
          <w:lang w:val="en-US" w:eastAsia="zh-CN"/>
        </w:rPr>
        <w:t>3.27</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161.53</w:t>
      </w:r>
      <w:r>
        <w:rPr>
          <w:szCs w:val="32"/>
        </w:rPr>
        <w:t>万元，</w:t>
      </w:r>
      <w:r>
        <w:rPr>
          <w:kern w:val="0"/>
          <w:szCs w:val="32"/>
        </w:rPr>
        <w:t>社会保障和就业支出</w:t>
      </w:r>
      <w:r>
        <w:rPr>
          <w:rFonts w:hint="eastAsia"/>
          <w:szCs w:val="32"/>
          <w:lang w:val="en-US" w:eastAsia="zh-CN"/>
        </w:rPr>
        <w:t>10.24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4.33</w:t>
      </w:r>
      <w:r>
        <w:rPr>
          <w:szCs w:val="32"/>
        </w:rPr>
        <w:t>万元，</w:t>
      </w:r>
      <w:r>
        <w:rPr>
          <w:kern w:val="0"/>
          <w:szCs w:val="32"/>
        </w:rPr>
        <w:t>住房保障支出</w:t>
      </w:r>
      <w:r>
        <w:rPr>
          <w:rFonts w:hint="eastAsia"/>
          <w:szCs w:val="32"/>
          <w:lang w:val="en-US" w:eastAsia="zh-CN"/>
        </w:rPr>
        <w:t>8.23</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184.33</w:t>
      </w:r>
      <w:r>
        <w:rPr>
          <w:szCs w:val="32"/>
        </w:rPr>
        <w:t>万元，其中：基本支出</w:t>
      </w:r>
      <w:r>
        <w:rPr>
          <w:rFonts w:hint="eastAsia"/>
          <w:szCs w:val="32"/>
          <w:lang w:val="en-US" w:eastAsia="zh-CN"/>
        </w:rPr>
        <w:t>100.62</w:t>
      </w:r>
      <w:r>
        <w:rPr>
          <w:szCs w:val="32"/>
        </w:rPr>
        <w:t>万元，占</w:t>
      </w:r>
      <w:r>
        <w:rPr>
          <w:rFonts w:hint="eastAsia"/>
          <w:szCs w:val="32"/>
          <w:lang w:val="en-US" w:eastAsia="zh-CN"/>
        </w:rPr>
        <w:t>54.6</w:t>
      </w:r>
      <w:r>
        <w:rPr>
          <w:szCs w:val="32"/>
        </w:rPr>
        <w:t>%；项目支出</w:t>
      </w:r>
      <w:r>
        <w:rPr>
          <w:rFonts w:hint="eastAsia"/>
          <w:szCs w:val="32"/>
          <w:lang w:val="en-US" w:eastAsia="zh-CN"/>
        </w:rPr>
        <w:t>83.71</w:t>
      </w:r>
      <w:r>
        <w:rPr>
          <w:szCs w:val="32"/>
        </w:rPr>
        <w:t>万元，占</w:t>
      </w:r>
      <w:r>
        <w:rPr>
          <w:rFonts w:hint="eastAsia"/>
          <w:szCs w:val="32"/>
          <w:lang w:val="en-US" w:eastAsia="zh-CN"/>
        </w:rPr>
        <w:t>45.4</w:t>
      </w:r>
      <w:r>
        <w:rPr>
          <w:szCs w:val="32"/>
        </w:rPr>
        <w:t>%。基本支出中，人员经费</w:t>
      </w:r>
      <w:r>
        <w:rPr>
          <w:rFonts w:hint="eastAsia"/>
          <w:szCs w:val="32"/>
          <w:lang w:val="en-US" w:eastAsia="zh-CN"/>
        </w:rPr>
        <w:t>83.52</w:t>
      </w:r>
      <w:r>
        <w:rPr>
          <w:szCs w:val="32"/>
        </w:rPr>
        <w:t>万元，占</w:t>
      </w:r>
      <w:r>
        <w:rPr>
          <w:rFonts w:hint="eastAsia"/>
          <w:szCs w:val="32"/>
          <w:lang w:val="en-US" w:eastAsia="zh-CN"/>
        </w:rPr>
        <w:t>83</w:t>
      </w:r>
      <w:r>
        <w:rPr>
          <w:szCs w:val="32"/>
        </w:rPr>
        <w:t>%；公用经费</w:t>
      </w:r>
      <w:r>
        <w:rPr>
          <w:rFonts w:hint="eastAsia"/>
          <w:szCs w:val="32"/>
          <w:lang w:val="en-US" w:eastAsia="zh-CN"/>
        </w:rPr>
        <w:t>17.10</w:t>
      </w:r>
      <w:r>
        <w:rPr>
          <w:szCs w:val="32"/>
        </w:rPr>
        <w:t>万元，占</w:t>
      </w:r>
      <w:r>
        <w:rPr>
          <w:rFonts w:hint="eastAsia"/>
          <w:szCs w:val="32"/>
          <w:lang w:val="en-US" w:eastAsia="zh-CN"/>
        </w:rPr>
        <w:t>17</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161.53</w:t>
      </w:r>
      <w:r>
        <w:rPr>
          <w:szCs w:val="32"/>
        </w:rPr>
        <w:t>万元，占</w:t>
      </w:r>
      <w:r>
        <w:rPr>
          <w:rFonts w:hint="eastAsia"/>
          <w:szCs w:val="32"/>
          <w:lang w:val="en-US" w:eastAsia="zh-CN"/>
        </w:rPr>
        <w:t>87.6</w:t>
      </w:r>
      <w:r>
        <w:rPr>
          <w:szCs w:val="32"/>
        </w:rPr>
        <w:t>%，</w:t>
      </w:r>
      <w:r>
        <w:rPr>
          <w:rFonts w:hint="eastAsia" w:ascii="仿宋_GB2312" w:hAnsi="仿宋_GB2312" w:eastAsia="仿宋_GB2312" w:cs="仿宋_GB2312"/>
          <w:szCs w:val="32"/>
        </w:rPr>
        <w:t>主要用于</w:t>
      </w:r>
      <w:r>
        <w:rPr>
          <w:rFonts w:hint="eastAsia" w:ascii="仿宋_GB2312" w:hAnsi="仿宋_GB2312" w:eastAsia="仿宋_GB2312" w:cs="仿宋_GB2312"/>
          <w:szCs w:val="32"/>
          <w:highlight w:val="none"/>
        </w:rPr>
        <w:t>保障</w:t>
      </w:r>
      <w:r>
        <w:rPr>
          <w:rFonts w:hint="eastAsia" w:ascii="仿宋_GB2312" w:hAnsi="仿宋_GB2312" w:cs="仿宋_GB2312"/>
          <w:szCs w:val="32"/>
          <w:highlight w:val="none"/>
          <w:lang w:val="en-US" w:eastAsia="zh-CN"/>
        </w:rPr>
        <w:t>本单位人员工资发放和机关运行正常开展</w:t>
      </w:r>
      <w:r>
        <w:rPr>
          <w:szCs w:val="32"/>
          <w:highlight w:val="none"/>
        </w:rPr>
        <w:t>。</w:t>
      </w:r>
    </w:p>
    <w:p>
      <w:pPr>
        <w:spacing w:line="520" w:lineRule="exact"/>
        <w:ind w:firstLine="640" w:firstLineChars="200"/>
        <w:rPr>
          <w:szCs w:val="32"/>
        </w:rPr>
      </w:pPr>
      <w:r>
        <w:rPr>
          <w:szCs w:val="32"/>
        </w:rPr>
        <w:t>社会保障和就业（类）支出</w:t>
      </w:r>
      <w:r>
        <w:rPr>
          <w:rFonts w:hint="eastAsia"/>
          <w:szCs w:val="32"/>
          <w:lang w:val="en-US" w:eastAsia="zh-CN"/>
        </w:rPr>
        <w:t>10.24</w:t>
      </w:r>
      <w:r>
        <w:rPr>
          <w:szCs w:val="32"/>
        </w:rPr>
        <w:t>万元，占</w:t>
      </w:r>
      <w:r>
        <w:rPr>
          <w:rFonts w:hint="eastAsia"/>
          <w:szCs w:val="32"/>
          <w:lang w:val="en-US" w:eastAsia="zh-CN"/>
        </w:rPr>
        <w:t>5.6</w:t>
      </w:r>
      <w:r>
        <w:rPr>
          <w:szCs w:val="32"/>
        </w:rPr>
        <w:t>%，</w:t>
      </w:r>
      <w:r>
        <w:rPr>
          <w:rFonts w:hint="eastAsia"/>
          <w:szCs w:val="32"/>
          <w:lang w:val="en-US" w:eastAsia="zh-CN"/>
        </w:rPr>
        <w:t>主要</w:t>
      </w:r>
      <w:r>
        <w:rPr>
          <w:rFonts w:hint="eastAsia" w:ascii="仿宋_GB2312" w:hAnsi="仿宋_GB2312" w:eastAsia="仿宋_GB2312" w:cs="仿宋_GB2312"/>
          <w:szCs w:val="32"/>
        </w:rPr>
        <w:t>用</w:t>
      </w:r>
      <w:r>
        <w:rPr>
          <w:rFonts w:hint="eastAsia" w:ascii="仿宋_GB2312" w:hAnsi="仿宋_GB2312" w:eastAsia="仿宋_GB2312" w:cs="仿宋_GB2312"/>
          <w:szCs w:val="32"/>
          <w:highlight w:val="none"/>
        </w:rPr>
        <w:t>于保障</w:t>
      </w:r>
      <w:r>
        <w:rPr>
          <w:rFonts w:hint="eastAsia" w:ascii="仿宋_GB2312" w:hAnsi="仿宋_GB2312" w:cs="仿宋_GB2312"/>
          <w:szCs w:val="32"/>
          <w:highlight w:val="none"/>
          <w:lang w:val="en-US" w:eastAsia="zh-CN"/>
        </w:rPr>
        <w:t>退休职工生活补贴、</w:t>
      </w:r>
      <w:r>
        <w:rPr>
          <w:rFonts w:hint="eastAsia" w:ascii="仿宋_GB2312" w:hAnsi="仿宋_GB2312" w:eastAsia="仿宋_GB2312" w:cs="仿宋_GB2312"/>
          <w:szCs w:val="32"/>
          <w:highlight w:val="none"/>
        </w:rPr>
        <w:t>取暖补贴及机关事业单位基本养老保险缴费支出。</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卫生健康（类）支出</w:t>
      </w:r>
      <w:r>
        <w:rPr>
          <w:rFonts w:hint="eastAsia"/>
          <w:szCs w:val="32"/>
          <w:lang w:val="en-US" w:eastAsia="zh-CN"/>
        </w:rPr>
        <w:t>4.33</w:t>
      </w:r>
      <w:r>
        <w:rPr>
          <w:rFonts w:hint="eastAsia" w:ascii="仿宋_GB2312" w:hAnsi="仿宋_GB2312" w:eastAsia="仿宋_GB2312" w:cs="仿宋_GB2312"/>
          <w:szCs w:val="32"/>
        </w:rPr>
        <w:t>万元，占</w:t>
      </w:r>
      <w:r>
        <w:rPr>
          <w:rFonts w:hint="eastAsia"/>
          <w:szCs w:val="32"/>
          <w:lang w:val="en-US" w:eastAsia="zh-CN"/>
        </w:rPr>
        <w:t>2.3%</w:t>
      </w:r>
      <w:r>
        <w:rPr>
          <w:rFonts w:hint="eastAsia" w:ascii="仿宋_GB2312" w:hAnsi="仿宋_GB2312" w:eastAsia="仿宋_GB2312" w:cs="仿宋_GB2312"/>
          <w:szCs w:val="32"/>
        </w:rPr>
        <w:t>，主要用于缴纳</w:t>
      </w:r>
      <w:r>
        <w:rPr>
          <w:rFonts w:hint="eastAsia" w:ascii="仿宋_GB2312" w:hAnsi="仿宋_GB2312" w:cs="仿宋_GB2312"/>
          <w:szCs w:val="32"/>
          <w:lang w:eastAsia="zh-CN"/>
        </w:rPr>
        <w:t>在职及退休人员基本医疗保险</w:t>
      </w:r>
      <w:r>
        <w:rPr>
          <w:rFonts w:hint="eastAsia" w:ascii="仿宋_GB2312" w:hAnsi="仿宋_GB2312" w:eastAsia="仿宋_GB2312" w:cs="仿宋_GB2312"/>
          <w:szCs w:val="32"/>
        </w:rPr>
        <w:t>。</w:t>
      </w:r>
    </w:p>
    <w:p>
      <w:pPr>
        <w:ind w:firstLine="640" w:firstLineChars="200"/>
        <w:rPr>
          <w:rFonts w:hint="eastAsia"/>
          <w:szCs w:val="32"/>
        </w:rPr>
      </w:pPr>
      <w:r>
        <w:rPr>
          <w:szCs w:val="32"/>
        </w:rPr>
        <w:t>住房保障（类）支出</w:t>
      </w:r>
      <w:r>
        <w:rPr>
          <w:rFonts w:hint="eastAsia"/>
          <w:szCs w:val="32"/>
          <w:lang w:val="en-US" w:eastAsia="zh-CN"/>
        </w:rPr>
        <w:t>8.23</w:t>
      </w:r>
      <w:r>
        <w:rPr>
          <w:szCs w:val="32"/>
        </w:rPr>
        <w:t>万元，占</w:t>
      </w:r>
      <w:r>
        <w:rPr>
          <w:rFonts w:hint="eastAsia"/>
          <w:szCs w:val="32"/>
          <w:lang w:val="en-US" w:eastAsia="zh-CN"/>
        </w:rPr>
        <w:t>4.5</w:t>
      </w:r>
      <w:r>
        <w:rPr>
          <w:szCs w:val="32"/>
        </w:rPr>
        <w:t>%，</w:t>
      </w:r>
      <w:r>
        <w:rPr>
          <w:rFonts w:hint="eastAsia" w:ascii="仿宋_GB2312" w:hAnsi="仿宋_GB2312" w:eastAsia="仿宋_GB2312" w:cs="仿宋_GB2312"/>
          <w:szCs w:val="32"/>
        </w:rPr>
        <w:t>主要用于缴纳</w:t>
      </w:r>
      <w:r>
        <w:rPr>
          <w:rFonts w:hint="eastAsia" w:ascii="仿宋_GB2312" w:hAnsi="仿宋_GB2312" w:cs="仿宋_GB2312"/>
          <w:szCs w:val="32"/>
          <w:lang w:eastAsia="zh-CN"/>
        </w:rPr>
        <w:t>在职人员</w:t>
      </w:r>
      <w:r>
        <w:rPr>
          <w:rFonts w:hint="eastAsia" w:ascii="仿宋_GB2312" w:hAnsi="仿宋_GB2312" w:eastAsia="仿宋_GB2312" w:cs="仿宋_GB2312"/>
          <w:szCs w:val="32"/>
        </w:rPr>
        <w:t>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100.61</w:t>
      </w:r>
      <w:r>
        <w:rPr>
          <w:szCs w:val="32"/>
        </w:rPr>
        <w:t>万元，其中：</w:t>
      </w:r>
    </w:p>
    <w:p>
      <w:pPr>
        <w:ind w:firstLine="640" w:firstLineChars="200"/>
        <w:rPr>
          <w:rFonts w:hint="eastAsia"/>
          <w:kern w:val="0"/>
          <w:szCs w:val="32"/>
        </w:rPr>
      </w:pPr>
      <w:r>
        <w:rPr>
          <w:szCs w:val="32"/>
        </w:rPr>
        <w:t>人员经费</w:t>
      </w:r>
      <w:r>
        <w:rPr>
          <w:rFonts w:hint="eastAsia"/>
          <w:szCs w:val="32"/>
          <w:lang w:val="en-US" w:eastAsia="zh-CN"/>
        </w:rPr>
        <w:t>83.52</w:t>
      </w:r>
      <w:r>
        <w:rPr>
          <w:szCs w:val="32"/>
        </w:rPr>
        <w:t>万元，主要包括：</w:t>
      </w:r>
      <w:r>
        <w:rPr>
          <w:rFonts w:hint="eastAsia"/>
          <w:kern w:val="0"/>
          <w:szCs w:val="32"/>
        </w:rPr>
        <w:t>基本工资、津贴补贴、奖金、机关事业单位基本养老保险缴费、职工基本医疗保险缴费、公务员医疗补助缴费、其他社会保障缴费、住房公积金、医疗费、其他工资福利支出、退休费、其他对个人和家庭的补助。</w:t>
      </w:r>
    </w:p>
    <w:p>
      <w:pPr>
        <w:ind w:firstLine="640" w:firstLineChars="200"/>
        <w:rPr>
          <w:kern w:val="0"/>
          <w:szCs w:val="32"/>
        </w:rPr>
      </w:pPr>
      <w:r>
        <w:rPr>
          <w:kern w:val="0"/>
          <w:szCs w:val="32"/>
        </w:rPr>
        <w:t>公用经费</w:t>
      </w:r>
      <w:r>
        <w:rPr>
          <w:rFonts w:hint="eastAsia"/>
          <w:szCs w:val="32"/>
          <w:lang w:val="en-US" w:eastAsia="zh-CN"/>
        </w:rPr>
        <w:t>17.09</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rFonts w:hint="eastAsia"/>
          <w:kern w:val="0"/>
          <w:szCs w:val="32"/>
        </w:rPr>
        <w:t>其他交通费用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0.15</w:t>
      </w:r>
      <w:r>
        <w:rPr>
          <w:szCs w:val="32"/>
        </w:rPr>
        <w:t>万元。其中：</w:t>
      </w:r>
    </w:p>
    <w:p>
      <w:pPr>
        <w:ind w:firstLine="640" w:firstLineChars="200"/>
        <w:jc w:val="both"/>
        <w:rPr>
          <w:rFonts w:hint="default"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ascii="仿宋_GB2312" w:hAnsi="仿宋_GB2312" w:eastAsia="仿宋_GB2312" w:cs="仿宋_GB2312"/>
          <w:szCs w:val="32"/>
          <w:lang w:eastAsia="zh-CN"/>
        </w:rPr>
        <w:t>与</w:t>
      </w:r>
      <w:r>
        <w:rPr>
          <w:rFonts w:hint="eastAsia" w:ascii="Times New Roman" w:hAnsi="Times New Roman" w:cs="Times New Roman"/>
          <w:szCs w:val="32"/>
          <w:lang w:val="en-US" w:eastAsia="zh-CN"/>
        </w:rPr>
        <w:t>2023</w:t>
      </w:r>
      <w:r>
        <w:rPr>
          <w:rFonts w:hint="eastAsia" w:ascii="仿宋_GB2312" w:hAnsi="仿宋_GB2312" w:eastAsia="仿宋_GB2312" w:cs="仿宋_GB2312"/>
          <w:szCs w:val="32"/>
          <w:lang w:eastAsia="zh-CN"/>
        </w:rPr>
        <w:t>年</w:t>
      </w:r>
      <w:r>
        <w:rPr>
          <w:rFonts w:hint="eastAsia" w:ascii="仿宋_GB2312" w:hAnsi="仿宋_GB2312" w:cs="仿宋_GB2312"/>
          <w:szCs w:val="32"/>
          <w:lang w:val="en-US" w:eastAsia="zh-CN"/>
        </w:rPr>
        <w:t>当年</w:t>
      </w:r>
      <w:r>
        <w:rPr>
          <w:rFonts w:hint="eastAsia" w:ascii="仿宋_GB2312" w:hAnsi="仿宋_GB2312" w:eastAsia="仿宋_GB2312" w:cs="仿宋_GB2312"/>
          <w:szCs w:val="32"/>
          <w:lang w:eastAsia="zh-CN"/>
        </w:rPr>
        <w:t>预算数持平</w:t>
      </w:r>
      <w:r>
        <w:rPr>
          <w:rFonts w:hint="eastAsia" w:ascii="仿宋_GB2312" w:hAnsi="仿宋_GB2312" w:cs="仿宋_GB2312"/>
          <w:szCs w:val="32"/>
          <w:lang w:eastAsia="zh-CN"/>
        </w:rPr>
        <w:t>。</w:t>
      </w:r>
    </w:p>
    <w:p>
      <w:pPr>
        <w:ind w:firstLine="640" w:firstLineChars="200"/>
        <w:rPr>
          <w:rFonts w:hint="eastAsia"/>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0.15</w:t>
      </w:r>
      <w:r>
        <w:rPr>
          <w:szCs w:val="32"/>
        </w:rPr>
        <w:t>万元，主要原因是</w:t>
      </w:r>
      <w:r>
        <w:rPr>
          <w:rFonts w:hint="eastAsia"/>
          <w:szCs w:val="32"/>
          <w:lang w:val="en-US" w:eastAsia="zh-CN"/>
        </w:rPr>
        <w:t>落实过紧日子原则，减少公务接待费支出</w:t>
      </w:r>
      <w:r>
        <w:rPr>
          <w:rFonts w:hint="eastAsia"/>
          <w:szCs w:val="32"/>
          <w:lang w:eastAsia="zh-CN"/>
        </w:rPr>
        <w:t>。</w:t>
      </w:r>
    </w:p>
    <w:p>
      <w:pPr>
        <w:ind w:firstLine="640" w:firstLineChars="200"/>
        <w:rPr>
          <w:rFonts w:hint="default" w:ascii="仿宋_GB2312" w:hAnsi="仿宋_GB2312" w:cs="仿宋_GB2312"/>
          <w:szCs w:val="32"/>
          <w:highlight w:val="none"/>
          <w:lang w:val="en-US" w:eastAsia="zh-CN"/>
        </w:rPr>
      </w:pPr>
      <w:r>
        <w:rPr>
          <w:szCs w:val="32"/>
          <w:highlight w:val="none"/>
        </w:rPr>
        <w:t>3.公务用车购置及运行费</w:t>
      </w:r>
      <w:r>
        <w:rPr>
          <w:rFonts w:hint="eastAsia"/>
          <w:szCs w:val="32"/>
          <w:highlight w:val="none"/>
          <w:lang w:val="en-US" w:eastAsia="zh-CN"/>
        </w:rPr>
        <w:t>0</w:t>
      </w:r>
      <w:r>
        <w:rPr>
          <w:szCs w:val="32"/>
          <w:highlight w:val="none"/>
        </w:rPr>
        <w:t>万元</w:t>
      </w:r>
      <w:r>
        <w:rPr>
          <w:rFonts w:hint="eastAsia"/>
          <w:szCs w:val="32"/>
          <w:highlight w:val="none"/>
          <w:lang w:eastAsia="zh-CN"/>
        </w:rPr>
        <w:t>，</w:t>
      </w:r>
      <w:r>
        <w:rPr>
          <w:rFonts w:hint="eastAsia"/>
          <w:szCs w:val="32"/>
          <w:highlight w:val="none"/>
          <w:lang w:val="en-US" w:eastAsia="zh-CN"/>
        </w:rPr>
        <w:t>2024年本年预算数</w:t>
      </w:r>
      <w:r>
        <w:rPr>
          <w:rFonts w:hint="eastAsia" w:ascii="仿宋_GB2312" w:hAnsi="仿宋_GB2312" w:eastAsia="仿宋_GB2312" w:cs="仿宋_GB2312"/>
          <w:szCs w:val="32"/>
          <w:highlight w:val="none"/>
          <w:lang w:eastAsia="zh-CN"/>
        </w:rPr>
        <w:t>与</w:t>
      </w:r>
      <w:r>
        <w:rPr>
          <w:rFonts w:hint="eastAsia" w:ascii="Times New Roman" w:hAnsi="Times New Roman" w:cs="Times New Roman"/>
          <w:szCs w:val="32"/>
          <w:highlight w:val="none"/>
          <w:lang w:val="en-US" w:eastAsia="zh-CN"/>
        </w:rPr>
        <w:t>2023</w:t>
      </w:r>
      <w:r>
        <w:rPr>
          <w:rFonts w:hint="eastAsia" w:ascii="仿宋_GB2312" w:hAnsi="仿宋_GB2312" w:eastAsia="仿宋_GB2312" w:cs="仿宋_GB2312"/>
          <w:szCs w:val="32"/>
          <w:highlight w:val="none"/>
          <w:lang w:eastAsia="zh-CN"/>
        </w:rPr>
        <w:t>年</w:t>
      </w:r>
      <w:r>
        <w:rPr>
          <w:rFonts w:hint="eastAsia" w:ascii="仿宋_GB2312" w:hAnsi="仿宋_GB2312" w:cs="仿宋_GB2312"/>
          <w:szCs w:val="32"/>
          <w:highlight w:val="none"/>
          <w:lang w:val="en-US" w:eastAsia="zh-CN"/>
        </w:rPr>
        <w:t>当年</w:t>
      </w:r>
      <w:r>
        <w:rPr>
          <w:rFonts w:hint="eastAsia" w:ascii="仿宋_GB2312" w:hAnsi="仿宋_GB2312" w:eastAsia="仿宋_GB2312" w:cs="仿宋_GB2312"/>
          <w:szCs w:val="32"/>
          <w:highlight w:val="none"/>
          <w:lang w:eastAsia="zh-CN"/>
        </w:rPr>
        <w:t>预算数持平</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公务用车运行维护费0万元，</w:t>
      </w:r>
      <w:r>
        <w:rPr>
          <w:rFonts w:hint="eastAsia"/>
          <w:szCs w:val="32"/>
          <w:highlight w:val="none"/>
          <w:lang w:val="en-US" w:eastAsia="zh-CN"/>
        </w:rPr>
        <w:t>2024年本年预算数</w:t>
      </w:r>
      <w:r>
        <w:rPr>
          <w:rFonts w:hint="eastAsia" w:ascii="仿宋_GB2312" w:hAnsi="仿宋_GB2312" w:eastAsia="仿宋_GB2312" w:cs="仿宋_GB2312"/>
          <w:szCs w:val="32"/>
          <w:highlight w:val="none"/>
          <w:lang w:eastAsia="zh-CN"/>
        </w:rPr>
        <w:t>与</w:t>
      </w:r>
      <w:r>
        <w:rPr>
          <w:rFonts w:hint="eastAsia" w:ascii="Times New Roman" w:hAnsi="Times New Roman" w:cs="Times New Roman"/>
          <w:szCs w:val="32"/>
          <w:highlight w:val="none"/>
          <w:lang w:val="en-US" w:eastAsia="zh-CN"/>
        </w:rPr>
        <w:t>2023</w:t>
      </w:r>
      <w:r>
        <w:rPr>
          <w:rFonts w:hint="eastAsia" w:ascii="仿宋_GB2312" w:hAnsi="仿宋_GB2312" w:eastAsia="仿宋_GB2312" w:cs="仿宋_GB2312"/>
          <w:szCs w:val="32"/>
          <w:highlight w:val="none"/>
          <w:lang w:eastAsia="zh-CN"/>
        </w:rPr>
        <w:t>年</w:t>
      </w:r>
      <w:r>
        <w:rPr>
          <w:rFonts w:hint="eastAsia" w:ascii="仿宋_GB2312" w:hAnsi="仿宋_GB2312" w:cs="仿宋_GB2312"/>
          <w:szCs w:val="32"/>
          <w:highlight w:val="none"/>
          <w:lang w:val="en-US" w:eastAsia="zh-CN"/>
        </w:rPr>
        <w:t>当年</w:t>
      </w:r>
      <w:r>
        <w:rPr>
          <w:rFonts w:hint="eastAsia" w:ascii="仿宋_GB2312" w:hAnsi="仿宋_GB2312" w:eastAsia="仿宋_GB2312" w:cs="仿宋_GB2312"/>
          <w:szCs w:val="32"/>
          <w:highlight w:val="none"/>
          <w:lang w:eastAsia="zh-CN"/>
        </w:rPr>
        <w:t>预算数持平</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公务用车购置费0万元，</w:t>
      </w:r>
      <w:r>
        <w:rPr>
          <w:rFonts w:hint="eastAsia"/>
          <w:szCs w:val="32"/>
          <w:highlight w:val="none"/>
          <w:lang w:val="en-US" w:eastAsia="zh-CN"/>
        </w:rPr>
        <w:t>2024年本年预算数</w:t>
      </w:r>
      <w:r>
        <w:rPr>
          <w:rFonts w:hint="eastAsia" w:ascii="仿宋_GB2312" w:hAnsi="仿宋_GB2312" w:eastAsia="仿宋_GB2312" w:cs="仿宋_GB2312"/>
          <w:szCs w:val="32"/>
          <w:highlight w:val="none"/>
          <w:lang w:eastAsia="zh-CN"/>
        </w:rPr>
        <w:t>与</w:t>
      </w:r>
      <w:r>
        <w:rPr>
          <w:rFonts w:hint="eastAsia" w:ascii="Times New Roman" w:hAnsi="Times New Roman" w:cs="Times New Roman"/>
          <w:szCs w:val="32"/>
          <w:highlight w:val="none"/>
          <w:lang w:val="en-US" w:eastAsia="zh-CN"/>
        </w:rPr>
        <w:t>2023</w:t>
      </w:r>
      <w:r>
        <w:rPr>
          <w:rFonts w:hint="eastAsia" w:ascii="仿宋_GB2312" w:hAnsi="仿宋_GB2312" w:eastAsia="仿宋_GB2312" w:cs="仿宋_GB2312"/>
          <w:szCs w:val="32"/>
          <w:highlight w:val="none"/>
          <w:lang w:eastAsia="zh-CN"/>
        </w:rPr>
        <w:t>年</w:t>
      </w:r>
      <w:r>
        <w:rPr>
          <w:rFonts w:hint="eastAsia" w:ascii="仿宋_GB2312" w:hAnsi="仿宋_GB2312" w:cs="仿宋_GB2312"/>
          <w:szCs w:val="32"/>
          <w:highlight w:val="none"/>
          <w:lang w:val="en-US" w:eastAsia="zh-CN"/>
        </w:rPr>
        <w:t>当年</w:t>
      </w:r>
      <w:r>
        <w:rPr>
          <w:rFonts w:hint="eastAsia" w:ascii="仿宋_GB2312" w:hAnsi="仿宋_GB2312" w:eastAsia="仿宋_GB2312" w:cs="仿宋_GB2312"/>
          <w:szCs w:val="32"/>
          <w:highlight w:val="none"/>
          <w:lang w:eastAsia="zh-CN"/>
        </w:rPr>
        <w:t>预算数持平</w:t>
      </w:r>
      <w:r>
        <w:rPr>
          <w:rFonts w:hint="eastAsia" w:ascii="仿宋_GB2312" w:hAnsi="仿宋_GB2312" w:cs="仿宋_GB2312"/>
          <w:szCs w:val="32"/>
          <w:highlight w:val="none"/>
          <w:lang w:eastAsia="zh-CN"/>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hint="eastAsia" w:ascii="仿宋_GB2312" w:hAnsi="仿宋_GB2312" w:cs="仿宋_GB2312"/>
          <w:szCs w:val="32"/>
        </w:rPr>
      </w:pP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lang w:eastAsia="zh-CN"/>
        </w:rPr>
        <w:t>本单位1家行政单位的</w:t>
      </w:r>
      <w:r>
        <w:rPr>
          <w:rFonts w:hint="eastAsia" w:ascii="仿宋_GB2312" w:hAnsi="仿宋_GB2312" w:eastAsia="仿宋_GB2312" w:cs="仿宋_GB2312"/>
          <w:szCs w:val="32"/>
        </w:rPr>
        <w:t>机关运行经费</w:t>
      </w:r>
      <w:r>
        <w:rPr>
          <w:szCs w:val="32"/>
        </w:rPr>
        <w:t>财政拨款预算</w:t>
      </w:r>
      <w:r>
        <w:rPr>
          <w:rFonts w:hint="eastAsia"/>
          <w:szCs w:val="32"/>
          <w:lang w:val="en-US" w:eastAsia="zh-CN"/>
        </w:rPr>
        <w:t>17.09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1.76</w:t>
      </w:r>
      <w:r>
        <w:rPr>
          <w:szCs w:val="32"/>
        </w:rPr>
        <w:t>万元，下降</w:t>
      </w:r>
      <w:r>
        <w:rPr>
          <w:rFonts w:hint="eastAsia"/>
          <w:szCs w:val="32"/>
          <w:lang w:val="en-US" w:eastAsia="zh-CN"/>
        </w:rPr>
        <w:t>9.3</w:t>
      </w:r>
      <w:r>
        <w:rPr>
          <w:szCs w:val="32"/>
        </w:rPr>
        <w:t>%</w:t>
      </w:r>
      <w:r>
        <w:rPr>
          <w:rFonts w:hint="eastAsia"/>
          <w:szCs w:val="32"/>
        </w:rPr>
        <w:t>，主要原因是</w:t>
      </w:r>
      <w:r>
        <w:rPr>
          <w:rFonts w:hint="eastAsia"/>
          <w:szCs w:val="32"/>
          <w:lang w:val="en-US" w:eastAsia="zh-CN"/>
        </w:rPr>
        <w:t>按照财政要求压减本年公用经费，致使本年机关运行经费较2023年减少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highlight w:val="none"/>
        </w:rPr>
      </w:pPr>
      <w:r>
        <w:rPr>
          <w:rFonts w:hint="eastAsia"/>
          <w:szCs w:val="32"/>
          <w:highlight w:val="none"/>
          <w:lang w:val="en-US" w:eastAsia="zh-CN"/>
        </w:rPr>
        <w:t>本单位无政府采购预算安排</w:t>
      </w:r>
      <w:r>
        <w:rPr>
          <w:szCs w:val="32"/>
          <w:highlight w:val="none"/>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本单位</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83.71</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83.71</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83.71</w:t>
      </w:r>
      <w:r>
        <w:rPr>
          <w:rFonts w:hint="eastAsia" w:ascii="宋体" w:hAnsi="宋体"/>
        </w:rPr>
        <w:t>万元。</w:t>
      </w:r>
    </w:p>
    <w:p>
      <w:pPr>
        <w:spacing w:line="540" w:lineRule="exact"/>
        <w:ind w:firstLine="640" w:firstLineChars="200"/>
        <w:rPr>
          <w:rFonts w:eastAsia="楷体"/>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D5B571-817F-4E23-8BC2-0D9A542880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7F22D4-6948-4586-B1DA-925A9CCCFEE9}"/>
  </w:font>
  <w:font w:name="仿宋_GB2312">
    <w:panose1 w:val="02010609030101010101"/>
    <w:charset w:val="86"/>
    <w:family w:val="modern"/>
    <w:pitch w:val="default"/>
    <w:sig w:usb0="00000001" w:usb1="080E0000" w:usb2="00000000" w:usb3="00000000" w:csb0="00040000" w:csb1="00000000"/>
    <w:embedRegular r:id="rId3" w:fontKey="{7A3DCBA1-A3DB-40DB-802E-F59649154456}"/>
  </w:font>
  <w:font w:name="华文细黑">
    <w:panose1 w:val="02010600040101010101"/>
    <w:charset w:val="86"/>
    <w:family w:val="auto"/>
    <w:pitch w:val="default"/>
    <w:sig w:usb0="00000287" w:usb1="080F0000" w:usb2="00000000" w:usb3="00000000" w:csb0="0004009F" w:csb1="DFD70000"/>
    <w:embedRegular r:id="rId4" w:fontKey="{CD998711-51AA-4785-AA8F-0F681B355AF4}"/>
  </w:font>
  <w:font w:name="方正小标宋简体">
    <w:panose1 w:val="03000509000000000000"/>
    <w:charset w:val="86"/>
    <w:family w:val="auto"/>
    <w:pitch w:val="default"/>
    <w:sig w:usb0="00000001" w:usb1="080E0000" w:usb2="00000000" w:usb3="00000000" w:csb0="00040000" w:csb1="00000000"/>
    <w:embedRegular r:id="rId5" w:fontKey="{1F8AAA21-DFD9-43C6-8935-F9B9B72C524F}"/>
  </w:font>
  <w:font w:name="楷体_GB2312">
    <w:panose1 w:val="02010609030101010101"/>
    <w:charset w:val="86"/>
    <w:family w:val="modern"/>
    <w:pitch w:val="default"/>
    <w:sig w:usb0="00000001" w:usb1="080E0000" w:usb2="00000000" w:usb3="00000000" w:csb0="00040000" w:csb1="00000000"/>
    <w:embedRegular r:id="rId6" w:fontKey="{373B6926-6B9D-4045-BD59-C0C4DDD5A251}"/>
  </w:font>
  <w:font w:name="楷体">
    <w:panose1 w:val="02010609060101010101"/>
    <w:charset w:val="86"/>
    <w:family w:val="modern"/>
    <w:pitch w:val="default"/>
    <w:sig w:usb0="800002BF" w:usb1="38CF7CFA" w:usb2="00000016" w:usb3="00000000" w:csb0="00040001" w:csb1="00000000"/>
    <w:embedRegular r:id="rId7" w:fontKey="{FB9E3034-E556-495F-A353-8E5A9CF9C371}"/>
  </w:font>
  <w:font w:name="仿宋">
    <w:panose1 w:val="02010609060101010101"/>
    <w:charset w:val="86"/>
    <w:family w:val="auto"/>
    <w:pitch w:val="default"/>
    <w:sig w:usb0="800002BF" w:usb1="38CF7CFA" w:usb2="00000016" w:usb3="00000000" w:csb0="00040001" w:csb1="00000000"/>
    <w:embedRegular r:id="rId8" w:fontKey="{820A1150-23B7-46E8-AF9C-B67F18701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M1YzU3NDkwZmJjNDJmMjU3MzhhYjdkODg0Mzc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92FA7"/>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CF7782"/>
    <w:rsid w:val="01D7325A"/>
    <w:rsid w:val="02033000"/>
    <w:rsid w:val="020E6D2C"/>
    <w:rsid w:val="02384DCD"/>
    <w:rsid w:val="02C44267"/>
    <w:rsid w:val="030671D3"/>
    <w:rsid w:val="031D7D4B"/>
    <w:rsid w:val="037F2004"/>
    <w:rsid w:val="03B44E81"/>
    <w:rsid w:val="04626F5F"/>
    <w:rsid w:val="0486486A"/>
    <w:rsid w:val="04954460"/>
    <w:rsid w:val="04B818D1"/>
    <w:rsid w:val="050D06DA"/>
    <w:rsid w:val="05310B72"/>
    <w:rsid w:val="05513E94"/>
    <w:rsid w:val="056F5A6D"/>
    <w:rsid w:val="05790131"/>
    <w:rsid w:val="059B3770"/>
    <w:rsid w:val="063949A0"/>
    <w:rsid w:val="06BD5BC7"/>
    <w:rsid w:val="06F008FF"/>
    <w:rsid w:val="070B300A"/>
    <w:rsid w:val="070F26FC"/>
    <w:rsid w:val="079E5032"/>
    <w:rsid w:val="08296A78"/>
    <w:rsid w:val="082A74C0"/>
    <w:rsid w:val="09015F14"/>
    <w:rsid w:val="091C5C63"/>
    <w:rsid w:val="09421190"/>
    <w:rsid w:val="09806BB8"/>
    <w:rsid w:val="09A0082A"/>
    <w:rsid w:val="09C35E1E"/>
    <w:rsid w:val="0A00435B"/>
    <w:rsid w:val="0AAA1697"/>
    <w:rsid w:val="0ABA06FE"/>
    <w:rsid w:val="0B49202F"/>
    <w:rsid w:val="0B56339B"/>
    <w:rsid w:val="0B5F5ADA"/>
    <w:rsid w:val="0BC55E7E"/>
    <w:rsid w:val="0C2A5C84"/>
    <w:rsid w:val="0C4548C9"/>
    <w:rsid w:val="0C4F64D9"/>
    <w:rsid w:val="0C583939"/>
    <w:rsid w:val="0C6D1BAE"/>
    <w:rsid w:val="0D2A2435"/>
    <w:rsid w:val="0D991370"/>
    <w:rsid w:val="0DA001B0"/>
    <w:rsid w:val="0DD24C7B"/>
    <w:rsid w:val="0DEB170B"/>
    <w:rsid w:val="0E0C7F2C"/>
    <w:rsid w:val="0E386ACC"/>
    <w:rsid w:val="0E4C7841"/>
    <w:rsid w:val="0E97506F"/>
    <w:rsid w:val="0F1B6879"/>
    <w:rsid w:val="0F3E0406"/>
    <w:rsid w:val="0F980230"/>
    <w:rsid w:val="0FD62F63"/>
    <w:rsid w:val="0FDE2A27"/>
    <w:rsid w:val="103A670E"/>
    <w:rsid w:val="106B68C8"/>
    <w:rsid w:val="10AE7F82"/>
    <w:rsid w:val="10C93B35"/>
    <w:rsid w:val="11131439"/>
    <w:rsid w:val="11177619"/>
    <w:rsid w:val="112453F4"/>
    <w:rsid w:val="112605C8"/>
    <w:rsid w:val="11477335"/>
    <w:rsid w:val="11A6707B"/>
    <w:rsid w:val="11A77DD3"/>
    <w:rsid w:val="11B35B2F"/>
    <w:rsid w:val="12B10F0A"/>
    <w:rsid w:val="12B5207C"/>
    <w:rsid w:val="12C0739F"/>
    <w:rsid w:val="12D638BF"/>
    <w:rsid w:val="12E711B7"/>
    <w:rsid w:val="13441D7E"/>
    <w:rsid w:val="136441CE"/>
    <w:rsid w:val="136D62BD"/>
    <w:rsid w:val="136E4388"/>
    <w:rsid w:val="13A26AA4"/>
    <w:rsid w:val="13F21722"/>
    <w:rsid w:val="1441443C"/>
    <w:rsid w:val="1476335E"/>
    <w:rsid w:val="14893644"/>
    <w:rsid w:val="14C12787"/>
    <w:rsid w:val="15593E10"/>
    <w:rsid w:val="159F7E25"/>
    <w:rsid w:val="15B87363"/>
    <w:rsid w:val="15F848D0"/>
    <w:rsid w:val="160E1FA5"/>
    <w:rsid w:val="160F2600"/>
    <w:rsid w:val="169A7F07"/>
    <w:rsid w:val="16C531D6"/>
    <w:rsid w:val="16C829AB"/>
    <w:rsid w:val="16DD34F5"/>
    <w:rsid w:val="17604CAC"/>
    <w:rsid w:val="17765BCA"/>
    <w:rsid w:val="17A027D8"/>
    <w:rsid w:val="17CC2625"/>
    <w:rsid w:val="19132BE0"/>
    <w:rsid w:val="191F4716"/>
    <w:rsid w:val="19524AC9"/>
    <w:rsid w:val="1954649C"/>
    <w:rsid w:val="1A3F329F"/>
    <w:rsid w:val="1A817DF8"/>
    <w:rsid w:val="1A8A6135"/>
    <w:rsid w:val="1ADC594E"/>
    <w:rsid w:val="1AEB5252"/>
    <w:rsid w:val="1AF60671"/>
    <w:rsid w:val="1B4A1EFB"/>
    <w:rsid w:val="1B8A03E4"/>
    <w:rsid w:val="1B9C1459"/>
    <w:rsid w:val="1C852172"/>
    <w:rsid w:val="1C912B5B"/>
    <w:rsid w:val="1CA40C0C"/>
    <w:rsid w:val="1CFF4A32"/>
    <w:rsid w:val="1D833200"/>
    <w:rsid w:val="1DE5046B"/>
    <w:rsid w:val="1E3A3FD0"/>
    <w:rsid w:val="1EB55C07"/>
    <w:rsid w:val="1F242A63"/>
    <w:rsid w:val="1F351A10"/>
    <w:rsid w:val="1F4B26DC"/>
    <w:rsid w:val="1F857EA5"/>
    <w:rsid w:val="1FB2308F"/>
    <w:rsid w:val="1FED47E9"/>
    <w:rsid w:val="1FFB7C68"/>
    <w:rsid w:val="20457135"/>
    <w:rsid w:val="206816AC"/>
    <w:rsid w:val="21134335"/>
    <w:rsid w:val="213F3B84"/>
    <w:rsid w:val="226E581D"/>
    <w:rsid w:val="22A4003E"/>
    <w:rsid w:val="23135C25"/>
    <w:rsid w:val="23563407"/>
    <w:rsid w:val="23A423C5"/>
    <w:rsid w:val="23EC61F6"/>
    <w:rsid w:val="23F24EDE"/>
    <w:rsid w:val="244C543C"/>
    <w:rsid w:val="245F0DC4"/>
    <w:rsid w:val="24624768"/>
    <w:rsid w:val="249C557D"/>
    <w:rsid w:val="25493224"/>
    <w:rsid w:val="259B5BC5"/>
    <w:rsid w:val="25BC57A4"/>
    <w:rsid w:val="25F62C4E"/>
    <w:rsid w:val="25F72533"/>
    <w:rsid w:val="26643D6C"/>
    <w:rsid w:val="26FE109D"/>
    <w:rsid w:val="27073E1E"/>
    <w:rsid w:val="27282D2C"/>
    <w:rsid w:val="274719E5"/>
    <w:rsid w:val="27B04AB3"/>
    <w:rsid w:val="282C3BA1"/>
    <w:rsid w:val="28A63332"/>
    <w:rsid w:val="28BC5ABB"/>
    <w:rsid w:val="28C96E8E"/>
    <w:rsid w:val="2903193C"/>
    <w:rsid w:val="2940049A"/>
    <w:rsid w:val="29C45F24"/>
    <w:rsid w:val="29C4731D"/>
    <w:rsid w:val="2A16744D"/>
    <w:rsid w:val="2B2362C5"/>
    <w:rsid w:val="2B852ADC"/>
    <w:rsid w:val="2C1C51EE"/>
    <w:rsid w:val="2C9034E6"/>
    <w:rsid w:val="2CB73169"/>
    <w:rsid w:val="2D371BB4"/>
    <w:rsid w:val="2D9038E4"/>
    <w:rsid w:val="2DC555F7"/>
    <w:rsid w:val="2DEC1534"/>
    <w:rsid w:val="2DF8796C"/>
    <w:rsid w:val="2E494294"/>
    <w:rsid w:val="2E6B7EF0"/>
    <w:rsid w:val="2EB22F18"/>
    <w:rsid w:val="2EC658E5"/>
    <w:rsid w:val="2EE12108"/>
    <w:rsid w:val="2EED35E3"/>
    <w:rsid w:val="2F0B5068"/>
    <w:rsid w:val="2F250383"/>
    <w:rsid w:val="2F2B399A"/>
    <w:rsid w:val="2F3445FD"/>
    <w:rsid w:val="2F3A5849"/>
    <w:rsid w:val="2F561FC3"/>
    <w:rsid w:val="2F63610B"/>
    <w:rsid w:val="2F67761C"/>
    <w:rsid w:val="2FBC646B"/>
    <w:rsid w:val="300965A3"/>
    <w:rsid w:val="30730D6E"/>
    <w:rsid w:val="30782C0F"/>
    <w:rsid w:val="308B20C9"/>
    <w:rsid w:val="30B91A70"/>
    <w:rsid w:val="30CE282F"/>
    <w:rsid w:val="30F84C22"/>
    <w:rsid w:val="310C6AA2"/>
    <w:rsid w:val="31793674"/>
    <w:rsid w:val="31841765"/>
    <w:rsid w:val="31850AD1"/>
    <w:rsid w:val="31894469"/>
    <w:rsid w:val="32026C34"/>
    <w:rsid w:val="321626E0"/>
    <w:rsid w:val="321D7DCE"/>
    <w:rsid w:val="32332703"/>
    <w:rsid w:val="32CB3F74"/>
    <w:rsid w:val="32CE2FBA"/>
    <w:rsid w:val="32CF2C5D"/>
    <w:rsid w:val="32D228C1"/>
    <w:rsid w:val="32EE2C61"/>
    <w:rsid w:val="335402B5"/>
    <w:rsid w:val="339466B2"/>
    <w:rsid w:val="3398437D"/>
    <w:rsid w:val="33CC574C"/>
    <w:rsid w:val="342E1F62"/>
    <w:rsid w:val="34555AF5"/>
    <w:rsid w:val="34853B4C"/>
    <w:rsid w:val="348F6779"/>
    <w:rsid w:val="34FF687B"/>
    <w:rsid w:val="354C4987"/>
    <w:rsid w:val="35616772"/>
    <w:rsid w:val="35EA1663"/>
    <w:rsid w:val="364C598E"/>
    <w:rsid w:val="368A3622"/>
    <w:rsid w:val="36B543E5"/>
    <w:rsid w:val="36BB3856"/>
    <w:rsid w:val="36C4095C"/>
    <w:rsid w:val="36CC2B0F"/>
    <w:rsid w:val="36FC762F"/>
    <w:rsid w:val="370A5864"/>
    <w:rsid w:val="38044B88"/>
    <w:rsid w:val="381C6576"/>
    <w:rsid w:val="3838492F"/>
    <w:rsid w:val="383A009B"/>
    <w:rsid w:val="3887374F"/>
    <w:rsid w:val="38B36EDA"/>
    <w:rsid w:val="38C727A6"/>
    <w:rsid w:val="38CB0ABC"/>
    <w:rsid w:val="39041A07"/>
    <w:rsid w:val="39043B77"/>
    <w:rsid w:val="3940065D"/>
    <w:rsid w:val="39670895"/>
    <w:rsid w:val="397B4EE2"/>
    <w:rsid w:val="39D4535A"/>
    <w:rsid w:val="3A387943"/>
    <w:rsid w:val="3A4D6EBA"/>
    <w:rsid w:val="3A657F9A"/>
    <w:rsid w:val="3A850402"/>
    <w:rsid w:val="3A9113D4"/>
    <w:rsid w:val="3AAD5BAB"/>
    <w:rsid w:val="3AC54F32"/>
    <w:rsid w:val="3AEF33A5"/>
    <w:rsid w:val="3B144A0A"/>
    <w:rsid w:val="3B254018"/>
    <w:rsid w:val="3B312DF4"/>
    <w:rsid w:val="3B5257F8"/>
    <w:rsid w:val="3B934DA1"/>
    <w:rsid w:val="3BB52F69"/>
    <w:rsid w:val="3BC92948"/>
    <w:rsid w:val="3BE370D4"/>
    <w:rsid w:val="3BFC6877"/>
    <w:rsid w:val="3C1A026D"/>
    <w:rsid w:val="3C29381E"/>
    <w:rsid w:val="3C711E1D"/>
    <w:rsid w:val="3C7F463D"/>
    <w:rsid w:val="3C9963E7"/>
    <w:rsid w:val="3CAE3960"/>
    <w:rsid w:val="3CDB2AE0"/>
    <w:rsid w:val="3CEF6494"/>
    <w:rsid w:val="3D1414AB"/>
    <w:rsid w:val="3D330FB6"/>
    <w:rsid w:val="3D365BF6"/>
    <w:rsid w:val="3D38675C"/>
    <w:rsid w:val="3D7F7007"/>
    <w:rsid w:val="3DB008AA"/>
    <w:rsid w:val="3DD822B7"/>
    <w:rsid w:val="3DF23324"/>
    <w:rsid w:val="3E3F2FBE"/>
    <w:rsid w:val="3EA14040"/>
    <w:rsid w:val="3EE8108D"/>
    <w:rsid w:val="3F8201A3"/>
    <w:rsid w:val="3F850EA5"/>
    <w:rsid w:val="3FB377C0"/>
    <w:rsid w:val="402675EA"/>
    <w:rsid w:val="40B80EFF"/>
    <w:rsid w:val="41A35364"/>
    <w:rsid w:val="41B25285"/>
    <w:rsid w:val="41C31686"/>
    <w:rsid w:val="41C837BC"/>
    <w:rsid w:val="421643AC"/>
    <w:rsid w:val="42982B4E"/>
    <w:rsid w:val="429F5D0C"/>
    <w:rsid w:val="42C41CE4"/>
    <w:rsid w:val="42D83665"/>
    <w:rsid w:val="43372DF3"/>
    <w:rsid w:val="434A6B47"/>
    <w:rsid w:val="436B1E42"/>
    <w:rsid w:val="44FC7D6B"/>
    <w:rsid w:val="45376011"/>
    <w:rsid w:val="456D114B"/>
    <w:rsid w:val="459C58C8"/>
    <w:rsid w:val="45C16581"/>
    <w:rsid w:val="45EB670F"/>
    <w:rsid w:val="46001285"/>
    <w:rsid w:val="46843C64"/>
    <w:rsid w:val="46AB7C0D"/>
    <w:rsid w:val="46D44808"/>
    <w:rsid w:val="46ED776B"/>
    <w:rsid w:val="47394A4E"/>
    <w:rsid w:val="474433F3"/>
    <w:rsid w:val="479D2523"/>
    <w:rsid w:val="47BC742D"/>
    <w:rsid w:val="47CF49E6"/>
    <w:rsid w:val="485321E0"/>
    <w:rsid w:val="48674ED2"/>
    <w:rsid w:val="487708E6"/>
    <w:rsid w:val="48B540F2"/>
    <w:rsid w:val="491A265E"/>
    <w:rsid w:val="493F6F72"/>
    <w:rsid w:val="49633C6F"/>
    <w:rsid w:val="49645F71"/>
    <w:rsid w:val="499F5C68"/>
    <w:rsid w:val="4A52465C"/>
    <w:rsid w:val="4A5C4AC6"/>
    <w:rsid w:val="4A662FBF"/>
    <w:rsid w:val="4AF16062"/>
    <w:rsid w:val="4B0A57E5"/>
    <w:rsid w:val="4B157580"/>
    <w:rsid w:val="4B5D06D2"/>
    <w:rsid w:val="4B646DDD"/>
    <w:rsid w:val="4B7F44F8"/>
    <w:rsid w:val="4B9304A5"/>
    <w:rsid w:val="4BAC24C5"/>
    <w:rsid w:val="4BC22202"/>
    <w:rsid w:val="4BFA0656"/>
    <w:rsid w:val="4C8E586B"/>
    <w:rsid w:val="4D3439E8"/>
    <w:rsid w:val="4D4E2809"/>
    <w:rsid w:val="4D730507"/>
    <w:rsid w:val="4D741DD3"/>
    <w:rsid w:val="4DC93207"/>
    <w:rsid w:val="4E010C4C"/>
    <w:rsid w:val="4E214B2B"/>
    <w:rsid w:val="4E2A3343"/>
    <w:rsid w:val="4E8A0584"/>
    <w:rsid w:val="4E8D5761"/>
    <w:rsid w:val="4EF54A85"/>
    <w:rsid w:val="4EF972C6"/>
    <w:rsid w:val="4F683249"/>
    <w:rsid w:val="4F8E7901"/>
    <w:rsid w:val="4FB76E58"/>
    <w:rsid w:val="4FBF55AE"/>
    <w:rsid w:val="501B3C66"/>
    <w:rsid w:val="504B40C5"/>
    <w:rsid w:val="50987DC2"/>
    <w:rsid w:val="50A4703E"/>
    <w:rsid w:val="51282B99"/>
    <w:rsid w:val="5136104F"/>
    <w:rsid w:val="51465EDE"/>
    <w:rsid w:val="516D2BC8"/>
    <w:rsid w:val="52071113"/>
    <w:rsid w:val="52085509"/>
    <w:rsid w:val="522774C4"/>
    <w:rsid w:val="522A7431"/>
    <w:rsid w:val="525A440D"/>
    <w:rsid w:val="52626449"/>
    <w:rsid w:val="53402FC3"/>
    <w:rsid w:val="53A5346C"/>
    <w:rsid w:val="5402266C"/>
    <w:rsid w:val="544E511A"/>
    <w:rsid w:val="54741940"/>
    <w:rsid w:val="5479292E"/>
    <w:rsid w:val="54810E66"/>
    <w:rsid w:val="54C063E4"/>
    <w:rsid w:val="54C2556E"/>
    <w:rsid w:val="5503044A"/>
    <w:rsid w:val="55480EEF"/>
    <w:rsid w:val="55FC3817"/>
    <w:rsid w:val="569B7F91"/>
    <w:rsid w:val="56D21BED"/>
    <w:rsid w:val="572651B2"/>
    <w:rsid w:val="57AE5C26"/>
    <w:rsid w:val="57DD75A9"/>
    <w:rsid w:val="5801059F"/>
    <w:rsid w:val="58256ABD"/>
    <w:rsid w:val="583A6878"/>
    <w:rsid w:val="58BC728D"/>
    <w:rsid w:val="58C27FDB"/>
    <w:rsid w:val="592B4413"/>
    <w:rsid w:val="59472AC7"/>
    <w:rsid w:val="59D514A6"/>
    <w:rsid w:val="59EC6E09"/>
    <w:rsid w:val="5A544481"/>
    <w:rsid w:val="5AB343F7"/>
    <w:rsid w:val="5ABF50F2"/>
    <w:rsid w:val="5AF25D13"/>
    <w:rsid w:val="5AF76904"/>
    <w:rsid w:val="5B052E7A"/>
    <w:rsid w:val="5B3D7F7E"/>
    <w:rsid w:val="5B7C7777"/>
    <w:rsid w:val="5BEC6771"/>
    <w:rsid w:val="5C734B12"/>
    <w:rsid w:val="5C7B1A0A"/>
    <w:rsid w:val="5C7B266D"/>
    <w:rsid w:val="5C8C341B"/>
    <w:rsid w:val="5C9119F8"/>
    <w:rsid w:val="5CA506B9"/>
    <w:rsid w:val="5CE30078"/>
    <w:rsid w:val="5CF74CE4"/>
    <w:rsid w:val="5D0B433F"/>
    <w:rsid w:val="5D1A4582"/>
    <w:rsid w:val="5D5A7C63"/>
    <w:rsid w:val="5D722610"/>
    <w:rsid w:val="5DBC7D30"/>
    <w:rsid w:val="5E256F6F"/>
    <w:rsid w:val="5ECE7D1A"/>
    <w:rsid w:val="5F6235A9"/>
    <w:rsid w:val="5FA347AB"/>
    <w:rsid w:val="60375BB4"/>
    <w:rsid w:val="60DC439E"/>
    <w:rsid w:val="614125C2"/>
    <w:rsid w:val="61AA1D1F"/>
    <w:rsid w:val="61BD7BD2"/>
    <w:rsid w:val="621D56A0"/>
    <w:rsid w:val="624C5C52"/>
    <w:rsid w:val="625E6E3F"/>
    <w:rsid w:val="62C76F5B"/>
    <w:rsid w:val="62D90A3C"/>
    <w:rsid w:val="63DF08E4"/>
    <w:rsid w:val="643423CE"/>
    <w:rsid w:val="647B624F"/>
    <w:rsid w:val="64874BF3"/>
    <w:rsid w:val="64C04AFD"/>
    <w:rsid w:val="64CD637E"/>
    <w:rsid w:val="655B219F"/>
    <w:rsid w:val="661A1A97"/>
    <w:rsid w:val="661A7B69"/>
    <w:rsid w:val="66455323"/>
    <w:rsid w:val="664909C1"/>
    <w:rsid w:val="66552ACF"/>
    <w:rsid w:val="66635AE4"/>
    <w:rsid w:val="66A870A3"/>
    <w:rsid w:val="66C63EB5"/>
    <w:rsid w:val="67592674"/>
    <w:rsid w:val="679461D3"/>
    <w:rsid w:val="67BC1058"/>
    <w:rsid w:val="684B23DC"/>
    <w:rsid w:val="685336A1"/>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BFA214F"/>
    <w:rsid w:val="6C4C54AA"/>
    <w:rsid w:val="6C7F0497"/>
    <w:rsid w:val="6C834DAA"/>
    <w:rsid w:val="6C993CCE"/>
    <w:rsid w:val="6CE150BD"/>
    <w:rsid w:val="6CF120A8"/>
    <w:rsid w:val="6D45389E"/>
    <w:rsid w:val="6D5219D6"/>
    <w:rsid w:val="6D72413D"/>
    <w:rsid w:val="6FAC7C04"/>
    <w:rsid w:val="6FF50B81"/>
    <w:rsid w:val="70330B9C"/>
    <w:rsid w:val="70B36D70"/>
    <w:rsid w:val="70D86B89"/>
    <w:rsid w:val="714213DD"/>
    <w:rsid w:val="717F272E"/>
    <w:rsid w:val="71922E29"/>
    <w:rsid w:val="71925AA7"/>
    <w:rsid w:val="71BB412E"/>
    <w:rsid w:val="723F6B0D"/>
    <w:rsid w:val="72783A23"/>
    <w:rsid w:val="727D5888"/>
    <w:rsid w:val="728027C6"/>
    <w:rsid w:val="733221CE"/>
    <w:rsid w:val="73D62FA6"/>
    <w:rsid w:val="73FE7ACC"/>
    <w:rsid w:val="740873D3"/>
    <w:rsid w:val="74556746"/>
    <w:rsid w:val="74743258"/>
    <w:rsid w:val="74F636CF"/>
    <w:rsid w:val="7535244A"/>
    <w:rsid w:val="754E52B9"/>
    <w:rsid w:val="761B13C4"/>
    <w:rsid w:val="764B6A8A"/>
    <w:rsid w:val="76C124D4"/>
    <w:rsid w:val="76C17E06"/>
    <w:rsid w:val="76CA67BD"/>
    <w:rsid w:val="774E6400"/>
    <w:rsid w:val="775B0046"/>
    <w:rsid w:val="77BF424C"/>
    <w:rsid w:val="77F02797"/>
    <w:rsid w:val="79700BEF"/>
    <w:rsid w:val="79852194"/>
    <w:rsid w:val="798D552B"/>
    <w:rsid w:val="7A090695"/>
    <w:rsid w:val="7A1D5951"/>
    <w:rsid w:val="7AE175F4"/>
    <w:rsid w:val="7B417685"/>
    <w:rsid w:val="7B5220F0"/>
    <w:rsid w:val="7BA169C0"/>
    <w:rsid w:val="7BC55243"/>
    <w:rsid w:val="7BFC2A96"/>
    <w:rsid w:val="7C2F4A9A"/>
    <w:rsid w:val="7C350F81"/>
    <w:rsid w:val="7C5A2796"/>
    <w:rsid w:val="7CAD595B"/>
    <w:rsid w:val="7CF65D07"/>
    <w:rsid w:val="7D0746CC"/>
    <w:rsid w:val="7D2975D1"/>
    <w:rsid w:val="7D2F3083"/>
    <w:rsid w:val="7D906046"/>
    <w:rsid w:val="7DCC0CD6"/>
    <w:rsid w:val="7EA67F14"/>
    <w:rsid w:val="7F3379FA"/>
    <w:rsid w:val="7FE174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autoRedefine/>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2024-02-26T01:54:16Z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061D6CC0185449749B5B9C5EF4515BF1_13</vt:lpwstr>
  </property>
</Properties>
</file>