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eastAsia="黑体"/>
          <w:lang w:eastAsia="zh-CN"/>
        </w:rPr>
      </w:pPr>
      <w:r>
        <w:rPr>
          <w:rFonts w:hint="eastAsia" w:ascii="宋体" w:hAnsi="宋体" w:eastAsia="宋体" w:cs="宋体"/>
          <w:lang w:val="en-US" w:eastAsia="zh-CN"/>
        </w:rPr>
        <w:t xml:space="preserve"> </w:t>
      </w: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永吉县统计局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（一）贯彻执行国家、省、市统计局的各项工作方针，组织领导和监督检查各乡、镇、街、各部门及有关单位的统计和国民经济核算工作，监督检查统计法律、法规的实施。</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（二）根据全国、全省、全市统一的基本统计制度，建立健全全县的国民经济核算体系，统计调查项目。</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（三）代表县政府组织实施重大的国情、国力普查及重大的县情、县力调查，统一组织各乡、镇、街道及各部门的社会经济统计调查。</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（四）统一核定、管理、公布全县性的基本统计资料，定期向社会公众发布全县国民经济和社会发展状况的统计信息。</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（五）建立、完善和管理全县统计信息自动化系统和全县统计数据库体系。</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（六）组织全县统计干部业务培训，组织指导全县统计科学研究、统计宣传。</w:t>
      </w:r>
    </w:p>
    <w:p>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（七）承办县政府交办的其他事项。</w:t>
      </w:r>
    </w:p>
    <w:p>
      <w:pPr>
        <w:ind w:firstLine="640" w:firstLineChars="200"/>
      </w:pPr>
      <w:r>
        <w:rPr>
          <w:rFonts w:eastAsia="楷体_GB2312"/>
        </w:rPr>
        <w:t>二、机构设置</w:t>
      </w:r>
    </w:p>
    <w:p>
      <w:pPr>
        <w:pStyle w:val="48"/>
        <w:ind w:firstLine="640" w:firstLineChars="200"/>
        <w:rPr>
          <w:rFonts w:eastAsia="仿宋_GB2312"/>
          <w:color w:val="auto"/>
        </w:rPr>
      </w:pPr>
      <w:r>
        <w:rPr>
          <w:rFonts w:eastAsia="仿宋_GB2312"/>
          <w:color w:val="auto"/>
        </w:rPr>
        <w:t>根据上述职责，</w:t>
      </w:r>
      <w:r>
        <w:rPr>
          <w:rFonts w:hint="eastAsia" w:eastAsia="仿宋_GB2312"/>
          <w:color w:val="auto"/>
        </w:rPr>
        <w:t>永吉县统计局</w:t>
      </w:r>
      <w:r>
        <w:rPr>
          <w:rFonts w:eastAsia="仿宋_GB2312"/>
          <w:color w:val="auto"/>
        </w:rPr>
        <w:t>内设</w:t>
      </w:r>
      <w:r>
        <w:rPr>
          <w:rFonts w:hint="eastAsia" w:eastAsia="仿宋_GB2312"/>
          <w:color w:val="auto"/>
        </w:rPr>
        <w:t>2</w:t>
      </w:r>
      <w:r>
        <w:rPr>
          <w:rFonts w:eastAsia="仿宋_GB2312"/>
          <w:color w:val="auto"/>
        </w:rPr>
        <w:t>个机构，分别为</w:t>
      </w:r>
      <w:r>
        <w:rPr>
          <w:rFonts w:hint="eastAsia" w:eastAsia="仿宋_GB2312"/>
          <w:color w:val="auto"/>
        </w:rPr>
        <w:t>综合科、社会经济统计科</w:t>
      </w:r>
      <w:r>
        <w:rPr>
          <w:rFonts w:eastAsia="仿宋_GB2312"/>
          <w:color w:val="auto"/>
        </w:rPr>
        <w:t>。</w:t>
      </w:r>
    </w:p>
    <w:p>
      <w:pPr>
        <w:pStyle w:val="48"/>
        <w:ind w:firstLine="640" w:firstLineChars="200"/>
        <w:rPr>
          <w:rFonts w:hint="eastAsia" w:eastAsia="仿宋_GB2312"/>
          <w:color w:val="auto"/>
          <w:lang w:eastAsia="zh-CN"/>
        </w:rPr>
      </w:pPr>
      <w:r>
        <w:rPr>
          <w:rFonts w:hint="eastAsia" w:eastAsia="仿宋_GB2312"/>
          <w:color w:val="auto"/>
          <w:lang w:eastAsia="zh-CN"/>
        </w:rPr>
        <w:t>无下设预算单位。</w:t>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563"/>
        <w:gridCol w:w="854"/>
        <w:gridCol w:w="854"/>
        <w:gridCol w:w="683"/>
        <w:gridCol w:w="2563"/>
        <w:gridCol w:w="854"/>
        <w:gridCol w:w="854"/>
        <w:gridCol w:w="683"/>
      </w:tblGrid>
      <w:tr>
        <w:tblPrEx>
          <w:tblCellMar>
            <w:top w:w="0" w:type="dxa"/>
            <w:left w:w="108" w:type="dxa"/>
            <w:bottom w:w="0" w:type="dxa"/>
            <w:right w:w="108" w:type="dxa"/>
          </w:tblCellMar>
        </w:tblPrEx>
        <w:trPr>
          <w:trHeight w:val="525" w:hRule="atLeast"/>
        </w:trPr>
        <w:tc>
          <w:tcPr>
            <w:tcW w:w="2551" w:type="dxa"/>
            <w:gridSpan w:val="8"/>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2551" w:type="dxa"/>
            <w:gridSpan w:val="2"/>
            <w:tcBorders>
              <w:top w:val="nil"/>
              <w:left w:val="nil"/>
              <w:bottom w:val="nil"/>
              <w:right w:val="nil"/>
            </w:tcBorders>
            <w:noWrap w:val="0"/>
            <w:vAlign w:val="center"/>
          </w:tcPr>
          <w:p>
            <w:pPr>
              <w:widowControl/>
              <w:jc w:val="center"/>
              <w:rPr>
                <w:rFonts w:eastAsia="宋体"/>
                <w:kern w:val="0"/>
                <w:sz w:val="20"/>
              </w:rPr>
            </w:pPr>
          </w:p>
        </w:tc>
        <w:tc>
          <w:tcPr>
            <w:tcW w:w="680" w:type="dxa"/>
            <w:gridSpan w:val="2"/>
            <w:tcBorders>
              <w:top w:val="nil"/>
              <w:left w:val="nil"/>
              <w:bottom w:val="nil"/>
              <w:right w:val="nil"/>
            </w:tcBorders>
            <w:noWrap w:val="0"/>
            <w:vAlign w:val="center"/>
          </w:tcPr>
          <w:p>
            <w:pPr>
              <w:widowControl/>
              <w:jc w:val="center"/>
              <w:rPr>
                <w:rFonts w:eastAsia="宋体"/>
                <w:kern w:val="0"/>
                <w:sz w:val="20"/>
              </w:rPr>
            </w:pPr>
          </w:p>
        </w:tc>
        <w:tc>
          <w:tcPr>
            <w:tcW w:w="2551" w:type="dxa"/>
            <w:gridSpan w:val="2"/>
            <w:tcBorders>
              <w:top w:val="nil"/>
              <w:left w:val="nil"/>
              <w:bottom w:val="nil"/>
              <w:right w:val="nil"/>
            </w:tcBorders>
            <w:noWrap w:val="0"/>
            <w:vAlign w:val="center"/>
          </w:tcPr>
          <w:p>
            <w:pPr>
              <w:widowControl/>
              <w:jc w:val="center"/>
              <w:rPr>
                <w:rFonts w:eastAsia="宋体"/>
                <w:kern w:val="0"/>
                <w:sz w:val="20"/>
              </w:rPr>
            </w:pPr>
          </w:p>
        </w:tc>
        <w:tc>
          <w:tcPr>
            <w:tcW w:w="85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85" w:hRule="atLeast"/>
        </w:trPr>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255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833" w:hRule="atLeast"/>
        </w:trPr>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5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eastAsia="宋体"/>
                <w:kern w:val="0"/>
                <w:sz w:val="20"/>
              </w:rPr>
              <w:t>预算数</w:t>
            </w:r>
          </w:p>
        </w:tc>
        <w:tc>
          <w:tcPr>
            <w:tcW w:w="85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68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255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5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68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jc w:val="left"/>
              <w:rPr>
                <w:rFonts w:hint="eastAsia" w:eastAsia="宋体"/>
                <w:sz w:val="20"/>
              </w:rPr>
            </w:pPr>
            <w:r>
              <w:rPr>
                <w:rFonts w:hint="eastAsia" w:eastAsia="宋体"/>
                <w:sz w:val="20"/>
              </w:rPr>
              <w:t>一、财政拨款收入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147.35</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147.24</w:t>
            </w:r>
          </w:p>
        </w:tc>
        <w:tc>
          <w:tcPr>
            <w:tcW w:w="68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0.11</w:t>
            </w:r>
          </w:p>
        </w:tc>
        <w:tc>
          <w:tcPr>
            <w:tcW w:w="2551"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121.87</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121.77</w:t>
            </w: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rPr>
              <w:t>0.1</w:t>
            </w:r>
            <w:r>
              <w:rPr>
                <w:rFonts w:hint="eastAsia" w:ascii="宋体" w:hAnsi="宋体" w:eastAsia="宋体" w:cs="宋体"/>
                <w:kern w:val="0"/>
                <w:sz w:val="20"/>
                <w:lang w:val="en-US" w:eastAsia="zh-CN"/>
              </w:rPr>
              <w:t>0</w:t>
            </w: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left"/>
              <w:rPr>
                <w:rFonts w:hint="eastAsia" w:eastAsia="宋体"/>
                <w:sz w:val="20"/>
              </w:rPr>
            </w:pPr>
            <w:r>
              <w:rPr>
                <w:rFonts w:hint="eastAsia" w:eastAsia="宋体"/>
                <w:sz w:val="20"/>
              </w:rPr>
              <w:t>一般公共预算拨款收入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147.35</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147.24</w:t>
            </w:r>
          </w:p>
        </w:tc>
        <w:tc>
          <w:tcPr>
            <w:tcW w:w="68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0.11</w:t>
            </w:r>
          </w:p>
        </w:tc>
        <w:tc>
          <w:tcPr>
            <w:tcW w:w="2551"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85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14.22</w:t>
            </w: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r>
              <w:rPr>
                <w:rFonts w:hint="eastAsia" w:ascii="宋体" w:hAnsi="宋体" w:eastAsia="宋体" w:cs="宋体"/>
                <w:kern w:val="0"/>
                <w:sz w:val="20"/>
              </w:rPr>
              <w:t>14.22</w:t>
            </w: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left"/>
              <w:rPr>
                <w:rFonts w:hint="eastAsia" w:eastAsia="宋体"/>
                <w:sz w:val="20"/>
              </w:rPr>
            </w:pPr>
            <w:r>
              <w:rPr>
                <w:rFonts w:hint="eastAsia" w:eastAsia="宋体"/>
                <w:sz w:val="20"/>
              </w:rPr>
              <w:t>政府性基金预算拨款收入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szCs w:val="20"/>
              </w:rPr>
            </w:pPr>
          </w:p>
        </w:tc>
        <w:tc>
          <w:tcPr>
            <w:tcW w:w="2551"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85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3.23</w:t>
            </w: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r>
              <w:rPr>
                <w:rFonts w:hint="eastAsia" w:ascii="宋体" w:hAnsi="宋体" w:eastAsia="宋体" w:cs="宋体"/>
                <w:kern w:val="0"/>
                <w:sz w:val="20"/>
              </w:rPr>
              <w:t>3.22</w:t>
            </w: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r>
              <w:rPr>
                <w:rFonts w:hint="eastAsia" w:ascii="宋体" w:hAnsi="宋体" w:eastAsia="宋体" w:cs="宋体"/>
                <w:kern w:val="0"/>
                <w:sz w:val="20"/>
              </w:rPr>
              <w:t>0.01</w:t>
            </w: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left"/>
              <w:rPr>
                <w:rFonts w:hint="eastAsia" w:eastAsia="宋体"/>
                <w:sz w:val="20"/>
              </w:rPr>
            </w:pPr>
            <w:r>
              <w:rPr>
                <w:rFonts w:hint="eastAsia" w:eastAsia="宋体"/>
                <w:sz w:val="20"/>
              </w:rPr>
              <w:t>国有资本经营预算拨款收入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szCs w:val="20"/>
              </w:rPr>
            </w:pPr>
          </w:p>
        </w:tc>
        <w:tc>
          <w:tcPr>
            <w:tcW w:w="2551"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850"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8.03</w:t>
            </w: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r>
              <w:rPr>
                <w:rFonts w:hint="eastAsia" w:ascii="宋体" w:hAnsi="宋体" w:eastAsia="宋体" w:cs="宋体"/>
                <w:kern w:val="0"/>
                <w:sz w:val="20"/>
              </w:rPr>
              <w:t>8.03</w:t>
            </w: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sz w:val="20"/>
              </w:rPr>
            </w:pPr>
            <w:r>
              <w:rPr>
                <w:rFonts w:hint="eastAsia" w:eastAsia="宋体"/>
                <w:sz w:val="20"/>
              </w:rPr>
              <w:t>二、财政专户管理资金收入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eastAsia="宋体"/>
                <w:sz w:val="20"/>
              </w:rPr>
            </w:pPr>
            <w:r>
              <w:rPr>
                <w:rFonts w:hint="eastAsia" w:eastAsia="宋体"/>
                <w:sz w:val="20"/>
              </w:rPr>
              <w:t>三、单位资金收入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事业单位经营收入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上级补助收入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附属单位上缴收入</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其他收入</w:t>
            </w: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sz w:val="20"/>
              </w:rPr>
            </w:pPr>
          </w:p>
        </w:tc>
        <w:tc>
          <w:tcPr>
            <w:tcW w:w="2551"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85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本年收入合计</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147.35</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147.24</w:t>
            </w: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0.11</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本年支出合计</w:t>
            </w: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b/>
                <w:bCs/>
                <w:kern w:val="0"/>
                <w:sz w:val="20"/>
              </w:rPr>
            </w:pPr>
            <w:r>
              <w:rPr>
                <w:rFonts w:hint="eastAsia" w:ascii="宋体" w:hAnsi="宋体" w:eastAsia="宋体" w:cs="宋体"/>
                <w:b w:val="0"/>
                <w:bCs w:val="0"/>
                <w:kern w:val="0"/>
                <w:sz w:val="20"/>
              </w:rPr>
              <w:t>147.35</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147.24</w:t>
            </w: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0.11</w:t>
            </w: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eastAsia="宋体"/>
                <w:sz w:val="20"/>
              </w:rPr>
            </w:pPr>
            <w:r>
              <w:rPr>
                <w:rFonts w:hint="eastAsia" w:eastAsia="宋体"/>
                <w:sz w:val="20"/>
              </w:rPr>
              <w:t>财政拨款结转</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ind w:firstLine="200" w:firstLineChars="100"/>
              <w:jc w:val="both"/>
              <w:rPr>
                <w:rFonts w:eastAsia="宋体"/>
                <w:kern w:val="0"/>
                <w:sz w:val="20"/>
              </w:rPr>
            </w:pPr>
            <w:r>
              <w:rPr>
                <w:rFonts w:eastAsia="宋体"/>
                <w:kern w:val="0"/>
                <w:sz w:val="20"/>
              </w:rPr>
              <w:t>结转下年</w:t>
            </w:r>
            <w:r>
              <w:rPr>
                <w:rFonts w:hint="eastAsia" w:eastAsia="宋体"/>
                <w:kern w:val="0"/>
                <w:sz w:val="20"/>
              </w:rPr>
              <w:t>支出</w:t>
            </w: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eastAsia="宋体"/>
                <w:sz w:val="20"/>
              </w:rPr>
            </w:pPr>
            <w:r>
              <w:rPr>
                <w:rFonts w:hint="eastAsia" w:eastAsia="宋体"/>
                <w:sz w:val="20"/>
                <w:lang w:eastAsia="zh-CN"/>
              </w:rPr>
              <w:t>非财政拨款</w:t>
            </w:r>
            <w:r>
              <w:rPr>
                <w:rFonts w:hint="eastAsia" w:eastAsia="宋体"/>
                <w:sz w:val="20"/>
              </w:rPr>
              <w:t>结转结余</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07" w:hRule="atLeast"/>
        </w:trPr>
        <w:tc>
          <w:tcPr>
            <w:tcW w:w="2551"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147.35</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147.24</w:t>
            </w:r>
          </w:p>
        </w:tc>
        <w:tc>
          <w:tcPr>
            <w:tcW w:w="680"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0.11</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850"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b/>
                <w:bCs/>
                <w:kern w:val="0"/>
                <w:sz w:val="20"/>
                <w:lang w:val="en-US" w:eastAsia="zh-CN" w:bidi="ar-SA"/>
              </w:rPr>
            </w:pPr>
            <w:r>
              <w:rPr>
                <w:rFonts w:hint="eastAsia" w:ascii="宋体" w:hAnsi="宋体" w:eastAsia="宋体" w:cs="宋体"/>
                <w:b w:val="0"/>
                <w:bCs w:val="0"/>
                <w:kern w:val="0"/>
                <w:sz w:val="20"/>
              </w:rPr>
              <w:t>147.35</w:t>
            </w:r>
          </w:p>
        </w:tc>
        <w:tc>
          <w:tcPr>
            <w:tcW w:w="85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147.24</w:t>
            </w:r>
          </w:p>
        </w:tc>
        <w:tc>
          <w:tcPr>
            <w:tcW w:w="68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0.11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65" w:type="dxa"/>
        <w:jc w:val="center"/>
        <w:tblLayout w:type="fixed"/>
        <w:tblCellMar>
          <w:top w:w="0" w:type="dxa"/>
          <w:left w:w="108" w:type="dxa"/>
          <w:bottom w:w="0" w:type="dxa"/>
          <w:right w:w="108" w:type="dxa"/>
        </w:tblCellMar>
      </w:tblPr>
      <w:tblGrid>
        <w:gridCol w:w="859"/>
        <w:gridCol w:w="818"/>
        <w:gridCol w:w="892"/>
        <w:gridCol w:w="825"/>
        <w:gridCol w:w="377"/>
        <w:gridCol w:w="377"/>
        <w:gridCol w:w="377"/>
        <w:gridCol w:w="377"/>
        <w:gridCol w:w="351"/>
        <w:gridCol w:w="26"/>
        <w:gridCol w:w="377"/>
        <w:gridCol w:w="377"/>
        <w:gridCol w:w="214"/>
        <w:gridCol w:w="169"/>
        <w:gridCol w:w="329"/>
        <w:gridCol w:w="384"/>
        <w:gridCol w:w="628"/>
        <w:gridCol w:w="236"/>
        <w:gridCol w:w="177"/>
        <w:gridCol w:w="413"/>
        <w:gridCol w:w="413"/>
        <w:gridCol w:w="416"/>
        <w:gridCol w:w="253"/>
      </w:tblGrid>
      <w:tr>
        <w:tblPrEx>
          <w:tblCellMar>
            <w:top w:w="0" w:type="dxa"/>
            <w:left w:w="108" w:type="dxa"/>
            <w:bottom w:w="0" w:type="dxa"/>
            <w:right w:w="108" w:type="dxa"/>
          </w:tblCellMar>
        </w:tblPrEx>
        <w:trPr>
          <w:trHeight w:val="335" w:hRule="atLeast"/>
          <w:jc w:val="center"/>
        </w:trPr>
        <w:tc>
          <w:tcPr>
            <w:tcW w:w="859" w:type="dxa"/>
            <w:tcBorders>
              <w:bottom w:val="single" w:color="000000" w:sz="4" w:space="0"/>
            </w:tcBorders>
            <w:noWrap w:val="0"/>
            <w:vAlign w:val="top"/>
          </w:tcPr>
          <w:p>
            <w:pPr>
              <w:autoSpaceDN w:val="0"/>
              <w:jc w:val="left"/>
              <w:textAlignment w:val="center"/>
              <w:rPr>
                <w:rFonts w:eastAsia="华文细黑"/>
                <w:color w:val="000000"/>
                <w:sz w:val="20"/>
              </w:rPr>
            </w:pPr>
          </w:p>
        </w:tc>
        <w:tc>
          <w:tcPr>
            <w:tcW w:w="4394"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012"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53" w:type="dxa"/>
          <w:trHeight w:val="517" w:hRule="atLeast"/>
          <w:jc w:val="center"/>
        </w:trPr>
        <w:tc>
          <w:tcPr>
            <w:tcW w:w="859"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18"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739"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53" w:type="dxa"/>
          <w:trHeight w:val="517" w:hRule="atLeast"/>
          <w:jc w:val="center"/>
        </w:trPr>
        <w:tc>
          <w:tcPr>
            <w:tcW w:w="859"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8"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9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7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77"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91"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713"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5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29"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53" w:type="dxa"/>
          <w:trHeight w:val="2818" w:hRule="atLeast"/>
          <w:jc w:val="center"/>
        </w:trPr>
        <w:tc>
          <w:tcPr>
            <w:tcW w:w="859"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9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2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77"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7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13"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13"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1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53" w:type="dxa"/>
          <w:trHeight w:val="517" w:hRule="atLeast"/>
          <w:jc w:val="center"/>
        </w:trPr>
        <w:tc>
          <w:tcPr>
            <w:tcW w:w="85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永吉县统计局</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147.35</w:t>
            </w:r>
          </w:p>
        </w:tc>
        <w:tc>
          <w:tcPr>
            <w:tcW w:w="8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147.24</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147.24</w:t>
            </w:r>
          </w:p>
        </w:tc>
        <w:tc>
          <w:tcPr>
            <w:tcW w:w="3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0.11</w:t>
            </w: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0.11</w:t>
            </w: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53" w:type="dxa"/>
          <w:trHeight w:val="517" w:hRule="atLeast"/>
          <w:jc w:val="center"/>
        </w:trPr>
        <w:tc>
          <w:tcPr>
            <w:tcW w:w="85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53" w:type="dxa"/>
          <w:trHeight w:val="517" w:hRule="atLeast"/>
          <w:jc w:val="center"/>
        </w:trPr>
        <w:tc>
          <w:tcPr>
            <w:tcW w:w="85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53" w:type="dxa"/>
          <w:trHeight w:val="517" w:hRule="atLeast"/>
          <w:jc w:val="center"/>
        </w:trPr>
        <w:tc>
          <w:tcPr>
            <w:tcW w:w="85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53" w:type="dxa"/>
          <w:trHeight w:val="530" w:hRule="atLeast"/>
          <w:jc w:val="center"/>
        </w:trPr>
        <w:tc>
          <w:tcPr>
            <w:tcW w:w="85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147.35</w:t>
            </w:r>
          </w:p>
        </w:tc>
        <w:tc>
          <w:tcPr>
            <w:tcW w:w="8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147.24</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147.24</w:t>
            </w:r>
          </w:p>
        </w:tc>
        <w:tc>
          <w:tcPr>
            <w:tcW w:w="3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7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0.11</w:t>
            </w: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0.11</w:t>
            </w: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9713"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4118"/>
              <w:gridCol w:w="953"/>
              <w:gridCol w:w="953"/>
              <w:gridCol w:w="906"/>
              <w:gridCol w:w="47"/>
              <w:gridCol w:w="958"/>
              <w:gridCol w:w="470"/>
              <w:gridCol w:w="478"/>
              <w:gridCol w:w="819"/>
              <w:gridCol w:w="138"/>
            </w:tblGrid>
            <w:tr>
              <w:tblPrEx>
                <w:tblCellMar>
                  <w:top w:w="15" w:type="dxa"/>
                  <w:left w:w="15" w:type="dxa"/>
                  <w:bottom w:w="15" w:type="dxa"/>
                  <w:right w:w="15" w:type="dxa"/>
                </w:tblCellMar>
              </w:tblPrEx>
              <w:trPr>
                <w:gridAfter w:val="1"/>
                <w:wAfter w:w="138" w:type="dxa"/>
                <w:trHeight w:val="636" w:hRule="atLeast"/>
              </w:trPr>
              <w:tc>
                <w:tcPr>
                  <w:tcW w:w="6930" w:type="dxa"/>
                  <w:gridSpan w:val="4"/>
                  <w:tcBorders>
                    <w:bottom w:val="single" w:color="000000" w:sz="4" w:space="0"/>
                  </w:tcBorders>
                  <w:noWrap w:val="0"/>
                  <w:vAlign w:val="center"/>
                </w:tcPr>
                <w:p>
                  <w:pPr>
                    <w:widowControl/>
                    <w:jc w:val="left"/>
                    <w:rPr>
                      <w:rFonts w:eastAsia="华文细黑"/>
                      <w:color w:val="000000"/>
                      <w:kern w:val="0"/>
                      <w:sz w:val="20"/>
                    </w:rPr>
                  </w:pPr>
                </w:p>
              </w:tc>
              <w:tc>
                <w:tcPr>
                  <w:tcW w:w="1005" w:type="dxa"/>
                  <w:gridSpan w:val="2"/>
                  <w:tcBorders>
                    <w:bottom w:val="single" w:color="000000" w:sz="4" w:space="0"/>
                  </w:tcBorders>
                  <w:noWrap w:val="0"/>
                  <w:vAlign w:val="center"/>
                </w:tcPr>
                <w:p>
                  <w:pPr>
                    <w:widowControl/>
                    <w:jc w:val="right"/>
                    <w:rPr>
                      <w:rFonts w:eastAsia="华文细黑"/>
                      <w:color w:val="000000"/>
                      <w:kern w:val="0"/>
                      <w:sz w:val="20"/>
                    </w:rPr>
                  </w:pPr>
                </w:p>
              </w:tc>
              <w:tc>
                <w:tcPr>
                  <w:tcW w:w="470"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4118"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5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9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w:t>
                  </w:r>
                  <w:r>
                    <w:rPr>
                      <w:rFonts w:hint="default" w:ascii="宋体" w:hAnsi="宋体" w:eastAsia="宋体" w:cs="宋体"/>
                      <w:i w:val="0"/>
                      <w:color w:val="000000"/>
                      <w:kern w:val="0"/>
                      <w:sz w:val="20"/>
                      <w:szCs w:val="20"/>
                      <w:u w:val="none"/>
                      <w:lang w:val="en-US" w:eastAsia="zh-CN" w:bidi="ar"/>
                    </w:rPr>
                    <w:t>一般公共服务支出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121.87</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74.25</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47.62</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统计信息事务</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121.87</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74.25</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47.62</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行政运行</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74.25</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74.25</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一般行政管理事务</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16.85</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16.85</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专项普查活动</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30.77</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30.77</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二、社会保障和就业支出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14.22</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14.22</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行政事业单位养老支出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14.22</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14.22</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行政单位离退休</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5.60</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8.62</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8.62</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三、卫生健康支出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　  行政事业单位医疗</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　　  行政单位医疗</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四、住房保障支出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　  住房改革支出</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住房公积金</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411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合计</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147.35</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99.73</w:t>
                  </w:r>
                </w:p>
              </w:tc>
              <w:tc>
                <w:tcPr>
                  <w:tcW w:w="95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47.62</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p>
      <w:pPr>
        <w:ind w:firstLine="640" w:firstLineChars="200"/>
      </w:pPr>
    </w:p>
    <w:p>
      <w:pPr>
        <w:ind w:firstLine="640" w:firstLineChars="200"/>
        <w:rPr>
          <w:rFonts w:hAnsi="楷体" w:eastAsia="楷体"/>
        </w:rPr>
      </w:pPr>
      <w:r>
        <w:rPr>
          <w:rFonts w:hAnsi="楷体" w:eastAsia="楷体"/>
        </w:rPr>
        <w:br w:type="page"/>
      </w:r>
    </w:p>
    <w:p>
      <w:pPr>
        <w:ind w:firstLine="640" w:firstLineChars="200"/>
        <w:rPr>
          <w:rFonts w:hAnsi="楷体" w:eastAsia="楷体"/>
        </w:rPr>
      </w:pPr>
    </w:p>
    <w:tbl>
      <w:tblPr>
        <w:tblStyle w:val="9"/>
        <w:tblpPr w:leftFromText="180" w:rightFromText="180" w:vertAnchor="page" w:horzAnchor="page" w:tblpX="1466" w:tblpY="1413"/>
        <w:tblOverlap w:val="never"/>
        <w:tblW w:w="5155" w:type="pct"/>
        <w:tblInd w:w="0" w:type="dxa"/>
        <w:tblLayout w:type="fixed"/>
        <w:tblCellMar>
          <w:top w:w="0" w:type="dxa"/>
          <w:left w:w="108" w:type="dxa"/>
          <w:bottom w:w="0" w:type="dxa"/>
          <w:right w:w="108" w:type="dxa"/>
        </w:tblCellMar>
      </w:tblPr>
      <w:tblGrid>
        <w:gridCol w:w="2220"/>
        <w:gridCol w:w="900"/>
        <w:gridCol w:w="840"/>
        <w:gridCol w:w="644"/>
        <w:gridCol w:w="2161"/>
        <w:gridCol w:w="930"/>
        <w:gridCol w:w="885"/>
        <w:gridCol w:w="645"/>
      </w:tblGrid>
      <w:tr>
        <w:tblPrEx>
          <w:tblCellMar>
            <w:top w:w="0" w:type="dxa"/>
            <w:left w:w="108" w:type="dxa"/>
            <w:bottom w:w="0" w:type="dxa"/>
            <w:right w:w="108" w:type="dxa"/>
          </w:tblCellMar>
        </w:tblPrEx>
        <w:trPr>
          <w:trHeight w:val="634" w:hRule="atLeast"/>
        </w:trPr>
        <w:tc>
          <w:tcPr>
            <w:tcW w:w="5000" w:type="pct"/>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5000" w:type="pct"/>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2495"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2504"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203" w:type="pc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487" w:type="pc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455" w:type="pc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p>
        </w:tc>
        <w:tc>
          <w:tcPr>
            <w:tcW w:w="349" w:type="pc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171" w:type="pc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504" w:type="pc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479" w:type="pc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一、本年收入</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lang w:val="en-US" w:eastAsia="zh-CN"/>
              </w:rPr>
              <w:t>147.35</w:t>
            </w:r>
          </w:p>
        </w:tc>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147.24</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0.11</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color w:val="000000"/>
                <w:kern w:val="0"/>
                <w:sz w:val="20"/>
                <w:lang w:val="en-US" w:eastAsia="zh-CN"/>
              </w:rPr>
            </w:pPr>
            <w:r>
              <w:rPr>
                <w:rFonts w:eastAsia="宋体"/>
                <w:color w:val="000000"/>
                <w:kern w:val="0"/>
                <w:sz w:val="20"/>
              </w:rPr>
              <w:t>一、</w:t>
            </w:r>
            <w:r>
              <w:rPr>
                <w:rFonts w:hint="eastAsia" w:eastAsia="宋体"/>
                <w:color w:val="000000"/>
                <w:kern w:val="0"/>
                <w:sz w:val="20"/>
                <w:lang w:val="en-US" w:eastAsia="zh-CN"/>
              </w:rPr>
              <w:t>本年支出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b w:val="0"/>
                <w:bCs w:val="0"/>
                <w:kern w:val="0"/>
                <w:sz w:val="20"/>
              </w:rPr>
              <w:t>147.35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rPr>
              <w:t>147.24</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2"/>
              </w:rPr>
            </w:pPr>
            <w:r>
              <w:rPr>
                <w:rFonts w:hint="eastAsia" w:ascii="宋体" w:hAnsi="宋体" w:eastAsia="宋体" w:cs="宋体"/>
                <w:kern w:val="0"/>
                <w:sz w:val="20"/>
              </w:rPr>
              <w:t>0.11</w:t>
            </w: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　　一般公共预算拨款</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lang w:val="en-US" w:eastAsia="zh-CN"/>
              </w:rPr>
              <w:t>147.35</w:t>
            </w:r>
          </w:p>
        </w:tc>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147.24</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0.11</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一）一般公共服务支出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color w:val="000000"/>
                <w:kern w:val="0"/>
                <w:sz w:val="20"/>
              </w:rPr>
              <w:t>121.87</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rPr>
              <w:t>121.77</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rPr>
              <w:t>0.1</w:t>
            </w:r>
            <w:r>
              <w:rPr>
                <w:rFonts w:hint="eastAsia" w:ascii="宋体" w:hAnsi="宋体" w:eastAsia="宋体" w:cs="宋体"/>
                <w:kern w:val="0"/>
                <w:sz w:val="20"/>
                <w:lang w:val="en-US" w:eastAsia="zh-CN"/>
              </w:rPr>
              <w:t>0</w:t>
            </w: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　　政府性基金预算拨款</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sz w:val="20"/>
                <w:lang w:eastAsia="zh-CN"/>
              </w:rPr>
              <w:t>（</w:t>
            </w:r>
            <w:r>
              <w:rPr>
                <w:rFonts w:hint="eastAsia" w:eastAsia="宋体"/>
                <w:color w:val="000000"/>
                <w:sz w:val="20"/>
                <w:lang w:val="en-US" w:eastAsia="zh-CN"/>
              </w:rPr>
              <w:t>二）社会保障和就业支出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eastAsia="宋体"/>
                <w:kern w:val="0"/>
                <w:sz w:val="20"/>
              </w:rPr>
            </w:pPr>
            <w:r>
              <w:rPr>
                <w:rFonts w:hint="eastAsia" w:ascii="宋体" w:hAnsi="宋体" w:eastAsia="宋体" w:cs="宋体"/>
                <w:color w:val="000000"/>
                <w:kern w:val="0"/>
                <w:sz w:val="20"/>
              </w:rPr>
              <w:t>14.22</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ascii="宋体" w:hAnsi="宋体" w:eastAsia="宋体" w:cs="宋体"/>
                <w:kern w:val="0"/>
                <w:sz w:val="20"/>
              </w:rPr>
              <w:t>14.22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　　国有资本经营预算拨款</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rPr>
            </w:pPr>
            <w:r>
              <w:rPr>
                <w:rFonts w:hint="eastAsia" w:eastAsia="宋体"/>
                <w:color w:val="000000"/>
                <w:kern w:val="0"/>
                <w:sz w:val="20"/>
                <w:lang w:eastAsia="zh-CN"/>
              </w:rPr>
              <w:t>（</w:t>
            </w:r>
            <w:r>
              <w:rPr>
                <w:rFonts w:hint="eastAsia" w:eastAsia="宋体"/>
                <w:color w:val="000000"/>
                <w:kern w:val="0"/>
                <w:sz w:val="20"/>
                <w:lang w:val="en-US" w:eastAsia="zh-CN"/>
              </w:rPr>
              <w:t>三）卫生健</w:t>
            </w:r>
            <w:bookmarkStart w:id="0" w:name="_GoBack"/>
            <w:bookmarkEnd w:id="0"/>
            <w:r>
              <w:rPr>
                <w:rFonts w:hint="eastAsia" w:eastAsia="宋体"/>
                <w:color w:val="000000"/>
                <w:kern w:val="0"/>
                <w:sz w:val="20"/>
                <w:lang w:val="en-US" w:eastAsia="zh-CN"/>
              </w:rPr>
              <w:t>康支出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eastAsia="宋体"/>
                <w:kern w:val="0"/>
                <w:sz w:val="20"/>
              </w:rPr>
            </w:pPr>
            <w:r>
              <w:rPr>
                <w:rFonts w:hint="eastAsia" w:ascii="宋体" w:hAnsi="宋体" w:eastAsia="宋体" w:cs="宋体"/>
                <w:color w:val="000000"/>
                <w:kern w:val="0"/>
                <w:sz w:val="20"/>
              </w:rPr>
              <w:t>3.23</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ascii="宋体" w:hAnsi="宋体" w:eastAsia="宋体" w:cs="宋体"/>
                <w:kern w:val="0"/>
                <w:sz w:val="20"/>
              </w:rPr>
              <w:t>3.22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ascii="宋体" w:hAnsi="宋体" w:eastAsia="宋体" w:cs="宋体"/>
                <w:kern w:val="0"/>
                <w:sz w:val="20"/>
              </w:rPr>
              <w:t>0.01</w:t>
            </w: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四）住房保障支出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eastAsia="宋体"/>
                <w:kern w:val="0"/>
                <w:sz w:val="20"/>
              </w:rPr>
            </w:pPr>
            <w:r>
              <w:rPr>
                <w:rFonts w:hint="eastAsia" w:ascii="宋体" w:hAnsi="宋体" w:eastAsia="宋体" w:cs="宋体"/>
                <w:color w:val="000000"/>
                <w:kern w:val="0"/>
                <w:sz w:val="20"/>
              </w:rPr>
              <w:t>8.03</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ascii="宋体" w:hAnsi="宋体" w:eastAsia="宋体" w:cs="宋体"/>
                <w:kern w:val="0"/>
                <w:sz w:val="20"/>
              </w:rPr>
              <w:t>8.03</w:t>
            </w:r>
          </w:p>
        </w:tc>
        <w:tc>
          <w:tcPr>
            <w:tcW w:w="64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r>
      <w:tr>
        <w:trPr>
          <w:trHeight w:val="491" w:hRule="atLeast"/>
        </w:trPr>
        <w:tc>
          <w:tcPr>
            <w:tcW w:w="1203" w:type="pct"/>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55"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47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349"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504" w:type="pct"/>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479" w:type="pct"/>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349" w:type="pct"/>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ascii="宋体" w:hAnsi="宋体" w:eastAsia="宋体" w:cs="宋体"/>
                <w:kern w:val="0"/>
                <w:sz w:val="20"/>
              </w:rPr>
              <w:t>147.35</w:t>
            </w:r>
          </w:p>
        </w:tc>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ascii="宋体" w:hAnsi="宋体" w:eastAsia="宋体" w:cs="宋体"/>
                <w:kern w:val="0"/>
                <w:sz w:val="20"/>
              </w:rPr>
              <w:t>147.24</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ascii="宋体" w:hAnsi="宋体" w:eastAsia="宋体" w:cs="宋体"/>
                <w:kern w:val="0"/>
                <w:sz w:val="20"/>
              </w:rPr>
              <w:t>0.11</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504"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b w:val="0"/>
                <w:bCs w:val="0"/>
                <w:kern w:val="0"/>
                <w:sz w:val="20"/>
              </w:rPr>
              <w:t>147.35</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rPr>
              <w:t>147.24</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宋体" w:hAnsi="宋体" w:eastAsia="宋体" w:cs="宋体"/>
                <w:kern w:val="0"/>
                <w:sz w:val="20"/>
              </w:rPr>
              <w:t>0.11</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714"/>
              <w:gridCol w:w="1015"/>
              <w:gridCol w:w="1015"/>
              <w:gridCol w:w="1015"/>
              <w:gridCol w:w="1015"/>
              <w:gridCol w:w="1015"/>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714"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15"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eastAsia="华文细黑"/>
                      <w:color w:val="000000"/>
                      <w:kern w:val="0"/>
                      <w:sz w:val="20"/>
                      <w:lang w:val="en-US" w:eastAsia="zh-CN"/>
                    </w:rPr>
                  </w:pPr>
                  <w:r>
                    <w:rPr>
                      <w:rFonts w:hint="eastAsia" w:eastAsia="华文细黑"/>
                      <w:color w:val="000000"/>
                      <w:kern w:val="0"/>
                      <w:sz w:val="20"/>
                      <w:lang w:val="en-US" w:eastAsia="zh-CN"/>
                    </w:rPr>
                    <w:t>合计</w:t>
                  </w:r>
                </w:p>
              </w:tc>
              <w:tc>
                <w:tcPr>
                  <w:tcW w:w="304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0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371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1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371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1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一、</w:t>
                  </w:r>
                  <w:r>
                    <w:rPr>
                      <w:rFonts w:hint="default" w:eastAsia="宋体"/>
                      <w:color w:val="000000"/>
                      <w:kern w:val="0"/>
                      <w:sz w:val="20"/>
                      <w:lang w:val="en-US" w:eastAsia="zh-CN"/>
                    </w:rPr>
                    <w:t>一般公共服务支出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121.87</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74.25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58.30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15.95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47.62</w:t>
                  </w: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统计信息事务</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121.87</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74.25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58.30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15.95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47.62</w:t>
                  </w: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行政运行</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74.25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74.25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58.30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15.95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一般行政管理事务</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16.85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16.85</w:t>
                  </w: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专项普查活动</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30.77</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30.77</w:t>
                  </w: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二、</w:t>
                  </w:r>
                  <w:r>
                    <w:rPr>
                      <w:rFonts w:hint="default" w:eastAsia="宋体"/>
                      <w:color w:val="000000"/>
                      <w:kern w:val="0"/>
                      <w:sz w:val="20"/>
                      <w:lang w:val="en-US" w:eastAsia="zh-CN"/>
                    </w:rPr>
                    <w:t>社会保障和就业支出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行政事业单位养老支出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14.22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行政单位离退休</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5.60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5.60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5.60</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机关事业单位基本养老保险缴费支出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8.62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8.62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8.62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三、</w:t>
                  </w:r>
                  <w:r>
                    <w:rPr>
                      <w:rFonts w:hint="default" w:eastAsia="宋体"/>
                      <w:color w:val="000000"/>
                      <w:kern w:val="0"/>
                      <w:sz w:val="20"/>
                      <w:lang w:val="en-US" w:eastAsia="zh-CN"/>
                    </w:rPr>
                    <w:t>卫生健康支出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行政事业单位医疗</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行政单位医疗</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eastAsia" w:eastAsia="宋体"/>
                      <w:color w:val="000000"/>
                      <w:kern w:val="0"/>
                      <w:sz w:val="20"/>
                      <w:lang w:val="en-US" w:eastAsia="zh-CN"/>
                    </w:rPr>
                    <w:t>四、</w:t>
                  </w:r>
                  <w:r>
                    <w:rPr>
                      <w:rFonts w:hint="default" w:eastAsia="宋体"/>
                      <w:color w:val="000000"/>
                      <w:kern w:val="0"/>
                      <w:sz w:val="20"/>
                      <w:lang w:val="en-US" w:eastAsia="zh-CN"/>
                    </w:rPr>
                    <w:t>住房保障支出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住房改革支出</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rPr>
                  </w:pPr>
                  <w:r>
                    <w:rPr>
                      <w:rFonts w:hint="default" w:eastAsia="宋体"/>
                      <w:color w:val="000000"/>
                      <w:kern w:val="0"/>
                      <w:sz w:val="20"/>
                      <w:lang w:val="en-US" w:eastAsia="zh-CN"/>
                    </w:rPr>
                    <w:t>　　住房公积金</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8.03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714" w:type="dxa"/>
                  <w:tcBorders>
                    <w:top w:val="single" w:color="000000" w:sz="4" w:space="0"/>
                    <w:left w:val="single" w:color="000000" w:sz="4" w:space="0"/>
                    <w:bottom w:val="single" w:color="000000" w:sz="4" w:space="0"/>
                  </w:tcBorders>
                  <w:shd w:val="clear" w:color="000000" w:fill="FFFFFF"/>
                  <w:noWrap w:val="0"/>
                  <w:vAlign w:val="center"/>
                </w:tcPr>
                <w:p>
                  <w:pPr>
                    <w:widowControl/>
                    <w:ind w:firstLine="1200" w:firstLineChars="600"/>
                    <w:jc w:val="left"/>
                    <w:rPr>
                      <w:rFonts w:hint="default" w:eastAsia="宋体"/>
                      <w:color w:val="000000"/>
                      <w:kern w:val="0"/>
                      <w:sz w:val="20"/>
                      <w:lang w:val="en-US" w:eastAsia="zh-CN"/>
                    </w:rPr>
                  </w:pPr>
                  <w:r>
                    <w:rPr>
                      <w:rFonts w:hint="eastAsia" w:eastAsia="宋体"/>
                      <w:color w:val="000000"/>
                      <w:kern w:val="0"/>
                      <w:sz w:val="20"/>
                      <w:lang w:val="en-US" w:eastAsia="zh-CN"/>
                    </w:rPr>
                    <w:t>合计</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147.35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99.73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83.78</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15.95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47.62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987"/>
        <w:gridCol w:w="1648"/>
        <w:gridCol w:w="1648"/>
        <w:gridCol w:w="1648"/>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987"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648"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296"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98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部门预算支出</w:t>
            </w:r>
            <w:r>
              <w:rPr>
                <w:rFonts w:hint="eastAsia" w:ascii="宋体" w:hAnsi="宋体" w:eastAsia="宋体" w:cs="宋体"/>
                <w:kern w:val="0"/>
                <w:sz w:val="20"/>
                <w:szCs w:val="20"/>
              </w:rPr>
              <w:t>经济分类科目</w:t>
            </w:r>
          </w:p>
        </w:tc>
        <w:tc>
          <w:tcPr>
            <w:tcW w:w="16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6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一、工资福利支出</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77.91</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77.91</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基本工资</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25.87</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25.87</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津贴补贴</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16.06</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16.06</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奖金</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13.51</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13.51</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8.62</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8.62</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3.14</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3.14</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0.77</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0.77</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8.03</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8.03</w:t>
            </w:r>
          </w:p>
        </w:tc>
        <w:tc>
          <w:tcPr>
            <w:tcW w:w="16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医疗费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0.88</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1.03</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20"/>
                <w:szCs w:val="20"/>
                <w:u w:val="none"/>
                <w:lang w:val="en-US" w:eastAsia="zh-CN" w:bidi="ar"/>
              </w:rPr>
              <w:t>1.03</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15.86</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15.86</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办公费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1.56</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1.56</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印刷费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2.50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邮电费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培训费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工会经费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0.85</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0.85</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福利费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2.55</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2.55</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其他交通费用</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0.30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5.87</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5.87</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退休费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5.60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5.60</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0.27</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0.27</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0.09</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0.09</w:t>
            </w:r>
          </w:p>
        </w:tc>
      </w:tr>
      <w:tr>
        <w:tblPrEx>
          <w:tblCellMar>
            <w:top w:w="0" w:type="dxa"/>
            <w:left w:w="108" w:type="dxa"/>
            <w:bottom w:w="0" w:type="dxa"/>
            <w:right w:w="108" w:type="dxa"/>
          </w:tblCellMar>
        </w:tblPrEx>
        <w:trPr>
          <w:trHeight w:val="329"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办公设备购置</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0.09</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0.09</w:t>
            </w: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 xml:space="preserve">      </w:t>
            </w:r>
          </w:p>
          <w:p>
            <w:pPr>
              <w:widowControl/>
              <w:jc w:val="left"/>
              <w:rPr>
                <w:color w:val="000000"/>
                <w:kern w:val="0"/>
                <w:sz w:val="28"/>
                <w:szCs w:val="28"/>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11</w:t>
            </w:r>
            <w:r>
              <w:rPr>
                <w:color w:val="000000"/>
                <w:kern w:val="0"/>
                <w:sz w:val="28"/>
                <w:szCs w:val="28"/>
              </w:rPr>
              <w:t>人，其中：在职人员</w:t>
            </w:r>
            <w:r>
              <w:rPr>
                <w:rFonts w:hint="eastAsia" w:eastAsia="宋体"/>
                <w:color w:val="000000"/>
                <w:kern w:val="0"/>
                <w:sz w:val="28"/>
                <w:szCs w:val="28"/>
                <w:u w:val="none"/>
                <w:lang w:val="en-US" w:eastAsia="zh-CN"/>
              </w:rPr>
              <w:t>6</w:t>
            </w:r>
            <w:r>
              <w:rPr>
                <w:color w:val="000000"/>
                <w:kern w:val="0"/>
                <w:sz w:val="28"/>
                <w:szCs w:val="28"/>
              </w:rPr>
              <w:t>人，离退休人员</w:t>
            </w:r>
            <w:r>
              <w:rPr>
                <w:rFonts w:hint="eastAsia" w:eastAsia="宋体"/>
                <w:color w:val="000000"/>
                <w:kern w:val="0"/>
                <w:sz w:val="28"/>
                <w:szCs w:val="28"/>
                <w:u w:val="none"/>
                <w:lang w:val="en-US" w:eastAsia="zh-CN"/>
              </w:rPr>
              <w:t>5</w:t>
            </w:r>
            <w:r>
              <w:rPr>
                <w:color w:val="000000"/>
                <w:kern w:val="0"/>
                <w:sz w:val="28"/>
                <w:szCs w:val="28"/>
              </w:rPr>
              <w:t>人。</w:t>
            </w: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p>
            <w:pPr>
              <w:widowControl/>
              <w:jc w:val="both"/>
              <w:rPr>
                <w:rFonts w:hint="eastAsia"/>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622" w:tblpY="2197"/>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3"/>
        <w:gridCol w:w="113"/>
        <w:gridCol w:w="750"/>
        <w:gridCol w:w="866"/>
        <w:gridCol w:w="807"/>
        <w:gridCol w:w="808"/>
        <w:gridCol w:w="375"/>
        <w:gridCol w:w="375"/>
        <w:gridCol w:w="375"/>
        <w:gridCol w:w="375"/>
        <w:gridCol w:w="585"/>
        <w:gridCol w:w="380"/>
        <w:gridCol w:w="380"/>
        <w:gridCol w:w="380"/>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76"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0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08"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10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3"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726"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66" w:type="dxa"/>
            <w:vMerge w:val="restart"/>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807"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308"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06"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3"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63"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866"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80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58"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75"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75"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4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结转</w:t>
            </w:r>
          </w:p>
        </w:tc>
        <w:tc>
          <w:tcPr>
            <w:tcW w:w="761"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6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3"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0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0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5"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7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7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58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81"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专项业务支出</w:t>
            </w:r>
          </w:p>
        </w:tc>
        <w:tc>
          <w:tcPr>
            <w:tcW w:w="863" w:type="dxa"/>
            <w:noWrap w:val="0"/>
            <w:vAlign w:val="center"/>
          </w:tcPr>
          <w:p>
            <w:pPr>
              <w:spacing w:line="700" w:lineRule="exact"/>
              <w:jc w:val="center"/>
              <w:rPr>
                <w:rFonts w:hint="eastAsia" w:ascii="宋体" w:hAnsi="宋体" w:eastAsia="宋体" w:cs="宋体"/>
                <w:kern w:val="0"/>
                <w:sz w:val="18"/>
                <w:szCs w:val="18"/>
              </w:rPr>
            </w:pPr>
          </w:p>
        </w:tc>
        <w:tc>
          <w:tcPr>
            <w:tcW w:w="863" w:type="dxa"/>
            <w:gridSpan w:val="2"/>
            <w:noWrap w:val="0"/>
            <w:vAlign w:val="center"/>
          </w:tcPr>
          <w:p>
            <w:pPr>
              <w:spacing w:line="700" w:lineRule="exact"/>
              <w:jc w:val="center"/>
              <w:rPr>
                <w:rFonts w:hint="eastAsia" w:ascii="宋体" w:hAnsi="宋体" w:eastAsia="宋体" w:cs="宋体"/>
                <w:kern w:val="0"/>
                <w:sz w:val="18"/>
                <w:szCs w:val="18"/>
              </w:rPr>
            </w:pPr>
          </w:p>
        </w:tc>
        <w:tc>
          <w:tcPr>
            <w:tcW w:w="866" w:type="dxa"/>
            <w:noWrap w:val="0"/>
            <w:vAlign w:val="center"/>
          </w:tcPr>
          <w:p>
            <w:pPr>
              <w:spacing w:line="700" w:lineRule="exact"/>
              <w:jc w:val="center"/>
              <w:rPr>
                <w:rFonts w:hint="eastAsia" w:ascii="宋体" w:hAnsi="宋体" w:eastAsia="宋体" w:cs="宋体"/>
                <w:kern w:val="0"/>
                <w:sz w:val="18"/>
                <w:szCs w:val="18"/>
              </w:rPr>
            </w:pP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47.62</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47.61</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0.01</w:t>
            </w:r>
          </w:p>
        </w:tc>
        <w:tc>
          <w:tcPr>
            <w:tcW w:w="380" w:type="dxa"/>
            <w:noWrap w:val="0"/>
            <w:vAlign w:val="center"/>
          </w:tcPr>
          <w:p>
            <w:pPr>
              <w:spacing w:line="700" w:lineRule="exact"/>
              <w:jc w:val="center"/>
              <w:rPr>
                <w:rFonts w:hint="eastAsia" w:ascii="宋体" w:hAnsi="宋体" w:eastAsia="宋体" w:cs="宋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3" w:type="dxa"/>
            <w:noWrap w:val="0"/>
            <w:vAlign w:val="center"/>
          </w:tcPr>
          <w:p>
            <w:pPr>
              <w:spacing w:line="700" w:lineRule="exact"/>
              <w:jc w:val="center"/>
              <w:rPr>
                <w:rFonts w:hint="eastAsia" w:ascii="宋体" w:hAnsi="宋体" w:eastAsia="宋体" w:cs="宋体"/>
                <w:kern w:val="0"/>
                <w:sz w:val="18"/>
                <w:szCs w:val="18"/>
              </w:rPr>
            </w:pPr>
          </w:p>
        </w:tc>
        <w:tc>
          <w:tcPr>
            <w:tcW w:w="86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专项普查活动</w:t>
            </w:r>
          </w:p>
        </w:tc>
        <w:tc>
          <w:tcPr>
            <w:tcW w:w="863" w:type="dxa"/>
            <w:gridSpan w:val="2"/>
            <w:noWrap w:val="0"/>
            <w:vAlign w:val="center"/>
          </w:tcPr>
          <w:p>
            <w:pPr>
              <w:spacing w:line="700" w:lineRule="exact"/>
              <w:jc w:val="center"/>
              <w:rPr>
                <w:rFonts w:hint="eastAsia" w:ascii="宋体" w:hAnsi="宋体" w:eastAsia="宋体" w:cs="宋体"/>
                <w:kern w:val="0"/>
                <w:sz w:val="18"/>
                <w:szCs w:val="18"/>
              </w:rPr>
            </w:pPr>
          </w:p>
        </w:tc>
        <w:tc>
          <w:tcPr>
            <w:tcW w:w="866" w:type="dxa"/>
            <w:noWrap w:val="0"/>
            <w:vAlign w:val="center"/>
          </w:tcPr>
          <w:p>
            <w:pPr>
              <w:spacing w:line="700" w:lineRule="exact"/>
              <w:jc w:val="center"/>
              <w:rPr>
                <w:rFonts w:hint="eastAsia" w:ascii="宋体" w:hAnsi="宋体" w:eastAsia="宋体" w:cs="宋体"/>
                <w:kern w:val="0"/>
                <w:sz w:val="18"/>
                <w:szCs w:val="18"/>
              </w:rPr>
            </w:pP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30.77</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30.77</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jc w:val="right"/>
              <w:rPr>
                <w:rFonts w:hint="eastAsia" w:ascii="宋体" w:hAnsi="宋体" w:eastAsia="宋体" w:cs="宋体"/>
                <w:kern w:val="0"/>
                <w:sz w:val="18"/>
                <w:szCs w:val="18"/>
              </w:rPr>
            </w:pPr>
          </w:p>
        </w:tc>
        <w:tc>
          <w:tcPr>
            <w:tcW w:w="380" w:type="dxa"/>
            <w:noWrap w:val="0"/>
            <w:vAlign w:val="center"/>
          </w:tcPr>
          <w:p>
            <w:pPr>
              <w:spacing w:line="700" w:lineRule="exact"/>
              <w:jc w:val="center"/>
              <w:rPr>
                <w:rFonts w:hint="eastAsia" w:ascii="宋体" w:hAnsi="宋体" w:eastAsia="宋体" w:cs="宋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3" w:type="dxa"/>
            <w:noWrap w:val="0"/>
            <w:vAlign w:val="center"/>
          </w:tcPr>
          <w:p>
            <w:pPr>
              <w:spacing w:line="700" w:lineRule="exact"/>
              <w:jc w:val="center"/>
              <w:rPr>
                <w:rFonts w:hint="eastAsia" w:ascii="宋体" w:hAnsi="宋体" w:eastAsia="宋体" w:cs="宋体"/>
                <w:kern w:val="0"/>
                <w:sz w:val="18"/>
                <w:szCs w:val="18"/>
              </w:rPr>
            </w:pPr>
          </w:p>
        </w:tc>
        <w:tc>
          <w:tcPr>
            <w:tcW w:w="863" w:type="dxa"/>
            <w:noWrap w:val="0"/>
            <w:vAlign w:val="center"/>
          </w:tcPr>
          <w:p>
            <w:pPr>
              <w:spacing w:line="700" w:lineRule="exact"/>
              <w:jc w:val="center"/>
              <w:rPr>
                <w:rFonts w:hint="eastAsia" w:ascii="宋体" w:hAnsi="宋体" w:eastAsia="宋体" w:cs="宋体"/>
                <w:kern w:val="0"/>
                <w:sz w:val="18"/>
                <w:szCs w:val="18"/>
              </w:rPr>
            </w:pPr>
          </w:p>
        </w:tc>
        <w:tc>
          <w:tcPr>
            <w:tcW w:w="863"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第五次全国经济普查经费</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永吉县统计局</w:t>
            </w: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30.77</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30.77</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jc w:val="right"/>
              <w:rPr>
                <w:rFonts w:hint="eastAsia" w:ascii="宋体" w:hAnsi="宋体" w:eastAsia="宋体" w:cs="宋体"/>
                <w:kern w:val="0"/>
                <w:sz w:val="18"/>
                <w:szCs w:val="18"/>
              </w:rPr>
            </w:pPr>
          </w:p>
        </w:tc>
        <w:tc>
          <w:tcPr>
            <w:tcW w:w="380" w:type="dxa"/>
            <w:noWrap w:val="0"/>
            <w:vAlign w:val="center"/>
          </w:tcPr>
          <w:p>
            <w:pPr>
              <w:spacing w:line="700" w:lineRule="exact"/>
              <w:jc w:val="center"/>
              <w:rPr>
                <w:rFonts w:hint="eastAsia" w:ascii="宋体" w:hAnsi="宋体" w:eastAsia="宋体" w:cs="宋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3" w:type="dxa"/>
            <w:noWrap w:val="0"/>
            <w:vAlign w:val="center"/>
          </w:tcPr>
          <w:p>
            <w:pPr>
              <w:spacing w:line="700" w:lineRule="exact"/>
              <w:jc w:val="center"/>
              <w:rPr>
                <w:rFonts w:hint="eastAsia" w:ascii="宋体" w:hAnsi="宋体" w:eastAsia="宋体" w:cs="宋体"/>
                <w:kern w:val="0"/>
                <w:sz w:val="18"/>
                <w:szCs w:val="18"/>
              </w:rPr>
            </w:pPr>
          </w:p>
        </w:tc>
        <w:tc>
          <w:tcPr>
            <w:tcW w:w="86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专项统计业务</w:t>
            </w:r>
          </w:p>
        </w:tc>
        <w:tc>
          <w:tcPr>
            <w:tcW w:w="863" w:type="dxa"/>
            <w:gridSpan w:val="2"/>
            <w:noWrap w:val="0"/>
            <w:vAlign w:val="center"/>
          </w:tcPr>
          <w:p>
            <w:pPr>
              <w:spacing w:line="700" w:lineRule="exact"/>
              <w:jc w:val="center"/>
              <w:rPr>
                <w:rFonts w:hint="eastAsia" w:ascii="宋体" w:hAnsi="宋体" w:eastAsia="宋体" w:cs="宋体"/>
                <w:kern w:val="0"/>
                <w:sz w:val="18"/>
                <w:szCs w:val="18"/>
              </w:rPr>
            </w:pPr>
          </w:p>
        </w:tc>
        <w:tc>
          <w:tcPr>
            <w:tcW w:w="866" w:type="dxa"/>
            <w:noWrap w:val="0"/>
            <w:vAlign w:val="center"/>
          </w:tcPr>
          <w:p>
            <w:pPr>
              <w:spacing w:line="700" w:lineRule="exact"/>
              <w:jc w:val="center"/>
              <w:rPr>
                <w:rFonts w:hint="eastAsia" w:ascii="宋体" w:hAnsi="宋体" w:eastAsia="宋体" w:cs="宋体"/>
                <w:kern w:val="0"/>
                <w:sz w:val="18"/>
                <w:szCs w:val="18"/>
              </w:rPr>
            </w:pP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16.85</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16.84</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0.01</w:t>
            </w:r>
          </w:p>
        </w:tc>
        <w:tc>
          <w:tcPr>
            <w:tcW w:w="380" w:type="dxa"/>
            <w:noWrap w:val="0"/>
            <w:vAlign w:val="center"/>
          </w:tcPr>
          <w:p>
            <w:pPr>
              <w:spacing w:line="700" w:lineRule="exact"/>
              <w:jc w:val="center"/>
              <w:rPr>
                <w:rFonts w:hint="eastAsia" w:ascii="宋体" w:hAnsi="宋体" w:eastAsia="宋体" w:cs="宋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3" w:type="dxa"/>
            <w:noWrap w:val="0"/>
            <w:vAlign w:val="center"/>
          </w:tcPr>
          <w:p>
            <w:pPr>
              <w:autoSpaceDN w:val="0"/>
              <w:jc w:val="center"/>
              <w:textAlignment w:val="center"/>
              <w:rPr>
                <w:rFonts w:hint="eastAsia" w:ascii="宋体" w:hAnsi="宋体" w:eastAsia="宋体" w:cs="宋体"/>
                <w:color w:val="000000"/>
                <w:sz w:val="18"/>
                <w:szCs w:val="18"/>
              </w:rPr>
            </w:pPr>
          </w:p>
        </w:tc>
        <w:tc>
          <w:tcPr>
            <w:tcW w:w="863" w:type="dxa"/>
            <w:noWrap w:val="0"/>
            <w:vAlign w:val="center"/>
          </w:tcPr>
          <w:p>
            <w:pPr>
              <w:autoSpaceDN w:val="0"/>
              <w:jc w:val="center"/>
              <w:textAlignment w:val="center"/>
              <w:rPr>
                <w:rFonts w:hint="eastAsia" w:ascii="宋体" w:hAnsi="宋体" w:eastAsia="宋体" w:cs="宋体"/>
                <w:color w:val="000000"/>
                <w:sz w:val="18"/>
                <w:szCs w:val="18"/>
              </w:rPr>
            </w:pPr>
          </w:p>
        </w:tc>
        <w:tc>
          <w:tcPr>
            <w:tcW w:w="863"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统计调查经费</w:t>
            </w: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永吉县统计局</w:t>
            </w: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16.85</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16.84</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0.01</w:t>
            </w:r>
          </w:p>
        </w:tc>
        <w:tc>
          <w:tcPr>
            <w:tcW w:w="380" w:type="dxa"/>
            <w:noWrap w:val="0"/>
            <w:vAlign w:val="center"/>
          </w:tcPr>
          <w:p>
            <w:pPr>
              <w:spacing w:line="700" w:lineRule="exact"/>
              <w:jc w:val="center"/>
              <w:rPr>
                <w:rFonts w:hint="eastAsia" w:ascii="宋体" w:hAnsi="宋体" w:eastAsia="宋体" w:cs="宋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3" w:type="dxa"/>
            <w:noWrap w:val="0"/>
            <w:vAlign w:val="center"/>
          </w:tcPr>
          <w:p>
            <w:pPr>
              <w:autoSpaceDN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合计</w:t>
            </w:r>
          </w:p>
        </w:tc>
        <w:tc>
          <w:tcPr>
            <w:tcW w:w="863" w:type="dxa"/>
            <w:noWrap w:val="0"/>
            <w:vAlign w:val="center"/>
          </w:tcPr>
          <w:p>
            <w:pPr>
              <w:autoSpaceDN w:val="0"/>
              <w:jc w:val="center"/>
              <w:textAlignment w:val="center"/>
              <w:rPr>
                <w:rFonts w:hint="eastAsia" w:ascii="宋体" w:hAnsi="宋体" w:eastAsia="宋体" w:cs="宋体"/>
                <w:color w:val="000000"/>
                <w:sz w:val="18"/>
                <w:szCs w:val="18"/>
              </w:rPr>
            </w:pPr>
          </w:p>
        </w:tc>
        <w:tc>
          <w:tcPr>
            <w:tcW w:w="863" w:type="dxa"/>
            <w:gridSpan w:val="2"/>
            <w:noWrap w:val="0"/>
            <w:vAlign w:val="center"/>
          </w:tcPr>
          <w:p>
            <w:pPr>
              <w:spacing w:line="700" w:lineRule="exact"/>
              <w:jc w:val="center"/>
              <w:rPr>
                <w:rFonts w:hint="eastAsia" w:ascii="宋体" w:hAnsi="宋体" w:eastAsia="宋体" w:cs="宋体"/>
                <w:kern w:val="0"/>
                <w:sz w:val="18"/>
                <w:szCs w:val="18"/>
              </w:rPr>
            </w:pPr>
          </w:p>
        </w:tc>
        <w:tc>
          <w:tcPr>
            <w:tcW w:w="866" w:type="dxa"/>
            <w:noWrap w:val="0"/>
            <w:vAlign w:val="center"/>
          </w:tcPr>
          <w:p>
            <w:pPr>
              <w:spacing w:line="700" w:lineRule="exact"/>
              <w:jc w:val="center"/>
              <w:rPr>
                <w:rFonts w:hint="eastAsia" w:ascii="宋体" w:hAnsi="宋体" w:eastAsia="宋体" w:cs="宋体"/>
                <w:kern w:val="0"/>
                <w:sz w:val="18"/>
                <w:szCs w:val="18"/>
              </w:rPr>
            </w:pPr>
          </w:p>
        </w:tc>
        <w:tc>
          <w:tcPr>
            <w:tcW w:w="807"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47.62</w:t>
            </w:r>
          </w:p>
        </w:tc>
        <w:tc>
          <w:tcPr>
            <w:tcW w:w="808"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47.61</w:t>
            </w: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375" w:type="dxa"/>
            <w:noWrap w:val="0"/>
            <w:vAlign w:val="center"/>
          </w:tcPr>
          <w:p>
            <w:pPr>
              <w:spacing w:line="700" w:lineRule="exact"/>
              <w:jc w:val="center"/>
              <w:rPr>
                <w:rFonts w:hint="eastAsia" w:ascii="宋体" w:hAnsi="宋体" w:eastAsia="宋体" w:cs="宋体"/>
                <w:kern w:val="0"/>
                <w:sz w:val="18"/>
                <w:szCs w:val="18"/>
              </w:rPr>
            </w:pPr>
          </w:p>
        </w:tc>
        <w:tc>
          <w:tcPr>
            <w:tcW w:w="585"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0.01</w:t>
            </w:r>
          </w:p>
        </w:tc>
        <w:tc>
          <w:tcPr>
            <w:tcW w:w="380" w:type="dxa"/>
            <w:noWrap w:val="0"/>
            <w:vAlign w:val="center"/>
          </w:tcPr>
          <w:p>
            <w:pPr>
              <w:keepNext w:val="0"/>
              <w:keepLines w:val="0"/>
              <w:widowControl/>
              <w:suppressLineNumbers w:val="0"/>
              <w:jc w:val="right"/>
              <w:textAlignment w:val="center"/>
              <w:rPr>
                <w:rFonts w:hint="eastAsia" w:ascii="宋体" w:hAnsi="宋体" w:eastAsia="宋体" w:cs="宋体"/>
                <w:kern w:val="0"/>
                <w:sz w:val="18"/>
                <w:szCs w:val="18"/>
              </w:rPr>
            </w:pPr>
          </w:p>
        </w:tc>
        <w:tc>
          <w:tcPr>
            <w:tcW w:w="380" w:type="dxa"/>
            <w:noWrap w:val="0"/>
            <w:vAlign w:val="center"/>
          </w:tcPr>
          <w:p>
            <w:pPr>
              <w:keepNext w:val="0"/>
              <w:keepLines w:val="0"/>
              <w:widowControl/>
              <w:suppressLineNumbers w:val="0"/>
              <w:jc w:val="right"/>
              <w:textAlignment w:val="center"/>
              <w:rPr>
                <w:rFonts w:ascii="Calibri" w:hAnsi="Calibri" w:eastAsia="楷体"/>
                <w:kern w:val="0"/>
                <w:sz w:val="18"/>
                <w:szCs w:val="18"/>
              </w:rPr>
            </w:pPr>
          </w:p>
        </w:tc>
        <w:tc>
          <w:tcPr>
            <w:tcW w:w="380" w:type="dxa"/>
            <w:noWrap w:val="0"/>
            <w:vAlign w:val="center"/>
          </w:tcPr>
          <w:p>
            <w:pPr>
              <w:spacing w:line="700" w:lineRule="exact"/>
              <w:jc w:val="center"/>
              <w:rPr>
                <w:rFonts w:ascii="Calibri" w:hAnsi="Calibri" w:eastAsia="楷体"/>
                <w:kern w:val="0"/>
                <w:sz w:val="18"/>
                <w:szCs w:val="18"/>
              </w:rPr>
            </w:pPr>
          </w:p>
        </w:tc>
        <w:tc>
          <w:tcPr>
            <w:tcW w:w="381" w:type="dxa"/>
            <w:noWrap w:val="0"/>
            <w:vAlign w:val="center"/>
          </w:tcPr>
          <w:p>
            <w:pPr>
              <w:spacing w:line="700" w:lineRule="exact"/>
              <w:jc w:val="center"/>
              <w:rPr>
                <w:rFonts w:ascii="Calibri" w:hAnsi="Calibri" w:eastAsia="楷体"/>
                <w:kern w:val="0"/>
                <w:sz w:val="18"/>
                <w:szCs w:val="18"/>
              </w:rPr>
            </w:pPr>
          </w:p>
        </w:tc>
      </w:tr>
    </w:tbl>
    <w:tbl>
      <w:tblPr>
        <w:tblStyle w:val="10"/>
        <w:tblpPr w:leftFromText="180" w:rightFromText="180" w:vertAnchor="text" w:horzAnchor="page" w:tblpX="1670" w:tblpY="-10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52"/>
                <w:szCs w:val="52"/>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
        <w:gridCol w:w="705"/>
        <w:gridCol w:w="25"/>
        <w:gridCol w:w="930"/>
        <w:gridCol w:w="35"/>
        <w:gridCol w:w="1135"/>
        <w:gridCol w:w="35"/>
        <w:gridCol w:w="745"/>
        <w:gridCol w:w="136"/>
        <w:gridCol w:w="659"/>
        <w:gridCol w:w="222"/>
        <w:gridCol w:w="588"/>
        <w:gridCol w:w="293"/>
        <w:gridCol w:w="847"/>
        <w:gridCol w:w="34"/>
        <w:gridCol w:w="1151"/>
        <w:gridCol w:w="35"/>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9"/>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    名称</w:t>
            </w:r>
          </w:p>
        </w:tc>
        <w:tc>
          <w:tcPr>
            <w:tcW w:w="7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年度绩效目标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5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r>
              <w:rPr>
                <w:rFonts w:hint="eastAsia" w:ascii="宋体" w:hAnsi="宋体" w:eastAsia="宋体" w:cs="宋体"/>
                <w:kern w:val="0"/>
                <w:sz w:val="18"/>
                <w:szCs w:val="18"/>
                <w:vertAlign w:val="baseline"/>
              </w:rPr>
              <w:t>永吉县统计局</w:t>
            </w:r>
          </w:p>
        </w:tc>
        <w:tc>
          <w:tcPr>
            <w:tcW w:w="735" w:type="dxa"/>
            <w:gridSpan w:val="3"/>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r>
              <w:rPr>
                <w:rFonts w:hint="eastAsia" w:ascii="宋体" w:hAnsi="宋体" w:eastAsia="宋体" w:cs="宋体"/>
                <w:kern w:val="0"/>
                <w:sz w:val="18"/>
                <w:szCs w:val="18"/>
                <w:vertAlign w:val="baseline"/>
              </w:rPr>
              <w:t>统计调查经费</w:t>
            </w:r>
          </w:p>
        </w:tc>
        <w:tc>
          <w:tcPr>
            <w:tcW w:w="93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r>
              <w:rPr>
                <w:rFonts w:hint="eastAsia" w:ascii="宋体" w:hAnsi="宋体" w:eastAsia="宋体" w:cs="宋体"/>
                <w:kern w:val="0"/>
                <w:sz w:val="18"/>
                <w:szCs w:val="18"/>
                <w:vertAlign w:val="baseline"/>
              </w:rPr>
              <w:t>16.84</w:t>
            </w:r>
          </w:p>
        </w:tc>
        <w:tc>
          <w:tcPr>
            <w:tcW w:w="1170"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r>
              <w:rPr>
                <w:rFonts w:hint="eastAsia" w:ascii="宋体" w:hAnsi="宋体" w:eastAsia="宋体" w:cs="宋体"/>
                <w:kern w:val="0"/>
                <w:sz w:val="18"/>
                <w:szCs w:val="18"/>
                <w:vertAlign w:val="baseline"/>
              </w:rPr>
              <w:t>按照国家、省市统计局工作要求及县委县政府统计数据需求，组织实施全年规模上工业、资质建筑业、限额以上贸易业、重点服务业及人口变动情况抽样调查任务，做好各专业统计数据的审核验收及上报工作，形成经济月刊、运行服务表及统计年鉴，为县委县政府提供经济运行分析预测所需的统计数据，为社会各界提供行业发展所需的统计服务。</w:t>
            </w:r>
          </w:p>
        </w:tc>
        <w:tc>
          <w:tcPr>
            <w:tcW w:w="780" w:type="dxa"/>
            <w:gridSpan w:val="2"/>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成本指标</w:t>
            </w:r>
          </w:p>
        </w:tc>
        <w:tc>
          <w:tcPr>
            <w:tcW w:w="79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经济成本指标</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统计年鉴印刷成本费用</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编印2023年度统计年鉴印刷成本费用</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≤3.5万元</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5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3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p>
        </w:tc>
        <w:tc>
          <w:tcPr>
            <w:tcW w:w="780"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产出指标</w:t>
            </w:r>
          </w:p>
        </w:tc>
        <w:tc>
          <w:tcPr>
            <w:tcW w:w="795"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数量指标</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统计培训人次</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反映培训各级统计机构及辅助调查人员数情况</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≥100人次</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5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3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p>
        </w:tc>
        <w:tc>
          <w:tcPr>
            <w:tcW w:w="795"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p>
        </w:tc>
        <w:tc>
          <w:tcPr>
            <w:tcW w:w="810" w:type="dxa"/>
            <w:gridSpan w:val="2"/>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统计分析报告篇数</w:t>
            </w:r>
          </w:p>
        </w:tc>
        <w:tc>
          <w:tcPr>
            <w:tcW w:w="1140" w:type="dxa"/>
            <w:gridSpan w:val="2"/>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反映统计分析报告篇数情况</w:t>
            </w:r>
          </w:p>
        </w:tc>
        <w:tc>
          <w:tcPr>
            <w:tcW w:w="1185" w:type="dxa"/>
            <w:gridSpan w:val="2"/>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≥5篇</w:t>
            </w:r>
          </w:p>
        </w:tc>
        <w:tc>
          <w:tcPr>
            <w:tcW w:w="540" w:type="dxa"/>
            <w:gridSpan w:val="2"/>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5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3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rPr>
            </w:pPr>
          </w:p>
        </w:tc>
        <w:tc>
          <w:tcPr>
            <w:tcW w:w="795"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p>
        </w:tc>
        <w:tc>
          <w:tcPr>
            <w:tcW w:w="81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统计专报篇数</w:t>
            </w:r>
          </w:p>
        </w:tc>
        <w:tc>
          <w:tcPr>
            <w:tcW w:w="1140"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反映统计专报篇数情况</w:t>
            </w:r>
          </w:p>
        </w:tc>
        <w:tc>
          <w:tcPr>
            <w:tcW w:w="1185"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≥4篇</w:t>
            </w:r>
          </w:p>
        </w:tc>
        <w:tc>
          <w:tcPr>
            <w:tcW w:w="540"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5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3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p>
        </w:tc>
        <w:tc>
          <w:tcPr>
            <w:tcW w:w="795"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p>
        </w:tc>
        <w:tc>
          <w:tcPr>
            <w:tcW w:w="81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发布统计数据</w:t>
            </w:r>
          </w:p>
        </w:tc>
        <w:tc>
          <w:tcPr>
            <w:tcW w:w="114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反映发布各类统计数据情况</w:t>
            </w:r>
          </w:p>
        </w:tc>
        <w:tc>
          <w:tcPr>
            <w:tcW w:w="11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≥6篇</w:t>
            </w:r>
          </w:p>
        </w:tc>
        <w:tc>
          <w:tcPr>
            <w:tcW w:w="54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5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3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gridSpan w:val="2"/>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效益指标</w:t>
            </w:r>
          </w:p>
        </w:tc>
        <w:tc>
          <w:tcPr>
            <w:tcW w:w="795" w:type="dxa"/>
            <w:gridSpan w:val="2"/>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社会效益指标</w:t>
            </w:r>
          </w:p>
        </w:tc>
        <w:tc>
          <w:tcPr>
            <w:tcW w:w="810"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向社会公众提供统计公报</w:t>
            </w:r>
          </w:p>
        </w:tc>
        <w:tc>
          <w:tcPr>
            <w:tcW w:w="1140"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向社会公众提供统计公报篇数</w:t>
            </w:r>
          </w:p>
        </w:tc>
        <w:tc>
          <w:tcPr>
            <w:tcW w:w="1185"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=1篇</w:t>
            </w:r>
          </w:p>
        </w:tc>
        <w:tc>
          <w:tcPr>
            <w:tcW w:w="540"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8941" w:type="dxa"/>
            <w:gridSpan w:val="19"/>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 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9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年度绩效目标</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指标</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解释</w:t>
            </w:r>
          </w:p>
        </w:tc>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61"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永吉县统计局</w:t>
            </w:r>
          </w:p>
        </w:tc>
        <w:tc>
          <w:tcPr>
            <w:tcW w:w="7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990" w:type="dxa"/>
            <w:gridSpan w:val="3"/>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30.77</w:t>
            </w:r>
          </w:p>
        </w:tc>
        <w:tc>
          <w:tcPr>
            <w:tcW w:w="1170"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依法开展普查数据登记工作，确保普查数出有据。做好数据质量控制及抽查工作，全面了解全县产业组织、产业结构、产业技术、产业形成的现状及各生产要素的构成情况。“两员”补助发放率达100%。</w:t>
            </w:r>
          </w:p>
        </w:tc>
        <w:tc>
          <w:tcPr>
            <w:tcW w:w="881" w:type="dxa"/>
            <w:gridSpan w:val="2"/>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指标</w:t>
            </w:r>
          </w:p>
        </w:tc>
        <w:tc>
          <w:tcPr>
            <w:tcW w:w="881"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经济成本指标</w:t>
            </w:r>
          </w:p>
        </w:tc>
        <w:tc>
          <w:tcPr>
            <w:tcW w:w="881"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两员补贴发放费用</w:t>
            </w:r>
          </w:p>
        </w:tc>
        <w:tc>
          <w:tcPr>
            <w:tcW w:w="881"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两员补贴发放费用</w:t>
            </w:r>
          </w:p>
        </w:tc>
        <w:tc>
          <w:tcPr>
            <w:tcW w:w="1186"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=30.77万元</w:t>
            </w:r>
          </w:p>
        </w:tc>
        <w:tc>
          <w:tcPr>
            <w:tcW w:w="5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90"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881" w:type="dxa"/>
            <w:gridSpan w:val="2"/>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指标</w:t>
            </w:r>
          </w:p>
        </w:tc>
        <w:tc>
          <w:tcPr>
            <w:tcW w:w="881" w:type="dxa"/>
            <w:gridSpan w:val="2"/>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881"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普查员、普查指导员补贴发放人数</w:t>
            </w:r>
          </w:p>
        </w:tc>
        <w:tc>
          <w:tcPr>
            <w:tcW w:w="881"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反映普查员、普查指导员补贴发放人数</w:t>
            </w:r>
          </w:p>
        </w:tc>
        <w:tc>
          <w:tcPr>
            <w:tcW w:w="1186"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≥300人</w:t>
            </w:r>
          </w:p>
        </w:tc>
        <w:tc>
          <w:tcPr>
            <w:tcW w:w="50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61"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90"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881" w:type="dxa"/>
            <w:gridSpan w:val="2"/>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881" w:type="dxa"/>
            <w:gridSpan w:val="2"/>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881"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“两员”劳务费发放率</w:t>
            </w:r>
          </w:p>
        </w:tc>
        <w:tc>
          <w:tcPr>
            <w:tcW w:w="881"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反映普查员及普查指导员劳务费发放率</w:t>
            </w:r>
          </w:p>
        </w:tc>
        <w:tc>
          <w:tcPr>
            <w:tcW w:w="1186"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c>
          <w:tcPr>
            <w:tcW w:w="50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861"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90"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7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881" w:type="dxa"/>
            <w:gridSpan w:val="2"/>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指标</w:t>
            </w:r>
          </w:p>
        </w:tc>
        <w:tc>
          <w:tcPr>
            <w:tcW w:w="881" w:type="dxa"/>
            <w:gridSpan w:val="2"/>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881"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普查员、普查指导员补贴发放覆盖率</w:t>
            </w:r>
          </w:p>
        </w:tc>
        <w:tc>
          <w:tcPr>
            <w:tcW w:w="881"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反映普查员、普查指导员补贴发放覆盖率情况</w:t>
            </w:r>
          </w:p>
        </w:tc>
        <w:tc>
          <w:tcPr>
            <w:tcW w:w="1186"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c>
          <w:tcPr>
            <w:tcW w:w="50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bl>
    <w:p>
      <w:pPr>
        <w:spacing w:line="700" w:lineRule="exact"/>
        <w:jc w:val="center"/>
        <w:rPr>
          <w:rFonts w:eastAsia="黑体"/>
        </w:rPr>
      </w:pPr>
    </w:p>
    <w:p>
      <w:pPr>
        <w:spacing w:line="700" w:lineRule="exact"/>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147.35</w:t>
      </w:r>
      <w:r>
        <w:rPr>
          <w:szCs w:val="32"/>
        </w:rPr>
        <w:t>万元</w:t>
      </w:r>
      <w:r>
        <w:rPr>
          <w:rFonts w:hint="eastAsia"/>
          <w:szCs w:val="32"/>
          <w:lang w:eastAsia="zh-CN"/>
        </w:rPr>
        <w:t>，其中：本年预算</w:t>
      </w:r>
      <w:r>
        <w:rPr>
          <w:rFonts w:hint="eastAsia"/>
          <w:szCs w:val="32"/>
          <w:lang w:val="en-US" w:eastAsia="zh-CN"/>
        </w:rPr>
        <w:t>147.24</w:t>
      </w:r>
      <w:r>
        <w:rPr>
          <w:rFonts w:hint="eastAsia"/>
          <w:szCs w:val="32"/>
          <w:lang w:eastAsia="zh-CN"/>
        </w:rPr>
        <w:t>万元；上年结转</w:t>
      </w:r>
      <w:r>
        <w:rPr>
          <w:rFonts w:hint="eastAsia"/>
          <w:szCs w:val="32"/>
          <w:lang w:val="en-US" w:eastAsia="zh-CN"/>
        </w:rPr>
        <w:t>0.11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53.07</w:t>
      </w:r>
      <w:r>
        <w:rPr>
          <w:szCs w:val="32"/>
        </w:rPr>
        <w:t>万元，主要原因是</w:t>
      </w:r>
      <w:r>
        <w:rPr>
          <w:rFonts w:hint="eastAsia"/>
          <w:szCs w:val="32"/>
          <w:lang w:val="en-US" w:eastAsia="zh-CN"/>
        </w:rPr>
        <w:t>本年预算增加了专项普查活动经费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147.35</w:t>
      </w:r>
      <w:r>
        <w:rPr>
          <w:szCs w:val="32"/>
        </w:rPr>
        <w:t>万元，其中：本年收入</w:t>
      </w:r>
      <w:r>
        <w:rPr>
          <w:rFonts w:hint="eastAsia"/>
          <w:szCs w:val="32"/>
          <w:lang w:val="en-US" w:eastAsia="zh-CN"/>
        </w:rPr>
        <w:t>147.24</w:t>
      </w:r>
      <w:r>
        <w:rPr>
          <w:szCs w:val="32"/>
        </w:rPr>
        <w:t>万元，占</w:t>
      </w:r>
      <w:r>
        <w:rPr>
          <w:rFonts w:hint="eastAsia"/>
          <w:szCs w:val="32"/>
          <w:lang w:val="en-US" w:eastAsia="zh-CN"/>
        </w:rPr>
        <w:t>99.9</w:t>
      </w:r>
      <w:r>
        <w:rPr>
          <w:szCs w:val="32"/>
        </w:rPr>
        <w:t>%；上年结转</w:t>
      </w:r>
      <w:r>
        <w:rPr>
          <w:rFonts w:hint="eastAsia"/>
          <w:szCs w:val="32"/>
          <w:lang w:eastAsia="zh-CN"/>
        </w:rPr>
        <w:t>结余</w:t>
      </w:r>
      <w:r>
        <w:rPr>
          <w:rFonts w:hint="eastAsia"/>
          <w:szCs w:val="32"/>
          <w:lang w:val="en-US" w:eastAsia="zh-CN"/>
        </w:rPr>
        <w:t>0.11</w:t>
      </w:r>
      <w:r>
        <w:rPr>
          <w:szCs w:val="32"/>
        </w:rPr>
        <w:t>万元，占</w:t>
      </w:r>
      <w:r>
        <w:rPr>
          <w:rFonts w:hint="eastAsia"/>
          <w:szCs w:val="32"/>
          <w:lang w:val="en-US" w:eastAsia="zh-CN"/>
        </w:rPr>
        <w:t>0.1</w:t>
      </w:r>
      <w:r>
        <w:rPr>
          <w:szCs w:val="32"/>
        </w:rPr>
        <w:t>%。本年收入中，一般公共预算拨款收入</w:t>
      </w:r>
      <w:r>
        <w:rPr>
          <w:rFonts w:hint="eastAsia"/>
          <w:szCs w:val="32"/>
          <w:lang w:val="en-US" w:eastAsia="zh-CN"/>
        </w:rPr>
        <w:t>147.24</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0.11</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147.35</w:t>
      </w:r>
      <w:r>
        <w:rPr>
          <w:szCs w:val="32"/>
        </w:rPr>
        <w:t>万元，其中：基本支出</w:t>
      </w:r>
      <w:r>
        <w:rPr>
          <w:rFonts w:hint="eastAsia"/>
          <w:szCs w:val="32"/>
          <w:lang w:val="en-US" w:eastAsia="zh-CN"/>
        </w:rPr>
        <w:t>99.73</w:t>
      </w:r>
      <w:r>
        <w:rPr>
          <w:szCs w:val="32"/>
        </w:rPr>
        <w:t>万元，占</w:t>
      </w:r>
      <w:r>
        <w:rPr>
          <w:rFonts w:hint="eastAsia"/>
          <w:szCs w:val="32"/>
          <w:lang w:val="en-US" w:eastAsia="zh-CN"/>
        </w:rPr>
        <w:t>67.7</w:t>
      </w:r>
      <w:r>
        <w:rPr>
          <w:szCs w:val="32"/>
        </w:rPr>
        <w:t>%；项目支出</w:t>
      </w:r>
      <w:r>
        <w:rPr>
          <w:rFonts w:hint="eastAsia"/>
          <w:szCs w:val="32"/>
          <w:lang w:val="en-US" w:eastAsia="zh-CN"/>
        </w:rPr>
        <w:t>47.62</w:t>
      </w:r>
      <w:r>
        <w:rPr>
          <w:szCs w:val="32"/>
        </w:rPr>
        <w:t>万元，占</w:t>
      </w:r>
      <w:r>
        <w:rPr>
          <w:rFonts w:hint="eastAsia"/>
          <w:szCs w:val="32"/>
          <w:lang w:val="en-US" w:eastAsia="zh-CN"/>
        </w:rPr>
        <w:t>32.3</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147.35</w:t>
      </w:r>
      <w:r>
        <w:rPr>
          <w:szCs w:val="32"/>
        </w:rPr>
        <w:t>万元，其中：</w:t>
      </w:r>
      <w:r>
        <w:rPr>
          <w:rFonts w:hint="eastAsia"/>
          <w:szCs w:val="32"/>
        </w:rPr>
        <w:t>本年</w:t>
      </w:r>
      <w:r>
        <w:rPr>
          <w:rFonts w:hint="eastAsia"/>
          <w:szCs w:val="32"/>
          <w:lang w:eastAsia="zh-CN"/>
        </w:rPr>
        <w:t>预算</w:t>
      </w:r>
      <w:r>
        <w:rPr>
          <w:rFonts w:hint="eastAsia"/>
          <w:szCs w:val="32"/>
          <w:lang w:val="en-US" w:eastAsia="zh-CN"/>
        </w:rPr>
        <w:t>147.24</w:t>
      </w:r>
      <w:r>
        <w:rPr>
          <w:szCs w:val="32"/>
        </w:rPr>
        <w:t>万元</w:t>
      </w:r>
      <w:r>
        <w:rPr>
          <w:rFonts w:hint="eastAsia"/>
          <w:szCs w:val="32"/>
        </w:rPr>
        <w:t>，上年结转</w:t>
      </w:r>
      <w:r>
        <w:rPr>
          <w:rFonts w:hint="eastAsia"/>
          <w:szCs w:val="32"/>
          <w:lang w:val="en-US" w:eastAsia="zh-CN"/>
        </w:rPr>
        <w:t>0.11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121.87</w:t>
      </w:r>
      <w:r>
        <w:rPr>
          <w:szCs w:val="32"/>
        </w:rPr>
        <w:t>万元，</w:t>
      </w:r>
      <w:r>
        <w:rPr>
          <w:kern w:val="0"/>
          <w:szCs w:val="32"/>
        </w:rPr>
        <w:t>社会保障和就业支出</w:t>
      </w:r>
      <w:r>
        <w:rPr>
          <w:rFonts w:hint="eastAsia"/>
          <w:szCs w:val="32"/>
          <w:lang w:val="en-US" w:eastAsia="zh-CN"/>
        </w:rPr>
        <w:t>14.22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3.23</w:t>
      </w:r>
      <w:r>
        <w:rPr>
          <w:szCs w:val="32"/>
        </w:rPr>
        <w:t>万元，</w:t>
      </w:r>
      <w:r>
        <w:rPr>
          <w:kern w:val="0"/>
          <w:szCs w:val="32"/>
        </w:rPr>
        <w:t>住房保障支出</w:t>
      </w:r>
      <w:r>
        <w:rPr>
          <w:rFonts w:hint="eastAsia"/>
          <w:szCs w:val="32"/>
          <w:lang w:val="en-US" w:eastAsia="zh-CN"/>
        </w:rPr>
        <w:t>8.03</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147.35</w:t>
      </w:r>
      <w:r>
        <w:rPr>
          <w:szCs w:val="32"/>
        </w:rPr>
        <w:t>万元，其中：基本支出</w:t>
      </w:r>
      <w:r>
        <w:rPr>
          <w:rFonts w:hint="eastAsia"/>
          <w:szCs w:val="32"/>
          <w:lang w:val="en-US" w:eastAsia="zh-CN"/>
        </w:rPr>
        <w:t>99.73</w:t>
      </w:r>
      <w:r>
        <w:rPr>
          <w:szCs w:val="32"/>
        </w:rPr>
        <w:t>万元，占</w:t>
      </w:r>
      <w:r>
        <w:rPr>
          <w:rFonts w:hint="eastAsia"/>
          <w:szCs w:val="32"/>
          <w:lang w:val="en-US" w:eastAsia="zh-CN"/>
        </w:rPr>
        <w:t>67.7</w:t>
      </w:r>
      <w:r>
        <w:rPr>
          <w:szCs w:val="32"/>
        </w:rPr>
        <w:t>%；项目支出</w:t>
      </w:r>
      <w:r>
        <w:rPr>
          <w:rFonts w:hint="eastAsia"/>
          <w:szCs w:val="32"/>
          <w:lang w:val="en-US" w:eastAsia="zh-CN"/>
        </w:rPr>
        <w:t>47.62</w:t>
      </w:r>
      <w:r>
        <w:rPr>
          <w:szCs w:val="32"/>
        </w:rPr>
        <w:t>万元，占</w:t>
      </w:r>
      <w:r>
        <w:rPr>
          <w:rFonts w:hint="eastAsia"/>
          <w:szCs w:val="32"/>
          <w:lang w:val="en-US" w:eastAsia="zh-CN"/>
        </w:rPr>
        <w:t>32.3</w:t>
      </w:r>
      <w:r>
        <w:rPr>
          <w:szCs w:val="32"/>
        </w:rPr>
        <w:t>%。基本支出中，人员经费</w:t>
      </w:r>
      <w:r>
        <w:rPr>
          <w:rFonts w:hint="eastAsia"/>
          <w:szCs w:val="32"/>
          <w:lang w:val="en-US" w:eastAsia="zh-CN"/>
        </w:rPr>
        <w:t>83.78</w:t>
      </w:r>
      <w:r>
        <w:rPr>
          <w:szCs w:val="32"/>
        </w:rPr>
        <w:t>万元，占</w:t>
      </w:r>
      <w:r>
        <w:rPr>
          <w:rFonts w:hint="eastAsia"/>
          <w:szCs w:val="32"/>
          <w:lang w:val="en-US" w:eastAsia="zh-CN"/>
        </w:rPr>
        <w:t>84</w:t>
      </w:r>
      <w:r>
        <w:rPr>
          <w:szCs w:val="32"/>
        </w:rPr>
        <w:t>%；公用经费</w:t>
      </w:r>
      <w:r>
        <w:rPr>
          <w:rFonts w:hint="eastAsia"/>
          <w:szCs w:val="32"/>
          <w:lang w:val="en-US" w:eastAsia="zh-CN"/>
        </w:rPr>
        <w:t>15.95</w:t>
      </w:r>
      <w:r>
        <w:rPr>
          <w:szCs w:val="32"/>
        </w:rPr>
        <w:t>万元，占</w:t>
      </w:r>
      <w:r>
        <w:rPr>
          <w:rFonts w:hint="eastAsia"/>
          <w:szCs w:val="32"/>
          <w:lang w:val="en-US" w:eastAsia="zh-CN"/>
        </w:rPr>
        <w:t>16</w:t>
      </w:r>
      <w:r>
        <w:rPr>
          <w:szCs w:val="32"/>
        </w:rPr>
        <w:t>%。</w:t>
      </w:r>
    </w:p>
    <w:p>
      <w:pPr>
        <w:spacing w:line="520" w:lineRule="exact"/>
        <w:ind w:firstLine="640" w:firstLineChars="200"/>
        <w:rPr>
          <w:rFonts w:hint="eastAsia" w:ascii="仿宋_GB2312" w:hAnsi="仿宋_GB2312" w:cs="仿宋_GB2312"/>
          <w:color w:val="auto"/>
          <w:szCs w:val="32"/>
        </w:rPr>
      </w:pPr>
      <w:r>
        <w:rPr>
          <w:szCs w:val="32"/>
        </w:rPr>
        <w:t>一般公共服务（类）支出</w:t>
      </w:r>
      <w:r>
        <w:rPr>
          <w:rFonts w:hint="eastAsia"/>
          <w:szCs w:val="32"/>
          <w:lang w:val="en-US" w:eastAsia="zh-CN"/>
        </w:rPr>
        <w:t>121.87</w:t>
      </w:r>
      <w:r>
        <w:rPr>
          <w:szCs w:val="32"/>
        </w:rPr>
        <w:t>万元，占</w:t>
      </w:r>
      <w:r>
        <w:rPr>
          <w:rFonts w:hint="eastAsia"/>
          <w:szCs w:val="32"/>
          <w:lang w:val="en-US" w:eastAsia="zh-CN"/>
        </w:rPr>
        <w:t>82.7</w:t>
      </w:r>
      <w:r>
        <w:rPr>
          <w:szCs w:val="32"/>
        </w:rPr>
        <w:t>%，主要用于</w:t>
      </w:r>
      <w:r>
        <w:rPr>
          <w:rFonts w:hint="eastAsia" w:ascii="仿宋_GB2312" w:hAnsi="仿宋_GB2312" w:cs="仿宋_GB2312"/>
          <w:color w:val="auto"/>
          <w:szCs w:val="32"/>
        </w:rPr>
        <w:t>保障</w:t>
      </w:r>
      <w:r>
        <w:rPr>
          <w:rFonts w:hint="eastAsia" w:ascii="仿宋_GB2312" w:hAnsi="仿宋_GB2312" w:cs="仿宋_GB2312"/>
          <w:color w:val="auto"/>
          <w:szCs w:val="32"/>
          <w:lang w:val="en-US" w:eastAsia="zh-CN"/>
        </w:rPr>
        <w:t>本</w:t>
      </w:r>
      <w:r>
        <w:rPr>
          <w:rFonts w:hint="eastAsia" w:ascii="仿宋_GB2312" w:hAnsi="仿宋_GB2312" w:cs="仿宋_GB2312"/>
          <w:color w:val="auto"/>
          <w:szCs w:val="32"/>
          <w:lang w:eastAsia="zh-CN"/>
        </w:rPr>
        <w:t>单位</w:t>
      </w:r>
      <w:r>
        <w:rPr>
          <w:rFonts w:hint="eastAsia" w:ascii="仿宋_GB2312" w:hAnsi="仿宋_GB2312" w:cs="仿宋_GB2312"/>
          <w:color w:val="auto"/>
          <w:szCs w:val="32"/>
          <w:lang w:val="en-US" w:eastAsia="zh-CN"/>
        </w:rPr>
        <w:t>人员工资发放和机关运行正</w:t>
      </w:r>
      <w:r>
        <w:rPr>
          <w:rFonts w:hint="eastAsia" w:ascii="仿宋_GB2312" w:hAnsi="仿宋_GB2312" w:cs="仿宋_GB2312"/>
          <w:color w:val="auto"/>
          <w:szCs w:val="32"/>
          <w:lang w:eastAsia="zh-CN"/>
        </w:rPr>
        <w:t>常</w:t>
      </w:r>
      <w:r>
        <w:rPr>
          <w:rFonts w:hint="eastAsia" w:ascii="仿宋_GB2312" w:hAnsi="仿宋_GB2312" w:cs="仿宋_GB2312"/>
          <w:color w:val="auto"/>
          <w:szCs w:val="32"/>
          <w:lang w:val="en-US" w:eastAsia="zh-CN"/>
        </w:rPr>
        <w:t>开展</w:t>
      </w:r>
      <w:r>
        <w:rPr>
          <w:rFonts w:hint="eastAsia" w:ascii="仿宋_GB2312" w:hAnsi="仿宋_GB2312" w:cs="仿宋_GB2312"/>
          <w:color w:val="auto"/>
          <w:szCs w:val="32"/>
        </w:rPr>
        <w:t>。</w:t>
      </w:r>
    </w:p>
    <w:p>
      <w:pPr>
        <w:ind w:firstLine="640" w:firstLineChars="200"/>
        <w:rPr>
          <w:rFonts w:hint="eastAsia"/>
          <w:color w:val="auto"/>
          <w:szCs w:val="32"/>
          <w:lang w:eastAsia="zh-CN"/>
        </w:rPr>
      </w:pPr>
      <w:r>
        <w:rPr>
          <w:szCs w:val="32"/>
        </w:rPr>
        <w:t>社会保障和就业（类）支出</w:t>
      </w:r>
      <w:r>
        <w:rPr>
          <w:rFonts w:hint="eastAsia"/>
          <w:szCs w:val="32"/>
          <w:lang w:val="en-US" w:eastAsia="zh-CN"/>
        </w:rPr>
        <w:t>14.22</w:t>
      </w:r>
      <w:r>
        <w:rPr>
          <w:szCs w:val="32"/>
        </w:rPr>
        <w:t>万元，占</w:t>
      </w:r>
      <w:r>
        <w:rPr>
          <w:rFonts w:hint="eastAsia"/>
          <w:szCs w:val="32"/>
          <w:lang w:val="en-US" w:eastAsia="zh-CN"/>
        </w:rPr>
        <w:t>9.7</w:t>
      </w:r>
      <w:r>
        <w:rPr>
          <w:szCs w:val="32"/>
        </w:rPr>
        <w:t>%，主要用于</w:t>
      </w:r>
      <w:r>
        <w:rPr>
          <w:rFonts w:hint="eastAsia"/>
          <w:color w:val="auto"/>
          <w:szCs w:val="32"/>
          <w:lang w:eastAsia="zh-CN"/>
        </w:rPr>
        <w:t>保障退休职工</w:t>
      </w:r>
      <w:r>
        <w:rPr>
          <w:rFonts w:hint="eastAsia"/>
          <w:color w:val="auto"/>
          <w:szCs w:val="32"/>
          <w:lang w:val="en-US" w:eastAsia="zh-CN"/>
        </w:rPr>
        <w:t>生活补贴、</w:t>
      </w:r>
      <w:r>
        <w:rPr>
          <w:rFonts w:hint="eastAsia"/>
          <w:color w:val="auto"/>
          <w:szCs w:val="32"/>
          <w:lang w:eastAsia="zh-CN"/>
        </w:rPr>
        <w:t>取暖补贴及机关事业单位基本养老保险缴费。</w:t>
      </w:r>
    </w:p>
    <w:p>
      <w:pPr>
        <w:ind w:firstLine="640" w:firstLineChars="200"/>
        <w:rPr>
          <w:color w:val="auto"/>
          <w:szCs w:val="32"/>
        </w:rPr>
      </w:pPr>
      <w:r>
        <w:rPr>
          <w:rFonts w:hint="eastAsia" w:ascii="仿宋_GB2312" w:hAnsi="仿宋_GB2312" w:cs="仿宋_GB2312"/>
          <w:color w:val="auto"/>
          <w:szCs w:val="32"/>
        </w:rPr>
        <w:t>卫生健康</w:t>
      </w:r>
      <w:r>
        <w:rPr>
          <w:rFonts w:hint="eastAsia" w:ascii="仿宋_GB2312" w:hAnsi="仿宋_GB2312" w:cs="仿宋_GB2312"/>
          <w:color w:val="auto"/>
          <w:szCs w:val="32"/>
          <w:lang w:eastAsia="zh-CN"/>
        </w:rPr>
        <w:t>（类）</w:t>
      </w:r>
      <w:r>
        <w:rPr>
          <w:rFonts w:hint="eastAsia" w:ascii="仿宋_GB2312" w:hAnsi="仿宋_GB2312" w:cs="仿宋_GB2312"/>
          <w:color w:val="auto"/>
          <w:szCs w:val="32"/>
        </w:rPr>
        <w:t>支出</w:t>
      </w:r>
      <w:r>
        <w:rPr>
          <w:rFonts w:hint="eastAsia"/>
          <w:color w:val="auto"/>
          <w:szCs w:val="32"/>
          <w:lang w:val="en-US" w:eastAsia="zh-CN"/>
        </w:rPr>
        <w:t>3.23</w:t>
      </w:r>
      <w:r>
        <w:rPr>
          <w:rFonts w:hint="eastAsia" w:ascii="仿宋_GB2312" w:hAnsi="仿宋_GB2312" w:cs="仿宋_GB2312"/>
          <w:color w:val="auto"/>
          <w:szCs w:val="32"/>
        </w:rPr>
        <w:t>万元，占</w:t>
      </w:r>
      <w:r>
        <w:rPr>
          <w:rFonts w:hint="eastAsia"/>
          <w:color w:val="auto"/>
          <w:szCs w:val="32"/>
          <w:lang w:val="en-US" w:eastAsia="zh-CN"/>
        </w:rPr>
        <w:t>2.2</w:t>
      </w:r>
      <w:r>
        <w:rPr>
          <w:color w:val="auto"/>
          <w:szCs w:val="32"/>
        </w:rPr>
        <w:t>%</w:t>
      </w:r>
      <w:r>
        <w:rPr>
          <w:rFonts w:hint="eastAsia"/>
          <w:color w:val="auto"/>
          <w:szCs w:val="32"/>
        </w:rPr>
        <w:t>，</w:t>
      </w:r>
      <w:r>
        <w:rPr>
          <w:rFonts w:hint="eastAsia" w:ascii="仿宋_GB2312"/>
          <w:color w:val="auto"/>
          <w:szCs w:val="32"/>
        </w:rPr>
        <w:t>主要用于缴纳</w:t>
      </w:r>
      <w:r>
        <w:rPr>
          <w:rFonts w:hint="eastAsia" w:ascii="仿宋_GB2312"/>
          <w:color w:val="auto"/>
          <w:szCs w:val="32"/>
          <w:lang w:eastAsia="zh-CN"/>
        </w:rPr>
        <w:t>在职人员基本</w:t>
      </w:r>
      <w:r>
        <w:rPr>
          <w:rFonts w:hint="eastAsia" w:ascii="仿宋_GB2312"/>
          <w:color w:val="auto"/>
          <w:szCs w:val="32"/>
        </w:rPr>
        <w:t>医疗保险。</w:t>
      </w:r>
    </w:p>
    <w:p>
      <w:pPr>
        <w:ind w:firstLine="640" w:firstLineChars="200"/>
        <w:rPr>
          <w:rFonts w:hint="eastAsia" w:ascii="仿宋_GB2312" w:hAnsi="仿宋_GB2312" w:cs="仿宋_GB2312"/>
          <w:color w:val="auto"/>
          <w:szCs w:val="22"/>
        </w:rPr>
      </w:pPr>
      <w:r>
        <w:rPr>
          <w:szCs w:val="32"/>
        </w:rPr>
        <w:t>住房保障（类）支出</w:t>
      </w:r>
      <w:r>
        <w:rPr>
          <w:rFonts w:hint="eastAsia"/>
          <w:szCs w:val="32"/>
          <w:lang w:val="en-US" w:eastAsia="zh-CN"/>
        </w:rPr>
        <w:t>8.03</w:t>
      </w:r>
      <w:r>
        <w:rPr>
          <w:szCs w:val="32"/>
        </w:rPr>
        <w:t>万元，占</w:t>
      </w:r>
      <w:r>
        <w:rPr>
          <w:rFonts w:hint="eastAsia"/>
          <w:szCs w:val="32"/>
          <w:lang w:val="en-US" w:eastAsia="zh-CN"/>
        </w:rPr>
        <w:t>5.4</w:t>
      </w:r>
      <w:r>
        <w:rPr>
          <w:szCs w:val="32"/>
        </w:rPr>
        <w:t>%，主要用于</w:t>
      </w:r>
      <w:r>
        <w:rPr>
          <w:rFonts w:hint="eastAsia"/>
          <w:szCs w:val="32"/>
          <w:lang w:eastAsia="zh-CN"/>
        </w:rPr>
        <w:t>缴纳</w:t>
      </w:r>
      <w:r>
        <w:rPr>
          <w:rFonts w:hint="eastAsia" w:ascii="仿宋_GB2312" w:hAnsi="仿宋_GB2312" w:cs="仿宋_GB2312"/>
          <w:color w:val="auto"/>
          <w:szCs w:val="32"/>
        </w:rPr>
        <w:t>在职人员住房公积金。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99.73</w:t>
      </w:r>
      <w:r>
        <w:rPr>
          <w:szCs w:val="32"/>
        </w:rPr>
        <w:t>万元，其中：</w:t>
      </w:r>
    </w:p>
    <w:p>
      <w:pPr>
        <w:ind w:firstLine="640" w:firstLineChars="200"/>
        <w:rPr>
          <w:kern w:val="0"/>
          <w:szCs w:val="32"/>
        </w:rPr>
      </w:pPr>
      <w:r>
        <w:rPr>
          <w:szCs w:val="32"/>
        </w:rPr>
        <w:t>人员经费</w:t>
      </w:r>
      <w:r>
        <w:rPr>
          <w:rFonts w:hint="eastAsia"/>
          <w:szCs w:val="32"/>
          <w:lang w:val="en-US" w:eastAsia="zh-CN"/>
        </w:rPr>
        <w:t>83.78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机关事业单位基本养老保险</w:t>
      </w:r>
      <w:r>
        <w:rPr>
          <w:kern w:val="0"/>
          <w:szCs w:val="32"/>
        </w:rPr>
        <w:t>缴费</w:t>
      </w:r>
      <w:r>
        <w:rPr>
          <w:szCs w:val="32"/>
        </w:rPr>
        <w:t>、</w:t>
      </w:r>
      <w:r>
        <w:rPr>
          <w:rFonts w:hint="eastAsia"/>
          <w:szCs w:val="32"/>
          <w:lang w:val="en-US" w:eastAsia="zh-CN"/>
        </w:rPr>
        <w:t>职工基本医疗保险缴费、其他社会保障缴费、住房公积金、医疗费、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15.95</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w:t>
      </w:r>
      <w:r>
        <w:rPr>
          <w:rFonts w:hint="eastAsia"/>
          <w:kern w:val="0"/>
          <w:szCs w:val="32"/>
          <w:lang w:val="en-US"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jc w:val="both"/>
        <w:rPr>
          <w:rFonts w:hint="eastAsia"/>
          <w:szCs w:val="32"/>
          <w:highlight w:val="none"/>
          <w:lang w:val="en-US" w:eastAsia="zh-CN"/>
        </w:rPr>
      </w:pPr>
      <w:r>
        <w:rPr>
          <w:rFonts w:hint="eastAsia"/>
          <w:szCs w:val="32"/>
          <w:lang w:val="en-US" w:eastAsia="zh-CN"/>
        </w:rPr>
        <w:t>2.</w:t>
      </w:r>
      <w:r>
        <w:rPr>
          <w:szCs w:val="32"/>
        </w:rPr>
        <w:t>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w:t>
      </w:r>
      <w:r>
        <w:rPr>
          <w:szCs w:val="32"/>
          <w:highlight w:val="none"/>
        </w:rPr>
        <w:t>主要原因是</w:t>
      </w:r>
      <w:r>
        <w:rPr>
          <w:rFonts w:hint="eastAsia"/>
          <w:szCs w:val="32"/>
          <w:highlight w:val="none"/>
          <w:lang w:val="en-US" w:eastAsia="zh-CN"/>
        </w:rPr>
        <w:t>落实过紧日子原则，减少公务接待费支出。</w:t>
      </w:r>
    </w:p>
    <w:p>
      <w:pPr>
        <w:ind w:firstLine="640" w:firstLineChars="200"/>
        <w:jc w:val="both"/>
        <w:rPr>
          <w:rFonts w:hint="default"/>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hint="eastAsia"/>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eastAsia="仿宋_GB2312"/>
          <w:szCs w:val="32"/>
          <w:lang w:eastAsia="zh-CN"/>
        </w:rPr>
      </w:pPr>
      <w:r>
        <w:rPr>
          <w:rFonts w:hint="eastAsia"/>
          <w:szCs w:val="32"/>
          <w:lang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szCs w:val="32"/>
          <w:lang w:val="en-US" w:eastAsia="zh-CN"/>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15.95</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1.29</w:t>
      </w:r>
      <w:r>
        <w:rPr>
          <w:szCs w:val="32"/>
        </w:rPr>
        <w:t>万元，下降</w:t>
      </w:r>
      <w:r>
        <w:rPr>
          <w:rFonts w:hint="eastAsia"/>
          <w:szCs w:val="32"/>
          <w:lang w:val="en-US" w:eastAsia="zh-CN"/>
        </w:rPr>
        <w:t>7.5</w:t>
      </w:r>
      <w:r>
        <w:rPr>
          <w:szCs w:val="32"/>
        </w:rPr>
        <w:t>%</w:t>
      </w:r>
      <w:r>
        <w:rPr>
          <w:rFonts w:hint="eastAsia"/>
          <w:szCs w:val="32"/>
        </w:rPr>
        <w:t>，主要原因是</w:t>
      </w:r>
      <w:r>
        <w:rPr>
          <w:rFonts w:hint="eastAsia"/>
          <w:szCs w:val="32"/>
          <w:lang w:val="en-US" w:eastAsia="zh-CN"/>
        </w:rPr>
        <w:t>按照财政要求压减本年公用经费，致使本年机关运行经费较2023年减少。</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本单位无政府采购预算安排</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平方米，单价50万元及以上的通用设备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平方米，计划新增单价50万元及以上的通用设备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color w:val="auto"/>
        </w:rPr>
      </w:pPr>
      <w:r>
        <w:t>202</w:t>
      </w:r>
      <w:r>
        <w:rPr>
          <w:rFonts w:hint="eastAsia"/>
          <w:lang w:val="en-US" w:eastAsia="zh-CN"/>
        </w:rPr>
        <w:t>4</w:t>
      </w:r>
      <w:r>
        <w:t>年</w:t>
      </w:r>
      <w:r>
        <w:rPr>
          <w:rFonts w:hint="eastAsia"/>
          <w:lang w:eastAsia="zh-CN"/>
        </w:rPr>
        <w:t>单位</w:t>
      </w:r>
      <w:r>
        <w:t>项目支出</w:t>
      </w:r>
      <w:r>
        <w:rPr>
          <w:rFonts w:hint="eastAsia"/>
          <w:szCs w:val="32"/>
          <w:lang w:val="en-US" w:eastAsia="zh-CN"/>
        </w:rPr>
        <w:t>47.62</w:t>
      </w:r>
      <w:r>
        <w:rPr>
          <w:szCs w:val="32"/>
        </w:rPr>
        <w:t>万元，其中：</w:t>
      </w:r>
      <w:r>
        <w:rPr>
          <w:color w:val="auto"/>
          <w:szCs w:val="32"/>
        </w:rPr>
        <w:t>一级项目</w:t>
      </w:r>
      <w:r>
        <w:rPr>
          <w:rFonts w:hint="eastAsia"/>
          <w:color w:val="auto"/>
          <w:szCs w:val="32"/>
          <w:lang w:val="en-US" w:eastAsia="zh-CN"/>
        </w:rPr>
        <w:t>2</w:t>
      </w:r>
      <w:r>
        <w:rPr>
          <w:color w:val="auto"/>
          <w:szCs w:val="32"/>
        </w:rPr>
        <w:t>个，二级项目</w:t>
      </w:r>
      <w:r>
        <w:rPr>
          <w:rFonts w:hint="eastAsia"/>
          <w:color w:val="auto"/>
          <w:szCs w:val="32"/>
          <w:lang w:val="en-US" w:eastAsia="zh-CN"/>
        </w:rPr>
        <w:t>2</w:t>
      </w:r>
      <w:r>
        <w:rPr>
          <w:color w:val="auto"/>
          <w:szCs w:val="32"/>
        </w:rPr>
        <w:t>个；使用</w:t>
      </w:r>
      <w:r>
        <w:rPr>
          <w:rFonts w:hint="eastAsia"/>
          <w:color w:val="auto"/>
          <w:szCs w:val="32"/>
        </w:rPr>
        <w:t>本年拨款</w:t>
      </w:r>
      <w:r>
        <w:rPr>
          <w:rFonts w:hint="eastAsia"/>
          <w:color w:val="auto"/>
          <w:szCs w:val="32"/>
          <w:lang w:val="en-US" w:eastAsia="zh-CN"/>
        </w:rPr>
        <w:t>47.61</w:t>
      </w:r>
      <w:r>
        <w:rPr>
          <w:color w:val="auto"/>
          <w:szCs w:val="32"/>
        </w:rPr>
        <w:t>万元，</w:t>
      </w:r>
      <w:r>
        <w:rPr>
          <w:rFonts w:hint="eastAsia"/>
          <w:color w:val="auto"/>
          <w:szCs w:val="32"/>
        </w:rPr>
        <w:t>财政拨款结转</w:t>
      </w:r>
      <w:r>
        <w:rPr>
          <w:rFonts w:hint="eastAsia"/>
          <w:color w:val="auto"/>
          <w:szCs w:val="32"/>
          <w:lang w:val="en-US" w:eastAsia="zh-CN"/>
        </w:rPr>
        <w:t>0.01</w:t>
      </w:r>
      <w:r>
        <w:rPr>
          <w:color w:val="auto"/>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val="en-US"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47.61</w:t>
      </w:r>
      <w:r>
        <w:rPr>
          <w:rFonts w:hint="eastAsia" w:ascii="宋体" w:hAnsi="宋体"/>
        </w:rPr>
        <w:t>万元。</w:t>
      </w:r>
    </w:p>
    <w:p>
      <w:pPr>
        <w:spacing w:line="540" w:lineRule="exact"/>
        <w:ind w:firstLine="640" w:firstLineChars="200"/>
        <w:rPr>
          <w:rFonts w:hint="default"/>
          <w:szCs w:val="32"/>
          <w:lang w:val="en-US" w:eastAsia="zh-CN"/>
        </w:rPr>
      </w:pPr>
    </w:p>
    <w:p>
      <w:pPr>
        <w:spacing w:line="540" w:lineRule="exact"/>
        <w:ind w:firstLine="640" w:firstLineChars="200"/>
        <w:rPr>
          <w:rFonts w:eastAsia="楷体"/>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szCs w:val="32"/>
        </w:rPr>
        <w:t>项目支出绩效目标是指</w:t>
      </w:r>
      <w:r>
        <w:rPr>
          <w:rFonts w:hint="eastAsia"/>
          <w:szCs w:val="32"/>
          <w:lang w:eastAsia="zh-CN"/>
        </w:rPr>
        <w:t>单位</w:t>
      </w:r>
      <w:r>
        <w:rPr>
          <w:rFonts w:hint="eastAsia"/>
          <w:szCs w:val="32"/>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YmY3ZTU0ZDQ0YTVhNWFkM2UzNTczOGRkZjE2Yzc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1E4BA2"/>
    <w:rsid w:val="037F2004"/>
    <w:rsid w:val="0486486A"/>
    <w:rsid w:val="04954460"/>
    <w:rsid w:val="04B818D1"/>
    <w:rsid w:val="050D06DA"/>
    <w:rsid w:val="05310B72"/>
    <w:rsid w:val="05513E94"/>
    <w:rsid w:val="056F5A6D"/>
    <w:rsid w:val="059B3770"/>
    <w:rsid w:val="063949A0"/>
    <w:rsid w:val="06BD5BC7"/>
    <w:rsid w:val="06F008FF"/>
    <w:rsid w:val="079E5032"/>
    <w:rsid w:val="08180FBC"/>
    <w:rsid w:val="08A564CE"/>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0B6797"/>
    <w:rsid w:val="0E4C7841"/>
    <w:rsid w:val="0E97506F"/>
    <w:rsid w:val="0F3E0406"/>
    <w:rsid w:val="0F980230"/>
    <w:rsid w:val="0FD62F63"/>
    <w:rsid w:val="0FD85A54"/>
    <w:rsid w:val="0FDE2A27"/>
    <w:rsid w:val="10AE7F82"/>
    <w:rsid w:val="10C93B35"/>
    <w:rsid w:val="11177619"/>
    <w:rsid w:val="112605C8"/>
    <w:rsid w:val="11A6707B"/>
    <w:rsid w:val="11B35B2F"/>
    <w:rsid w:val="11D331C4"/>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156A2E"/>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7CE2A5B"/>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4475E"/>
    <w:rsid w:val="3D7F7007"/>
    <w:rsid w:val="3DB008AA"/>
    <w:rsid w:val="3DF23324"/>
    <w:rsid w:val="3EA14040"/>
    <w:rsid w:val="3EE8108D"/>
    <w:rsid w:val="3F8201A3"/>
    <w:rsid w:val="402675EA"/>
    <w:rsid w:val="40B80EFF"/>
    <w:rsid w:val="41A35364"/>
    <w:rsid w:val="41C31686"/>
    <w:rsid w:val="41C837BC"/>
    <w:rsid w:val="421643AC"/>
    <w:rsid w:val="42230B97"/>
    <w:rsid w:val="42982B4E"/>
    <w:rsid w:val="429F5D0C"/>
    <w:rsid w:val="42D83665"/>
    <w:rsid w:val="434A6B47"/>
    <w:rsid w:val="436B1E42"/>
    <w:rsid w:val="44416217"/>
    <w:rsid w:val="456D114B"/>
    <w:rsid w:val="45EB670F"/>
    <w:rsid w:val="46AB7C0D"/>
    <w:rsid w:val="46D44808"/>
    <w:rsid w:val="46ED776B"/>
    <w:rsid w:val="479D2523"/>
    <w:rsid w:val="47CF49E6"/>
    <w:rsid w:val="48674ED2"/>
    <w:rsid w:val="487708E6"/>
    <w:rsid w:val="48B540F2"/>
    <w:rsid w:val="48D75D0D"/>
    <w:rsid w:val="493F6F72"/>
    <w:rsid w:val="49645F71"/>
    <w:rsid w:val="499F5C68"/>
    <w:rsid w:val="4A52465C"/>
    <w:rsid w:val="4A5C4AC6"/>
    <w:rsid w:val="4A662FBF"/>
    <w:rsid w:val="4AF16062"/>
    <w:rsid w:val="4B0A57E5"/>
    <w:rsid w:val="4B646DDD"/>
    <w:rsid w:val="4B7F44F8"/>
    <w:rsid w:val="4BAC24C5"/>
    <w:rsid w:val="4BFA0656"/>
    <w:rsid w:val="4C687B84"/>
    <w:rsid w:val="4D3439E8"/>
    <w:rsid w:val="4D4E2809"/>
    <w:rsid w:val="4D730507"/>
    <w:rsid w:val="4D741DD3"/>
    <w:rsid w:val="4DC93207"/>
    <w:rsid w:val="4E010C4C"/>
    <w:rsid w:val="4E214B2B"/>
    <w:rsid w:val="4E3623F2"/>
    <w:rsid w:val="4E860D2E"/>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05213A"/>
    <w:rsid w:val="59472AC7"/>
    <w:rsid w:val="59D514A6"/>
    <w:rsid w:val="59EC6E09"/>
    <w:rsid w:val="5AB343F7"/>
    <w:rsid w:val="5ABF50F2"/>
    <w:rsid w:val="5AF25D13"/>
    <w:rsid w:val="5AF76904"/>
    <w:rsid w:val="5B052E7A"/>
    <w:rsid w:val="5B3D7F7E"/>
    <w:rsid w:val="5B4276BB"/>
    <w:rsid w:val="5B7C7777"/>
    <w:rsid w:val="5BEC6771"/>
    <w:rsid w:val="5CA506B9"/>
    <w:rsid w:val="5CF74CE4"/>
    <w:rsid w:val="5D5A7C63"/>
    <w:rsid w:val="5E256F6F"/>
    <w:rsid w:val="5F6235A9"/>
    <w:rsid w:val="60DC439E"/>
    <w:rsid w:val="614125C2"/>
    <w:rsid w:val="61AA1D1F"/>
    <w:rsid w:val="624C5C52"/>
    <w:rsid w:val="63DF08E4"/>
    <w:rsid w:val="646E1097"/>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BD947C7"/>
    <w:rsid w:val="6C834DAA"/>
    <w:rsid w:val="6C993CCE"/>
    <w:rsid w:val="6CF120A8"/>
    <w:rsid w:val="6D72413D"/>
    <w:rsid w:val="6FF50B81"/>
    <w:rsid w:val="70330B9C"/>
    <w:rsid w:val="712D2FD0"/>
    <w:rsid w:val="714213DD"/>
    <w:rsid w:val="717F272E"/>
    <w:rsid w:val="72783A23"/>
    <w:rsid w:val="728027C6"/>
    <w:rsid w:val="733B5877"/>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14</TotalTime>
  <ScaleCrop>false</ScaleCrop>
  <LinksUpToDate>false</LinksUpToDate>
  <CharactersWithSpaces>10118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幸运雨</cp:lastModifiedBy>
  <cp:lastPrinted>2024-01-23T03:39:00Z</cp:lastPrinted>
  <dcterms:modified xsi:type="dcterms:W3CDTF">2024-02-26T02:07:19Z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55B953F295D6494893BA386E8A358B4B_13</vt:lpwstr>
  </property>
</Properties>
</file>