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ascii="宋体" w:hAnsi="宋体" w:eastAsia="宋体" w:cs="宋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u w:val="none"/>
          <w:lang w:val="en-US" w:eastAsia="zh-CN"/>
        </w:rPr>
        <w:t>桦甸市统计局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snapToGrid w:val="0"/>
        <w:spacing w:line="487" w:lineRule="atLeast"/>
        <w:ind w:firstLine="640"/>
        <w:textAlignment w:val="baseline"/>
        <w:rPr>
          <w:rFonts w:hint="eastAsia" w:ascii="黑体" w:hAnsi="黑体" w:eastAsia="黑体" w:cs="黑体"/>
        </w:rPr>
      </w:pPr>
      <w:r>
        <w:rPr>
          <w:rFonts w:hint="eastAsia" w:ascii="仿宋_GB2312" w:hAnsi="仿宋_GB2312" w:cs="仿宋_GB2312"/>
          <w:szCs w:val="32"/>
        </w:rPr>
        <w:t>根据《中共吉林省委办公厅</w:t>
      </w:r>
      <w:r>
        <w:rPr>
          <w:rFonts w:hint="eastAsia" w:ascii="仿宋_GB2312" w:hAnsi="仿宋_GB2312" w:cs="仿宋_GB2312"/>
          <w:szCs w:val="32"/>
          <w:lang w:val="en-US" w:eastAsia="zh-CN"/>
        </w:rPr>
        <w:t>、</w:t>
      </w:r>
      <w:r>
        <w:rPr>
          <w:rFonts w:hint="eastAsia" w:ascii="仿宋_GB2312" w:hAnsi="仿宋_GB2312" w:cs="仿宋_GB2312"/>
          <w:szCs w:val="32"/>
        </w:rPr>
        <w:t>吉林省人民政府办公厅关于印发&lt;吉林省人民政府机构改革方案的实施意见&gt;的通知》（吉办发[2008]36号）和省编办《关于印发&lt;省以下垂直管理系统市（州）、市（市、区）局机关机构改革指导意见&gt;的通知》（吉编办[2009]51号），设立桦甸市统计局，为吉林市统计局的直属机构。</w:t>
      </w:r>
    </w:p>
    <w:p>
      <w:pPr>
        <w:spacing w:line="560" w:lineRule="exact"/>
        <w:ind w:firstLine="640" w:firstLineChars="200"/>
        <w:rPr>
          <w:rFonts w:hint="eastAsia" w:ascii="仿宋_GB2312" w:hAnsi="仿宋_GB2312" w:cs="仿宋_GB2312"/>
          <w:szCs w:val="32"/>
        </w:rPr>
      </w:pPr>
      <w:r>
        <w:rPr>
          <w:rFonts w:hint="eastAsia" w:eastAsia="楷体_GB2312"/>
          <w:szCs w:val="22"/>
        </w:rPr>
        <w:t>（一）</w:t>
      </w:r>
      <w:r>
        <w:rPr>
          <w:rFonts w:hint="eastAsia" w:ascii="仿宋_GB2312" w:hAnsi="仿宋_GB2312" w:cs="仿宋_GB2312"/>
          <w:szCs w:val="32"/>
        </w:rPr>
        <w:t>贯彻执行国家统计方针、政策以及法律、法规，制定全市统计规划及统计调查计划；监督检查统计法律、法规的实施。组织领导全市统计工作，承担确保统计数据真实、准确、及时的责任。</w:t>
      </w:r>
    </w:p>
    <w:p>
      <w:pPr>
        <w:spacing w:line="560" w:lineRule="exact"/>
        <w:ind w:firstLine="640" w:firstLineChars="200"/>
        <w:rPr>
          <w:rFonts w:hint="eastAsia" w:ascii="仿宋_GB2312" w:hAnsi="仿宋_GB2312" w:cs="仿宋_GB2312"/>
          <w:szCs w:val="32"/>
        </w:rPr>
      </w:pPr>
      <w:r>
        <w:rPr>
          <w:rFonts w:hint="eastAsia" w:eastAsia="楷体_GB2312"/>
          <w:szCs w:val="22"/>
        </w:rPr>
        <w:t>（二）</w:t>
      </w:r>
      <w:r>
        <w:rPr>
          <w:rFonts w:hint="eastAsia" w:ascii="仿宋_GB2312" w:hAnsi="仿宋_GB2312" w:cs="仿宋_GB2312"/>
          <w:szCs w:val="32"/>
        </w:rPr>
        <w:t>根据国家统一的基本统计制度，建立健全全市国民经济核算体系和统计指标体系，贯彻执行全省统一的基本统计报表制度和统计标准；汇编提供全市国民经济核算资料。</w:t>
      </w:r>
    </w:p>
    <w:p>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三）组织实施重大省情省力普查计划；统一组织协调全市社会经济统计调查；汇总、整理全市基本统计资料；对国民经济、科技进步和社会发展等情况进行统计分析、统计预测预警和统计监督，向市委、市政府及有关部门提供统计信息和咨询建议。</w:t>
      </w:r>
    </w:p>
    <w:p>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（四）统一核定、管理、公布全市基本统计资料，定期向社会公众发布全市国民经济和社会发展情况的统计信息。</w:t>
      </w:r>
    </w:p>
    <w:p>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（五）建立、完善和管理全市统计信息自动化系统和全市统计数据库体系。</w:t>
      </w:r>
    </w:p>
    <w:p>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（六）负责全市统计系统的干部人事、劳动工资、机构编制和财务经费、审计监督及资产设施管理。</w:t>
      </w:r>
    </w:p>
    <w:p>
      <w:pPr>
        <w:spacing w:line="560" w:lineRule="exact"/>
        <w:ind w:firstLine="640" w:firstLineChars="200"/>
        <w:rPr>
          <w:color w:val="000000"/>
          <w:szCs w:val="32"/>
        </w:rPr>
      </w:pPr>
      <w:r>
        <w:rPr>
          <w:rFonts w:hint="eastAsia" w:ascii="仿宋_GB2312" w:hAnsi="仿宋_GB2312" w:cs="仿宋_GB2312"/>
          <w:szCs w:val="32"/>
        </w:rPr>
        <w:t>（七）承办吉林市统计局和桦甸市政府交办的其他事项。</w:t>
      </w:r>
    </w:p>
    <w:p>
      <w:pPr>
        <w:ind w:firstLine="640" w:firstLineChars="200"/>
      </w:pPr>
      <w:r>
        <w:rPr>
          <w:rFonts w:eastAsia="楷体_GB2312"/>
        </w:rPr>
        <w:t>二、机构设置</w:t>
      </w:r>
    </w:p>
    <w:p>
      <w:pPr>
        <w:pStyle w:val="48"/>
        <w:ind w:firstLine="640" w:firstLineChars="200"/>
        <w:rPr>
          <w:rFonts w:hint="eastAsia" w:ascii="仿宋_GB2312" w:hAnsi="仿宋_GB2312" w:eastAsia="仿宋_GB2312" w:cs="仿宋_GB2312"/>
        </w:rPr>
      </w:pPr>
      <w:r>
        <w:rPr>
          <w:rFonts w:hint="eastAsia" w:ascii="仿宋_GB2312" w:hAnsi="仿宋_GB2312" w:eastAsia="仿宋_GB2312" w:cs="仿宋_GB2312"/>
        </w:rPr>
        <w:t>根据上述职责，桦甸市统计局内设2个机构，分别为综合科和社会经济统计科。</w:t>
      </w:r>
    </w:p>
    <w:p>
      <w:pPr>
        <w:pStyle w:val="48"/>
        <w:ind w:firstLine="640" w:firstLineChars="200"/>
        <w:rPr>
          <w:rFonts w:hAnsi="楷体" w:eastAsia="楷体"/>
        </w:rPr>
      </w:pPr>
      <w:r>
        <w:rPr>
          <w:rFonts w:hint="eastAsia" w:ascii="仿宋_GB2312" w:hAnsi="仿宋_GB2312" w:eastAsia="仿宋_GB2312" w:cs="仿宋_GB2312"/>
        </w:rPr>
        <w:t>无下设预算单位。</w:t>
      </w:r>
    </w:p>
    <w:p>
      <w:pPr>
        <w:pStyle w:val="48"/>
        <w:ind w:firstLine="640" w:firstLineChars="200"/>
        <w:rPr>
          <w:rFonts w:eastAsia="仿宋_GB2312"/>
        </w:rPr>
      </w:pPr>
    </w:p>
    <w:p>
      <w:pPr>
        <w:pStyle w:val="48"/>
        <w:ind w:firstLine="640" w:firstLineChars="200"/>
        <w:rPr>
          <w:rFonts w:eastAsia="楷体"/>
        </w:rPr>
      </w:pP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190.23</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173.43</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16.80</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153.28</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141.57</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11.71</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190.23</w:t>
            </w:r>
          </w:p>
        </w:tc>
        <w:tc>
          <w:tcPr>
            <w:tcW w:w="984" w:type="dxa"/>
            <w:gridSpan w:val="2"/>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173.43</w:t>
            </w:r>
          </w:p>
        </w:tc>
        <w:tc>
          <w:tcPr>
            <w:tcW w:w="1134" w:type="dxa"/>
            <w:tcBorders>
              <w:top w:val="nil"/>
              <w:left w:val="single" w:color="auto" w:sz="4" w:space="0"/>
              <w:bottom w:val="single" w:color="auto" w:sz="4" w:space="0"/>
              <w:right w:val="nil"/>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16.80</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二、</w:t>
            </w:r>
            <w:r>
              <w:rPr>
                <w:rFonts w:hint="eastAsia" w:ascii="宋体" w:hAnsi="宋体" w:eastAsia="宋体" w:cs="宋体"/>
                <w:color w:val="000000"/>
                <w:sz w:val="20"/>
                <w:szCs w:val="20"/>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24.72</w:t>
            </w:r>
          </w:p>
        </w:tc>
        <w:tc>
          <w:tcPr>
            <w:tcW w:w="1182" w:type="dxa"/>
            <w:gridSpan w:val="2"/>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20.59</w:t>
            </w:r>
          </w:p>
        </w:tc>
        <w:tc>
          <w:tcPr>
            <w:tcW w:w="1158" w:type="dxa"/>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4.13</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三、</w:t>
            </w:r>
            <w:r>
              <w:rPr>
                <w:rFonts w:hint="eastAsia" w:ascii="宋体" w:hAnsi="宋体" w:eastAsia="宋体" w:cs="宋体"/>
                <w:color w:val="000000"/>
                <w:kern w:val="0"/>
                <w:sz w:val="20"/>
                <w:szCs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3.01</w:t>
            </w:r>
          </w:p>
        </w:tc>
        <w:tc>
          <w:tcPr>
            <w:tcW w:w="1182" w:type="dxa"/>
            <w:gridSpan w:val="2"/>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3.01</w:t>
            </w: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hint="eastAsia" w:ascii="宋体" w:hAnsi="宋体" w:eastAsia="宋体" w:cs="宋体"/>
                <w:color w:val="000000"/>
                <w:kern w:val="0"/>
                <w:sz w:val="20"/>
                <w:szCs w:val="20"/>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9.22</w:t>
            </w:r>
          </w:p>
        </w:tc>
        <w:tc>
          <w:tcPr>
            <w:tcW w:w="1182" w:type="dxa"/>
            <w:gridSpan w:val="2"/>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8.26</w:t>
            </w:r>
          </w:p>
        </w:tc>
        <w:tc>
          <w:tcPr>
            <w:tcW w:w="1158" w:type="dxa"/>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0.96</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190.23</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173.43</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16.80</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b/>
                <w:bCs/>
                <w:kern w:val="0"/>
                <w:sz w:val="20"/>
                <w:lang w:val="en-US" w:eastAsia="zh-CN"/>
              </w:rPr>
            </w:pPr>
            <w:r>
              <w:rPr>
                <w:rFonts w:hint="eastAsia" w:eastAsia="宋体"/>
                <w:kern w:val="0"/>
                <w:sz w:val="20"/>
                <w:lang w:val="en-US" w:eastAsia="zh-CN"/>
              </w:rPr>
              <w:t>190.23</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173.43</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16.80</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190.23</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173.43</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16.80</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190.23</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173.43</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16.80</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839" w:type="dxa"/>
        <w:jc w:val="center"/>
        <w:tblLayout w:type="fixed"/>
        <w:tblCellMar>
          <w:top w:w="0" w:type="dxa"/>
          <w:left w:w="108" w:type="dxa"/>
          <w:bottom w:w="0" w:type="dxa"/>
          <w:right w:w="108" w:type="dxa"/>
        </w:tblCellMar>
      </w:tblPr>
      <w:tblGrid>
        <w:gridCol w:w="1466"/>
        <w:gridCol w:w="814"/>
        <w:gridCol w:w="793"/>
        <w:gridCol w:w="817"/>
        <w:gridCol w:w="375"/>
        <w:gridCol w:w="347"/>
        <w:gridCol w:w="418"/>
        <w:gridCol w:w="300"/>
        <w:gridCol w:w="311"/>
        <w:gridCol w:w="300"/>
        <w:gridCol w:w="321"/>
        <w:gridCol w:w="303"/>
        <w:gridCol w:w="675"/>
        <w:gridCol w:w="691"/>
        <w:gridCol w:w="236"/>
        <w:gridCol w:w="187"/>
        <w:gridCol w:w="466"/>
        <w:gridCol w:w="510"/>
        <w:gridCol w:w="509"/>
      </w:tblGrid>
      <w:tr>
        <w:tblPrEx>
          <w:tblCellMar>
            <w:top w:w="0" w:type="dxa"/>
            <w:left w:w="108" w:type="dxa"/>
            <w:bottom w:w="0" w:type="dxa"/>
            <w:right w:w="108" w:type="dxa"/>
          </w:tblCellMar>
        </w:tblPrEx>
        <w:trPr>
          <w:trHeight w:val="335" w:hRule="atLeast"/>
          <w:jc w:val="center"/>
        </w:trPr>
        <w:tc>
          <w:tcPr>
            <w:tcW w:w="1466" w:type="dxa"/>
            <w:tcBorders>
              <w:bottom w:val="single" w:color="000000" w:sz="4" w:space="0"/>
            </w:tcBorders>
            <w:noWrap w:val="0"/>
            <w:vAlign w:val="top"/>
          </w:tcPr>
          <w:p>
            <w:pPr>
              <w:autoSpaceDN w:val="0"/>
              <w:jc w:val="left"/>
              <w:textAlignment w:val="center"/>
              <w:rPr>
                <w:rFonts w:eastAsia="华文细黑"/>
                <w:color w:val="000000"/>
                <w:sz w:val="20"/>
              </w:rPr>
            </w:pPr>
          </w:p>
        </w:tc>
        <w:tc>
          <w:tcPr>
            <w:tcW w:w="3864" w:type="dxa"/>
            <w:gridSpan w:val="7"/>
            <w:tcBorders>
              <w:bottom w:val="single" w:color="000000" w:sz="4" w:space="0"/>
            </w:tcBorders>
            <w:noWrap w:val="0"/>
            <w:vAlign w:val="center"/>
          </w:tcPr>
          <w:p>
            <w:pPr>
              <w:autoSpaceDN w:val="0"/>
              <w:jc w:val="left"/>
              <w:textAlignment w:val="center"/>
              <w:rPr>
                <w:rFonts w:eastAsia="华文细黑"/>
                <w:color w:val="000000"/>
                <w:sz w:val="20"/>
              </w:rPr>
            </w:pPr>
          </w:p>
        </w:tc>
        <w:tc>
          <w:tcPr>
            <w:tcW w:w="932" w:type="dxa"/>
            <w:gridSpan w:val="3"/>
            <w:noWrap w:val="0"/>
            <w:vAlign w:val="center"/>
          </w:tcPr>
          <w:p>
            <w:pPr>
              <w:autoSpaceDN w:val="0"/>
              <w:jc w:val="left"/>
              <w:textAlignment w:val="center"/>
              <w:rPr>
                <w:rFonts w:eastAsia="华文细黑"/>
                <w:color w:val="000000"/>
                <w:sz w:val="20"/>
              </w:rPr>
            </w:pPr>
          </w:p>
        </w:tc>
        <w:tc>
          <w:tcPr>
            <w:tcW w:w="303" w:type="dxa"/>
            <w:noWrap w:val="0"/>
            <w:vAlign w:val="center"/>
          </w:tcPr>
          <w:p>
            <w:pPr>
              <w:autoSpaceDN w:val="0"/>
              <w:jc w:val="left"/>
              <w:textAlignment w:val="center"/>
              <w:rPr>
                <w:rFonts w:eastAsia="华文细黑"/>
                <w:color w:val="000000"/>
                <w:sz w:val="20"/>
              </w:rPr>
            </w:pPr>
          </w:p>
        </w:tc>
        <w:tc>
          <w:tcPr>
            <w:tcW w:w="1366" w:type="dxa"/>
            <w:gridSpan w:val="2"/>
            <w:noWrap w:val="0"/>
            <w:vAlign w:val="center"/>
          </w:tcPr>
          <w:p>
            <w:pPr>
              <w:autoSpaceDN w:val="0"/>
              <w:jc w:val="left"/>
              <w:textAlignment w:val="center"/>
              <w:rPr>
                <w:rFonts w:eastAsia="华文细黑"/>
                <w:color w:val="000000"/>
                <w:sz w:val="20"/>
              </w:rPr>
            </w:pPr>
          </w:p>
        </w:tc>
        <w:tc>
          <w:tcPr>
            <w:tcW w:w="236" w:type="dxa"/>
            <w:noWrap w:val="0"/>
            <w:vAlign w:val="bottom"/>
          </w:tcPr>
          <w:p>
            <w:pPr>
              <w:autoSpaceDN w:val="0"/>
              <w:jc w:val="right"/>
              <w:textAlignment w:val="bottom"/>
              <w:rPr>
                <w:rFonts w:eastAsia="宋体"/>
                <w:color w:val="000000"/>
                <w:sz w:val="20"/>
              </w:rPr>
            </w:pPr>
          </w:p>
        </w:tc>
        <w:tc>
          <w:tcPr>
            <w:tcW w:w="1672" w:type="dxa"/>
            <w:gridSpan w:val="4"/>
            <w:noWrap w:val="0"/>
            <w:vAlign w:val="bottom"/>
          </w:tcPr>
          <w:p>
            <w:pPr>
              <w:wordWrap/>
              <w:autoSpaceDN w:val="0"/>
              <w:ind w:firstLine="400" w:firstLineChars="200"/>
              <w:jc w:val="both"/>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trHeight w:val="517" w:hRule="atLeast"/>
          <w:jc w:val="center"/>
        </w:trPr>
        <w:tc>
          <w:tcPr>
            <w:tcW w:w="1466"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814"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285" w:type="dxa"/>
            <w:gridSpan w:val="10"/>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3274" w:type="dxa"/>
            <w:gridSpan w:val="7"/>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trHeight w:val="517" w:hRule="atLeast"/>
          <w:jc w:val="center"/>
        </w:trPr>
        <w:tc>
          <w:tcPr>
            <w:tcW w:w="1466"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814"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793"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39"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418"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535" w:type="dxa"/>
            <w:gridSpan w:val="5"/>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675"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80"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财政拨款结转</w:t>
            </w:r>
          </w:p>
        </w:tc>
        <w:tc>
          <w:tcPr>
            <w:tcW w:w="1019"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trHeight w:val="2818" w:hRule="atLeast"/>
          <w:jc w:val="center"/>
        </w:trPr>
        <w:tc>
          <w:tcPr>
            <w:tcW w:w="1466"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14"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93"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1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75"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4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418"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1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0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675" w:type="dxa"/>
            <w:vMerge w:val="continue"/>
            <w:tcBorders>
              <w:left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69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423"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466"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51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50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trHeight w:val="517" w:hRule="atLeast"/>
          <w:jc w:val="center"/>
        </w:trPr>
        <w:tc>
          <w:tcPr>
            <w:tcW w:w="1466"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桦甸市统计局</w:t>
            </w:r>
          </w:p>
        </w:tc>
        <w:tc>
          <w:tcPr>
            <w:tcW w:w="8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190.23</w:t>
            </w:r>
          </w:p>
        </w:tc>
        <w:tc>
          <w:tcPr>
            <w:tcW w:w="79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173.43</w:t>
            </w:r>
          </w:p>
        </w:tc>
        <w:tc>
          <w:tcPr>
            <w:tcW w:w="8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173.43</w:t>
            </w:r>
          </w:p>
        </w:tc>
        <w:tc>
          <w:tcPr>
            <w:tcW w:w="37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8"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0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16.80</w:t>
            </w:r>
          </w:p>
        </w:tc>
        <w:tc>
          <w:tcPr>
            <w:tcW w:w="6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16.80</w:t>
            </w:r>
          </w:p>
        </w:tc>
        <w:tc>
          <w:tcPr>
            <w:tcW w:w="42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466"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9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8"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0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466"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9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8"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0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466"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9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8"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0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30" w:hRule="atLeast"/>
          <w:jc w:val="center"/>
        </w:trPr>
        <w:tc>
          <w:tcPr>
            <w:tcW w:w="1466"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190.23</w:t>
            </w:r>
          </w:p>
        </w:tc>
        <w:tc>
          <w:tcPr>
            <w:tcW w:w="79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173.43</w:t>
            </w:r>
          </w:p>
        </w:tc>
        <w:tc>
          <w:tcPr>
            <w:tcW w:w="8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173.43</w:t>
            </w:r>
          </w:p>
        </w:tc>
        <w:tc>
          <w:tcPr>
            <w:tcW w:w="37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4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8"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0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16.80</w:t>
            </w:r>
          </w:p>
        </w:tc>
        <w:tc>
          <w:tcPr>
            <w:tcW w:w="6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16.80</w:t>
            </w:r>
          </w:p>
        </w:tc>
        <w:tc>
          <w:tcPr>
            <w:tcW w:w="42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4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3853"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355"/>
              <w:gridCol w:w="1061"/>
              <w:gridCol w:w="1306"/>
              <w:gridCol w:w="1090"/>
              <w:gridCol w:w="1297"/>
              <w:gridCol w:w="1266"/>
              <w:gridCol w:w="30"/>
              <w:gridCol w:w="1297"/>
              <w:gridCol w:w="138"/>
            </w:tblGrid>
            <w:tr>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pPr>
                    <w:widowControl/>
                    <w:jc w:val="left"/>
                    <w:rPr>
                      <w:rFonts w:eastAsia="华文细黑"/>
                      <w:color w:val="000000"/>
                      <w:kern w:val="0"/>
                      <w:sz w:val="20"/>
                    </w:rPr>
                  </w:pPr>
                </w:p>
              </w:tc>
              <w:tc>
                <w:tcPr>
                  <w:tcW w:w="1297" w:type="dxa"/>
                  <w:tcBorders>
                    <w:bottom w:val="single" w:color="000000" w:sz="4" w:space="0"/>
                  </w:tcBorders>
                  <w:noWrap w:val="0"/>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2211" w:hRule="atLeast"/>
              </w:trPr>
              <w:tc>
                <w:tcPr>
                  <w:tcW w:w="2355"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061"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lang w:val="en-US"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591" w:hRule="atLeast"/>
              </w:trPr>
              <w:tc>
                <w:tcPr>
                  <w:tcW w:w="2355"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06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153.28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84.00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69.28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510" w:hRule="atLeast"/>
              </w:trPr>
              <w:tc>
                <w:tcPr>
                  <w:tcW w:w="2355"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default" w:eastAsia="宋体"/>
                      <w:color w:val="000000"/>
                      <w:kern w:val="0"/>
                      <w:sz w:val="20"/>
                      <w:lang w:val="en-US" w:eastAsia="zh-CN"/>
                    </w:rPr>
                  </w:pPr>
                  <w:r>
                    <w:rPr>
                      <w:rFonts w:hint="eastAsia" w:eastAsia="宋体"/>
                      <w:color w:val="000000"/>
                      <w:kern w:val="0"/>
                      <w:sz w:val="20"/>
                      <w:lang w:val="en-US" w:eastAsia="zh-CN"/>
                    </w:rPr>
                    <w:t>统计信息事务</w:t>
                  </w:r>
                </w:p>
              </w:tc>
              <w:tc>
                <w:tcPr>
                  <w:tcW w:w="106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153.28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84.00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69.28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10" w:hRule="atLeast"/>
              </w:trPr>
              <w:tc>
                <w:tcPr>
                  <w:tcW w:w="235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06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84.00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84.00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80" w:hRule="atLeast"/>
              </w:trPr>
              <w:tc>
                <w:tcPr>
                  <w:tcW w:w="235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eastAsia="宋体"/>
                      <w:color w:val="000000"/>
                      <w:kern w:val="0"/>
                      <w:sz w:val="20"/>
                    </w:rPr>
                    <w:t xml:space="preserve">      </w:t>
                  </w:r>
                  <w:r>
                    <w:rPr>
                      <w:rFonts w:hint="eastAsia" w:eastAsia="宋体"/>
                      <w:color w:val="000000"/>
                      <w:kern w:val="0"/>
                      <w:sz w:val="20"/>
                      <w:lang w:val="en-US" w:eastAsia="zh-CN"/>
                    </w:rPr>
                    <w:t>一般行政管理事务</w:t>
                  </w:r>
                </w:p>
              </w:tc>
              <w:tc>
                <w:tcPr>
                  <w:tcW w:w="106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24.37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24.37</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80" w:hRule="atLeast"/>
              </w:trPr>
              <w:tc>
                <w:tcPr>
                  <w:tcW w:w="235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专项普查活动</w:t>
                  </w:r>
                </w:p>
              </w:tc>
              <w:tc>
                <w:tcPr>
                  <w:tcW w:w="106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44.91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44.91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10" w:hRule="atLeast"/>
              </w:trPr>
              <w:tc>
                <w:tcPr>
                  <w:tcW w:w="235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二、</w:t>
                  </w:r>
                  <w:r>
                    <w:rPr>
                      <w:rFonts w:ascii="宋体" w:hAnsi="宋体" w:eastAsia="宋体" w:cs="宋体"/>
                      <w:spacing w:val="8"/>
                      <w:sz w:val="20"/>
                      <w:szCs w:val="20"/>
                    </w:rPr>
                    <w:t>社会保障和就业支</w:t>
                  </w:r>
                  <w:r>
                    <w:rPr>
                      <w:rFonts w:ascii="宋体" w:hAnsi="宋体" w:eastAsia="宋体" w:cs="宋体"/>
                      <w:sz w:val="20"/>
                      <w:szCs w:val="20"/>
                    </w:rPr>
                    <w:t>出</w:t>
                  </w:r>
                </w:p>
              </w:tc>
              <w:tc>
                <w:tcPr>
                  <w:tcW w:w="106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24.72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24.72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0" w:hRule="atLeast"/>
              </w:trPr>
              <w:tc>
                <w:tcPr>
                  <w:tcW w:w="2355" w:type="dxa"/>
                  <w:tcBorders>
                    <w:top w:val="single" w:color="000000" w:sz="4" w:space="0"/>
                    <w:left w:val="single" w:color="000000" w:sz="4" w:space="0"/>
                    <w:bottom w:val="single" w:color="000000" w:sz="4" w:space="0"/>
                  </w:tcBorders>
                  <w:shd w:val="clear" w:color="000000" w:fill="FFFFFF"/>
                  <w:noWrap w:val="0"/>
                  <w:vAlign w:val="center"/>
                </w:tcPr>
                <w:p>
                  <w:pPr>
                    <w:widowControl/>
                    <w:ind w:firstLine="456" w:firstLineChars="200"/>
                    <w:jc w:val="left"/>
                    <w:rPr>
                      <w:rFonts w:eastAsia="宋体"/>
                      <w:color w:val="000000"/>
                      <w:kern w:val="0"/>
                      <w:sz w:val="20"/>
                    </w:rPr>
                  </w:pPr>
                  <w:r>
                    <w:rPr>
                      <w:rFonts w:ascii="宋体" w:hAnsi="宋体" w:eastAsia="宋体" w:cs="宋体"/>
                      <w:spacing w:val="14"/>
                      <w:sz w:val="20"/>
                      <w:szCs w:val="20"/>
                    </w:rPr>
                    <w:t>行</w:t>
                  </w:r>
                  <w:r>
                    <w:rPr>
                      <w:rFonts w:ascii="宋体" w:hAnsi="宋体" w:eastAsia="宋体" w:cs="宋体"/>
                      <w:spacing w:val="8"/>
                      <w:sz w:val="20"/>
                      <w:szCs w:val="20"/>
                    </w:rPr>
                    <w:t>政事业单位养老支</w:t>
                  </w:r>
                  <w:r>
                    <w:rPr>
                      <w:rFonts w:ascii="宋体" w:hAnsi="宋体" w:eastAsia="宋体" w:cs="宋体"/>
                      <w:sz w:val="20"/>
                      <w:szCs w:val="20"/>
                    </w:rPr>
                    <w:t>出</w:t>
                  </w:r>
                </w:p>
              </w:tc>
              <w:tc>
                <w:tcPr>
                  <w:tcW w:w="106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24.72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24.72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95" w:hRule="atLeast"/>
              </w:trPr>
              <w:tc>
                <w:tcPr>
                  <w:tcW w:w="235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ascii="宋体" w:hAnsi="宋体" w:eastAsia="宋体" w:cs="宋体"/>
                      <w:spacing w:val="9"/>
                      <w:sz w:val="20"/>
                      <w:szCs w:val="20"/>
                    </w:rPr>
                    <w:t>行</w:t>
                  </w:r>
                  <w:r>
                    <w:rPr>
                      <w:rFonts w:ascii="宋体" w:hAnsi="宋体" w:eastAsia="宋体" w:cs="宋体"/>
                      <w:spacing w:val="8"/>
                      <w:sz w:val="20"/>
                      <w:szCs w:val="20"/>
                    </w:rPr>
                    <w:t>政单位离退休</w:t>
                  </w:r>
                </w:p>
              </w:tc>
              <w:tc>
                <w:tcPr>
                  <w:tcW w:w="106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12.41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12.41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698" w:hRule="atLeast"/>
              </w:trPr>
              <w:tc>
                <w:tcPr>
                  <w:tcW w:w="235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ascii="宋体" w:hAnsi="宋体" w:eastAsia="宋体" w:cs="宋体"/>
                      <w:spacing w:val="9"/>
                      <w:sz w:val="20"/>
                      <w:szCs w:val="20"/>
                    </w:rPr>
                    <w:t>机关事业单位基</w:t>
                  </w:r>
                  <w:r>
                    <w:rPr>
                      <w:rFonts w:ascii="宋体" w:hAnsi="宋体" w:eastAsia="宋体" w:cs="宋体"/>
                      <w:spacing w:val="8"/>
                      <w:sz w:val="20"/>
                      <w:szCs w:val="20"/>
                    </w:rPr>
                    <w:t>本</w:t>
                  </w:r>
                  <w:r>
                    <w:rPr>
                      <w:rFonts w:ascii="宋体" w:hAnsi="宋体" w:eastAsia="宋体" w:cs="宋体"/>
                      <w:spacing w:val="13"/>
                      <w:sz w:val="20"/>
                      <w:szCs w:val="20"/>
                    </w:rPr>
                    <w:t>养</w:t>
                  </w:r>
                  <w:r>
                    <w:rPr>
                      <w:rFonts w:ascii="宋体" w:hAnsi="宋体" w:eastAsia="宋体" w:cs="宋体"/>
                      <w:spacing w:val="8"/>
                      <w:sz w:val="20"/>
                      <w:szCs w:val="20"/>
                    </w:rPr>
                    <w:t>老保险缴费支出</w:t>
                  </w:r>
                </w:p>
              </w:tc>
              <w:tc>
                <w:tcPr>
                  <w:tcW w:w="106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12.31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12.31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10" w:hRule="atLeast"/>
              </w:trPr>
              <w:tc>
                <w:tcPr>
                  <w:tcW w:w="235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ascii="宋体" w:hAnsi="宋体" w:eastAsia="宋体" w:cs="宋体"/>
                      <w:spacing w:val="14"/>
                      <w:position w:val="1"/>
                      <w:sz w:val="20"/>
                      <w:szCs w:val="20"/>
                    </w:rPr>
                    <w:t>三</w:t>
                  </w:r>
                  <w:r>
                    <w:rPr>
                      <w:rFonts w:ascii="宋体" w:hAnsi="宋体" w:eastAsia="宋体" w:cs="宋体"/>
                      <w:spacing w:val="8"/>
                      <w:position w:val="1"/>
                      <w:sz w:val="20"/>
                      <w:szCs w:val="20"/>
                    </w:rPr>
                    <w:t>、卫生健康支出</w:t>
                  </w:r>
                </w:p>
              </w:tc>
              <w:tc>
                <w:tcPr>
                  <w:tcW w:w="106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3.01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3.01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35" w:hRule="atLeast"/>
              </w:trPr>
              <w:tc>
                <w:tcPr>
                  <w:tcW w:w="2355" w:type="dxa"/>
                  <w:tcBorders>
                    <w:top w:val="single" w:color="000000" w:sz="4" w:space="0"/>
                    <w:left w:val="single" w:color="000000" w:sz="4" w:space="0"/>
                    <w:bottom w:val="single" w:color="000000" w:sz="4" w:space="0"/>
                  </w:tcBorders>
                  <w:shd w:val="clear" w:color="000000" w:fill="FFFFFF"/>
                  <w:noWrap w:val="0"/>
                  <w:vAlign w:val="center"/>
                </w:tcPr>
                <w:p>
                  <w:pPr>
                    <w:widowControl/>
                    <w:ind w:firstLine="444" w:firstLineChars="200"/>
                    <w:jc w:val="left"/>
                    <w:rPr>
                      <w:rFonts w:eastAsia="宋体"/>
                      <w:color w:val="000000"/>
                      <w:kern w:val="0"/>
                      <w:sz w:val="20"/>
                    </w:rPr>
                  </w:pPr>
                  <w:r>
                    <w:rPr>
                      <w:rFonts w:ascii="宋体" w:hAnsi="宋体" w:eastAsia="宋体" w:cs="宋体"/>
                      <w:spacing w:val="11"/>
                      <w:sz w:val="20"/>
                      <w:szCs w:val="20"/>
                    </w:rPr>
                    <w:t>行</w:t>
                  </w:r>
                  <w:r>
                    <w:rPr>
                      <w:rFonts w:ascii="宋体" w:hAnsi="宋体" w:eastAsia="宋体" w:cs="宋体"/>
                      <w:spacing w:val="8"/>
                      <w:sz w:val="20"/>
                      <w:szCs w:val="20"/>
                    </w:rPr>
                    <w:t>政事业单位医疗</w:t>
                  </w:r>
                </w:p>
              </w:tc>
              <w:tc>
                <w:tcPr>
                  <w:tcW w:w="106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3.01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3.01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5" w:hRule="atLeast"/>
              </w:trPr>
              <w:tc>
                <w:tcPr>
                  <w:tcW w:w="235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ascii="宋体" w:hAnsi="宋体" w:eastAsia="宋体" w:cs="宋体"/>
                      <w:spacing w:val="8"/>
                      <w:sz w:val="20"/>
                      <w:szCs w:val="20"/>
                    </w:rPr>
                    <w:t>行政单位医疗</w:t>
                  </w:r>
                </w:p>
              </w:tc>
              <w:tc>
                <w:tcPr>
                  <w:tcW w:w="106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3.01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3.01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35" w:hRule="atLeast"/>
              </w:trPr>
              <w:tc>
                <w:tcPr>
                  <w:tcW w:w="235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ascii="宋体" w:hAnsi="宋体" w:eastAsia="宋体" w:cs="宋体"/>
                      <w:spacing w:val="9"/>
                      <w:sz w:val="20"/>
                      <w:szCs w:val="20"/>
                    </w:rPr>
                    <w:t>四</w:t>
                  </w:r>
                  <w:r>
                    <w:rPr>
                      <w:rFonts w:ascii="宋体" w:hAnsi="宋体" w:eastAsia="宋体" w:cs="宋体"/>
                      <w:spacing w:val="6"/>
                      <w:sz w:val="20"/>
                      <w:szCs w:val="20"/>
                    </w:rPr>
                    <w:t>、住房保障支出</w:t>
                  </w:r>
                </w:p>
              </w:tc>
              <w:tc>
                <w:tcPr>
                  <w:tcW w:w="106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9.22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9.22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05" w:hRule="atLeast"/>
              </w:trPr>
              <w:tc>
                <w:tcPr>
                  <w:tcW w:w="2355" w:type="dxa"/>
                  <w:tcBorders>
                    <w:top w:val="single" w:color="000000" w:sz="4" w:space="0"/>
                    <w:left w:val="single" w:color="000000" w:sz="4" w:space="0"/>
                    <w:bottom w:val="single" w:color="000000" w:sz="4" w:space="0"/>
                  </w:tcBorders>
                  <w:shd w:val="clear" w:color="000000" w:fill="FFFFFF"/>
                  <w:noWrap w:val="0"/>
                  <w:vAlign w:val="center"/>
                </w:tcPr>
                <w:p>
                  <w:pPr>
                    <w:widowControl/>
                    <w:ind w:firstLine="448" w:firstLineChars="200"/>
                    <w:jc w:val="left"/>
                    <w:rPr>
                      <w:rFonts w:ascii="宋体" w:hAnsi="宋体" w:eastAsia="宋体" w:cs="宋体"/>
                      <w:spacing w:val="9"/>
                      <w:sz w:val="20"/>
                      <w:szCs w:val="20"/>
                    </w:rPr>
                  </w:pPr>
                  <w:r>
                    <w:rPr>
                      <w:rFonts w:ascii="宋体" w:hAnsi="宋体" w:eastAsia="宋体" w:cs="宋体"/>
                      <w:spacing w:val="12"/>
                      <w:sz w:val="20"/>
                      <w:szCs w:val="20"/>
                    </w:rPr>
                    <w:t>住</w:t>
                  </w:r>
                  <w:r>
                    <w:rPr>
                      <w:rFonts w:ascii="宋体" w:hAnsi="宋体" w:eastAsia="宋体" w:cs="宋体"/>
                      <w:spacing w:val="8"/>
                      <w:sz w:val="20"/>
                      <w:szCs w:val="20"/>
                    </w:rPr>
                    <w:t>房改革支出</w:t>
                  </w:r>
                </w:p>
              </w:tc>
              <w:tc>
                <w:tcPr>
                  <w:tcW w:w="106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9.22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9.22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5" w:hRule="atLeast"/>
              </w:trPr>
              <w:tc>
                <w:tcPr>
                  <w:tcW w:w="235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宋体" w:hAnsi="宋体" w:eastAsia="宋体" w:cs="宋体"/>
                      <w:spacing w:val="9"/>
                      <w:sz w:val="20"/>
                      <w:szCs w:val="20"/>
                    </w:rPr>
                  </w:pPr>
                  <w:r>
                    <w:rPr>
                      <w:rFonts w:eastAsia="宋体"/>
                      <w:color w:val="000000"/>
                      <w:kern w:val="0"/>
                      <w:sz w:val="20"/>
                    </w:rPr>
                    <w:t xml:space="preserve">      </w:t>
                  </w:r>
                  <w:r>
                    <w:rPr>
                      <w:rFonts w:ascii="宋体" w:hAnsi="宋体" w:eastAsia="宋体" w:cs="宋体"/>
                      <w:spacing w:val="9"/>
                      <w:sz w:val="20"/>
                      <w:szCs w:val="20"/>
                    </w:rPr>
                    <w:t>住</w:t>
                  </w:r>
                  <w:r>
                    <w:rPr>
                      <w:rFonts w:ascii="宋体" w:hAnsi="宋体" w:eastAsia="宋体" w:cs="宋体"/>
                      <w:spacing w:val="8"/>
                      <w:sz w:val="20"/>
                      <w:szCs w:val="20"/>
                    </w:rPr>
                    <w:t>房公积金</w:t>
                  </w:r>
                </w:p>
              </w:tc>
              <w:tc>
                <w:tcPr>
                  <w:tcW w:w="106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9.22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9.22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355"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06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190.23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120.95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69.28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488"/>
              <w:gridCol w:w="1034"/>
              <w:gridCol w:w="1148"/>
              <w:gridCol w:w="1"/>
              <w:gridCol w:w="1149"/>
            </w:tblGrid>
            <w:tr>
              <w:tblPrEx>
                <w:tblCellMar>
                  <w:top w:w="0" w:type="dxa"/>
                  <w:left w:w="108" w:type="dxa"/>
                  <w:bottom w:w="0" w:type="dxa"/>
                  <w:right w:w="108" w:type="dxa"/>
                </w:tblCellMar>
              </w:tblPrEx>
              <w:trPr>
                <w:trHeight w:val="634" w:hRule="atLeast"/>
              </w:trPr>
              <w:tc>
                <w:tcPr>
                  <w:tcW w:w="9640" w:type="dxa"/>
                  <w:gridSpan w:val="9"/>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9"/>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48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34"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190.23</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173.43</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16.80</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190.23</w:t>
                  </w:r>
                </w:p>
              </w:tc>
              <w:tc>
                <w:tcPr>
                  <w:tcW w:w="114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173.43</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16.80</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190.23</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173.43</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16.80</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val="en-US" w:eastAsia="zh-CN"/>
                    </w:rPr>
                    <w:t>支出</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153.28</w:t>
                  </w:r>
                </w:p>
              </w:tc>
              <w:tc>
                <w:tcPr>
                  <w:tcW w:w="114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141.57</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11.71</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ascii="宋体" w:hAnsi="宋体" w:eastAsia="宋体" w:cs="宋体"/>
                      <w:color w:val="000000"/>
                      <w:sz w:val="20"/>
                    </w:rPr>
                    <w:t>社会保障和就业支出</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24.72</w:t>
                  </w:r>
                </w:p>
              </w:tc>
              <w:tc>
                <w:tcPr>
                  <w:tcW w:w="114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20.59</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4.13</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ascii="宋体" w:hAnsi="宋体" w:eastAsia="宋体" w:cs="宋体"/>
                      <w:color w:val="000000"/>
                      <w:kern w:val="0"/>
                      <w:sz w:val="20"/>
                    </w:rPr>
                    <w:t>卫生健康支出</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3.01</w:t>
                  </w:r>
                </w:p>
              </w:tc>
              <w:tc>
                <w:tcPr>
                  <w:tcW w:w="114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3.01</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hint="eastAsia" w:eastAsia="宋体"/>
                      <w:color w:val="000000"/>
                      <w:sz w:val="20"/>
                      <w:lang w:val="en-US" w:eastAsia="zh-CN"/>
                    </w:rPr>
                    <w:t>四</w:t>
                  </w:r>
                  <w:r>
                    <w:rPr>
                      <w:rFonts w:hint="eastAsia" w:eastAsia="宋体"/>
                      <w:color w:val="000000"/>
                      <w:sz w:val="20"/>
                      <w:lang w:eastAsia="zh-CN"/>
                    </w:rPr>
                    <w:t>）</w:t>
                  </w:r>
                  <w:r>
                    <w:rPr>
                      <w:rFonts w:hint="eastAsia" w:ascii="宋体" w:hAnsi="宋体" w:eastAsia="宋体" w:cs="宋体"/>
                      <w:color w:val="000000"/>
                      <w:kern w:val="0"/>
                      <w:sz w:val="20"/>
                    </w:rPr>
                    <w:t>住房保障支出</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9.22</w:t>
                  </w:r>
                </w:p>
              </w:tc>
              <w:tc>
                <w:tcPr>
                  <w:tcW w:w="114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8.26</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0.96</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1150" w:type="dxa"/>
                  <w:gridSpan w:val="2"/>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rPr>
                  </w:pPr>
                  <w:r>
                    <w:rPr>
                      <w:rFonts w:hint="eastAsia" w:eastAsia="黑体"/>
                      <w:kern w:val="0"/>
                      <w:sz w:val="20"/>
                      <w:lang w:val="en-US" w:eastAsia="zh-CN"/>
                    </w:rPr>
                    <w:t>190.23</w:t>
                  </w:r>
                  <w:r>
                    <w:rPr>
                      <w:rFonts w:eastAsia="黑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173.43</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16.80</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190.23</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173.43</w:t>
                  </w:r>
                </w:p>
              </w:tc>
              <w:tc>
                <w:tcPr>
                  <w:tcW w:w="11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16.80</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lang w:val="en-US" w:eastAsia="zh-CN"/>
                    </w:rPr>
                    <w:t>合</w:t>
                  </w:r>
                  <w:r>
                    <w:rPr>
                      <w:rFonts w:eastAsia="华文细黑"/>
                      <w:color w:val="000000"/>
                      <w:kern w:val="0"/>
                      <w:sz w:val="20"/>
                    </w:rPr>
                    <w:t>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lang w:val="en-US" w:eastAsia="zh-CN"/>
                    </w:rPr>
                    <w:t>小</w:t>
                  </w:r>
                  <w:r>
                    <w:rPr>
                      <w:rFonts w:eastAsia="华文细黑"/>
                      <w:color w:val="000000"/>
                      <w:kern w:val="0"/>
                      <w:sz w:val="20"/>
                    </w:rPr>
                    <w:t>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top"/>
                </w:tcPr>
                <w:p>
                  <w:pPr>
                    <w:spacing w:before="112" w:line="312" w:lineRule="exact"/>
                    <w:ind w:left="25" w:leftChars="0"/>
                    <w:rPr>
                      <w:rFonts w:eastAsia="华文细黑"/>
                      <w:color w:val="000000"/>
                      <w:kern w:val="0"/>
                      <w:sz w:val="20"/>
                    </w:rPr>
                  </w:pPr>
                  <w:r>
                    <w:rPr>
                      <w:rFonts w:hint="eastAsia" w:ascii="宋体" w:hAnsi="宋体" w:eastAsia="宋体" w:cs="宋体"/>
                      <w:spacing w:val="9"/>
                      <w:position w:val="1"/>
                      <w:sz w:val="20"/>
                      <w:szCs w:val="20"/>
                    </w:rPr>
                    <w:t>一、一般公共服务支</w:t>
                  </w:r>
                  <w:r>
                    <w:rPr>
                      <w:rFonts w:hint="eastAsia" w:ascii="宋体" w:hAnsi="宋体" w:eastAsia="宋体" w:cs="宋体"/>
                      <w:spacing w:val="7"/>
                      <w:position w:val="1"/>
                      <w:sz w:val="20"/>
                      <w:szCs w:val="20"/>
                    </w:rPr>
                    <w:t>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153.28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84.00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65.16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18.84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69.28</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top"/>
                </w:tcPr>
                <w:p>
                  <w:pPr>
                    <w:spacing w:before="83" w:line="229" w:lineRule="auto"/>
                    <w:ind w:firstLine="216" w:firstLineChars="100"/>
                    <w:rPr>
                      <w:rFonts w:eastAsia="华文细黑"/>
                      <w:color w:val="000000"/>
                      <w:kern w:val="0"/>
                      <w:sz w:val="20"/>
                    </w:rPr>
                  </w:pPr>
                  <w:r>
                    <w:rPr>
                      <w:rFonts w:hint="eastAsia" w:ascii="宋体" w:hAnsi="宋体" w:eastAsia="宋体" w:cs="宋体"/>
                      <w:spacing w:val="8"/>
                      <w:sz w:val="20"/>
                      <w:szCs w:val="20"/>
                    </w:rPr>
                    <w:t>统计信息事</w:t>
                  </w:r>
                  <w:r>
                    <w:rPr>
                      <w:rFonts w:hint="eastAsia" w:ascii="宋体" w:hAnsi="宋体" w:eastAsia="宋体" w:cs="宋体"/>
                      <w:spacing w:val="7"/>
                      <w:sz w:val="20"/>
                      <w:szCs w:val="20"/>
                    </w:rPr>
                    <w:t>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153.28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84.00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65.16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18.84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69.28</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top"/>
                </w:tcPr>
                <w:p>
                  <w:pPr>
                    <w:spacing w:before="83" w:line="230" w:lineRule="auto"/>
                    <w:ind w:left="426" w:leftChars="0"/>
                    <w:rPr>
                      <w:rFonts w:eastAsia="宋体"/>
                      <w:color w:val="000000"/>
                      <w:kern w:val="0"/>
                      <w:sz w:val="20"/>
                    </w:rPr>
                  </w:pPr>
                  <w:r>
                    <w:rPr>
                      <w:rFonts w:hint="eastAsia" w:ascii="宋体" w:hAnsi="宋体" w:eastAsia="宋体" w:cs="宋体"/>
                      <w:spacing w:val="7"/>
                      <w:sz w:val="20"/>
                      <w:szCs w:val="20"/>
                    </w:rPr>
                    <w:t>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84.00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84.00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65.16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18.84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top"/>
                </w:tcPr>
                <w:p>
                  <w:pPr>
                    <w:spacing w:before="83" w:line="229" w:lineRule="auto"/>
                    <w:ind w:left="426" w:leftChars="0"/>
                    <w:rPr>
                      <w:rFonts w:eastAsia="宋体"/>
                      <w:color w:val="000000"/>
                      <w:kern w:val="0"/>
                      <w:sz w:val="20"/>
                    </w:rPr>
                  </w:pPr>
                  <w:r>
                    <w:rPr>
                      <w:rFonts w:hint="eastAsia" w:ascii="宋体" w:hAnsi="宋体" w:eastAsia="宋体" w:cs="宋体"/>
                      <w:spacing w:val="11"/>
                      <w:sz w:val="20"/>
                      <w:szCs w:val="20"/>
                    </w:rPr>
                    <w:t>一</w:t>
                  </w:r>
                  <w:r>
                    <w:rPr>
                      <w:rFonts w:hint="eastAsia" w:ascii="宋体" w:hAnsi="宋体" w:eastAsia="宋体" w:cs="宋体"/>
                      <w:spacing w:val="8"/>
                      <w:sz w:val="20"/>
                      <w:szCs w:val="20"/>
                    </w:rPr>
                    <w:t>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24.37</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top"/>
                </w:tcPr>
                <w:p>
                  <w:pPr>
                    <w:spacing w:before="87" w:line="261" w:lineRule="exact"/>
                    <w:ind w:left="25" w:leftChars="0" w:firstLine="444" w:firstLineChars="200"/>
                    <w:rPr>
                      <w:rFonts w:hint="default" w:eastAsia="宋体"/>
                      <w:color w:val="000000"/>
                      <w:kern w:val="0"/>
                      <w:sz w:val="20"/>
                      <w:lang w:val="en-US" w:eastAsia="zh-CN"/>
                    </w:rPr>
                  </w:pPr>
                  <w:r>
                    <w:rPr>
                      <w:rFonts w:hint="eastAsia" w:ascii="宋体" w:hAnsi="宋体" w:eastAsia="宋体" w:cs="宋体"/>
                      <w:spacing w:val="11"/>
                      <w:sz w:val="20"/>
                      <w:szCs w:val="20"/>
                    </w:rPr>
                    <w:t>专项</w:t>
                  </w:r>
                  <w:r>
                    <w:rPr>
                      <w:rFonts w:hint="eastAsia" w:ascii="宋体" w:hAnsi="宋体" w:eastAsia="宋体" w:cs="宋体"/>
                      <w:spacing w:val="11"/>
                      <w:sz w:val="20"/>
                      <w:szCs w:val="20"/>
                      <w:lang w:val="en-US" w:eastAsia="zh-CN"/>
                    </w:rPr>
                    <w:t>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44.91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44.91</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top"/>
                </w:tcPr>
                <w:p>
                  <w:pPr>
                    <w:spacing w:before="87" w:line="261" w:lineRule="exact"/>
                    <w:ind w:left="25" w:leftChars="0"/>
                    <w:rPr>
                      <w:rFonts w:eastAsia="宋体"/>
                      <w:color w:val="000000"/>
                      <w:kern w:val="0"/>
                      <w:sz w:val="20"/>
                    </w:rPr>
                  </w:pPr>
                  <w:r>
                    <w:rPr>
                      <w:rFonts w:hint="eastAsia" w:ascii="宋体" w:hAnsi="宋体" w:eastAsia="宋体" w:cs="宋体"/>
                      <w:spacing w:val="9"/>
                      <w:position w:val="1"/>
                      <w:sz w:val="20"/>
                      <w:szCs w:val="20"/>
                    </w:rPr>
                    <w:t>二、社会保障和就业支</w:t>
                  </w:r>
                  <w:r>
                    <w:rPr>
                      <w:rFonts w:hint="eastAsia" w:ascii="宋体" w:hAnsi="宋体" w:eastAsia="宋体" w:cs="宋体"/>
                      <w:spacing w:val="7"/>
                      <w:position w:val="1"/>
                      <w:sz w:val="20"/>
                      <w:szCs w:val="20"/>
                    </w:rPr>
                    <w:t>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top"/>
                </w:tcPr>
                <w:p>
                  <w:pPr>
                    <w:spacing w:before="84" w:line="229" w:lineRule="auto"/>
                    <w:ind w:firstLine="230" w:firstLineChars="100"/>
                    <w:rPr>
                      <w:rFonts w:eastAsia="宋体"/>
                      <w:color w:val="000000"/>
                      <w:kern w:val="0"/>
                      <w:sz w:val="20"/>
                    </w:rPr>
                  </w:pPr>
                  <w:r>
                    <w:rPr>
                      <w:rFonts w:hint="eastAsia" w:ascii="宋体" w:hAnsi="宋体" w:eastAsia="宋体" w:cs="宋体"/>
                      <w:spacing w:val="15"/>
                      <w:sz w:val="20"/>
                      <w:szCs w:val="20"/>
                    </w:rPr>
                    <w:t>行</w:t>
                  </w:r>
                  <w:r>
                    <w:rPr>
                      <w:rFonts w:hint="eastAsia" w:ascii="宋体" w:hAnsi="宋体" w:eastAsia="宋体" w:cs="宋体"/>
                      <w:spacing w:val="8"/>
                      <w:sz w:val="20"/>
                      <w:szCs w:val="20"/>
                    </w:rPr>
                    <w:t>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24.72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24.72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24.72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top"/>
                </w:tcPr>
                <w:p>
                  <w:pPr>
                    <w:spacing w:before="84" w:line="229" w:lineRule="auto"/>
                    <w:ind w:left="426" w:leftChars="0"/>
                    <w:rPr>
                      <w:rFonts w:eastAsia="宋体"/>
                      <w:color w:val="000000"/>
                      <w:kern w:val="0"/>
                      <w:sz w:val="20"/>
                    </w:rPr>
                  </w:pPr>
                  <w:r>
                    <w:rPr>
                      <w:rFonts w:hint="eastAsia" w:ascii="宋体" w:hAnsi="宋体" w:eastAsia="宋体" w:cs="宋体"/>
                      <w:spacing w:val="9"/>
                      <w:sz w:val="20"/>
                      <w:szCs w:val="20"/>
                    </w:rPr>
                    <w:t>行</w:t>
                  </w:r>
                  <w:r>
                    <w:rPr>
                      <w:rFonts w:hint="eastAsia" w:ascii="宋体" w:hAnsi="宋体" w:eastAsia="宋体" w:cs="宋体"/>
                      <w:spacing w:val="8"/>
                      <w:sz w:val="20"/>
                      <w:szCs w:val="20"/>
                    </w:rPr>
                    <w:t>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top"/>
                </w:tcPr>
                <w:p>
                  <w:pPr>
                    <w:spacing w:before="51"/>
                    <w:ind w:left="23" w:leftChars="0" w:right="135" w:rightChars="0" w:firstLine="399" w:firstLineChars="0"/>
                    <w:rPr>
                      <w:rFonts w:eastAsia="宋体"/>
                      <w:color w:val="000000"/>
                      <w:kern w:val="0"/>
                      <w:sz w:val="20"/>
                    </w:rPr>
                  </w:pPr>
                  <w:r>
                    <w:rPr>
                      <w:rFonts w:hint="eastAsia" w:ascii="宋体" w:hAnsi="宋体" w:eastAsia="宋体" w:cs="宋体"/>
                      <w:spacing w:val="10"/>
                      <w:sz w:val="20"/>
                      <w:szCs w:val="20"/>
                    </w:rPr>
                    <w:t>机</w:t>
                  </w:r>
                  <w:r>
                    <w:rPr>
                      <w:rFonts w:hint="eastAsia" w:ascii="宋体" w:hAnsi="宋体" w:eastAsia="宋体" w:cs="宋体"/>
                      <w:spacing w:val="9"/>
                      <w:sz w:val="20"/>
                      <w:szCs w:val="20"/>
                    </w:rPr>
                    <w:t>关事业单位基本养老</w:t>
                  </w:r>
                  <w:r>
                    <w:rPr>
                      <w:rFonts w:hint="eastAsia" w:ascii="宋体" w:hAnsi="宋体" w:eastAsia="宋体" w:cs="宋体"/>
                      <w:spacing w:val="11"/>
                      <w:sz w:val="20"/>
                      <w:szCs w:val="20"/>
                    </w:rPr>
                    <w:t>保</w:t>
                  </w:r>
                  <w:r>
                    <w:rPr>
                      <w:rFonts w:hint="eastAsia" w:ascii="宋体" w:hAnsi="宋体" w:eastAsia="宋体" w:cs="宋体"/>
                      <w:spacing w:val="8"/>
                      <w:sz w:val="20"/>
                      <w:szCs w:val="20"/>
                    </w:rPr>
                    <w:t>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top"/>
                </w:tcPr>
                <w:p>
                  <w:pPr>
                    <w:spacing w:before="85" w:line="253" w:lineRule="exact"/>
                    <w:ind w:left="22" w:leftChars="0"/>
                    <w:rPr>
                      <w:rFonts w:eastAsia="宋体"/>
                      <w:color w:val="000000"/>
                      <w:kern w:val="0"/>
                      <w:sz w:val="20"/>
                    </w:rPr>
                  </w:pPr>
                  <w:r>
                    <w:rPr>
                      <w:rFonts w:hint="eastAsia" w:ascii="宋体" w:hAnsi="宋体" w:eastAsia="宋体" w:cs="宋体"/>
                      <w:spacing w:val="14"/>
                      <w:position w:val="1"/>
                      <w:sz w:val="20"/>
                      <w:szCs w:val="20"/>
                    </w:rPr>
                    <w:t>三</w:t>
                  </w:r>
                  <w:r>
                    <w:rPr>
                      <w:rFonts w:hint="eastAsia" w:ascii="宋体" w:hAnsi="宋体" w:eastAsia="宋体" w:cs="宋体"/>
                      <w:spacing w:val="8"/>
                      <w:position w:val="1"/>
                      <w:sz w:val="20"/>
                      <w:szCs w:val="20"/>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top"/>
                </w:tcPr>
                <w:p>
                  <w:pPr>
                    <w:spacing w:before="84" w:line="230" w:lineRule="auto"/>
                    <w:ind w:firstLine="222" w:firstLineChars="100"/>
                    <w:rPr>
                      <w:rFonts w:eastAsia="宋体"/>
                      <w:color w:val="000000"/>
                      <w:kern w:val="0"/>
                      <w:sz w:val="20"/>
                    </w:rPr>
                  </w:pPr>
                  <w:r>
                    <w:rPr>
                      <w:rFonts w:hint="eastAsia" w:ascii="宋体" w:hAnsi="宋体" w:eastAsia="宋体" w:cs="宋体"/>
                      <w:spacing w:val="11"/>
                      <w:sz w:val="20"/>
                      <w:szCs w:val="20"/>
                    </w:rPr>
                    <w:t>行</w:t>
                  </w:r>
                  <w:r>
                    <w:rPr>
                      <w:rFonts w:hint="eastAsia" w:ascii="宋体" w:hAnsi="宋体" w:eastAsia="宋体" w:cs="宋体"/>
                      <w:spacing w:val="8"/>
                      <w:sz w:val="20"/>
                      <w:szCs w:val="20"/>
                    </w:rPr>
                    <w:t>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top"/>
                </w:tcPr>
                <w:p>
                  <w:pPr>
                    <w:spacing w:before="86" w:line="230" w:lineRule="auto"/>
                    <w:ind w:left="426" w:leftChars="0"/>
                    <w:rPr>
                      <w:rFonts w:eastAsia="宋体"/>
                      <w:color w:val="000000"/>
                      <w:kern w:val="0"/>
                      <w:sz w:val="20"/>
                    </w:rPr>
                  </w:pPr>
                  <w:r>
                    <w:rPr>
                      <w:rFonts w:hint="eastAsia" w:ascii="宋体" w:hAnsi="宋体" w:eastAsia="宋体" w:cs="宋体"/>
                      <w:spacing w:val="8"/>
                      <w:sz w:val="20"/>
                      <w:szCs w:val="20"/>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top"/>
                </w:tcPr>
                <w:p>
                  <w:pPr>
                    <w:spacing w:before="86" w:line="232" w:lineRule="auto"/>
                    <w:ind w:left="41" w:leftChars="0"/>
                    <w:rPr>
                      <w:rFonts w:eastAsia="宋体"/>
                      <w:color w:val="000000"/>
                      <w:kern w:val="0"/>
                      <w:sz w:val="20"/>
                    </w:rPr>
                  </w:pPr>
                  <w:r>
                    <w:rPr>
                      <w:rFonts w:hint="eastAsia" w:ascii="宋体" w:hAnsi="宋体" w:eastAsia="宋体" w:cs="宋体"/>
                      <w:spacing w:val="9"/>
                      <w:sz w:val="20"/>
                      <w:szCs w:val="20"/>
                    </w:rPr>
                    <w:t>四</w:t>
                  </w:r>
                  <w:r>
                    <w:rPr>
                      <w:rFonts w:hint="eastAsia" w:ascii="宋体" w:hAnsi="宋体" w:eastAsia="宋体" w:cs="宋体"/>
                      <w:spacing w:val="6"/>
                      <w:sz w:val="20"/>
                      <w:szCs w:val="20"/>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top"/>
                </w:tcPr>
                <w:p>
                  <w:pPr>
                    <w:spacing w:before="86" w:line="229" w:lineRule="auto"/>
                    <w:ind w:left="220" w:leftChars="0"/>
                    <w:rPr>
                      <w:rFonts w:eastAsia="宋体"/>
                      <w:color w:val="000000"/>
                      <w:kern w:val="0"/>
                      <w:sz w:val="20"/>
                    </w:rPr>
                  </w:pPr>
                  <w:r>
                    <w:rPr>
                      <w:rFonts w:hint="eastAsia" w:ascii="宋体" w:hAnsi="宋体" w:eastAsia="宋体" w:cs="宋体"/>
                      <w:spacing w:val="12"/>
                      <w:sz w:val="20"/>
                      <w:szCs w:val="20"/>
                    </w:rPr>
                    <w:t>住</w:t>
                  </w:r>
                  <w:r>
                    <w:rPr>
                      <w:rFonts w:hint="eastAsia" w:ascii="宋体" w:hAnsi="宋体" w:eastAsia="宋体" w:cs="宋体"/>
                      <w:spacing w:val="8"/>
                      <w:sz w:val="20"/>
                      <w:szCs w:val="20"/>
                    </w:rPr>
                    <w:t>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top"/>
                </w:tcPr>
                <w:p>
                  <w:pPr>
                    <w:spacing w:before="85" w:line="230" w:lineRule="auto"/>
                    <w:ind w:left="422" w:leftChars="0"/>
                    <w:rPr>
                      <w:rFonts w:eastAsia="宋体"/>
                      <w:color w:val="000000"/>
                      <w:kern w:val="0"/>
                      <w:sz w:val="20"/>
                    </w:rPr>
                  </w:pPr>
                  <w:r>
                    <w:rPr>
                      <w:rFonts w:hint="eastAsia" w:ascii="宋体" w:hAnsi="宋体" w:eastAsia="宋体" w:cs="宋体"/>
                      <w:spacing w:val="9"/>
                      <w:sz w:val="20"/>
                      <w:szCs w:val="20"/>
                    </w:rPr>
                    <w:t>住</w:t>
                  </w:r>
                  <w:r>
                    <w:rPr>
                      <w:rFonts w:hint="eastAsia" w:ascii="宋体" w:hAnsi="宋体" w:eastAsia="宋体" w:cs="宋体"/>
                      <w:spacing w:val="8"/>
                      <w:sz w:val="20"/>
                      <w:szCs w:val="20"/>
                    </w:rPr>
                    <w:t>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190.23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120.95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102.11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18.84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69.28</w:t>
                  </w:r>
                </w:p>
              </w:tc>
            </w:tr>
          </w:tbl>
          <w:p>
            <w:pPr>
              <w:widowControl/>
              <w:jc w:val="center"/>
              <w:rPr>
                <w:rFonts w:eastAsia="方正小标宋简体"/>
                <w:kern w:val="0"/>
                <w:sz w:val="44"/>
                <w:szCs w:val="44"/>
              </w:rPr>
            </w:pPr>
          </w:p>
        </w:tc>
      </w:tr>
    </w:tbl>
    <w:p>
      <w:pPr>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463"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419"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sz w:val="20"/>
                <w:szCs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89.40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89.40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43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sz w:val="20"/>
                <w:szCs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27.39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27.39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40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sz w:val="20"/>
                <w:szCs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17.00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36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sz w:val="20"/>
                <w:szCs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17.60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17.60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46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color w:val="000000"/>
                <w:sz w:val="20"/>
                <w:szCs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12.31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12.31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40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color w:val="000000"/>
                <w:sz w:val="20"/>
                <w:szCs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2.93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2.93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43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color w:val="000000"/>
                <w:sz w:val="20"/>
                <w:szCs w:val="20"/>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0.71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0.71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39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color w:val="000000"/>
                <w:sz w:val="20"/>
                <w:szCs w:val="20"/>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9.22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9.22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36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color w:val="000000"/>
                <w:kern w:val="0"/>
                <w:sz w:val="20"/>
                <w:szCs w:val="20"/>
              </w:rPr>
              <w:t>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40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0.96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0.96</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42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sz w:val="20"/>
                <w:szCs w:val="20"/>
                <w:lang w:val="en-US" w:eastAsia="zh-CN"/>
              </w:rPr>
              <w:t>二</w:t>
            </w:r>
            <w:r>
              <w:rPr>
                <w:rFonts w:hint="eastAsia" w:ascii="宋体" w:hAnsi="宋体" w:eastAsia="宋体" w:cs="宋体"/>
                <w:color w:val="000000"/>
                <w:sz w:val="20"/>
                <w:szCs w:val="20"/>
              </w:rPr>
              <w:t>、</w:t>
            </w:r>
            <w:r>
              <w:rPr>
                <w:rFonts w:hint="eastAsia" w:ascii="宋体" w:hAnsi="宋体" w:eastAsia="宋体" w:cs="宋体"/>
                <w:color w:val="000000"/>
                <w:kern w:val="0"/>
                <w:sz w:val="20"/>
                <w:szCs w:val="20"/>
              </w:rPr>
              <w:t>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18.84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18.84</w:t>
            </w:r>
          </w:p>
        </w:tc>
      </w:tr>
      <w:tr>
        <w:tblPrEx>
          <w:tblCellMar>
            <w:top w:w="0" w:type="dxa"/>
            <w:left w:w="108" w:type="dxa"/>
            <w:bottom w:w="0" w:type="dxa"/>
            <w:right w:w="108" w:type="dxa"/>
          </w:tblCellMar>
        </w:tblPrEx>
        <w:trPr>
          <w:trHeight w:val="37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1.00</w:t>
            </w:r>
          </w:p>
        </w:tc>
      </w:tr>
      <w:tr>
        <w:tblPrEx>
          <w:tblCellMar>
            <w:top w:w="0" w:type="dxa"/>
            <w:left w:w="108" w:type="dxa"/>
            <w:bottom w:w="0" w:type="dxa"/>
            <w:right w:w="108" w:type="dxa"/>
          </w:tblCellMar>
        </w:tblPrEx>
        <w:trPr>
          <w:trHeight w:val="37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0.50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0.50</w:t>
            </w:r>
          </w:p>
        </w:tc>
      </w:tr>
      <w:tr>
        <w:tblPrEx>
          <w:tblCellMar>
            <w:top w:w="0" w:type="dxa"/>
            <w:left w:w="108" w:type="dxa"/>
            <w:bottom w:w="0" w:type="dxa"/>
            <w:right w:w="108" w:type="dxa"/>
          </w:tblCellMar>
        </w:tblPrEx>
        <w:trPr>
          <w:trHeight w:val="40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0.60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0.60</w:t>
            </w:r>
          </w:p>
        </w:tc>
      </w:tr>
      <w:tr>
        <w:tblPrEx>
          <w:tblCellMar>
            <w:top w:w="0" w:type="dxa"/>
            <w:left w:w="108" w:type="dxa"/>
            <w:bottom w:w="0" w:type="dxa"/>
            <w:right w:w="108" w:type="dxa"/>
          </w:tblCellMar>
        </w:tblPrEx>
        <w:trPr>
          <w:trHeight w:val="42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3.04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3.04</w:t>
            </w:r>
          </w:p>
        </w:tc>
      </w:tr>
      <w:tr>
        <w:tblPrEx>
          <w:tblCellMar>
            <w:top w:w="0" w:type="dxa"/>
            <w:left w:w="108" w:type="dxa"/>
            <w:bottom w:w="0" w:type="dxa"/>
            <w:right w:w="108" w:type="dxa"/>
          </w:tblCellMar>
        </w:tblPrEx>
        <w:trPr>
          <w:trHeight w:val="37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租赁费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1.50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1.50</w:t>
            </w:r>
          </w:p>
        </w:tc>
      </w:tr>
      <w:tr>
        <w:tblPrEx>
          <w:tblCellMar>
            <w:top w:w="0" w:type="dxa"/>
            <w:left w:w="108" w:type="dxa"/>
            <w:bottom w:w="0" w:type="dxa"/>
            <w:right w:w="108" w:type="dxa"/>
          </w:tblCellMar>
        </w:tblPrEx>
        <w:trPr>
          <w:trHeight w:val="36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0.50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0.50</w:t>
            </w:r>
          </w:p>
        </w:tc>
      </w:tr>
      <w:tr>
        <w:tblPrEx>
          <w:tblCellMar>
            <w:top w:w="0" w:type="dxa"/>
            <w:left w:w="108" w:type="dxa"/>
            <w:bottom w:w="0" w:type="dxa"/>
            <w:right w:w="108" w:type="dxa"/>
          </w:tblCellMar>
        </w:tblPrEx>
        <w:trPr>
          <w:trHeight w:val="39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0.79</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0.79</w:t>
            </w:r>
          </w:p>
        </w:tc>
      </w:tr>
      <w:tr>
        <w:tblPrEx>
          <w:tblCellMar>
            <w:top w:w="0" w:type="dxa"/>
            <w:left w:w="108" w:type="dxa"/>
            <w:bottom w:w="0" w:type="dxa"/>
            <w:right w:w="108" w:type="dxa"/>
          </w:tblCellMar>
        </w:tblPrEx>
        <w:trPr>
          <w:trHeight w:val="43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5.81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5.81</w:t>
            </w:r>
          </w:p>
        </w:tc>
      </w:tr>
      <w:tr>
        <w:tblPrEx>
          <w:tblCellMar>
            <w:top w:w="0" w:type="dxa"/>
            <w:left w:w="108" w:type="dxa"/>
            <w:bottom w:w="0" w:type="dxa"/>
            <w:right w:w="108" w:type="dxa"/>
          </w:tblCellMar>
        </w:tblPrEx>
        <w:trPr>
          <w:trHeight w:val="42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3.96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3.96</w:t>
            </w:r>
          </w:p>
        </w:tc>
      </w:tr>
      <w:tr>
        <w:tblPrEx>
          <w:tblCellMar>
            <w:top w:w="0" w:type="dxa"/>
            <w:left w:w="108" w:type="dxa"/>
            <w:bottom w:w="0" w:type="dxa"/>
            <w:right w:w="108" w:type="dxa"/>
          </w:tblCellMar>
        </w:tblPrEx>
        <w:trPr>
          <w:trHeight w:val="46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1.14</w:t>
            </w:r>
          </w:p>
        </w:tc>
      </w:tr>
      <w:tr>
        <w:tblPrEx>
          <w:tblCellMar>
            <w:top w:w="0" w:type="dxa"/>
            <w:left w:w="108" w:type="dxa"/>
            <w:bottom w:w="0" w:type="dxa"/>
            <w:right w:w="108" w:type="dxa"/>
          </w:tblCellMar>
        </w:tblPrEx>
        <w:trPr>
          <w:trHeight w:val="45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sz w:val="20"/>
                <w:szCs w:val="20"/>
                <w:lang w:val="en-US" w:eastAsia="zh-CN"/>
              </w:rPr>
              <w:t>三</w:t>
            </w:r>
            <w:r>
              <w:rPr>
                <w:rFonts w:hint="eastAsia" w:ascii="宋体" w:hAnsi="宋体" w:eastAsia="宋体" w:cs="宋体"/>
                <w:color w:val="000000"/>
                <w:sz w:val="20"/>
                <w:szCs w:val="20"/>
              </w:rPr>
              <w:t>、</w:t>
            </w:r>
            <w:r>
              <w:rPr>
                <w:rFonts w:hint="eastAsia" w:ascii="宋体" w:hAnsi="宋体" w:eastAsia="宋体" w:cs="宋体"/>
                <w:color w:val="000000"/>
                <w:kern w:val="0"/>
                <w:sz w:val="20"/>
                <w:szCs w:val="20"/>
                <w:lang w:val="en-US" w:eastAsia="zh-CN"/>
              </w:rPr>
              <w:t>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12.70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12.70</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36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12.41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12.41</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42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0.29</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0.29</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r>
    </w:tbl>
    <w:p>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left"/>
              <w:rPr>
                <w:rFonts w:hint="eastAsia" w:eastAsia="仿宋_GB2312"/>
                <w:color w:val="000000"/>
                <w:kern w:val="0"/>
                <w:sz w:val="28"/>
                <w:szCs w:val="28"/>
                <w:lang w:val="en-US" w:eastAsia="zh-CN"/>
              </w:rPr>
            </w:pPr>
            <w:r>
              <w:rPr>
                <w:rFonts w:eastAsia="宋体"/>
                <w:color w:val="000000"/>
                <w:kern w:val="0"/>
                <w:sz w:val="28"/>
                <w:szCs w:val="28"/>
              </w:rPr>
              <w:t xml:space="preserve">  </w:t>
            </w:r>
            <w:r>
              <w:rPr>
                <w:color w:val="000000"/>
                <w:kern w:val="0"/>
                <w:sz w:val="28"/>
                <w:szCs w:val="28"/>
              </w:rPr>
              <w:t>说明：</w:t>
            </w:r>
            <w:r>
              <w:rPr>
                <w:color w:val="000000"/>
                <w:kern w:val="0"/>
                <w:sz w:val="28"/>
                <w:szCs w:val="28"/>
              </w:rPr>
              <w:br w:type="textWrapping"/>
            </w:r>
            <w:r>
              <w:rPr>
                <w:rFonts w:eastAsia="宋体"/>
                <w:color w:val="000000"/>
                <w:kern w:val="0"/>
                <w:sz w:val="28"/>
                <w:szCs w:val="28"/>
              </w:rPr>
              <w:t xml:space="preserve">       1</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的单位范围包括</w:t>
            </w:r>
            <w:r>
              <w:rPr>
                <w:rFonts w:hint="eastAsia" w:eastAsia="宋体"/>
                <w:color w:val="000000"/>
                <w:kern w:val="0"/>
                <w:sz w:val="28"/>
                <w:szCs w:val="28"/>
                <w:u w:val="none"/>
                <w:lang w:val="en-US" w:eastAsia="zh-CN"/>
              </w:rPr>
              <w:t>1</w:t>
            </w:r>
            <w:r>
              <w:rPr>
                <w:color w:val="000000"/>
                <w:kern w:val="0"/>
                <w:sz w:val="28"/>
                <w:szCs w:val="28"/>
              </w:rPr>
              <w:t>个预算单位。</w:t>
            </w:r>
            <w:r>
              <w:rPr>
                <w:rFonts w:eastAsia="宋体"/>
                <w:color w:val="000000"/>
                <w:kern w:val="0"/>
                <w:sz w:val="28"/>
                <w:szCs w:val="28"/>
              </w:rPr>
              <w:t xml:space="preserve">   </w:t>
            </w:r>
            <w:r>
              <w:rPr>
                <w:rFonts w:eastAsia="宋体"/>
                <w:color w:val="000000"/>
                <w:kern w:val="0"/>
                <w:sz w:val="28"/>
                <w:szCs w:val="28"/>
              </w:rPr>
              <w:br w:type="textWrapping"/>
            </w:r>
            <w:r>
              <w:rPr>
                <w:rFonts w:eastAsia="宋体"/>
                <w:color w:val="000000"/>
                <w:kern w:val="0"/>
                <w:sz w:val="28"/>
                <w:szCs w:val="28"/>
              </w:rPr>
              <w:t xml:space="preserve">       2</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的实有人员</w:t>
            </w:r>
            <w:r>
              <w:rPr>
                <w:rFonts w:hint="eastAsia" w:eastAsia="宋体"/>
                <w:color w:val="000000"/>
                <w:kern w:val="0"/>
                <w:sz w:val="28"/>
                <w:szCs w:val="28"/>
                <w:u w:val="none"/>
                <w:lang w:val="en-US" w:eastAsia="zh-CN"/>
              </w:rPr>
              <w:t>17</w:t>
            </w:r>
            <w:r>
              <w:rPr>
                <w:color w:val="000000"/>
                <w:kern w:val="0"/>
                <w:sz w:val="28"/>
                <w:szCs w:val="28"/>
              </w:rPr>
              <w:t>人，其中：在职人员</w:t>
            </w:r>
            <w:r>
              <w:rPr>
                <w:rFonts w:hint="eastAsia" w:eastAsia="宋体"/>
                <w:color w:val="000000"/>
                <w:kern w:val="0"/>
                <w:sz w:val="28"/>
                <w:szCs w:val="28"/>
                <w:u w:val="none"/>
                <w:lang w:val="en-US" w:eastAsia="zh-CN"/>
              </w:rPr>
              <w:t>7</w:t>
            </w:r>
            <w:bookmarkStart w:id="0" w:name="_GoBack"/>
            <w:bookmarkEnd w:id="0"/>
            <w:r>
              <w:rPr>
                <w:color w:val="000000"/>
                <w:kern w:val="0"/>
                <w:sz w:val="28"/>
                <w:szCs w:val="28"/>
              </w:rPr>
              <w:t>人，离退休人员</w:t>
            </w:r>
            <w:r>
              <w:rPr>
                <w:rFonts w:hint="eastAsia" w:eastAsia="宋体"/>
                <w:color w:val="000000"/>
                <w:kern w:val="0"/>
                <w:sz w:val="28"/>
                <w:szCs w:val="28"/>
                <w:u w:val="none"/>
                <w:lang w:val="en-US" w:eastAsia="zh-CN"/>
              </w:rPr>
              <w:t>10</w:t>
            </w:r>
            <w:r>
              <w:rPr>
                <w:color w:val="000000"/>
                <w:kern w:val="0"/>
                <w:sz w:val="28"/>
                <w:szCs w:val="28"/>
              </w:rPr>
              <w:t>人。</w:t>
            </w:r>
          </w:p>
        </w:tc>
      </w:tr>
    </w:tbl>
    <w:p>
      <w:pPr>
        <w:ind w:firstLine="640" w:firstLineChars="200"/>
        <w:rPr>
          <w:rFonts w:hAnsi="楷体" w:eastAsia="楷体"/>
        </w:rPr>
      </w:pPr>
    </w:p>
    <w:p>
      <w:pPr>
        <w:rPr>
          <w:rFonts w:hAnsi="楷体" w:eastAsia="楷体"/>
        </w:rPr>
      </w:pPr>
      <w:r>
        <w:rPr>
          <w:rFonts w:hAnsi="楷体" w:eastAsia="楷体"/>
        </w:rPr>
        <w:br w:type="page"/>
      </w:r>
    </w:p>
    <w:p>
      <w:pPr>
        <w:ind w:firstLine="640" w:firstLineChars="200"/>
        <w:rPr>
          <w:rFonts w:hAnsi="楷体" w:eastAsia="楷体"/>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pPr>
        <w:spacing w:line="700" w:lineRule="exact"/>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rPr>
          <w:rFonts w:eastAsia="楷体"/>
          <w:kern w:val="0"/>
          <w:szCs w:val="32"/>
        </w:rPr>
      </w:pPr>
    </w:p>
    <w:p>
      <w:pPr>
        <w:spacing w:line="700" w:lineRule="exact"/>
        <w:jc w:val="both"/>
        <w:rPr>
          <w:rFonts w:eastAsia="楷体"/>
          <w:kern w:val="0"/>
          <w:szCs w:val="32"/>
        </w:rPr>
      </w:pPr>
    </w:p>
    <w:p>
      <w:pPr>
        <w:spacing w:line="700" w:lineRule="exact"/>
        <w:jc w:val="both"/>
        <w:rPr>
          <w:rFonts w:eastAsia="楷体"/>
          <w:kern w:val="0"/>
          <w:szCs w:val="32"/>
        </w:rPr>
      </w:pPr>
    </w:p>
    <w:p>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735"/>
        <w:gridCol w:w="259"/>
        <w:gridCol w:w="776"/>
        <w:gridCol w:w="870"/>
        <w:gridCol w:w="750"/>
        <w:gridCol w:w="705"/>
        <w:gridCol w:w="420"/>
        <w:gridCol w:w="435"/>
        <w:gridCol w:w="450"/>
        <w:gridCol w:w="435"/>
        <w:gridCol w:w="420"/>
        <w:gridCol w:w="450"/>
        <w:gridCol w:w="405"/>
        <w:gridCol w:w="375"/>
        <w:gridCol w:w="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4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994"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776"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87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75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445"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996"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45"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770"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870"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750"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445"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1996"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45"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735"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1035" w:type="dxa"/>
            <w:gridSpan w:val="2"/>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highlight w:val="none"/>
              </w:rPr>
              <w:t>二级项目</w:t>
            </w:r>
          </w:p>
        </w:tc>
        <w:tc>
          <w:tcPr>
            <w:tcW w:w="87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750"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560"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450"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35"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275"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721"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845" w:type="dxa"/>
            <w:vMerge w:val="continue"/>
            <w:noWrap w:val="0"/>
            <w:vAlign w:val="center"/>
          </w:tcPr>
          <w:p>
            <w:pPr>
              <w:autoSpaceDN w:val="0"/>
              <w:jc w:val="center"/>
              <w:textAlignment w:val="center"/>
              <w:rPr>
                <w:rFonts w:ascii="Calibri" w:hAnsi="Calibri" w:eastAsia="华文细黑"/>
                <w:color w:val="000000"/>
                <w:sz w:val="20"/>
                <w:szCs w:val="22"/>
              </w:rPr>
            </w:pPr>
          </w:p>
        </w:tc>
        <w:tc>
          <w:tcPr>
            <w:tcW w:w="735" w:type="dxa"/>
            <w:vMerge w:val="continue"/>
            <w:noWrap w:val="0"/>
            <w:vAlign w:val="center"/>
          </w:tcPr>
          <w:p>
            <w:pPr>
              <w:autoSpaceDN w:val="0"/>
              <w:jc w:val="center"/>
              <w:textAlignment w:val="center"/>
              <w:rPr>
                <w:rFonts w:ascii="Calibri" w:hAnsi="Calibri" w:eastAsia="华文细黑"/>
                <w:color w:val="000000"/>
                <w:sz w:val="20"/>
                <w:szCs w:val="22"/>
              </w:rPr>
            </w:pPr>
          </w:p>
        </w:tc>
        <w:tc>
          <w:tcPr>
            <w:tcW w:w="1035"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870" w:type="dxa"/>
            <w:vMerge w:val="continue"/>
            <w:noWrap w:val="0"/>
            <w:vAlign w:val="center"/>
          </w:tcPr>
          <w:p>
            <w:pPr>
              <w:autoSpaceDN w:val="0"/>
              <w:jc w:val="center"/>
              <w:textAlignment w:val="center"/>
              <w:rPr>
                <w:rFonts w:ascii="Calibri" w:hAnsi="Calibri" w:eastAsia="华文细黑"/>
                <w:color w:val="000000"/>
                <w:sz w:val="20"/>
                <w:szCs w:val="22"/>
              </w:rPr>
            </w:pPr>
          </w:p>
        </w:tc>
        <w:tc>
          <w:tcPr>
            <w:tcW w:w="750" w:type="dxa"/>
            <w:vMerge w:val="continue"/>
            <w:noWrap w:val="0"/>
            <w:vAlign w:val="center"/>
          </w:tcPr>
          <w:p>
            <w:pPr>
              <w:autoSpaceDN w:val="0"/>
              <w:jc w:val="center"/>
              <w:textAlignment w:val="center"/>
              <w:rPr>
                <w:rFonts w:ascii="Calibri" w:hAnsi="Calibri" w:eastAsia="华文细黑"/>
                <w:color w:val="000000"/>
                <w:sz w:val="20"/>
                <w:szCs w:val="22"/>
              </w:rPr>
            </w:pPr>
          </w:p>
        </w:tc>
        <w:tc>
          <w:tcPr>
            <w:tcW w:w="705"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20"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435"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45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435"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420"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50"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05"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375"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346"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45"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val="en-US" w:eastAsia="zh-CN"/>
              </w:rPr>
              <w:t>专项业务支出</w:t>
            </w:r>
          </w:p>
        </w:tc>
        <w:tc>
          <w:tcPr>
            <w:tcW w:w="735" w:type="dxa"/>
            <w:noWrap w:val="0"/>
            <w:vAlign w:val="center"/>
          </w:tcPr>
          <w:p>
            <w:pPr>
              <w:autoSpaceDN w:val="0"/>
              <w:jc w:val="center"/>
              <w:textAlignment w:val="center"/>
              <w:rPr>
                <w:rFonts w:hint="eastAsia" w:ascii="Calibri" w:hAnsi="Calibri" w:eastAsia="华文细黑"/>
                <w:color w:val="000000"/>
                <w:sz w:val="20"/>
                <w:szCs w:val="22"/>
              </w:rPr>
            </w:pPr>
          </w:p>
        </w:tc>
        <w:tc>
          <w:tcPr>
            <w:tcW w:w="1035" w:type="dxa"/>
            <w:gridSpan w:val="2"/>
            <w:noWrap w:val="0"/>
            <w:vAlign w:val="center"/>
          </w:tcPr>
          <w:p>
            <w:pPr>
              <w:autoSpaceDN w:val="0"/>
              <w:jc w:val="center"/>
              <w:textAlignment w:val="center"/>
              <w:rPr>
                <w:rFonts w:hint="eastAsia" w:ascii="Calibri" w:hAnsi="Calibri" w:eastAsia="华文细黑"/>
                <w:color w:val="000000"/>
                <w:sz w:val="20"/>
                <w:szCs w:val="22"/>
              </w:rPr>
            </w:pPr>
          </w:p>
        </w:tc>
        <w:tc>
          <w:tcPr>
            <w:tcW w:w="870" w:type="dxa"/>
            <w:noWrap w:val="0"/>
            <w:vAlign w:val="center"/>
          </w:tcPr>
          <w:p>
            <w:pPr>
              <w:autoSpaceDN w:val="0"/>
              <w:jc w:val="center"/>
              <w:textAlignment w:val="center"/>
              <w:rPr>
                <w:rFonts w:hint="default" w:ascii="Calibri" w:hAnsi="Calibri" w:eastAsia="华文细黑"/>
                <w:color w:val="000000"/>
                <w:sz w:val="20"/>
                <w:szCs w:val="22"/>
                <w:lang w:val="en-US" w:eastAsia="zh-CN"/>
              </w:rPr>
            </w:pPr>
          </w:p>
        </w:tc>
        <w:tc>
          <w:tcPr>
            <w:tcW w:w="750" w:type="dxa"/>
            <w:noWrap w:val="0"/>
            <w:vAlign w:val="center"/>
          </w:tcPr>
          <w:p>
            <w:pPr>
              <w:autoSpaceDN w:val="0"/>
              <w:jc w:val="center"/>
              <w:textAlignment w:val="center"/>
              <w:rPr>
                <w:rFonts w:hint="default" w:ascii="Calibri" w:hAnsi="Calibri" w:eastAsia="华文细黑"/>
                <w:color w:val="000000"/>
                <w:sz w:val="20"/>
                <w:szCs w:val="22"/>
                <w:lang w:val="en-US" w:eastAsia="zh-CN"/>
              </w:rPr>
            </w:pPr>
            <w:r>
              <w:rPr>
                <w:rFonts w:hint="eastAsia" w:ascii="Calibri" w:hAnsi="Calibri" w:eastAsia="华文细黑"/>
                <w:color w:val="000000"/>
                <w:sz w:val="20"/>
                <w:szCs w:val="22"/>
                <w:lang w:val="en-US" w:eastAsia="zh-CN"/>
              </w:rPr>
              <w:t>69.28</w:t>
            </w:r>
          </w:p>
        </w:tc>
        <w:tc>
          <w:tcPr>
            <w:tcW w:w="705" w:type="dxa"/>
            <w:noWrap w:val="0"/>
            <w:vAlign w:val="center"/>
          </w:tcPr>
          <w:p>
            <w:pPr>
              <w:autoSpaceDN w:val="0"/>
              <w:jc w:val="center"/>
              <w:textAlignment w:val="center"/>
              <w:rPr>
                <w:rFonts w:hint="default" w:ascii="Calibri" w:hAnsi="Calibri" w:eastAsia="华文细黑"/>
                <w:color w:val="000000"/>
                <w:sz w:val="20"/>
                <w:szCs w:val="22"/>
                <w:lang w:val="en-US" w:eastAsia="zh-CN"/>
              </w:rPr>
            </w:pPr>
            <w:r>
              <w:rPr>
                <w:rFonts w:hint="eastAsia" w:ascii="Calibri" w:hAnsi="Calibri" w:eastAsia="华文细黑"/>
                <w:color w:val="000000"/>
                <w:sz w:val="20"/>
                <w:szCs w:val="22"/>
                <w:lang w:val="en-US" w:eastAsia="zh-CN"/>
              </w:rPr>
              <w:t>69.28</w:t>
            </w:r>
          </w:p>
        </w:tc>
        <w:tc>
          <w:tcPr>
            <w:tcW w:w="420" w:type="dxa"/>
            <w:noWrap w:val="0"/>
            <w:vAlign w:val="center"/>
          </w:tcPr>
          <w:p>
            <w:pPr>
              <w:autoSpaceDN w:val="0"/>
              <w:jc w:val="center"/>
              <w:textAlignment w:val="center"/>
              <w:rPr>
                <w:rFonts w:hint="eastAsia" w:ascii="Calibri" w:hAnsi="Calibri" w:eastAsia="华文细黑"/>
                <w:color w:val="000000"/>
                <w:sz w:val="20"/>
                <w:szCs w:val="22"/>
              </w:rPr>
            </w:pPr>
          </w:p>
        </w:tc>
        <w:tc>
          <w:tcPr>
            <w:tcW w:w="435" w:type="dxa"/>
            <w:noWrap w:val="0"/>
            <w:vAlign w:val="center"/>
          </w:tcPr>
          <w:p>
            <w:pPr>
              <w:autoSpaceDN w:val="0"/>
              <w:jc w:val="center"/>
              <w:textAlignment w:val="center"/>
              <w:rPr>
                <w:rFonts w:hint="eastAsia" w:ascii="Calibri" w:hAnsi="Calibri" w:eastAsia="华文细黑"/>
                <w:color w:val="000000"/>
                <w:sz w:val="20"/>
                <w:szCs w:val="22"/>
              </w:rPr>
            </w:pPr>
          </w:p>
        </w:tc>
        <w:tc>
          <w:tcPr>
            <w:tcW w:w="450" w:type="dxa"/>
            <w:noWrap w:val="0"/>
            <w:vAlign w:val="center"/>
          </w:tcPr>
          <w:p>
            <w:pPr>
              <w:autoSpaceDN w:val="0"/>
              <w:jc w:val="center"/>
              <w:textAlignment w:val="center"/>
              <w:rPr>
                <w:rFonts w:hint="eastAsia" w:ascii="Calibri" w:hAnsi="Calibri" w:eastAsia="华文细黑"/>
                <w:color w:val="000000"/>
                <w:sz w:val="20"/>
                <w:szCs w:val="22"/>
              </w:rPr>
            </w:pPr>
          </w:p>
        </w:tc>
        <w:tc>
          <w:tcPr>
            <w:tcW w:w="435" w:type="dxa"/>
            <w:noWrap w:val="0"/>
            <w:vAlign w:val="center"/>
          </w:tcPr>
          <w:p>
            <w:pPr>
              <w:autoSpaceDN w:val="0"/>
              <w:jc w:val="center"/>
              <w:textAlignment w:val="center"/>
              <w:rPr>
                <w:rFonts w:hint="eastAsia" w:ascii="Calibri" w:hAnsi="Calibri" w:eastAsia="华文细黑"/>
                <w:color w:val="000000"/>
                <w:sz w:val="20"/>
                <w:szCs w:val="22"/>
              </w:rPr>
            </w:pPr>
          </w:p>
        </w:tc>
        <w:tc>
          <w:tcPr>
            <w:tcW w:w="420" w:type="dxa"/>
            <w:noWrap w:val="0"/>
            <w:vAlign w:val="center"/>
          </w:tcPr>
          <w:p>
            <w:pPr>
              <w:autoSpaceDN w:val="0"/>
              <w:jc w:val="center"/>
              <w:textAlignment w:val="center"/>
              <w:rPr>
                <w:rFonts w:hint="eastAsia" w:ascii="Calibri" w:hAnsi="Calibri" w:eastAsia="华文细黑"/>
                <w:color w:val="000000"/>
                <w:sz w:val="20"/>
                <w:szCs w:val="22"/>
              </w:rPr>
            </w:pPr>
          </w:p>
        </w:tc>
        <w:tc>
          <w:tcPr>
            <w:tcW w:w="450" w:type="dxa"/>
            <w:noWrap w:val="0"/>
            <w:vAlign w:val="center"/>
          </w:tcPr>
          <w:p>
            <w:pPr>
              <w:autoSpaceDN w:val="0"/>
              <w:jc w:val="center"/>
              <w:textAlignment w:val="center"/>
              <w:rPr>
                <w:rFonts w:hint="eastAsia" w:ascii="Calibri" w:hAnsi="Calibri" w:eastAsia="华文细黑"/>
                <w:color w:val="000000"/>
                <w:sz w:val="20"/>
                <w:szCs w:val="22"/>
              </w:rPr>
            </w:pPr>
          </w:p>
        </w:tc>
        <w:tc>
          <w:tcPr>
            <w:tcW w:w="405" w:type="dxa"/>
            <w:noWrap w:val="0"/>
            <w:vAlign w:val="center"/>
          </w:tcPr>
          <w:p>
            <w:pPr>
              <w:autoSpaceDN w:val="0"/>
              <w:jc w:val="center"/>
              <w:textAlignment w:val="center"/>
              <w:rPr>
                <w:rFonts w:hint="eastAsia" w:ascii="Calibri" w:hAnsi="Calibri" w:eastAsia="华文细黑"/>
                <w:color w:val="000000"/>
                <w:sz w:val="20"/>
                <w:szCs w:val="22"/>
              </w:rPr>
            </w:pPr>
          </w:p>
        </w:tc>
        <w:tc>
          <w:tcPr>
            <w:tcW w:w="375" w:type="dxa"/>
            <w:noWrap w:val="0"/>
            <w:vAlign w:val="center"/>
          </w:tcPr>
          <w:p>
            <w:pPr>
              <w:autoSpaceDN w:val="0"/>
              <w:jc w:val="center"/>
              <w:textAlignment w:val="center"/>
              <w:rPr>
                <w:rFonts w:hint="eastAsia" w:ascii="Calibri" w:hAnsi="Calibri" w:eastAsia="华文细黑"/>
                <w:color w:val="000000"/>
                <w:sz w:val="20"/>
                <w:szCs w:val="22"/>
              </w:rPr>
            </w:pPr>
          </w:p>
        </w:tc>
        <w:tc>
          <w:tcPr>
            <w:tcW w:w="346" w:type="dxa"/>
            <w:noWrap w:val="0"/>
            <w:vAlign w:val="center"/>
          </w:tcPr>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845" w:type="dxa"/>
            <w:noWrap w:val="0"/>
            <w:vAlign w:val="center"/>
          </w:tcPr>
          <w:p>
            <w:pPr>
              <w:autoSpaceDN w:val="0"/>
              <w:jc w:val="center"/>
              <w:textAlignment w:val="center"/>
              <w:rPr>
                <w:rFonts w:hint="default" w:ascii="Calibri" w:hAnsi="Calibri" w:eastAsia="华文细黑"/>
                <w:color w:val="000000"/>
                <w:sz w:val="20"/>
                <w:szCs w:val="22"/>
                <w:lang w:val="en-US" w:eastAsia="zh-CN"/>
              </w:rPr>
            </w:pPr>
          </w:p>
        </w:tc>
        <w:tc>
          <w:tcPr>
            <w:tcW w:w="735" w:type="dxa"/>
            <w:noWrap w:val="0"/>
            <w:vAlign w:val="center"/>
          </w:tcPr>
          <w:p>
            <w:pPr>
              <w:autoSpaceDN w:val="0"/>
              <w:jc w:val="center"/>
              <w:textAlignment w:val="center"/>
              <w:rPr>
                <w:rFonts w:hint="default" w:ascii="Calibri" w:hAnsi="Calibri" w:eastAsia="华文细黑"/>
                <w:color w:val="000000"/>
                <w:sz w:val="20"/>
                <w:szCs w:val="22"/>
                <w:lang w:val="en-US" w:eastAsia="zh-CN"/>
              </w:rPr>
            </w:pPr>
            <w:r>
              <w:rPr>
                <w:rFonts w:hint="eastAsia" w:ascii="Calibri" w:hAnsi="Calibri" w:eastAsia="华文细黑"/>
                <w:color w:val="000000"/>
                <w:sz w:val="20"/>
                <w:szCs w:val="22"/>
                <w:lang w:val="en-US" w:eastAsia="zh-CN"/>
              </w:rPr>
              <w:t>专项普查活动</w:t>
            </w:r>
          </w:p>
        </w:tc>
        <w:tc>
          <w:tcPr>
            <w:tcW w:w="1035" w:type="dxa"/>
            <w:gridSpan w:val="2"/>
            <w:noWrap w:val="0"/>
            <w:vAlign w:val="center"/>
          </w:tcPr>
          <w:p>
            <w:pPr>
              <w:autoSpaceDN w:val="0"/>
              <w:jc w:val="center"/>
              <w:textAlignment w:val="center"/>
              <w:rPr>
                <w:rFonts w:hint="eastAsia" w:ascii="Calibri" w:hAnsi="Calibri" w:eastAsia="华文细黑"/>
                <w:color w:val="000000"/>
                <w:sz w:val="20"/>
                <w:szCs w:val="22"/>
              </w:rPr>
            </w:pPr>
          </w:p>
        </w:tc>
        <w:tc>
          <w:tcPr>
            <w:tcW w:w="870" w:type="dxa"/>
            <w:noWrap w:val="0"/>
            <w:vAlign w:val="center"/>
          </w:tcPr>
          <w:p>
            <w:pPr>
              <w:autoSpaceDN w:val="0"/>
              <w:jc w:val="center"/>
              <w:textAlignment w:val="center"/>
              <w:rPr>
                <w:rFonts w:hint="eastAsia" w:ascii="Calibri" w:hAnsi="Calibri" w:eastAsia="华文细黑"/>
                <w:color w:val="000000"/>
                <w:sz w:val="20"/>
                <w:szCs w:val="22"/>
              </w:rPr>
            </w:pPr>
          </w:p>
        </w:tc>
        <w:tc>
          <w:tcPr>
            <w:tcW w:w="750" w:type="dxa"/>
            <w:noWrap w:val="0"/>
            <w:vAlign w:val="center"/>
          </w:tcPr>
          <w:p>
            <w:pPr>
              <w:autoSpaceDN w:val="0"/>
              <w:jc w:val="center"/>
              <w:textAlignment w:val="center"/>
              <w:rPr>
                <w:rFonts w:hint="default" w:ascii="Calibri" w:hAnsi="Calibri" w:eastAsia="华文细黑"/>
                <w:color w:val="000000"/>
                <w:sz w:val="20"/>
                <w:szCs w:val="22"/>
                <w:lang w:val="en-US" w:eastAsia="zh-CN"/>
              </w:rPr>
            </w:pPr>
            <w:r>
              <w:rPr>
                <w:rFonts w:hint="eastAsia" w:ascii="Calibri" w:hAnsi="Calibri" w:eastAsia="华文细黑"/>
                <w:color w:val="000000"/>
                <w:sz w:val="20"/>
                <w:szCs w:val="22"/>
                <w:lang w:val="en-US" w:eastAsia="zh-CN"/>
              </w:rPr>
              <w:t>44.91</w:t>
            </w:r>
          </w:p>
        </w:tc>
        <w:tc>
          <w:tcPr>
            <w:tcW w:w="705" w:type="dxa"/>
            <w:noWrap w:val="0"/>
            <w:vAlign w:val="center"/>
          </w:tcPr>
          <w:p>
            <w:pPr>
              <w:autoSpaceDN w:val="0"/>
              <w:jc w:val="center"/>
              <w:textAlignment w:val="center"/>
              <w:rPr>
                <w:rFonts w:hint="default" w:ascii="Calibri" w:hAnsi="Calibri" w:eastAsia="华文细黑"/>
                <w:color w:val="000000"/>
                <w:sz w:val="20"/>
                <w:szCs w:val="22"/>
                <w:lang w:val="en-US" w:eastAsia="zh-CN"/>
              </w:rPr>
            </w:pPr>
            <w:r>
              <w:rPr>
                <w:rFonts w:hint="eastAsia" w:ascii="Calibri" w:hAnsi="Calibri" w:eastAsia="华文细黑"/>
                <w:color w:val="000000"/>
                <w:sz w:val="20"/>
                <w:szCs w:val="22"/>
                <w:lang w:val="en-US" w:eastAsia="zh-CN"/>
              </w:rPr>
              <w:t>44.91</w:t>
            </w:r>
          </w:p>
        </w:tc>
        <w:tc>
          <w:tcPr>
            <w:tcW w:w="420" w:type="dxa"/>
            <w:noWrap w:val="0"/>
            <w:vAlign w:val="center"/>
          </w:tcPr>
          <w:p>
            <w:pPr>
              <w:autoSpaceDN w:val="0"/>
              <w:jc w:val="center"/>
              <w:textAlignment w:val="center"/>
              <w:rPr>
                <w:rFonts w:hint="eastAsia" w:ascii="Calibri" w:hAnsi="Calibri" w:eastAsia="华文细黑"/>
                <w:color w:val="000000"/>
                <w:sz w:val="20"/>
                <w:szCs w:val="22"/>
              </w:rPr>
            </w:pPr>
          </w:p>
        </w:tc>
        <w:tc>
          <w:tcPr>
            <w:tcW w:w="435" w:type="dxa"/>
            <w:noWrap w:val="0"/>
            <w:vAlign w:val="center"/>
          </w:tcPr>
          <w:p>
            <w:pPr>
              <w:autoSpaceDN w:val="0"/>
              <w:jc w:val="center"/>
              <w:textAlignment w:val="center"/>
              <w:rPr>
                <w:rFonts w:hint="eastAsia" w:ascii="Calibri" w:hAnsi="Calibri" w:eastAsia="华文细黑"/>
                <w:color w:val="000000"/>
                <w:sz w:val="20"/>
                <w:szCs w:val="22"/>
              </w:rPr>
            </w:pPr>
          </w:p>
        </w:tc>
        <w:tc>
          <w:tcPr>
            <w:tcW w:w="450" w:type="dxa"/>
            <w:noWrap w:val="0"/>
            <w:vAlign w:val="center"/>
          </w:tcPr>
          <w:p>
            <w:pPr>
              <w:autoSpaceDN w:val="0"/>
              <w:jc w:val="center"/>
              <w:textAlignment w:val="center"/>
              <w:rPr>
                <w:rFonts w:hint="eastAsia" w:ascii="Calibri" w:hAnsi="Calibri" w:eastAsia="华文细黑"/>
                <w:color w:val="000000"/>
                <w:sz w:val="20"/>
                <w:szCs w:val="22"/>
              </w:rPr>
            </w:pPr>
          </w:p>
        </w:tc>
        <w:tc>
          <w:tcPr>
            <w:tcW w:w="435" w:type="dxa"/>
            <w:noWrap w:val="0"/>
            <w:vAlign w:val="center"/>
          </w:tcPr>
          <w:p>
            <w:pPr>
              <w:autoSpaceDN w:val="0"/>
              <w:jc w:val="center"/>
              <w:textAlignment w:val="center"/>
              <w:rPr>
                <w:rFonts w:hint="eastAsia" w:ascii="Calibri" w:hAnsi="Calibri" w:eastAsia="华文细黑"/>
                <w:color w:val="000000"/>
                <w:sz w:val="20"/>
                <w:szCs w:val="22"/>
              </w:rPr>
            </w:pPr>
          </w:p>
        </w:tc>
        <w:tc>
          <w:tcPr>
            <w:tcW w:w="420" w:type="dxa"/>
            <w:noWrap w:val="0"/>
            <w:vAlign w:val="center"/>
          </w:tcPr>
          <w:p>
            <w:pPr>
              <w:autoSpaceDN w:val="0"/>
              <w:jc w:val="center"/>
              <w:textAlignment w:val="center"/>
              <w:rPr>
                <w:rFonts w:hint="eastAsia" w:ascii="Calibri" w:hAnsi="Calibri" w:eastAsia="华文细黑"/>
                <w:color w:val="000000"/>
                <w:sz w:val="20"/>
                <w:szCs w:val="22"/>
              </w:rPr>
            </w:pPr>
          </w:p>
        </w:tc>
        <w:tc>
          <w:tcPr>
            <w:tcW w:w="450" w:type="dxa"/>
            <w:noWrap w:val="0"/>
            <w:vAlign w:val="center"/>
          </w:tcPr>
          <w:p>
            <w:pPr>
              <w:autoSpaceDN w:val="0"/>
              <w:jc w:val="center"/>
              <w:textAlignment w:val="center"/>
              <w:rPr>
                <w:rFonts w:hint="eastAsia" w:ascii="Calibri" w:hAnsi="Calibri" w:eastAsia="华文细黑"/>
                <w:color w:val="000000"/>
                <w:sz w:val="20"/>
                <w:szCs w:val="22"/>
              </w:rPr>
            </w:pPr>
          </w:p>
        </w:tc>
        <w:tc>
          <w:tcPr>
            <w:tcW w:w="405" w:type="dxa"/>
            <w:noWrap w:val="0"/>
            <w:vAlign w:val="center"/>
          </w:tcPr>
          <w:p>
            <w:pPr>
              <w:autoSpaceDN w:val="0"/>
              <w:jc w:val="center"/>
              <w:textAlignment w:val="center"/>
              <w:rPr>
                <w:rFonts w:hint="eastAsia" w:ascii="Calibri" w:hAnsi="Calibri" w:eastAsia="华文细黑"/>
                <w:color w:val="000000"/>
                <w:sz w:val="20"/>
                <w:szCs w:val="22"/>
              </w:rPr>
            </w:pPr>
          </w:p>
        </w:tc>
        <w:tc>
          <w:tcPr>
            <w:tcW w:w="375" w:type="dxa"/>
            <w:noWrap w:val="0"/>
            <w:vAlign w:val="center"/>
          </w:tcPr>
          <w:p>
            <w:pPr>
              <w:autoSpaceDN w:val="0"/>
              <w:jc w:val="center"/>
              <w:textAlignment w:val="center"/>
              <w:rPr>
                <w:rFonts w:hint="eastAsia" w:ascii="Calibri" w:hAnsi="Calibri" w:eastAsia="华文细黑"/>
                <w:color w:val="000000"/>
                <w:sz w:val="20"/>
                <w:szCs w:val="22"/>
              </w:rPr>
            </w:pPr>
          </w:p>
        </w:tc>
        <w:tc>
          <w:tcPr>
            <w:tcW w:w="346" w:type="dxa"/>
            <w:noWrap w:val="0"/>
            <w:vAlign w:val="center"/>
          </w:tcPr>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45" w:type="dxa"/>
            <w:noWrap w:val="0"/>
            <w:vAlign w:val="center"/>
          </w:tcPr>
          <w:p>
            <w:pPr>
              <w:autoSpaceDN w:val="0"/>
              <w:jc w:val="center"/>
              <w:textAlignment w:val="center"/>
              <w:rPr>
                <w:rFonts w:hint="eastAsia" w:ascii="Calibri" w:hAnsi="Calibri" w:eastAsia="华文细黑"/>
                <w:color w:val="000000"/>
                <w:sz w:val="20"/>
                <w:szCs w:val="22"/>
              </w:rPr>
            </w:pPr>
          </w:p>
        </w:tc>
        <w:tc>
          <w:tcPr>
            <w:tcW w:w="735" w:type="dxa"/>
            <w:noWrap w:val="0"/>
            <w:vAlign w:val="center"/>
          </w:tcPr>
          <w:p>
            <w:pPr>
              <w:autoSpaceDN w:val="0"/>
              <w:jc w:val="center"/>
              <w:textAlignment w:val="center"/>
              <w:rPr>
                <w:rFonts w:hint="eastAsia" w:ascii="Calibri" w:hAnsi="Calibri" w:eastAsia="华文细黑"/>
                <w:color w:val="000000"/>
                <w:sz w:val="20"/>
                <w:szCs w:val="22"/>
              </w:rPr>
            </w:pPr>
          </w:p>
        </w:tc>
        <w:tc>
          <w:tcPr>
            <w:tcW w:w="1035" w:type="dxa"/>
            <w:gridSpan w:val="2"/>
            <w:noWrap w:val="0"/>
            <w:vAlign w:val="center"/>
          </w:tcPr>
          <w:p>
            <w:pPr>
              <w:autoSpaceDN w:val="0"/>
              <w:jc w:val="center"/>
              <w:textAlignment w:val="center"/>
              <w:rPr>
                <w:rFonts w:hint="default" w:ascii="Calibri" w:hAnsi="Calibri" w:eastAsia="华文细黑"/>
                <w:color w:val="000000"/>
                <w:sz w:val="20"/>
                <w:szCs w:val="22"/>
                <w:lang w:val="en-US" w:eastAsia="zh-CN"/>
              </w:rPr>
            </w:pPr>
            <w:r>
              <w:rPr>
                <w:rFonts w:hint="eastAsia" w:ascii="Calibri" w:hAnsi="Calibri" w:eastAsia="华文细黑"/>
                <w:color w:val="000000"/>
                <w:sz w:val="20"/>
                <w:szCs w:val="22"/>
                <w:lang w:val="en-US" w:eastAsia="zh-CN"/>
              </w:rPr>
              <w:t>第五次全国经济普查经费</w:t>
            </w:r>
          </w:p>
        </w:tc>
        <w:tc>
          <w:tcPr>
            <w:tcW w:w="870"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val="en-US" w:eastAsia="zh-CN"/>
              </w:rPr>
              <w:t>桦甸市统计局</w:t>
            </w:r>
          </w:p>
        </w:tc>
        <w:tc>
          <w:tcPr>
            <w:tcW w:w="750" w:type="dxa"/>
            <w:noWrap w:val="0"/>
            <w:vAlign w:val="center"/>
          </w:tcPr>
          <w:p>
            <w:pPr>
              <w:autoSpaceDN w:val="0"/>
              <w:jc w:val="center"/>
              <w:textAlignment w:val="center"/>
              <w:rPr>
                <w:rFonts w:hint="eastAsia" w:ascii="Calibri" w:hAnsi="Calibri" w:eastAsia="华文细黑" w:cs="Times New Roman"/>
                <w:color w:val="000000"/>
                <w:kern w:val="2"/>
                <w:sz w:val="20"/>
                <w:szCs w:val="22"/>
                <w:lang w:val="en-US" w:eastAsia="zh-CN" w:bidi="ar-SA"/>
              </w:rPr>
            </w:pPr>
            <w:r>
              <w:rPr>
                <w:rFonts w:hint="eastAsia" w:ascii="Calibri" w:hAnsi="Calibri" w:eastAsia="华文细黑"/>
                <w:color w:val="000000"/>
                <w:sz w:val="20"/>
                <w:szCs w:val="22"/>
                <w:lang w:val="en-US" w:eastAsia="zh-CN"/>
              </w:rPr>
              <w:t>44.91</w:t>
            </w:r>
          </w:p>
        </w:tc>
        <w:tc>
          <w:tcPr>
            <w:tcW w:w="705" w:type="dxa"/>
            <w:noWrap w:val="0"/>
            <w:vAlign w:val="center"/>
          </w:tcPr>
          <w:p>
            <w:pPr>
              <w:autoSpaceDN w:val="0"/>
              <w:jc w:val="center"/>
              <w:textAlignment w:val="center"/>
              <w:rPr>
                <w:rFonts w:hint="eastAsia" w:ascii="Calibri" w:hAnsi="Calibri" w:eastAsia="华文细黑" w:cs="Times New Roman"/>
                <w:color w:val="000000"/>
                <w:kern w:val="2"/>
                <w:sz w:val="20"/>
                <w:szCs w:val="22"/>
                <w:lang w:val="en-US" w:eastAsia="zh-CN" w:bidi="ar-SA"/>
              </w:rPr>
            </w:pPr>
            <w:r>
              <w:rPr>
                <w:rFonts w:hint="eastAsia" w:ascii="Calibri" w:hAnsi="Calibri" w:eastAsia="华文细黑"/>
                <w:color w:val="000000"/>
                <w:sz w:val="20"/>
                <w:szCs w:val="22"/>
                <w:lang w:val="en-US" w:eastAsia="zh-CN"/>
              </w:rPr>
              <w:t>44.91</w:t>
            </w:r>
          </w:p>
        </w:tc>
        <w:tc>
          <w:tcPr>
            <w:tcW w:w="420" w:type="dxa"/>
            <w:noWrap w:val="0"/>
            <w:vAlign w:val="center"/>
          </w:tcPr>
          <w:p>
            <w:pPr>
              <w:autoSpaceDN w:val="0"/>
              <w:jc w:val="center"/>
              <w:textAlignment w:val="center"/>
              <w:rPr>
                <w:rFonts w:hint="eastAsia" w:ascii="Calibri" w:hAnsi="Calibri" w:eastAsia="华文细黑"/>
                <w:color w:val="000000"/>
                <w:sz w:val="20"/>
                <w:szCs w:val="22"/>
              </w:rPr>
            </w:pPr>
          </w:p>
        </w:tc>
        <w:tc>
          <w:tcPr>
            <w:tcW w:w="435" w:type="dxa"/>
            <w:noWrap w:val="0"/>
            <w:vAlign w:val="center"/>
          </w:tcPr>
          <w:p>
            <w:pPr>
              <w:autoSpaceDN w:val="0"/>
              <w:jc w:val="center"/>
              <w:textAlignment w:val="center"/>
              <w:rPr>
                <w:rFonts w:hint="eastAsia" w:ascii="Calibri" w:hAnsi="Calibri" w:eastAsia="华文细黑"/>
                <w:color w:val="000000"/>
                <w:sz w:val="20"/>
                <w:szCs w:val="22"/>
              </w:rPr>
            </w:pPr>
          </w:p>
        </w:tc>
        <w:tc>
          <w:tcPr>
            <w:tcW w:w="450" w:type="dxa"/>
            <w:noWrap w:val="0"/>
            <w:vAlign w:val="center"/>
          </w:tcPr>
          <w:p>
            <w:pPr>
              <w:autoSpaceDN w:val="0"/>
              <w:jc w:val="center"/>
              <w:textAlignment w:val="center"/>
              <w:rPr>
                <w:rFonts w:hint="eastAsia" w:ascii="Calibri" w:hAnsi="Calibri" w:eastAsia="华文细黑"/>
                <w:color w:val="000000"/>
                <w:sz w:val="20"/>
                <w:szCs w:val="22"/>
              </w:rPr>
            </w:pPr>
          </w:p>
        </w:tc>
        <w:tc>
          <w:tcPr>
            <w:tcW w:w="435" w:type="dxa"/>
            <w:noWrap w:val="0"/>
            <w:vAlign w:val="center"/>
          </w:tcPr>
          <w:p>
            <w:pPr>
              <w:autoSpaceDN w:val="0"/>
              <w:jc w:val="center"/>
              <w:textAlignment w:val="center"/>
              <w:rPr>
                <w:rFonts w:hint="eastAsia" w:ascii="Calibri" w:hAnsi="Calibri" w:eastAsia="华文细黑"/>
                <w:color w:val="000000"/>
                <w:sz w:val="20"/>
                <w:szCs w:val="22"/>
              </w:rPr>
            </w:pPr>
          </w:p>
        </w:tc>
        <w:tc>
          <w:tcPr>
            <w:tcW w:w="420" w:type="dxa"/>
            <w:noWrap w:val="0"/>
            <w:vAlign w:val="center"/>
          </w:tcPr>
          <w:p>
            <w:pPr>
              <w:autoSpaceDN w:val="0"/>
              <w:jc w:val="center"/>
              <w:textAlignment w:val="center"/>
              <w:rPr>
                <w:rFonts w:hint="eastAsia" w:ascii="Calibri" w:hAnsi="Calibri" w:eastAsia="华文细黑"/>
                <w:color w:val="000000"/>
                <w:sz w:val="20"/>
                <w:szCs w:val="22"/>
              </w:rPr>
            </w:pPr>
          </w:p>
        </w:tc>
        <w:tc>
          <w:tcPr>
            <w:tcW w:w="450" w:type="dxa"/>
            <w:noWrap w:val="0"/>
            <w:vAlign w:val="center"/>
          </w:tcPr>
          <w:p>
            <w:pPr>
              <w:autoSpaceDN w:val="0"/>
              <w:jc w:val="center"/>
              <w:textAlignment w:val="center"/>
              <w:rPr>
                <w:rFonts w:hint="eastAsia" w:ascii="Calibri" w:hAnsi="Calibri" w:eastAsia="华文细黑"/>
                <w:color w:val="000000"/>
                <w:sz w:val="20"/>
                <w:szCs w:val="22"/>
              </w:rPr>
            </w:pPr>
          </w:p>
        </w:tc>
        <w:tc>
          <w:tcPr>
            <w:tcW w:w="405" w:type="dxa"/>
            <w:noWrap w:val="0"/>
            <w:vAlign w:val="center"/>
          </w:tcPr>
          <w:p>
            <w:pPr>
              <w:autoSpaceDN w:val="0"/>
              <w:jc w:val="center"/>
              <w:textAlignment w:val="center"/>
              <w:rPr>
                <w:rFonts w:hint="eastAsia" w:ascii="Calibri" w:hAnsi="Calibri" w:eastAsia="华文细黑"/>
                <w:color w:val="000000"/>
                <w:sz w:val="20"/>
                <w:szCs w:val="22"/>
              </w:rPr>
            </w:pPr>
          </w:p>
        </w:tc>
        <w:tc>
          <w:tcPr>
            <w:tcW w:w="375" w:type="dxa"/>
            <w:noWrap w:val="0"/>
            <w:vAlign w:val="center"/>
          </w:tcPr>
          <w:p>
            <w:pPr>
              <w:autoSpaceDN w:val="0"/>
              <w:jc w:val="center"/>
              <w:textAlignment w:val="center"/>
              <w:rPr>
                <w:rFonts w:hint="eastAsia" w:ascii="Calibri" w:hAnsi="Calibri" w:eastAsia="华文细黑"/>
                <w:color w:val="000000"/>
                <w:sz w:val="20"/>
                <w:szCs w:val="22"/>
              </w:rPr>
            </w:pPr>
          </w:p>
        </w:tc>
        <w:tc>
          <w:tcPr>
            <w:tcW w:w="346" w:type="dxa"/>
            <w:noWrap w:val="0"/>
            <w:vAlign w:val="center"/>
          </w:tcPr>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845" w:type="dxa"/>
            <w:noWrap w:val="0"/>
            <w:vAlign w:val="center"/>
          </w:tcPr>
          <w:p>
            <w:pPr>
              <w:autoSpaceDN w:val="0"/>
              <w:jc w:val="center"/>
              <w:textAlignment w:val="center"/>
              <w:rPr>
                <w:rFonts w:hint="eastAsia" w:ascii="Calibri" w:hAnsi="Calibri" w:eastAsia="华文细黑"/>
                <w:color w:val="000000"/>
                <w:sz w:val="20"/>
                <w:szCs w:val="22"/>
              </w:rPr>
            </w:pPr>
          </w:p>
        </w:tc>
        <w:tc>
          <w:tcPr>
            <w:tcW w:w="735" w:type="dxa"/>
            <w:noWrap w:val="0"/>
            <w:vAlign w:val="center"/>
          </w:tcPr>
          <w:p>
            <w:pPr>
              <w:autoSpaceDN w:val="0"/>
              <w:jc w:val="center"/>
              <w:textAlignment w:val="center"/>
              <w:rPr>
                <w:rFonts w:hint="default" w:ascii="Calibri" w:hAnsi="Calibri" w:eastAsia="华文细黑"/>
                <w:color w:val="000000"/>
                <w:sz w:val="20"/>
                <w:szCs w:val="22"/>
                <w:lang w:val="en-US" w:eastAsia="zh-CN"/>
              </w:rPr>
            </w:pPr>
            <w:r>
              <w:rPr>
                <w:rFonts w:hint="eastAsia" w:ascii="Calibri" w:hAnsi="Calibri" w:eastAsia="华文细黑"/>
                <w:color w:val="000000"/>
                <w:sz w:val="20"/>
                <w:szCs w:val="22"/>
                <w:lang w:val="en-US" w:eastAsia="zh-CN"/>
              </w:rPr>
              <w:t>专项统计业务</w:t>
            </w:r>
          </w:p>
        </w:tc>
        <w:tc>
          <w:tcPr>
            <w:tcW w:w="1035" w:type="dxa"/>
            <w:gridSpan w:val="2"/>
            <w:noWrap w:val="0"/>
            <w:vAlign w:val="center"/>
          </w:tcPr>
          <w:p>
            <w:pPr>
              <w:autoSpaceDN w:val="0"/>
              <w:jc w:val="center"/>
              <w:textAlignment w:val="center"/>
              <w:rPr>
                <w:rFonts w:hint="eastAsia" w:ascii="Calibri" w:hAnsi="Calibri" w:eastAsia="华文细黑"/>
                <w:color w:val="000000"/>
                <w:sz w:val="20"/>
                <w:szCs w:val="22"/>
              </w:rPr>
            </w:pPr>
          </w:p>
        </w:tc>
        <w:tc>
          <w:tcPr>
            <w:tcW w:w="870" w:type="dxa"/>
            <w:noWrap w:val="0"/>
            <w:vAlign w:val="center"/>
          </w:tcPr>
          <w:p>
            <w:pPr>
              <w:autoSpaceDN w:val="0"/>
              <w:jc w:val="center"/>
              <w:textAlignment w:val="center"/>
              <w:rPr>
                <w:rFonts w:hint="eastAsia" w:ascii="Calibri" w:hAnsi="Calibri" w:eastAsia="华文细黑"/>
                <w:color w:val="000000"/>
                <w:sz w:val="20"/>
                <w:szCs w:val="22"/>
              </w:rPr>
            </w:pPr>
          </w:p>
        </w:tc>
        <w:tc>
          <w:tcPr>
            <w:tcW w:w="750" w:type="dxa"/>
            <w:noWrap w:val="0"/>
            <w:vAlign w:val="center"/>
          </w:tcPr>
          <w:p>
            <w:pPr>
              <w:autoSpaceDN w:val="0"/>
              <w:jc w:val="center"/>
              <w:textAlignment w:val="center"/>
              <w:rPr>
                <w:rFonts w:hint="default" w:ascii="Calibri" w:hAnsi="Calibri" w:eastAsia="华文细黑"/>
                <w:color w:val="000000"/>
                <w:sz w:val="20"/>
                <w:szCs w:val="22"/>
                <w:lang w:val="en-US" w:eastAsia="zh-CN"/>
              </w:rPr>
            </w:pPr>
            <w:r>
              <w:rPr>
                <w:rFonts w:hint="eastAsia" w:ascii="Calibri" w:hAnsi="Calibri" w:eastAsia="华文细黑"/>
                <w:color w:val="000000"/>
                <w:sz w:val="20"/>
                <w:szCs w:val="22"/>
                <w:lang w:val="en-US" w:eastAsia="zh-CN"/>
              </w:rPr>
              <w:t>24.37</w:t>
            </w:r>
          </w:p>
        </w:tc>
        <w:tc>
          <w:tcPr>
            <w:tcW w:w="705" w:type="dxa"/>
            <w:noWrap w:val="0"/>
            <w:vAlign w:val="center"/>
          </w:tcPr>
          <w:p>
            <w:pPr>
              <w:autoSpaceDN w:val="0"/>
              <w:jc w:val="center"/>
              <w:textAlignment w:val="center"/>
              <w:rPr>
                <w:rFonts w:hint="default" w:ascii="Calibri" w:hAnsi="Calibri" w:eastAsia="华文细黑"/>
                <w:color w:val="000000"/>
                <w:sz w:val="20"/>
                <w:szCs w:val="22"/>
                <w:lang w:val="en-US" w:eastAsia="zh-CN"/>
              </w:rPr>
            </w:pPr>
            <w:r>
              <w:rPr>
                <w:rFonts w:hint="eastAsia" w:ascii="Calibri" w:hAnsi="Calibri" w:eastAsia="华文细黑"/>
                <w:color w:val="000000"/>
                <w:sz w:val="20"/>
                <w:szCs w:val="22"/>
                <w:lang w:val="en-US" w:eastAsia="zh-CN"/>
              </w:rPr>
              <w:t>24.37</w:t>
            </w:r>
          </w:p>
        </w:tc>
        <w:tc>
          <w:tcPr>
            <w:tcW w:w="420" w:type="dxa"/>
            <w:noWrap w:val="0"/>
            <w:vAlign w:val="center"/>
          </w:tcPr>
          <w:p>
            <w:pPr>
              <w:autoSpaceDN w:val="0"/>
              <w:jc w:val="center"/>
              <w:textAlignment w:val="center"/>
              <w:rPr>
                <w:rFonts w:hint="eastAsia" w:ascii="Calibri" w:hAnsi="Calibri" w:eastAsia="华文细黑"/>
                <w:color w:val="000000"/>
                <w:sz w:val="20"/>
                <w:szCs w:val="22"/>
              </w:rPr>
            </w:pPr>
          </w:p>
        </w:tc>
        <w:tc>
          <w:tcPr>
            <w:tcW w:w="435" w:type="dxa"/>
            <w:noWrap w:val="0"/>
            <w:vAlign w:val="center"/>
          </w:tcPr>
          <w:p>
            <w:pPr>
              <w:autoSpaceDN w:val="0"/>
              <w:jc w:val="center"/>
              <w:textAlignment w:val="center"/>
              <w:rPr>
                <w:rFonts w:hint="eastAsia" w:ascii="Calibri" w:hAnsi="Calibri" w:eastAsia="华文细黑"/>
                <w:color w:val="000000"/>
                <w:sz w:val="20"/>
                <w:szCs w:val="22"/>
              </w:rPr>
            </w:pPr>
          </w:p>
        </w:tc>
        <w:tc>
          <w:tcPr>
            <w:tcW w:w="450" w:type="dxa"/>
            <w:noWrap w:val="0"/>
            <w:vAlign w:val="center"/>
          </w:tcPr>
          <w:p>
            <w:pPr>
              <w:autoSpaceDN w:val="0"/>
              <w:jc w:val="center"/>
              <w:textAlignment w:val="center"/>
              <w:rPr>
                <w:rFonts w:hint="eastAsia" w:ascii="Calibri" w:hAnsi="Calibri" w:eastAsia="华文细黑"/>
                <w:color w:val="000000"/>
                <w:sz w:val="20"/>
                <w:szCs w:val="22"/>
              </w:rPr>
            </w:pPr>
          </w:p>
        </w:tc>
        <w:tc>
          <w:tcPr>
            <w:tcW w:w="435" w:type="dxa"/>
            <w:noWrap w:val="0"/>
            <w:vAlign w:val="center"/>
          </w:tcPr>
          <w:p>
            <w:pPr>
              <w:autoSpaceDN w:val="0"/>
              <w:jc w:val="center"/>
              <w:textAlignment w:val="center"/>
              <w:rPr>
                <w:rFonts w:hint="eastAsia" w:ascii="Calibri" w:hAnsi="Calibri" w:eastAsia="华文细黑"/>
                <w:color w:val="000000"/>
                <w:sz w:val="20"/>
                <w:szCs w:val="22"/>
              </w:rPr>
            </w:pPr>
          </w:p>
        </w:tc>
        <w:tc>
          <w:tcPr>
            <w:tcW w:w="420" w:type="dxa"/>
            <w:noWrap w:val="0"/>
            <w:vAlign w:val="center"/>
          </w:tcPr>
          <w:p>
            <w:pPr>
              <w:autoSpaceDN w:val="0"/>
              <w:jc w:val="center"/>
              <w:textAlignment w:val="center"/>
              <w:rPr>
                <w:rFonts w:hint="eastAsia" w:ascii="Calibri" w:hAnsi="Calibri" w:eastAsia="华文细黑"/>
                <w:color w:val="000000"/>
                <w:sz w:val="20"/>
                <w:szCs w:val="22"/>
              </w:rPr>
            </w:pPr>
          </w:p>
        </w:tc>
        <w:tc>
          <w:tcPr>
            <w:tcW w:w="450" w:type="dxa"/>
            <w:noWrap w:val="0"/>
            <w:vAlign w:val="center"/>
          </w:tcPr>
          <w:p>
            <w:pPr>
              <w:autoSpaceDN w:val="0"/>
              <w:jc w:val="center"/>
              <w:textAlignment w:val="center"/>
              <w:rPr>
                <w:rFonts w:hint="eastAsia" w:ascii="Calibri" w:hAnsi="Calibri" w:eastAsia="华文细黑"/>
                <w:color w:val="000000"/>
                <w:sz w:val="20"/>
                <w:szCs w:val="22"/>
              </w:rPr>
            </w:pPr>
          </w:p>
        </w:tc>
        <w:tc>
          <w:tcPr>
            <w:tcW w:w="405" w:type="dxa"/>
            <w:noWrap w:val="0"/>
            <w:vAlign w:val="center"/>
          </w:tcPr>
          <w:p>
            <w:pPr>
              <w:autoSpaceDN w:val="0"/>
              <w:jc w:val="center"/>
              <w:textAlignment w:val="center"/>
              <w:rPr>
                <w:rFonts w:hint="eastAsia" w:ascii="Calibri" w:hAnsi="Calibri" w:eastAsia="华文细黑"/>
                <w:color w:val="000000"/>
                <w:sz w:val="20"/>
                <w:szCs w:val="22"/>
              </w:rPr>
            </w:pPr>
          </w:p>
        </w:tc>
        <w:tc>
          <w:tcPr>
            <w:tcW w:w="375" w:type="dxa"/>
            <w:noWrap w:val="0"/>
            <w:vAlign w:val="center"/>
          </w:tcPr>
          <w:p>
            <w:pPr>
              <w:autoSpaceDN w:val="0"/>
              <w:jc w:val="center"/>
              <w:textAlignment w:val="center"/>
              <w:rPr>
                <w:rFonts w:hint="eastAsia" w:ascii="Calibri" w:hAnsi="Calibri" w:eastAsia="华文细黑"/>
                <w:color w:val="000000"/>
                <w:sz w:val="20"/>
                <w:szCs w:val="22"/>
              </w:rPr>
            </w:pPr>
          </w:p>
        </w:tc>
        <w:tc>
          <w:tcPr>
            <w:tcW w:w="346" w:type="dxa"/>
            <w:noWrap w:val="0"/>
            <w:vAlign w:val="center"/>
          </w:tcPr>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5" w:type="dxa"/>
            <w:noWrap w:val="0"/>
            <w:vAlign w:val="center"/>
          </w:tcPr>
          <w:p>
            <w:pPr>
              <w:autoSpaceDN w:val="0"/>
              <w:jc w:val="center"/>
              <w:textAlignment w:val="center"/>
              <w:rPr>
                <w:rFonts w:hint="eastAsia" w:ascii="Calibri" w:hAnsi="Calibri" w:eastAsia="华文细黑"/>
                <w:color w:val="000000"/>
                <w:sz w:val="20"/>
                <w:szCs w:val="22"/>
              </w:rPr>
            </w:pPr>
          </w:p>
        </w:tc>
        <w:tc>
          <w:tcPr>
            <w:tcW w:w="735" w:type="dxa"/>
            <w:noWrap w:val="0"/>
            <w:vAlign w:val="center"/>
          </w:tcPr>
          <w:p>
            <w:pPr>
              <w:autoSpaceDN w:val="0"/>
              <w:jc w:val="center"/>
              <w:textAlignment w:val="center"/>
              <w:rPr>
                <w:rFonts w:hint="eastAsia" w:ascii="Calibri" w:hAnsi="Calibri" w:eastAsia="华文细黑"/>
                <w:color w:val="000000"/>
                <w:sz w:val="20"/>
                <w:szCs w:val="22"/>
              </w:rPr>
            </w:pPr>
          </w:p>
        </w:tc>
        <w:tc>
          <w:tcPr>
            <w:tcW w:w="1035" w:type="dxa"/>
            <w:gridSpan w:val="2"/>
            <w:noWrap w:val="0"/>
            <w:vAlign w:val="center"/>
          </w:tcPr>
          <w:p>
            <w:pPr>
              <w:autoSpaceDN w:val="0"/>
              <w:jc w:val="center"/>
              <w:textAlignment w:val="center"/>
              <w:rPr>
                <w:rFonts w:hint="default" w:ascii="Calibri" w:hAnsi="Calibri" w:eastAsia="华文细黑"/>
                <w:color w:val="000000"/>
                <w:sz w:val="20"/>
                <w:szCs w:val="22"/>
                <w:lang w:val="en-US" w:eastAsia="zh-CN"/>
              </w:rPr>
            </w:pPr>
            <w:r>
              <w:rPr>
                <w:rFonts w:hint="eastAsia" w:ascii="Calibri" w:hAnsi="Calibri" w:eastAsia="华文细黑"/>
                <w:color w:val="000000"/>
                <w:sz w:val="20"/>
                <w:szCs w:val="22"/>
                <w:lang w:val="en-US" w:eastAsia="zh-CN"/>
              </w:rPr>
              <w:t>统计调查经费</w:t>
            </w:r>
          </w:p>
        </w:tc>
        <w:tc>
          <w:tcPr>
            <w:tcW w:w="870"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val="en-US" w:eastAsia="zh-CN"/>
              </w:rPr>
              <w:t>桦甸市统计局</w:t>
            </w:r>
          </w:p>
        </w:tc>
        <w:tc>
          <w:tcPr>
            <w:tcW w:w="750" w:type="dxa"/>
            <w:noWrap w:val="0"/>
            <w:vAlign w:val="center"/>
          </w:tcPr>
          <w:p>
            <w:pPr>
              <w:autoSpaceDN w:val="0"/>
              <w:jc w:val="center"/>
              <w:textAlignment w:val="center"/>
              <w:rPr>
                <w:rFonts w:hint="default" w:ascii="Calibri" w:hAnsi="Calibri" w:eastAsia="华文细黑"/>
                <w:color w:val="000000"/>
                <w:sz w:val="20"/>
                <w:szCs w:val="22"/>
                <w:lang w:val="en-US" w:eastAsia="zh-CN"/>
              </w:rPr>
            </w:pPr>
            <w:r>
              <w:rPr>
                <w:rFonts w:hint="eastAsia" w:ascii="Calibri" w:hAnsi="Calibri" w:eastAsia="华文细黑"/>
                <w:color w:val="000000"/>
                <w:sz w:val="20"/>
                <w:szCs w:val="22"/>
                <w:lang w:val="en-US" w:eastAsia="zh-CN"/>
              </w:rPr>
              <w:t>24.37</w:t>
            </w:r>
          </w:p>
        </w:tc>
        <w:tc>
          <w:tcPr>
            <w:tcW w:w="705" w:type="dxa"/>
            <w:noWrap w:val="0"/>
            <w:vAlign w:val="center"/>
          </w:tcPr>
          <w:p>
            <w:pPr>
              <w:autoSpaceDN w:val="0"/>
              <w:jc w:val="center"/>
              <w:textAlignment w:val="center"/>
              <w:rPr>
                <w:rFonts w:hint="default" w:ascii="Calibri" w:hAnsi="Calibri" w:eastAsia="华文细黑"/>
                <w:color w:val="000000"/>
                <w:sz w:val="20"/>
                <w:szCs w:val="22"/>
                <w:lang w:val="en-US" w:eastAsia="zh-CN"/>
              </w:rPr>
            </w:pPr>
            <w:r>
              <w:rPr>
                <w:rFonts w:hint="eastAsia" w:ascii="Calibri" w:hAnsi="Calibri" w:eastAsia="华文细黑"/>
                <w:color w:val="000000"/>
                <w:sz w:val="20"/>
                <w:szCs w:val="22"/>
                <w:lang w:val="en-US" w:eastAsia="zh-CN"/>
              </w:rPr>
              <w:t>24.37</w:t>
            </w:r>
          </w:p>
        </w:tc>
        <w:tc>
          <w:tcPr>
            <w:tcW w:w="420" w:type="dxa"/>
            <w:noWrap w:val="0"/>
            <w:vAlign w:val="center"/>
          </w:tcPr>
          <w:p>
            <w:pPr>
              <w:autoSpaceDN w:val="0"/>
              <w:jc w:val="center"/>
              <w:textAlignment w:val="center"/>
              <w:rPr>
                <w:rFonts w:hint="eastAsia" w:ascii="Calibri" w:hAnsi="Calibri" w:eastAsia="华文细黑"/>
                <w:color w:val="000000"/>
                <w:sz w:val="20"/>
                <w:szCs w:val="22"/>
              </w:rPr>
            </w:pPr>
          </w:p>
        </w:tc>
        <w:tc>
          <w:tcPr>
            <w:tcW w:w="435" w:type="dxa"/>
            <w:noWrap w:val="0"/>
            <w:vAlign w:val="center"/>
          </w:tcPr>
          <w:p>
            <w:pPr>
              <w:autoSpaceDN w:val="0"/>
              <w:jc w:val="center"/>
              <w:textAlignment w:val="center"/>
              <w:rPr>
                <w:rFonts w:hint="eastAsia" w:ascii="Calibri" w:hAnsi="Calibri" w:eastAsia="华文细黑"/>
                <w:color w:val="000000"/>
                <w:sz w:val="20"/>
                <w:szCs w:val="22"/>
              </w:rPr>
            </w:pPr>
          </w:p>
        </w:tc>
        <w:tc>
          <w:tcPr>
            <w:tcW w:w="450" w:type="dxa"/>
            <w:noWrap w:val="0"/>
            <w:vAlign w:val="center"/>
          </w:tcPr>
          <w:p>
            <w:pPr>
              <w:autoSpaceDN w:val="0"/>
              <w:jc w:val="center"/>
              <w:textAlignment w:val="center"/>
              <w:rPr>
                <w:rFonts w:hint="eastAsia" w:ascii="Calibri" w:hAnsi="Calibri" w:eastAsia="华文细黑"/>
                <w:color w:val="000000"/>
                <w:sz w:val="20"/>
                <w:szCs w:val="22"/>
              </w:rPr>
            </w:pPr>
          </w:p>
        </w:tc>
        <w:tc>
          <w:tcPr>
            <w:tcW w:w="435" w:type="dxa"/>
            <w:noWrap w:val="0"/>
            <w:vAlign w:val="center"/>
          </w:tcPr>
          <w:p>
            <w:pPr>
              <w:autoSpaceDN w:val="0"/>
              <w:jc w:val="center"/>
              <w:textAlignment w:val="center"/>
              <w:rPr>
                <w:rFonts w:hint="eastAsia" w:ascii="Calibri" w:hAnsi="Calibri" w:eastAsia="华文细黑"/>
                <w:color w:val="000000"/>
                <w:sz w:val="20"/>
                <w:szCs w:val="22"/>
              </w:rPr>
            </w:pPr>
          </w:p>
        </w:tc>
        <w:tc>
          <w:tcPr>
            <w:tcW w:w="420" w:type="dxa"/>
            <w:noWrap w:val="0"/>
            <w:vAlign w:val="center"/>
          </w:tcPr>
          <w:p>
            <w:pPr>
              <w:autoSpaceDN w:val="0"/>
              <w:jc w:val="center"/>
              <w:textAlignment w:val="center"/>
              <w:rPr>
                <w:rFonts w:hint="eastAsia" w:ascii="Calibri" w:hAnsi="Calibri" w:eastAsia="华文细黑"/>
                <w:color w:val="000000"/>
                <w:sz w:val="20"/>
                <w:szCs w:val="22"/>
              </w:rPr>
            </w:pPr>
          </w:p>
        </w:tc>
        <w:tc>
          <w:tcPr>
            <w:tcW w:w="450" w:type="dxa"/>
            <w:noWrap w:val="0"/>
            <w:vAlign w:val="center"/>
          </w:tcPr>
          <w:p>
            <w:pPr>
              <w:autoSpaceDN w:val="0"/>
              <w:jc w:val="center"/>
              <w:textAlignment w:val="center"/>
              <w:rPr>
                <w:rFonts w:hint="eastAsia" w:ascii="Calibri" w:hAnsi="Calibri" w:eastAsia="华文细黑"/>
                <w:color w:val="000000"/>
                <w:sz w:val="20"/>
                <w:szCs w:val="22"/>
              </w:rPr>
            </w:pPr>
          </w:p>
        </w:tc>
        <w:tc>
          <w:tcPr>
            <w:tcW w:w="405" w:type="dxa"/>
            <w:noWrap w:val="0"/>
            <w:vAlign w:val="center"/>
          </w:tcPr>
          <w:p>
            <w:pPr>
              <w:autoSpaceDN w:val="0"/>
              <w:jc w:val="center"/>
              <w:textAlignment w:val="center"/>
              <w:rPr>
                <w:rFonts w:hint="eastAsia" w:ascii="Calibri" w:hAnsi="Calibri" w:eastAsia="华文细黑"/>
                <w:color w:val="000000"/>
                <w:sz w:val="20"/>
                <w:szCs w:val="22"/>
              </w:rPr>
            </w:pPr>
          </w:p>
        </w:tc>
        <w:tc>
          <w:tcPr>
            <w:tcW w:w="375" w:type="dxa"/>
            <w:noWrap w:val="0"/>
            <w:vAlign w:val="center"/>
          </w:tcPr>
          <w:p>
            <w:pPr>
              <w:autoSpaceDN w:val="0"/>
              <w:jc w:val="center"/>
              <w:textAlignment w:val="center"/>
              <w:rPr>
                <w:rFonts w:hint="eastAsia" w:ascii="Calibri" w:hAnsi="Calibri" w:eastAsia="华文细黑"/>
                <w:color w:val="000000"/>
                <w:sz w:val="20"/>
                <w:szCs w:val="22"/>
              </w:rPr>
            </w:pPr>
          </w:p>
        </w:tc>
        <w:tc>
          <w:tcPr>
            <w:tcW w:w="346" w:type="dxa"/>
            <w:noWrap w:val="0"/>
            <w:vAlign w:val="center"/>
          </w:tcPr>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45"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35" w:type="dxa"/>
            <w:noWrap w:val="0"/>
            <w:vAlign w:val="center"/>
          </w:tcPr>
          <w:p>
            <w:pPr>
              <w:autoSpaceDN w:val="0"/>
              <w:jc w:val="center"/>
              <w:textAlignment w:val="center"/>
              <w:rPr>
                <w:rFonts w:hint="eastAsia" w:ascii="Calibri" w:hAnsi="Calibri" w:eastAsia="华文细黑"/>
                <w:color w:val="000000"/>
                <w:sz w:val="20"/>
                <w:szCs w:val="22"/>
              </w:rPr>
            </w:pPr>
          </w:p>
        </w:tc>
        <w:tc>
          <w:tcPr>
            <w:tcW w:w="1035" w:type="dxa"/>
            <w:gridSpan w:val="2"/>
            <w:noWrap w:val="0"/>
            <w:vAlign w:val="center"/>
          </w:tcPr>
          <w:p>
            <w:pPr>
              <w:autoSpaceDN w:val="0"/>
              <w:jc w:val="center"/>
              <w:textAlignment w:val="center"/>
              <w:rPr>
                <w:rFonts w:hint="eastAsia" w:ascii="Calibri" w:hAnsi="Calibri" w:eastAsia="华文细黑"/>
                <w:color w:val="000000"/>
                <w:sz w:val="20"/>
                <w:szCs w:val="22"/>
              </w:rPr>
            </w:pPr>
          </w:p>
        </w:tc>
        <w:tc>
          <w:tcPr>
            <w:tcW w:w="870" w:type="dxa"/>
            <w:noWrap w:val="0"/>
            <w:vAlign w:val="center"/>
          </w:tcPr>
          <w:p>
            <w:pPr>
              <w:autoSpaceDN w:val="0"/>
              <w:jc w:val="center"/>
              <w:textAlignment w:val="center"/>
              <w:rPr>
                <w:rFonts w:hint="eastAsia" w:ascii="Calibri" w:hAnsi="Calibri" w:eastAsia="华文细黑"/>
                <w:color w:val="000000"/>
                <w:sz w:val="20"/>
                <w:szCs w:val="22"/>
              </w:rPr>
            </w:pPr>
          </w:p>
        </w:tc>
        <w:tc>
          <w:tcPr>
            <w:tcW w:w="750" w:type="dxa"/>
            <w:noWrap w:val="0"/>
            <w:vAlign w:val="center"/>
          </w:tcPr>
          <w:p>
            <w:pPr>
              <w:autoSpaceDN w:val="0"/>
              <w:jc w:val="center"/>
              <w:textAlignment w:val="center"/>
              <w:rPr>
                <w:rFonts w:hint="default" w:ascii="Calibri" w:hAnsi="Calibri" w:eastAsia="华文细黑"/>
                <w:color w:val="000000"/>
                <w:sz w:val="20"/>
                <w:szCs w:val="22"/>
                <w:lang w:val="en-US" w:eastAsia="zh-CN"/>
              </w:rPr>
            </w:pPr>
            <w:r>
              <w:rPr>
                <w:rFonts w:hint="eastAsia" w:ascii="Calibri" w:hAnsi="Calibri" w:eastAsia="华文细黑"/>
                <w:color w:val="000000"/>
                <w:sz w:val="20"/>
                <w:szCs w:val="22"/>
                <w:lang w:val="en-US" w:eastAsia="zh-CN"/>
              </w:rPr>
              <w:t>69.28</w:t>
            </w:r>
          </w:p>
        </w:tc>
        <w:tc>
          <w:tcPr>
            <w:tcW w:w="705" w:type="dxa"/>
            <w:noWrap w:val="0"/>
            <w:vAlign w:val="center"/>
          </w:tcPr>
          <w:p>
            <w:pPr>
              <w:autoSpaceDN w:val="0"/>
              <w:jc w:val="center"/>
              <w:textAlignment w:val="center"/>
              <w:rPr>
                <w:rFonts w:hint="default" w:ascii="Calibri" w:hAnsi="Calibri" w:eastAsia="华文细黑"/>
                <w:color w:val="000000"/>
                <w:sz w:val="20"/>
                <w:szCs w:val="22"/>
                <w:lang w:val="en-US" w:eastAsia="zh-CN"/>
              </w:rPr>
            </w:pPr>
            <w:r>
              <w:rPr>
                <w:rFonts w:hint="eastAsia" w:ascii="Calibri" w:hAnsi="Calibri" w:eastAsia="华文细黑"/>
                <w:color w:val="000000"/>
                <w:sz w:val="20"/>
                <w:szCs w:val="22"/>
                <w:lang w:val="en-US" w:eastAsia="zh-CN"/>
              </w:rPr>
              <w:t>69.28</w:t>
            </w:r>
          </w:p>
        </w:tc>
        <w:tc>
          <w:tcPr>
            <w:tcW w:w="420" w:type="dxa"/>
            <w:noWrap w:val="0"/>
            <w:vAlign w:val="center"/>
          </w:tcPr>
          <w:p>
            <w:pPr>
              <w:autoSpaceDN w:val="0"/>
              <w:jc w:val="center"/>
              <w:textAlignment w:val="center"/>
              <w:rPr>
                <w:rFonts w:hint="eastAsia" w:ascii="Calibri" w:hAnsi="Calibri" w:eastAsia="华文细黑"/>
                <w:color w:val="000000"/>
                <w:sz w:val="20"/>
                <w:szCs w:val="22"/>
              </w:rPr>
            </w:pPr>
          </w:p>
        </w:tc>
        <w:tc>
          <w:tcPr>
            <w:tcW w:w="435" w:type="dxa"/>
            <w:noWrap w:val="0"/>
            <w:vAlign w:val="center"/>
          </w:tcPr>
          <w:p>
            <w:pPr>
              <w:autoSpaceDN w:val="0"/>
              <w:jc w:val="center"/>
              <w:textAlignment w:val="center"/>
              <w:rPr>
                <w:rFonts w:hint="eastAsia" w:ascii="Calibri" w:hAnsi="Calibri" w:eastAsia="华文细黑"/>
                <w:color w:val="000000"/>
                <w:sz w:val="20"/>
                <w:szCs w:val="22"/>
              </w:rPr>
            </w:pPr>
          </w:p>
        </w:tc>
        <w:tc>
          <w:tcPr>
            <w:tcW w:w="450" w:type="dxa"/>
            <w:noWrap w:val="0"/>
            <w:vAlign w:val="center"/>
          </w:tcPr>
          <w:p>
            <w:pPr>
              <w:autoSpaceDN w:val="0"/>
              <w:jc w:val="center"/>
              <w:textAlignment w:val="center"/>
              <w:rPr>
                <w:rFonts w:hint="eastAsia" w:ascii="Calibri" w:hAnsi="Calibri" w:eastAsia="华文细黑"/>
                <w:color w:val="000000"/>
                <w:sz w:val="20"/>
                <w:szCs w:val="22"/>
              </w:rPr>
            </w:pPr>
          </w:p>
        </w:tc>
        <w:tc>
          <w:tcPr>
            <w:tcW w:w="435" w:type="dxa"/>
            <w:noWrap w:val="0"/>
            <w:vAlign w:val="center"/>
          </w:tcPr>
          <w:p>
            <w:pPr>
              <w:autoSpaceDN w:val="0"/>
              <w:jc w:val="center"/>
              <w:textAlignment w:val="center"/>
              <w:rPr>
                <w:rFonts w:hint="eastAsia" w:ascii="Calibri" w:hAnsi="Calibri" w:eastAsia="华文细黑"/>
                <w:color w:val="000000"/>
                <w:sz w:val="20"/>
                <w:szCs w:val="22"/>
              </w:rPr>
            </w:pPr>
          </w:p>
        </w:tc>
        <w:tc>
          <w:tcPr>
            <w:tcW w:w="420" w:type="dxa"/>
            <w:noWrap w:val="0"/>
            <w:vAlign w:val="center"/>
          </w:tcPr>
          <w:p>
            <w:pPr>
              <w:autoSpaceDN w:val="0"/>
              <w:jc w:val="center"/>
              <w:textAlignment w:val="center"/>
              <w:rPr>
                <w:rFonts w:hint="eastAsia" w:ascii="Calibri" w:hAnsi="Calibri" w:eastAsia="华文细黑"/>
                <w:color w:val="000000"/>
                <w:sz w:val="20"/>
                <w:szCs w:val="22"/>
              </w:rPr>
            </w:pPr>
          </w:p>
        </w:tc>
        <w:tc>
          <w:tcPr>
            <w:tcW w:w="450" w:type="dxa"/>
            <w:noWrap w:val="0"/>
            <w:vAlign w:val="center"/>
          </w:tcPr>
          <w:p>
            <w:pPr>
              <w:autoSpaceDN w:val="0"/>
              <w:jc w:val="center"/>
              <w:textAlignment w:val="center"/>
              <w:rPr>
                <w:rFonts w:hint="eastAsia" w:ascii="Calibri" w:hAnsi="Calibri" w:eastAsia="华文细黑"/>
                <w:color w:val="000000"/>
                <w:sz w:val="20"/>
                <w:szCs w:val="22"/>
              </w:rPr>
            </w:pPr>
          </w:p>
        </w:tc>
        <w:tc>
          <w:tcPr>
            <w:tcW w:w="405" w:type="dxa"/>
            <w:noWrap w:val="0"/>
            <w:vAlign w:val="center"/>
          </w:tcPr>
          <w:p>
            <w:pPr>
              <w:autoSpaceDN w:val="0"/>
              <w:jc w:val="center"/>
              <w:textAlignment w:val="center"/>
              <w:rPr>
                <w:rFonts w:hint="eastAsia" w:ascii="Calibri" w:hAnsi="Calibri" w:eastAsia="华文细黑"/>
                <w:color w:val="000000"/>
                <w:sz w:val="20"/>
                <w:szCs w:val="22"/>
              </w:rPr>
            </w:pPr>
          </w:p>
        </w:tc>
        <w:tc>
          <w:tcPr>
            <w:tcW w:w="375" w:type="dxa"/>
            <w:noWrap w:val="0"/>
            <w:vAlign w:val="center"/>
          </w:tcPr>
          <w:p>
            <w:pPr>
              <w:autoSpaceDN w:val="0"/>
              <w:jc w:val="center"/>
              <w:textAlignment w:val="center"/>
              <w:rPr>
                <w:rFonts w:hint="eastAsia" w:ascii="Calibri" w:hAnsi="Calibri" w:eastAsia="华文细黑"/>
                <w:color w:val="000000"/>
                <w:sz w:val="20"/>
                <w:szCs w:val="22"/>
              </w:rPr>
            </w:pPr>
          </w:p>
        </w:tc>
        <w:tc>
          <w:tcPr>
            <w:tcW w:w="346" w:type="dxa"/>
            <w:noWrap w:val="0"/>
            <w:vAlign w:val="center"/>
          </w:tcPr>
          <w:p>
            <w:pPr>
              <w:autoSpaceDN w:val="0"/>
              <w:jc w:val="center"/>
              <w:textAlignment w:val="center"/>
              <w:rPr>
                <w:rFonts w:hint="eastAsia" w:ascii="Calibri" w:hAnsi="Calibri" w:eastAsia="华文细黑"/>
                <w:color w:val="000000"/>
                <w:sz w:val="20"/>
                <w:szCs w:val="22"/>
              </w:rPr>
            </w:pPr>
          </w:p>
        </w:tc>
      </w:tr>
    </w:tbl>
    <w:p>
      <w:pPr>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838"/>
        <w:gridCol w:w="999"/>
        <w:gridCol w:w="954"/>
        <w:gridCol w:w="1077"/>
        <w:gridCol w:w="1106"/>
        <w:gridCol w:w="812"/>
        <w:gridCol w:w="863"/>
        <w:gridCol w:w="825"/>
        <w:gridCol w:w="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981"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桦甸市统计局</w:t>
            </w:r>
          </w:p>
        </w:tc>
        <w:tc>
          <w:tcPr>
            <w:tcW w:w="8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第五次全国经济普查经费</w:t>
            </w:r>
          </w:p>
        </w:tc>
        <w:tc>
          <w:tcPr>
            <w:tcW w:w="999"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44.91</w:t>
            </w:r>
          </w:p>
        </w:tc>
        <w:tc>
          <w:tcPr>
            <w:tcW w:w="954"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依法开展普查数据登记工作，确保普查数出有据。做好数据质量控制及抽查工作，全面了解全市产业组织、产业结构、产业技术、产业形成的现状及各生产要素的构成情况。“两员”补助发放率达100%。</w:t>
            </w:r>
          </w:p>
        </w:tc>
        <w:tc>
          <w:tcPr>
            <w:tcW w:w="1077" w:type="dxa"/>
            <w:vMerge w:val="restart"/>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106"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812"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统计专报篇数</w:t>
            </w:r>
          </w:p>
        </w:tc>
        <w:tc>
          <w:tcPr>
            <w:tcW w:w="863"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反映经济普查专报篇数情况</w:t>
            </w:r>
          </w:p>
        </w:tc>
        <w:tc>
          <w:tcPr>
            <w:tcW w:w="82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≥2篇</w:t>
            </w:r>
          </w:p>
        </w:tc>
        <w:tc>
          <w:tcPr>
            <w:tcW w:w="486"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98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9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5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7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06"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12"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普查员、普查指导员补贴发放人数</w:t>
            </w:r>
          </w:p>
        </w:tc>
        <w:tc>
          <w:tcPr>
            <w:tcW w:w="863"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反映普查员、普查指导员补贴发放人数。</w:t>
            </w:r>
          </w:p>
        </w:tc>
        <w:tc>
          <w:tcPr>
            <w:tcW w:w="82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≥350人</w:t>
            </w:r>
          </w:p>
        </w:tc>
        <w:tc>
          <w:tcPr>
            <w:tcW w:w="486"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98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9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5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77"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0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812"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“两员”劳务费发放率</w:t>
            </w:r>
          </w:p>
        </w:tc>
        <w:tc>
          <w:tcPr>
            <w:tcW w:w="863"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反映普查员及普查指导员劳务费发放率</w:t>
            </w:r>
          </w:p>
        </w:tc>
        <w:tc>
          <w:tcPr>
            <w:tcW w:w="82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=100%</w:t>
            </w:r>
          </w:p>
        </w:tc>
        <w:tc>
          <w:tcPr>
            <w:tcW w:w="486"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3" w:hRule="atLeast"/>
        </w:trPr>
        <w:tc>
          <w:tcPr>
            <w:tcW w:w="98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9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5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7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10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812"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完成经济普查技术工作总结</w:t>
            </w:r>
          </w:p>
        </w:tc>
        <w:tc>
          <w:tcPr>
            <w:tcW w:w="863"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形成经济普查各阶段工作总结，便于指导今后工作。</w:t>
            </w:r>
          </w:p>
        </w:tc>
        <w:tc>
          <w:tcPr>
            <w:tcW w:w="82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≥1篇</w:t>
            </w:r>
          </w:p>
        </w:tc>
        <w:tc>
          <w:tcPr>
            <w:tcW w:w="486"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40</w:t>
            </w:r>
          </w:p>
        </w:tc>
      </w:tr>
    </w:tbl>
    <w:p>
      <w:pPr>
        <w:spacing w:line="700" w:lineRule="exact"/>
        <w:rPr>
          <w:rFonts w:eastAsia="楷体"/>
          <w:kern w:val="0"/>
          <w:szCs w:val="32"/>
        </w:rPr>
      </w:pPr>
    </w:p>
    <w:tbl>
      <w:tblPr>
        <w:tblStyle w:val="10"/>
        <w:tblW w:w="9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900"/>
        <w:gridCol w:w="968"/>
        <w:gridCol w:w="1160"/>
        <w:gridCol w:w="927"/>
        <w:gridCol w:w="845"/>
        <w:gridCol w:w="1091"/>
        <w:gridCol w:w="1146"/>
        <w:gridCol w:w="818"/>
        <w:gridCol w:w="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186"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4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桦甸市统计局</w:t>
            </w:r>
          </w:p>
        </w:tc>
        <w:tc>
          <w:tcPr>
            <w:tcW w:w="90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统计调查经费</w:t>
            </w:r>
          </w:p>
        </w:tc>
        <w:tc>
          <w:tcPr>
            <w:tcW w:w="96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24.37</w:t>
            </w:r>
          </w:p>
        </w:tc>
        <w:tc>
          <w:tcPr>
            <w:tcW w:w="116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按照上级统计部门工作要求，组织实施全年规模以上工业、资质建筑业、限额以上贸易业、重点服务业及人口变动调查任务，做好各专业统计数据的审核验收及上报工作，形成经济月刊，运行分析表及统计年鉴，为社会公众需要和政府决策提供翔实统计数据。</w:t>
            </w:r>
          </w:p>
        </w:tc>
        <w:tc>
          <w:tcPr>
            <w:tcW w:w="927"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统计年鉴印刷成本费用</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编印2023年度统计年鉴印刷成本费用</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≤3.5万元</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highlight w:val="none"/>
                <w:vertAlign w:val="baseline"/>
                <w:lang w:eastAsia="zh-CN"/>
              </w:rPr>
              <w:t>产出指标</w:t>
            </w:r>
          </w:p>
        </w:tc>
        <w:tc>
          <w:tcPr>
            <w:tcW w:w="845"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091"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统计信息发布条数</w:t>
            </w:r>
          </w:p>
        </w:tc>
        <w:tc>
          <w:tcPr>
            <w:tcW w:w="1146"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反映数据发布情况</w:t>
            </w:r>
          </w:p>
        </w:tc>
        <w:tc>
          <w:tcPr>
            <w:tcW w:w="818"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≥10条</w:t>
            </w:r>
          </w:p>
        </w:tc>
        <w:tc>
          <w:tcPr>
            <w:tcW w:w="491"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45"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91"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统计分析报告篇数</w:t>
            </w:r>
          </w:p>
        </w:tc>
        <w:tc>
          <w:tcPr>
            <w:tcW w:w="1146"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反映统计分析报告篇数情况。</w:t>
            </w:r>
          </w:p>
        </w:tc>
        <w:tc>
          <w:tcPr>
            <w:tcW w:w="818"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≥4篇</w:t>
            </w:r>
          </w:p>
        </w:tc>
        <w:tc>
          <w:tcPr>
            <w:tcW w:w="491"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45"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91"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统计培训人次</w:t>
            </w:r>
          </w:p>
        </w:tc>
        <w:tc>
          <w:tcPr>
            <w:tcW w:w="1146"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反映统计培训人次情况</w:t>
            </w:r>
          </w:p>
        </w:tc>
        <w:tc>
          <w:tcPr>
            <w:tcW w:w="818"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≥180人（次）</w:t>
            </w:r>
          </w:p>
        </w:tc>
        <w:tc>
          <w:tcPr>
            <w:tcW w:w="491"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45"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91"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统计专报篇数</w:t>
            </w:r>
          </w:p>
        </w:tc>
        <w:tc>
          <w:tcPr>
            <w:tcW w:w="1146"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反映统计专报篇数情况</w:t>
            </w:r>
          </w:p>
        </w:tc>
        <w:tc>
          <w:tcPr>
            <w:tcW w:w="818"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≥4篇</w:t>
            </w:r>
          </w:p>
        </w:tc>
        <w:tc>
          <w:tcPr>
            <w:tcW w:w="491"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1" w:hRule="atLeast"/>
        </w:trPr>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效益指标</w:t>
            </w:r>
          </w:p>
        </w:tc>
        <w:tc>
          <w:tcPr>
            <w:tcW w:w="845"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091"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向社会公众提供统计公报</w:t>
            </w:r>
          </w:p>
        </w:tc>
        <w:tc>
          <w:tcPr>
            <w:tcW w:w="1146"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向社会公众提供统计公报篇数</w:t>
            </w:r>
          </w:p>
        </w:tc>
        <w:tc>
          <w:tcPr>
            <w:tcW w:w="818"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=1篇</w:t>
            </w:r>
          </w:p>
        </w:tc>
        <w:tc>
          <w:tcPr>
            <w:tcW w:w="491"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30</w:t>
            </w:r>
          </w:p>
        </w:tc>
      </w:tr>
    </w:tbl>
    <w:p>
      <w:pPr>
        <w:spacing w:line="700" w:lineRule="exact"/>
        <w:rPr>
          <w:rFonts w:hint="eastAsia"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pPr>
        <w:spacing w:line="700" w:lineRule="exact"/>
        <w:rPr>
          <w:rFonts w:hint="eastAsia" w:eastAsia="楷体"/>
          <w:kern w:val="0"/>
          <w:szCs w:val="32"/>
        </w:rPr>
      </w:pP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lang w:val="en-US" w:eastAsia="zh-CN"/>
        </w:rPr>
        <w:t>单位</w:t>
      </w:r>
      <w:r>
        <w:rPr>
          <w:szCs w:val="32"/>
        </w:rPr>
        <w:t>预算管理。收入包括：一般公共预算拨款收入、上年结转</w:t>
      </w:r>
      <w:r>
        <w:rPr>
          <w:rFonts w:hint="eastAsia"/>
          <w:szCs w:val="32"/>
        </w:rPr>
        <w:t>结余</w:t>
      </w:r>
      <w:r>
        <w:rPr>
          <w:szCs w:val="32"/>
        </w:rPr>
        <w:t>等；支出包括：一般公共服务支出、社会保障和就业支出、</w:t>
      </w:r>
      <w:r>
        <w:rPr>
          <w:rFonts w:hint="eastAsia"/>
          <w:szCs w:val="32"/>
        </w:rPr>
        <w:t>卫生健康支出、</w:t>
      </w:r>
      <w:r>
        <w:rPr>
          <w:szCs w:val="32"/>
        </w:rPr>
        <w:t>住房保障支出等。20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190.23</w:t>
      </w:r>
      <w:r>
        <w:rPr>
          <w:szCs w:val="32"/>
        </w:rPr>
        <w:t>万元</w:t>
      </w:r>
      <w:r>
        <w:rPr>
          <w:rFonts w:hint="eastAsia"/>
          <w:szCs w:val="32"/>
          <w:lang w:eastAsia="zh-CN"/>
        </w:rPr>
        <w:t>，其中：本年预算</w:t>
      </w:r>
      <w:r>
        <w:rPr>
          <w:rFonts w:hint="eastAsia"/>
          <w:szCs w:val="32"/>
          <w:lang w:val="en-US" w:eastAsia="zh-CN"/>
        </w:rPr>
        <w:t>173.43</w:t>
      </w:r>
      <w:r>
        <w:rPr>
          <w:rFonts w:hint="eastAsia"/>
          <w:szCs w:val="32"/>
          <w:lang w:eastAsia="zh-CN"/>
        </w:rPr>
        <w:t>万元；上年结转</w:t>
      </w:r>
      <w:r>
        <w:rPr>
          <w:rFonts w:hint="eastAsia"/>
          <w:szCs w:val="32"/>
          <w:lang w:val="en-US" w:eastAsia="zh-CN"/>
        </w:rPr>
        <w:t>16.80</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49.05</w:t>
      </w:r>
      <w:r>
        <w:rPr>
          <w:szCs w:val="32"/>
        </w:rPr>
        <w:t>万元，</w:t>
      </w:r>
      <w:r>
        <w:rPr>
          <w:szCs w:val="32"/>
          <w:highlight w:val="none"/>
        </w:rPr>
        <w:t>主要原因是</w:t>
      </w:r>
      <w:r>
        <w:rPr>
          <w:rFonts w:hint="eastAsia"/>
          <w:szCs w:val="32"/>
          <w:lang w:val="en-US" w:eastAsia="zh-CN"/>
        </w:rPr>
        <w:t>本年预算新增第五次全国经济普查经费</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rFonts w:eastAsia="楷体"/>
          <w:szCs w:val="30"/>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190.23</w:t>
      </w:r>
      <w:r>
        <w:rPr>
          <w:szCs w:val="32"/>
        </w:rPr>
        <w:t>万元，其中：本年收入</w:t>
      </w:r>
      <w:r>
        <w:rPr>
          <w:rFonts w:hint="eastAsia"/>
          <w:szCs w:val="32"/>
          <w:lang w:val="en-US" w:eastAsia="zh-CN"/>
        </w:rPr>
        <w:t>173.43</w:t>
      </w:r>
      <w:r>
        <w:rPr>
          <w:szCs w:val="32"/>
        </w:rPr>
        <w:t>万元，占</w:t>
      </w:r>
      <w:r>
        <w:rPr>
          <w:rFonts w:hint="eastAsia"/>
          <w:szCs w:val="32"/>
          <w:lang w:val="en-US" w:eastAsia="zh-CN"/>
        </w:rPr>
        <w:t>91.2</w:t>
      </w:r>
      <w:r>
        <w:rPr>
          <w:szCs w:val="32"/>
        </w:rPr>
        <w:t>%；上年结转</w:t>
      </w:r>
      <w:r>
        <w:rPr>
          <w:rFonts w:hint="eastAsia"/>
          <w:szCs w:val="32"/>
          <w:lang w:eastAsia="zh-CN"/>
        </w:rPr>
        <w:t>结余</w:t>
      </w:r>
      <w:r>
        <w:rPr>
          <w:rFonts w:hint="eastAsia"/>
          <w:szCs w:val="32"/>
          <w:lang w:val="en-US" w:eastAsia="zh-CN"/>
        </w:rPr>
        <w:t>16.80</w:t>
      </w:r>
      <w:r>
        <w:rPr>
          <w:szCs w:val="32"/>
        </w:rPr>
        <w:t>万元，占</w:t>
      </w:r>
      <w:r>
        <w:rPr>
          <w:rFonts w:hint="eastAsia"/>
          <w:szCs w:val="32"/>
          <w:lang w:val="en-US" w:eastAsia="zh-CN"/>
        </w:rPr>
        <w:t>8.8</w:t>
      </w:r>
      <w:r>
        <w:rPr>
          <w:szCs w:val="32"/>
        </w:rPr>
        <w:t>%。本年收入中，一般公共预算拨款收入</w:t>
      </w:r>
      <w:r>
        <w:rPr>
          <w:rFonts w:hint="eastAsia"/>
          <w:szCs w:val="32"/>
          <w:lang w:val="en-US" w:eastAsia="zh-CN"/>
        </w:rPr>
        <w:t>173.43</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w:t>
      </w:r>
      <w:r>
        <w:rPr>
          <w:rFonts w:hint="eastAsia"/>
          <w:szCs w:val="32"/>
          <w:lang w:val="en-US" w:eastAsia="zh-CN"/>
        </w:rPr>
        <w:t>16.80</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190.23</w:t>
      </w:r>
      <w:r>
        <w:rPr>
          <w:szCs w:val="32"/>
        </w:rPr>
        <w:t>万元，其中：基本支出</w:t>
      </w:r>
      <w:r>
        <w:rPr>
          <w:rFonts w:hint="eastAsia"/>
          <w:szCs w:val="32"/>
          <w:lang w:val="en-US" w:eastAsia="zh-CN"/>
        </w:rPr>
        <w:t>120.95</w:t>
      </w:r>
      <w:r>
        <w:rPr>
          <w:szCs w:val="32"/>
        </w:rPr>
        <w:t>万元，占</w:t>
      </w:r>
      <w:r>
        <w:rPr>
          <w:rFonts w:hint="eastAsia"/>
          <w:szCs w:val="32"/>
          <w:lang w:val="en-US" w:eastAsia="zh-CN"/>
        </w:rPr>
        <w:t>63.6</w:t>
      </w:r>
      <w:r>
        <w:rPr>
          <w:szCs w:val="32"/>
        </w:rPr>
        <w:t>%；项目支出</w:t>
      </w:r>
      <w:r>
        <w:rPr>
          <w:rFonts w:hint="eastAsia"/>
          <w:szCs w:val="32"/>
          <w:lang w:val="en-US" w:eastAsia="zh-CN"/>
        </w:rPr>
        <w:t>69.28</w:t>
      </w:r>
      <w:r>
        <w:rPr>
          <w:szCs w:val="32"/>
        </w:rPr>
        <w:t>万元，占</w:t>
      </w:r>
      <w:r>
        <w:rPr>
          <w:rFonts w:hint="eastAsia"/>
          <w:szCs w:val="32"/>
          <w:lang w:val="en-US" w:eastAsia="zh-CN"/>
        </w:rPr>
        <w:t>36.4</w:t>
      </w:r>
      <w:r>
        <w:rPr>
          <w:szCs w:val="32"/>
        </w:rPr>
        <w:t>%。</w:t>
      </w:r>
    </w:p>
    <w:p>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190.23</w:t>
      </w:r>
      <w:r>
        <w:rPr>
          <w:szCs w:val="32"/>
        </w:rPr>
        <w:t>万元，其中：</w:t>
      </w:r>
      <w:r>
        <w:rPr>
          <w:rFonts w:hint="eastAsia"/>
          <w:szCs w:val="32"/>
        </w:rPr>
        <w:t>本年</w:t>
      </w:r>
      <w:r>
        <w:rPr>
          <w:rFonts w:hint="eastAsia"/>
          <w:szCs w:val="32"/>
          <w:lang w:eastAsia="zh-CN"/>
        </w:rPr>
        <w:t>预算</w:t>
      </w:r>
      <w:r>
        <w:rPr>
          <w:rFonts w:hint="eastAsia"/>
          <w:szCs w:val="32"/>
          <w:lang w:val="en-US" w:eastAsia="zh-CN"/>
        </w:rPr>
        <w:t>173.43</w:t>
      </w:r>
      <w:r>
        <w:rPr>
          <w:szCs w:val="32"/>
        </w:rPr>
        <w:t>万元</w:t>
      </w:r>
      <w:r>
        <w:rPr>
          <w:rFonts w:hint="eastAsia"/>
          <w:szCs w:val="32"/>
        </w:rPr>
        <w:t>，上年结转</w:t>
      </w:r>
      <w:r>
        <w:rPr>
          <w:rFonts w:hint="eastAsia"/>
          <w:szCs w:val="32"/>
          <w:lang w:val="en-US" w:eastAsia="zh-CN"/>
        </w:rPr>
        <w:t>16.80</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153.28</w:t>
      </w:r>
      <w:r>
        <w:rPr>
          <w:szCs w:val="32"/>
        </w:rPr>
        <w:t>万元，</w:t>
      </w:r>
      <w:r>
        <w:rPr>
          <w:kern w:val="0"/>
          <w:szCs w:val="32"/>
        </w:rPr>
        <w:t>社会保障和就业支出</w:t>
      </w:r>
      <w:r>
        <w:rPr>
          <w:rFonts w:hint="eastAsia"/>
          <w:szCs w:val="32"/>
          <w:lang w:val="en-US" w:eastAsia="zh-CN"/>
        </w:rPr>
        <w:t>24.72</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3.01</w:t>
      </w:r>
      <w:r>
        <w:rPr>
          <w:szCs w:val="32"/>
        </w:rPr>
        <w:t>万元，</w:t>
      </w:r>
      <w:r>
        <w:rPr>
          <w:kern w:val="0"/>
          <w:szCs w:val="32"/>
        </w:rPr>
        <w:t>住房保障支出</w:t>
      </w:r>
      <w:r>
        <w:rPr>
          <w:rFonts w:hint="eastAsia"/>
          <w:szCs w:val="32"/>
          <w:lang w:val="en-US" w:eastAsia="zh-CN"/>
        </w:rPr>
        <w:t>9.22</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190.23</w:t>
      </w:r>
      <w:r>
        <w:rPr>
          <w:szCs w:val="32"/>
        </w:rPr>
        <w:t>万元，其中：基本支出</w:t>
      </w:r>
      <w:r>
        <w:rPr>
          <w:rFonts w:hint="eastAsia"/>
          <w:szCs w:val="32"/>
          <w:lang w:val="en-US" w:eastAsia="zh-CN"/>
        </w:rPr>
        <w:t>120.95</w:t>
      </w:r>
      <w:r>
        <w:rPr>
          <w:szCs w:val="32"/>
        </w:rPr>
        <w:t>万元，占</w:t>
      </w:r>
      <w:r>
        <w:rPr>
          <w:rFonts w:hint="eastAsia"/>
          <w:szCs w:val="32"/>
          <w:lang w:val="en-US" w:eastAsia="zh-CN"/>
        </w:rPr>
        <w:t>63.6</w:t>
      </w:r>
      <w:r>
        <w:rPr>
          <w:szCs w:val="32"/>
        </w:rPr>
        <w:t>%；项目支出</w:t>
      </w:r>
      <w:r>
        <w:rPr>
          <w:rFonts w:hint="eastAsia"/>
          <w:szCs w:val="32"/>
          <w:lang w:val="en-US" w:eastAsia="zh-CN"/>
        </w:rPr>
        <w:t>69.28</w:t>
      </w:r>
      <w:r>
        <w:rPr>
          <w:szCs w:val="32"/>
        </w:rPr>
        <w:t>万元，占</w:t>
      </w:r>
      <w:r>
        <w:rPr>
          <w:rFonts w:hint="eastAsia"/>
          <w:szCs w:val="32"/>
          <w:lang w:val="en-US" w:eastAsia="zh-CN"/>
        </w:rPr>
        <w:t>36.4</w:t>
      </w:r>
      <w:r>
        <w:rPr>
          <w:szCs w:val="32"/>
        </w:rPr>
        <w:t>%。基本支出中，人员经费</w:t>
      </w:r>
      <w:r>
        <w:rPr>
          <w:rFonts w:hint="eastAsia"/>
          <w:szCs w:val="32"/>
          <w:lang w:val="en-US" w:eastAsia="zh-CN"/>
        </w:rPr>
        <w:t>102.11</w:t>
      </w:r>
      <w:r>
        <w:rPr>
          <w:szCs w:val="32"/>
        </w:rPr>
        <w:t>万元，占</w:t>
      </w:r>
      <w:r>
        <w:rPr>
          <w:rFonts w:hint="eastAsia"/>
          <w:szCs w:val="32"/>
          <w:lang w:val="en-US" w:eastAsia="zh-CN"/>
        </w:rPr>
        <w:t>84.4</w:t>
      </w:r>
      <w:r>
        <w:rPr>
          <w:szCs w:val="32"/>
        </w:rPr>
        <w:t>%；公用经费</w:t>
      </w:r>
      <w:r>
        <w:rPr>
          <w:rFonts w:hint="eastAsia"/>
          <w:szCs w:val="32"/>
          <w:lang w:val="en-US" w:eastAsia="zh-CN"/>
        </w:rPr>
        <w:t>18.84</w:t>
      </w:r>
      <w:r>
        <w:rPr>
          <w:szCs w:val="32"/>
        </w:rPr>
        <w:t>万元，占</w:t>
      </w:r>
      <w:r>
        <w:rPr>
          <w:rFonts w:hint="eastAsia"/>
          <w:szCs w:val="32"/>
          <w:lang w:val="en-US" w:eastAsia="zh-CN"/>
        </w:rPr>
        <w:t>15.6</w:t>
      </w:r>
      <w:r>
        <w:rPr>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color w:val="auto"/>
          <w:szCs w:val="32"/>
        </w:rPr>
      </w:pPr>
      <w:r>
        <w:rPr>
          <w:szCs w:val="32"/>
        </w:rPr>
        <w:t>一般公共服务（类）支出</w:t>
      </w:r>
      <w:r>
        <w:rPr>
          <w:rFonts w:hint="eastAsia"/>
          <w:szCs w:val="32"/>
          <w:lang w:val="en-US" w:eastAsia="zh-CN"/>
        </w:rPr>
        <w:t>153.28</w:t>
      </w:r>
      <w:r>
        <w:rPr>
          <w:szCs w:val="32"/>
        </w:rPr>
        <w:t>万元，占</w:t>
      </w:r>
      <w:r>
        <w:rPr>
          <w:rFonts w:hint="eastAsia"/>
          <w:szCs w:val="32"/>
          <w:lang w:val="en-US" w:eastAsia="zh-CN"/>
        </w:rPr>
        <w:t>80.6</w:t>
      </w:r>
      <w:r>
        <w:rPr>
          <w:szCs w:val="32"/>
        </w:rPr>
        <w:t>%，</w:t>
      </w:r>
      <w:r>
        <w:rPr>
          <w:color w:val="auto"/>
          <w:szCs w:val="32"/>
        </w:rPr>
        <w:t>主要用于保障本单位人员工资发放和机关运行正常开展。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Cs w:val="32"/>
        </w:rPr>
      </w:pPr>
      <w:r>
        <w:rPr>
          <w:szCs w:val="32"/>
        </w:rPr>
        <w:t>社会保障和就业（类）支出</w:t>
      </w:r>
      <w:r>
        <w:rPr>
          <w:rFonts w:hint="eastAsia"/>
          <w:szCs w:val="32"/>
          <w:lang w:val="en-US" w:eastAsia="zh-CN"/>
        </w:rPr>
        <w:t>24.72</w:t>
      </w:r>
      <w:r>
        <w:rPr>
          <w:szCs w:val="32"/>
        </w:rPr>
        <w:t>万元，占</w:t>
      </w:r>
      <w:r>
        <w:rPr>
          <w:rFonts w:hint="eastAsia"/>
          <w:szCs w:val="32"/>
          <w:lang w:val="en-US" w:eastAsia="zh-CN"/>
        </w:rPr>
        <w:t>13</w:t>
      </w:r>
      <w:r>
        <w:rPr>
          <w:szCs w:val="32"/>
        </w:rPr>
        <w:t>%，主要用于主要</w:t>
      </w:r>
      <w:r>
        <w:rPr>
          <w:color w:val="auto"/>
          <w:szCs w:val="32"/>
        </w:rPr>
        <w:t>用于</w:t>
      </w:r>
      <w:r>
        <w:rPr>
          <w:rFonts w:hint="eastAsia"/>
          <w:color w:val="auto"/>
          <w:szCs w:val="32"/>
          <w:lang w:val="en-US" w:eastAsia="zh-CN"/>
        </w:rPr>
        <w:t>保障退休职工生活补贴、取暖补贴及机关事业单位基本养老保险缴费支出。</w:t>
      </w:r>
    </w:p>
    <w:p>
      <w:pPr>
        <w:spacing w:line="520" w:lineRule="exact"/>
        <w:ind w:firstLine="640" w:firstLineChars="200"/>
        <w:rPr>
          <w:szCs w:val="32"/>
        </w:rPr>
      </w:pPr>
      <w:r>
        <w:rPr>
          <w:rFonts w:hint="eastAsia" w:ascii="仿宋_GB2312" w:hAnsi="仿宋_GB2312" w:cs="仿宋_GB2312"/>
          <w:szCs w:val="32"/>
        </w:rPr>
        <w:t>卫生健康（类）支出</w:t>
      </w:r>
      <w:r>
        <w:rPr>
          <w:rFonts w:hint="eastAsia"/>
          <w:szCs w:val="32"/>
          <w:lang w:val="en-US" w:eastAsia="zh-CN"/>
        </w:rPr>
        <w:t>3.01</w:t>
      </w:r>
      <w:r>
        <w:rPr>
          <w:szCs w:val="32"/>
        </w:rPr>
        <w:t>万元，占</w:t>
      </w:r>
      <w:r>
        <w:rPr>
          <w:rFonts w:hint="eastAsia"/>
          <w:szCs w:val="32"/>
          <w:lang w:val="en-US" w:eastAsia="zh-CN"/>
        </w:rPr>
        <w:t>1.6</w:t>
      </w:r>
      <w:r>
        <w:rPr>
          <w:szCs w:val="32"/>
        </w:rPr>
        <w:t>%，</w:t>
      </w:r>
      <w:r>
        <w:rPr>
          <w:rFonts w:hint="eastAsia" w:ascii="仿宋_GB2312" w:hAnsi="仿宋_GB2312" w:cs="仿宋_GB2312"/>
          <w:szCs w:val="32"/>
        </w:rPr>
        <w:t>主要用于缴纳</w:t>
      </w:r>
      <w:r>
        <w:rPr>
          <w:rFonts w:hint="eastAsia" w:ascii="仿宋_GB2312" w:hAnsi="仿宋_GB2312" w:cs="仿宋_GB2312"/>
          <w:szCs w:val="32"/>
          <w:lang w:val="en-US" w:eastAsia="zh-CN"/>
        </w:rPr>
        <w:t>在</w:t>
      </w:r>
      <w:r>
        <w:rPr>
          <w:rFonts w:hint="eastAsia" w:ascii="仿宋_GB2312" w:hAnsi="仿宋_GB2312" w:cs="仿宋_GB2312"/>
          <w:szCs w:val="32"/>
        </w:rPr>
        <w:t>职</w:t>
      </w:r>
      <w:r>
        <w:rPr>
          <w:rFonts w:hint="eastAsia" w:ascii="仿宋_GB2312" w:hAnsi="仿宋_GB2312" w:cs="仿宋_GB2312"/>
          <w:szCs w:val="32"/>
          <w:lang w:val="en-US" w:eastAsia="zh-CN"/>
        </w:rPr>
        <w:t>及退休人员基本</w:t>
      </w:r>
      <w:r>
        <w:rPr>
          <w:rFonts w:hint="eastAsia" w:ascii="仿宋_GB2312" w:hAnsi="仿宋_GB2312" w:cs="仿宋_GB2312"/>
          <w:szCs w:val="32"/>
        </w:rPr>
        <w:t>医疗保险。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szCs w:val="32"/>
        </w:rPr>
      </w:pPr>
      <w:r>
        <w:rPr>
          <w:szCs w:val="32"/>
        </w:rPr>
        <w:t>住房保障（类）支出</w:t>
      </w:r>
      <w:r>
        <w:rPr>
          <w:rFonts w:hint="eastAsia"/>
          <w:szCs w:val="32"/>
          <w:lang w:val="en-US" w:eastAsia="zh-CN"/>
        </w:rPr>
        <w:t>9.22</w:t>
      </w:r>
      <w:r>
        <w:rPr>
          <w:szCs w:val="32"/>
        </w:rPr>
        <w:t>万元，占</w:t>
      </w:r>
      <w:r>
        <w:rPr>
          <w:rFonts w:hint="eastAsia"/>
          <w:szCs w:val="32"/>
          <w:lang w:val="en-US" w:eastAsia="zh-CN"/>
        </w:rPr>
        <w:t>4.8</w:t>
      </w:r>
      <w:r>
        <w:rPr>
          <w:szCs w:val="32"/>
        </w:rPr>
        <w:t>%，主要用于</w:t>
      </w:r>
      <w:r>
        <w:rPr>
          <w:rFonts w:hint="eastAsia" w:ascii="仿宋_GB2312" w:hAnsi="仿宋_GB2312" w:cs="仿宋_GB2312"/>
          <w:szCs w:val="32"/>
        </w:rPr>
        <w:t>缴纳</w:t>
      </w:r>
      <w:r>
        <w:rPr>
          <w:rFonts w:hint="eastAsia" w:ascii="仿宋_GB2312" w:hAnsi="仿宋_GB2312" w:cs="仿宋_GB2312"/>
          <w:szCs w:val="32"/>
          <w:lang w:val="en-US" w:eastAsia="zh-CN"/>
        </w:rPr>
        <w:t>在</w:t>
      </w:r>
      <w:r>
        <w:rPr>
          <w:rFonts w:hint="eastAsia" w:ascii="仿宋_GB2312" w:hAnsi="仿宋_GB2312" w:cs="仿宋_GB2312"/>
          <w:szCs w:val="32"/>
        </w:rPr>
        <w:t>职</w:t>
      </w:r>
      <w:r>
        <w:rPr>
          <w:rFonts w:hint="eastAsia" w:ascii="仿宋_GB2312" w:hAnsi="仿宋_GB2312" w:cs="仿宋_GB2312"/>
          <w:szCs w:val="32"/>
          <w:lang w:val="en-US" w:eastAsia="zh-CN"/>
        </w:rPr>
        <w:t>人员</w:t>
      </w:r>
      <w:r>
        <w:rPr>
          <w:rFonts w:hint="eastAsia" w:ascii="仿宋_GB2312" w:hAnsi="仿宋_GB2312" w:cs="仿宋_GB2312"/>
          <w:szCs w:val="32"/>
        </w:rPr>
        <w:t>住房公积金。</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highlight w:val="none"/>
        </w:rPr>
      </w:pPr>
      <w:r>
        <w:rPr>
          <w:szCs w:val="32"/>
          <w:highlight w:val="none"/>
        </w:rPr>
        <w:t>20</w:t>
      </w:r>
      <w:r>
        <w:rPr>
          <w:rFonts w:hint="eastAsia"/>
          <w:szCs w:val="32"/>
          <w:highlight w:val="none"/>
        </w:rPr>
        <w:t>2</w:t>
      </w:r>
      <w:r>
        <w:rPr>
          <w:rFonts w:hint="eastAsia"/>
          <w:szCs w:val="32"/>
          <w:highlight w:val="none"/>
          <w:lang w:val="en-US" w:eastAsia="zh-CN"/>
        </w:rPr>
        <w:t>4</w:t>
      </w:r>
      <w:r>
        <w:rPr>
          <w:szCs w:val="32"/>
          <w:highlight w:val="none"/>
        </w:rPr>
        <w:t>年一般公共预算基本支出</w:t>
      </w:r>
      <w:r>
        <w:rPr>
          <w:rFonts w:hint="eastAsia"/>
          <w:szCs w:val="32"/>
          <w:highlight w:val="none"/>
          <w:lang w:val="en-US" w:eastAsia="zh-CN"/>
        </w:rPr>
        <w:t>120.94</w:t>
      </w:r>
      <w:r>
        <w:rPr>
          <w:szCs w:val="32"/>
          <w:highlight w:val="none"/>
        </w:rPr>
        <w:t>万元，其中：</w:t>
      </w:r>
    </w:p>
    <w:p>
      <w:pPr>
        <w:ind w:firstLine="640" w:firstLineChars="200"/>
        <w:rPr>
          <w:kern w:val="0"/>
          <w:szCs w:val="32"/>
        </w:rPr>
      </w:pPr>
      <w:r>
        <w:rPr>
          <w:szCs w:val="32"/>
          <w:highlight w:val="none"/>
        </w:rPr>
        <w:t>人员经费</w:t>
      </w:r>
      <w:r>
        <w:rPr>
          <w:rFonts w:hint="eastAsia"/>
          <w:szCs w:val="32"/>
          <w:highlight w:val="none"/>
          <w:lang w:val="en-US" w:eastAsia="zh-CN"/>
        </w:rPr>
        <w:t>102.10</w:t>
      </w:r>
      <w:r>
        <w:rPr>
          <w:szCs w:val="32"/>
          <w:highlight w:val="none"/>
        </w:rPr>
        <w:t>万</w:t>
      </w:r>
      <w:r>
        <w:rPr>
          <w:szCs w:val="32"/>
        </w:rPr>
        <w:t>元，主要包括：</w:t>
      </w:r>
      <w:r>
        <w:rPr>
          <w:kern w:val="0"/>
          <w:szCs w:val="32"/>
        </w:rPr>
        <w:t>基本工资、津贴补贴</w:t>
      </w:r>
      <w:r>
        <w:rPr>
          <w:szCs w:val="32"/>
        </w:rPr>
        <w:t>、</w:t>
      </w:r>
      <w:r>
        <w:rPr>
          <w:kern w:val="0"/>
          <w:szCs w:val="32"/>
        </w:rPr>
        <w:t>奖金</w:t>
      </w:r>
      <w:r>
        <w:rPr>
          <w:szCs w:val="32"/>
        </w:rPr>
        <w:t>、</w:t>
      </w:r>
      <w:r>
        <w:rPr>
          <w:rFonts w:hint="eastAsia"/>
          <w:szCs w:val="32"/>
        </w:rPr>
        <w:t>机关事业单位基本养老保险缴费</w:t>
      </w:r>
      <w:r>
        <w:rPr>
          <w:szCs w:val="32"/>
        </w:rPr>
        <w:t>、</w:t>
      </w:r>
      <w:r>
        <w:rPr>
          <w:rFonts w:hint="eastAsia"/>
          <w:szCs w:val="32"/>
        </w:rPr>
        <w:t>职工基本医疗保</w:t>
      </w:r>
      <w:r>
        <w:rPr>
          <w:rFonts w:hint="eastAsia"/>
          <w:szCs w:val="32"/>
          <w:highlight w:val="none"/>
        </w:rPr>
        <w:t>险缴费、</w:t>
      </w:r>
      <w:r>
        <w:rPr>
          <w:rFonts w:hint="eastAsia"/>
          <w:szCs w:val="32"/>
        </w:rPr>
        <w:t>其他</w:t>
      </w:r>
      <w:r>
        <w:rPr>
          <w:kern w:val="0"/>
          <w:szCs w:val="32"/>
        </w:rPr>
        <w:t>社会保障缴费</w:t>
      </w:r>
      <w:r>
        <w:rPr>
          <w:szCs w:val="32"/>
        </w:rPr>
        <w:t>、</w:t>
      </w:r>
      <w:r>
        <w:rPr>
          <w:rFonts w:hint="eastAsia"/>
          <w:szCs w:val="32"/>
        </w:rPr>
        <w:t>住房公积金、医疗费</w:t>
      </w:r>
      <w:r>
        <w:rPr>
          <w:szCs w:val="32"/>
        </w:rPr>
        <w:t>、</w:t>
      </w:r>
      <w:r>
        <w:rPr>
          <w:kern w:val="0"/>
          <w:szCs w:val="32"/>
        </w:rPr>
        <w:t>其他工资福利支出</w:t>
      </w:r>
      <w:r>
        <w:rPr>
          <w:szCs w:val="32"/>
        </w:rPr>
        <w:t>、</w:t>
      </w:r>
      <w:r>
        <w:rPr>
          <w:kern w:val="0"/>
          <w:szCs w:val="32"/>
        </w:rPr>
        <w:t>退休费</w:t>
      </w:r>
      <w:r>
        <w:rPr>
          <w:szCs w:val="32"/>
        </w:rPr>
        <w:t>、</w:t>
      </w:r>
      <w:r>
        <w:rPr>
          <w:kern w:val="0"/>
          <w:szCs w:val="32"/>
        </w:rPr>
        <w:t>其他对个人和家庭的补助。</w:t>
      </w:r>
    </w:p>
    <w:p>
      <w:pPr>
        <w:ind w:firstLine="640" w:firstLineChars="200"/>
        <w:rPr>
          <w:szCs w:val="32"/>
        </w:rPr>
      </w:pPr>
      <w:r>
        <w:rPr>
          <w:kern w:val="0"/>
          <w:szCs w:val="32"/>
        </w:rPr>
        <w:t>公用经费</w:t>
      </w:r>
      <w:r>
        <w:rPr>
          <w:rFonts w:hint="eastAsia"/>
          <w:szCs w:val="32"/>
          <w:lang w:val="en-US" w:eastAsia="zh-CN"/>
        </w:rPr>
        <w:t>18.84</w:t>
      </w:r>
      <w:r>
        <w:rPr>
          <w:szCs w:val="32"/>
        </w:rPr>
        <w:t>万元，主要包括：</w:t>
      </w:r>
      <w:r>
        <w:rPr>
          <w:kern w:val="0"/>
          <w:szCs w:val="32"/>
        </w:rPr>
        <w:t>办公费</w:t>
      </w:r>
      <w:r>
        <w:rPr>
          <w:szCs w:val="32"/>
        </w:rPr>
        <w:t>、</w:t>
      </w:r>
      <w:r>
        <w:rPr>
          <w:kern w:val="0"/>
          <w:szCs w:val="32"/>
        </w:rPr>
        <w:t>印刷费</w:t>
      </w:r>
      <w:r>
        <w:rPr>
          <w:szCs w:val="32"/>
        </w:rPr>
        <w:t>、</w:t>
      </w:r>
      <w:r>
        <w:rPr>
          <w:kern w:val="0"/>
          <w:szCs w:val="32"/>
        </w:rPr>
        <w:t>邮电费</w:t>
      </w:r>
      <w:r>
        <w:rPr>
          <w:szCs w:val="32"/>
        </w:rPr>
        <w:t>、</w:t>
      </w:r>
      <w:r>
        <w:rPr>
          <w:kern w:val="0"/>
          <w:szCs w:val="32"/>
        </w:rPr>
        <w:t>差旅费</w:t>
      </w:r>
      <w:r>
        <w:rPr>
          <w:szCs w:val="32"/>
        </w:rPr>
        <w:t>、</w:t>
      </w:r>
      <w:r>
        <w:rPr>
          <w:rFonts w:hint="eastAsia"/>
          <w:szCs w:val="32"/>
          <w:lang w:val="en-US" w:eastAsia="zh-CN"/>
        </w:rPr>
        <w:t>租赁费、</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val="en-US" w:eastAsia="zh-CN"/>
        </w:rPr>
        <w:t>费用</w:t>
      </w:r>
      <w:r>
        <w:rPr>
          <w:szCs w:val="32"/>
        </w:rPr>
        <w:t>、</w:t>
      </w:r>
      <w:r>
        <w:rPr>
          <w:kern w:val="0"/>
          <w:szCs w:val="32"/>
        </w:rPr>
        <w:t>其他商品和服务支出。</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0.19</w:t>
      </w:r>
      <w:r>
        <w:rPr>
          <w:szCs w:val="32"/>
        </w:rPr>
        <w:t>万元。其中：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w:t>
      </w:r>
      <w:r>
        <w:rPr>
          <w:rFonts w:hint="eastAsia"/>
          <w:color w:val="auto"/>
          <w:szCs w:val="32"/>
          <w:lang w:val="en-US" w:eastAsia="zh-CN"/>
        </w:rPr>
        <w:t>本年预算数</w:t>
      </w:r>
      <w:r>
        <w:rPr>
          <w:rFonts w:hint="eastAsia" w:ascii="仿宋_GB2312" w:hAnsi="仿宋_GB2312" w:cs="仿宋_GB2312"/>
          <w:color w:val="auto"/>
          <w:szCs w:val="32"/>
        </w:rPr>
        <w:t>与</w:t>
      </w:r>
      <w:r>
        <w:rPr>
          <w:color w:val="auto"/>
          <w:szCs w:val="32"/>
        </w:rPr>
        <w:t>202</w:t>
      </w:r>
      <w:r>
        <w:rPr>
          <w:rFonts w:hint="eastAsia"/>
          <w:color w:val="auto"/>
          <w:szCs w:val="32"/>
          <w:lang w:val="en-US" w:eastAsia="zh-CN"/>
        </w:rPr>
        <w:t>3</w:t>
      </w:r>
      <w:r>
        <w:rPr>
          <w:rFonts w:hint="eastAsia" w:ascii="仿宋_GB2312" w:hAnsi="仿宋_GB2312" w:cs="仿宋_GB2312"/>
          <w:color w:val="auto"/>
          <w:szCs w:val="32"/>
        </w:rPr>
        <w:t>年</w:t>
      </w:r>
      <w:r>
        <w:rPr>
          <w:rFonts w:hint="eastAsia" w:ascii="仿宋_GB2312" w:hAnsi="仿宋_GB2312" w:cs="仿宋_GB2312"/>
          <w:color w:val="auto"/>
          <w:szCs w:val="32"/>
          <w:lang w:val="en-US" w:eastAsia="zh-CN"/>
        </w:rPr>
        <w:t>当年</w:t>
      </w:r>
      <w:r>
        <w:rPr>
          <w:rFonts w:hint="eastAsia" w:ascii="仿宋_GB2312" w:hAnsi="仿宋_GB2312" w:cs="仿宋_GB2312"/>
          <w:color w:val="auto"/>
          <w:szCs w:val="32"/>
        </w:rPr>
        <w:t>预算</w:t>
      </w:r>
      <w:r>
        <w:rPr>
          <w:rFonts w:hint="eastAsia" w:ascii="仿宋_GB2312" w:hAnsi="仿宋_GB2312" w:cs="仿宋_GB2312"/>
          <w:color w:val="auto"/>
          <w:szCs w:val="32"/>
          <w:lang w:val="en-US" w:eastAsia="zh-CN"/>
        </w:rPr>
        <w:t>数</w:t>
      </w:r>
      <w:r>
        <w:rPr>
          <w:rFonts w:hint="eastAsia" w:ascii="仿宋_GB2312" w:hAnsi="仿宋_GB2312" w:cs="仿宋_GB2312"/>
          <w:color w:val="auto"/>
          <w:szCs w:val="32"/>
        </w:rPr>
        <w:t>持平。</w:t>
      </w:r>
    </w:p>
    <w:p>
      <w:pPr>
        <w:ind w:firstLine="640" w:firstLineChars="200"/>
        <w:rPr>
          <w:rFonts w:hint="eastAsia" w:eastAsia="仿宋_GB2312"/>
          <w:szCs w:val="32"/>
          <w:highlight w:val="none"/>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0.19</w:t>
      </w:r>
      <w:r>
        <w:rPr>
          <w:szCs w:val="32"/>
        </w:rPr>
        <w:t>万元，</w:t>
      </w:r>
      <w:r>
        <w:rPr>
          <w:szCs w:val="32"/>
          <w:highlight w:val="none"/>
        </w:rPr>
        <w:t>主要原因是</w:t>
      </w:r>
      <w:r>
        <w:rPr>
          <w:rFonts w:hint="eastAsia"/>
          <w:szCs w:val="32"/>
          <w:highlight w:val="none"/>
          <w:lang w:val="en-US" w:eastAsia="zh-CN"/>
        </w:rPr>
        <w:t>落实过紧日子原则，减少公务接待费支出</w:t>
      </w:r>
      <w:r>
        <w:rPr>
          <w:rFonts w:hint="eastAsia"/>
          <w:szCs w:val="32"/>
          <w:highlight w:val="none"/>
          <w:lang w:eastAsia="zh-CN"/>
        </w:rPr>
        <w:t>。</w:t>
      </w:r>
    </w:p>
    <w:p>
      <w:pPr>
        <w:ind w:firstLine="640" w:firstLineChars="200"/>
        <w:jc w:val="both"/>
        <w:rPr>
          <w:rFonts w:hint="eastAsia" w:eastAsia="仿宋_GB2312"/>
          <w:szCs w:val="32"/>
          <w:lang w:val="en-US" w:eastAsia="zh-CN"/>
        </w:rPr>
      </w:pPr>
      <w:r>
        <w:rPr>
          <w:szCs w:val="32"/>
        </w:rPr>
        <w:t>3.公务用车购置及运行费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w:t>
      </w:r>
      <w:r>
        <w:rPr>
          <w:rFonts w:hint="eastAsia"/>
          <w:color w:val="auto"/>
          <w:szCs w:val="32"/>
          <w:lang w:val="en-US" w:eastAsia="zh-CN"/>
        </w:rPr>
        <w:t>本年预算数</w:t>
      </w:r>
      <w:r>
        <w:rPr>
          <w:rFonts w:hint="eastAsia" w:ascii="仿宋_GB2312" w:hAnsi="仿宋_GB2312" w:cs="仿宋_GB2312"/>
          <w:color w:val="auto"/>
          <w:szCs w:val="32"/>
        </w:rPr>
        <w:t>与</w:t>
      </w:r>
      <w:r>
        <w:rPr>
          <w:color w:val="auto"/>
          <w:szCs w:val="32"/>
        </w:rPr>
        <w:t>202</w:t>
      </w:r>
      <w:r>
        <w:rPr>
          <w:rFonts w:hint="eastAsia"/>
          <w:color w:val="auto"/>
          <w:szCs w:val="32"/>
          <w:lang w:val="en-US" w:eastAsia="zh-CN"/>
        </w:rPr>
        <w:t>3</w:t>
      </w:r>
      <w:r>
        <w:rPr>
          <w:rFonts w:hint="eastAsia" w:ascii="仿宋_GB2312" w:hAnsi="仿宋_GB2312" w:cs="仿宋_GB2312"/>
          <w:color w:val="auto"/>
          <w:szCs w:val="32"/>
        </w:rPr>
        <w:t>年</w:t>
      </w:r>
      <w:r>
        <w:rPr>
          <w:rFonts w:hint="eastAsia" w:ascii="仿宋_GB2312" w:hAnsi="仿宋_GB2312" w:cs="仿宋_GB2312"/>
          <w:color w:val="auto"/>
          <w:szCs w:val="32"/>
          <w:lang w:val="en-US" w:eastAsia="zh-CN"/>
        </w:rPr>
        <w:t>当年</w:t>
      </w:r>
      <w:r>
        <w:rPr>
          <w:rFonts w:hint="eastAsia" w:ascii="仿宋_GB2312" w:hAnsi="仿宋_GB2312" w:cs="仿宋_GB2312"/>
          <w:color w:val="auto"/>
          <w:szCs w:val="32"/>
        </w:rPr>
        <w:t>预算</w:t>
      </w:r>
      <w:r>
        <w:rPr>
          <w:rFonts w:hint="eastAsia" w:ascii="仿宋_GB2312" w:hAnsi="仿宋_GB2312" w:cs="仿宋_GB2312"/>
          <w:color w:val="auto"/>
          <w:szCs w:val="32"/>
          <w:lang w:val="en-US" w:eastAsia="zh-CN"/>
        </w:rPr>
        <w:t>数</w:t>
      </w:r>
      <w:r>
        <w:rPr>
          <w:rFonts w:hint="eastAsia" w:ascii="仿宋_GB2312" w:hAnsi="仿宋_GB2312" w:cs="仿宋_GB2312"/>
          <w:color w:val="auto"/>
          <w:szCs w:val="32"/>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，2024年</w:t>
      </w:r>
      <w:r>
        <w:rPr>
          <w:rFonts w:hint="eastAsia"/>
          <w:color w:val="auto"/>
          <w:szCs w:val="32"/>
          <w:lang w:val="en-US" w:eastAsia="zh-CN"/>
        </w:rPr>
        <w:t>本年预算数</w:t>
      </w:r>
      <w:r>
        <w:rPr>
          <w:rFonts w:hint="eastAsia" w:ascii="仿宋_GB2312" w:hAnsi="仿宋_GB2312" w:cs="仿宋_GB2312"/>
          <w:color w:val="auto"/>
          <w:szCs w:val="32"/>
        </w:rPr>
        <w:t>与</w:t>
      </w:r>
      <w:r>
        <w:rPr>
          <w:color w:val="auto"/>
          <w:szCs w:val="32"/>
        </w:rPr>
        <w:t>202</w:t>
      </w:r>
      <w:r>
        <w:rPr>
          <w:rFonts w:hint="eastAsia"/>
          <w:color w:val="auto"/>
          <w:szCs w:val="32"/>
          <w:lang w:val="en-US" w:eastAsia="zh-CN"/>
        </w:rPr>
        <w:t>3</w:t>
      </w:r>
      <w:r>
        <w:rPr>
          <w:rFonts w:hint="eastAsia" w:ascii="仿宋_GB2312" w:hAnsi="仿宋_GB2312" w:cs="仿宋_GB2312"/>
          <w:color w:val="auto"/>
          <w:szCs w:val="32"/>
        </w:rPr>
        <w:t>年</w:t>
      </w:r>
      <w:r>
        <w:rPr>
          <w:rFonts w:hint="eastAsia" w:ascii="仿宋_GB2312" w:hAnsi="仿宋_GB2312" w:cs="仿宋_GB2312"/>
          <w:color w:val="auto"/>
          <w:szCs w:val="32"/>
          <w:lang w:val="en-US" w:eastAsia="zh-CN"/>
        </w:rPr>
        <w:t>当年</w:t>
      </w:r>
      <w:r>
        <w:rPr>
          <w:rFonts w:hint="eastAsia" w:ascii="仿宋_GB2312" w:hAnsi="仿宋_GB2312" w:cs="仿宋_GB2312"/>
          <w:color w:val="auto"/>
          <w:szCs w:val="32"/>
        </w:rPr>
        <w:t>预算</w:t>
      </w:r>
      <w:r>
        <w:rPr>
          <w:rFonts w:hint="eastAsia" w:ascii="仿宋_GB2312" w:hAnsi="仿宋_GB2312" w:cs="仿宋_GB2312"/>
          <w:color w:val="auto"/>
          <w:szCs w:val="32"/>
          <w:lang w:val="en-US" w:eastAsia="zh-CN"/>
        </w:rPr>
        <w:t>数</w:t>
      </w:r>
      <w:r>
        <w:rPr>
          <w:rFonts w:hint="eastAsia" w:ascii="仿宋_GB2312" w:hAnsi="仿宋_GB2312" w:cs="仿宋_GB2312"/>
          <w:color w:val="auto"/>
          <w:szCs w:val="32"/>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w:t>
      </w:r>
      <w:r>
        <w:rPr>
          <w:rFonts w:hint="eastAsia"/>
          <w:color w:val="auto"/>
          <w:szCs w:val="32"/>
          <w:lang w:val="en-US" w:eastAsia="zh-CN"/>
        </w:rPr>
        <w:t>本年预算数</w:t>
      </w:r>
      <w:r>
        <w:rPr>
          <w:rFonts w:hint="eastAsia" w:ascii="仿宋_GB2312" w:hAnsi="仿宋_GB2312" w:cs="仿宋_GB2312"/>
          <w:color w:val="auto"/>
          <w:szCs w:val="32"/>
        </w:rPr>
        <w:t>与</w:t>
      </w:r>
      <w:r>
        <w:rPr>
          <w:color w:val="auto"/>
          <w:szCs w:val="32"/>
        </w:rPr>
        <w:t>202</w:t>
      </w:r>
      <w:r>
        <w:rPr>
          <w:rFonts w:hint="eastAsia"/>
          <w:color w:val="auto"/>
          <w:szCs w:val="32"/>
          <w:lang w:val="en-US" w:eastAsia="zh-CN"/>
        </w:rPr>
        <w:t>3</w:t>
      </w:r>
      <w:r>
        <w:rPr>
          <w:rFonts w:hint="eastAsia" w:ascii="仿宋_GB2312" w:hAnsi="仿宋_GB2312" w:cs="仿宋_GB2312"/>
          <w:color w:val="auto"/>
          <w:szCs w:val="32"/>
        </w:rPr>
        <w:t>年</w:t>
      </w:r>
      <w:r>
        <w:rPr>
          <w:rFonts w:hint="eastAsia" w:ascii="仿宋_GB2312" w:hAnsi="仿宋_GB2312" w:cs="仿宋_GB2312"/>
          <w:color w:val="auto"/>
          <w:szCs w:val="32"/>
          <w:lang w:val="en-US" w:eastAsia="zh-CN"/>
        </w:rPr>
        <w:t>当年</w:t>
      </w:r>
      <w:r>
        <w:rPr>
          <w:rFonts w:hint="eastAsia" w:ascii="仿宋_GB2312" w:hAnsi="仿宋_GB2312" w:cs="仿宋_GB2312"/>
          <w:color w:val="auto"/>
          <w:szCs w:val="32"/>
        </w:rPr>
        <w:t>预算</w:t>
      </w:r>
      <w:r>
        <w:rPr>
          <w:rFonts w:hint="eastAsia" w:ascii="仿宋_GB2312" w:hAnsi="仿宋_GB2312" w:cs="仿宋_GB2312"/>
          <w:color w:val="auto"/>
          <w:szCs w:val="32"/>
          <w:lang w:val="en-US" w:eastAsia="zh-CN"/>
        </w:rPr>
        <w:t>数</w:t>
      </w:r>
      <w:r>
        <w:rPr>
          <w:rFonts w:hint="eastAsia" w:ascii="仿宋_GB2312" w:hAnsi="仿宋_GB2312" w:cs="仿宋_GB2312"/>
          <w:color w:val="auto"/>
          <w:szCs w:val="32"/>
        </w:rPr>
        <w:t>持平。</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rPr>
          <w:szCs w:val="32"/>
        </w:rPr>
      </w:pPr>
      <w:r>
        <w:rPr>
          <w:rFonts w:ascii="仿宋_GB2312" w:hAnsi="仿宋"/>
          <w:szCs w:val="32"/>
        </w:rPr>
        <w:t>本</w:t>
      </w:r>
      <w:r>
        <w:rPr>
          <w:rFonts w:hint="eastAsia" w:ascii="仿宋_GB2312" w:hAnsi="仿宋"/>
          <w:szCs w:val="32"/>
        </w:rPr>
        <w:t>单位</w:t>
      </w:r>
      <w:r>
        <w:rPr>
          <w:rFonts w:ascii="仿宋_GB2312" w:hAnsi="仿宋"/>
          <w:szCs w:val="32"/>
        </w:rPr>
        <w:t>无政府性基金预算</w:t>
      </w:r>
      <w:r>
        <w:rPr>
          <w:rFonts w:hint="eastAsia" w:ascii="仿宋_GB2312" w:hAnsi="仿宋"/>
          <w:szCs w:val="32"/>
          <w:lang w:val="en-US" w:eastAsia="zh-CN"/>
        </w:rPr>
        <w:t>拨款</w:t>
      </w:r>
      <w:r>
        <w:rPr>
          <w:rFonts w:ascii="仿宋_GB2312" w:hAnsi="仿宋"/>
          <w:szCs w:val="32"/>
        </w:rPr>
        <w:t>。</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rPr>
          <w:szCs w:val="32"/>
        </w:rPr>
      </w:pPr>
      <w:r>
        <w:rPr>
          <w:rFonts w:ascii="仿宋_GB2312" w:hAnsi="仿宋"/>
          <w:szCs w:val="32"/>
        </w:rPr>
        <w:t>本</w:t>
      </w:r>
      <w:r>
        <w:rPr>
          <w:rFonts w:hint="eastAsia" w:ascii="仿宋_GB2312" w:hAnsi="仿宋"/>
          <w:szCs w:val="32"/>
        </w:rPr>
        <w:t>单位</w:t>
      </w:r>
      <w:r>
        <w:rPr>
          <w:rFonts w:ascii="仿宋_GB2312" w:hAnsi="仿宋"/>
          <w:szCs w:val="32"/>
        </w:rPr>
        <w:t>无</w:t>
      </w:r>
      <w:r>
        <w:rPr>
          <w:rFonts w:hint="eastAsia" w:ascii="仿宋_GB2312" w:hAnsi="仿宋"/>
          <w:szCs w:val="32"/>
        </w:rPr>
        <w:t>国有资本经营</w:t>
      </w:r>
      <w:r>
        <w:rPr>
          <w:rFonts w:ascii="仿宋_GB2312" w:hAnsi="仿宋"/>
          <w:szCs w:val="32"/>
        </w:rPr>
        <w:t>预算</w:t>
      </w:r>
      <w:r>
        <w:rPr>
          <w:rFonts w:hint="eastAsia" w:ascii="仿宋_GB2312" w:hAnsi="仿宋"/>
          <w:szCs w:val="32"/>
          <w:lang w:val="en-US" w:eastAsia="zh-CN"/>
        </w:rPr>
        <w:t>拨款</w:t>
      </w:r>
      <w:r>
        <w:rPr>
          <w:rFonts w:hint="eastAsia" w:ascii="仿宋_GB2312" w:hAnsi="仿宋"/>
          <w:szCs w:val="32"/>
        </w:rPr>
        <w:t>。</w:t>
      </w:r>
    </w:p>
    <w:p>
      <w:pPr>
        <w:ind w:firstLine="640" w:firstLineChars="20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ind w:firstLine="640" w:firstLineChars="200"/>
        <w:rPr>
          <w:szCs w:val="32"/>
          <w:highlight w:val="none"/>
        </w:rPr>
      </w:pPr>
      <w:r>
        <w:rPr>
          <w:szCs w:val="32"/>
        </w:rPr>
        <w:t>20</w:t>
      </w:r>
      <w:r>
        <w:rPr>
          <w:rFonts w:hint="eastAsia"/>
          <w:szCs w:val="32"/>
        </w:rPr>
        <w:t>2</w:t>
      </w:r>
      <w:r>
        <w:rPr>
          <w:rFonts w:hint="eastAsia"/>
          <w:szCs w:val="32"/>
          <w:lang w:val="en-US" w:eastAsia="zh-CN"/>
        </w:rPr>
        <w:t>4</w:t>
      </w:r>
      <w:r>
        <w:rPr>
          <w:szCs w:val="32"/>
        </w:rPr>
        <w:t>年</w:t>
      </w:r>
      <w:r>
        <w:rPr>
          <w:rFonts w:hint="eastAsia"/>
          <w:szCs w:val="32"/>
          <w:lang w:val="en-US" w:eastAsia="zh-CN"/>
        </w:rPr>
        <w:t>本</w:t>
      </w:r>
      <w:r>
        <w:rPr>
          <w:rFonts w:hint="eastAsia"/>
          <w:szCs w:val="32"/>
        </w:rPr>
        <w:t>单位</w:t>
      </w:r>
      <w:r>
        <w:rPr>
          <w:rFonts w:hint="eastAsia"/>
          <w:color w:val="auto"/>
          <w:szCs w:val="32"/>
          <w:lang w:val="en-US" w:eastAsia="zh-CN"/>
        </w:rPr>
        <w:t>1</w:t>
      </w:r>
      <w:r>
        <w:rPr>
          <w:szCs w:val="32"/>
        </w:rPr>
        <w:t>家行政单位的机关运行经费财政拨款预算</w:t>
      </w:r>
      <w:r>
        <w:rPr>
          <w:rFonts w:hint="eastAsia"/>
          <w:szCs w:val="32"/>
          <w:lang w:val="en-US" w:eastAsia="zh-CN"/>
        </w:rPr>
        <w:t>18.84</w:t>
      </w:r>
      <w:r>
        <w:rPr>
          <w:szCs w:val="32"/>
        </w:rPr>
        <w:t>万元，比20</w:t>
      </w:r>
      <w:r>
        <w:rPr>
          <w:rFonts w:hint="eastAsia"/>
          <w:szCs w:val="32"/>
        </w:rPr>
        <w:t>2</w:t>
      </w:r>
      <w:r>
        <w:rPr>
          <w:rFonts w:hint="eastAsia"/>
          <w:szCs w:val="32"/>
          <w:lang w:val="en-US" w:eastAsia="zh-CN"/>
        </w:rPr>
        <w:t>3</w:t>
      </w:r>
      <w:r>
        <w:rPr>
          <w:szCs w:val="32"/>
        </w:rPr>
        <w:t>年预算减少</w:t>
      </w:r>
      <w:r>
        <w:rPr>
          <w:rFonts w:hint="eastAsia"/>
          <w:szCs w:val="32"/>
          <w:lang w:val="en-US" w:eastAsia="zh-CN"/>
        </w:rPr>
        <w:t>2.49</w:t>
      </w:r>
      <w:r>
        <w:rPr>
          <w:szCs w:val="32"/>
        </w:rPr>
        <w:t>万元，下降</w:t>
      </w:r>
      <w:r>
        <w:rPr>
          <w:rFonts w:hint="eastAsia"/>
          <w:szCs w:val="32"/>
          <w:lang w:val="en-US" w:eastAsia="zh-CN"/>
        </w:rPr>
        <w:t>11.7</w:t>
      </w:r>
      <w:r>
        <w:rPr>
          <w:szCs w:val="32"/>
        </w:rPr>
        <w:t>%</w:t>
      </w:r>
      <w:r>
        <w:rPr>
          <w:rFonts w:hint="eastAsia"/>
          <w:szCs w:val="32"/>
        </w:rPr>
        <w:t>，</w:t>
      </w:r>
      <w:r>
        <w:rPr>
          <w:rFonts w:hint="eastAsia"/>
          <w:szCs w:val="32"/>
          <w:highlight w:val="none"/>
        </w:rPr>
        <w:t>主要原因是</w:t>
      </w:r>
      <w:r>
        <w:rPr>
          <w:rFonts w:hint="eastAsia"/>
          <w:szCs w:val="32"/>
          <w:highlight w:val="none"/>
          <w:lang w:val="en-US" w:eastAsia="zh-CN"/>
        </w:rPr>
        <w:t>2024年机关在职人员减少1人，致使年初单位预算核定指标减少</w:t>
      </w:r>
      <w:r>
        <w:rPr>
          <w:szCs w:val="32"/>
          <w:highlight w:val="none"/>
        </w:rPr>
        <w:t>。</w:t>
      </w:r>
    </w:p>
    <w:p>
      <w:pPr>
        <w:spacing w:line="540" w:lineRule="exact"/>
        <w:ind w:firstLine="640" w:firstLineChars="200"/>
        <w:rPr>
          <w:rFonts w:eastAsia="楷体"/>
          <w:szCs w:val="32"/>
        </w:rPr>
      </w:pPr>
      <w:r>
        <w:rPr>
          <w:rFonts w:eastAsia="楷体"/>
          <w:szCs w:val="32"/>
        </w:rPr>
        <w:t>（二）政府采购情况</w:t>
      </w:r>
    </w:p>
    <w:p>
      <w:pPr>
        <w:ind w:firstLine="640"/>
        <w:rPr>
          <w:rFonts w:hint="default" w:ascii="仿宋_GB2312" w:hAnsi="仿宋" w:cs="Times New Roman"/>
          <w:szCs w:val="32"/>
          <w:lang w:val="en-US" w:eastAsia="zh-CN"/>
        </w:rPr>
      </w:pPr>
      <w:r>
        <w:rPr>
          <w:rFonts w:hint="eastAsia" w:ascii="仿宋_GB2312" w:hAnsi="仿宋" w:cs="Times New Roman"/>
          <w:szCs w:val="32"/>
          <w:lang w:val="en-US" w:eastAsia="zh-CN"/>
        </w:rPr>
        <w:t>本单位无政府</w:t>
      </w:r>
      <w:r>
        <w:rPr>
          <w:rFonts w:hint="eastAsia" w:ascii="仿宋_GB2312" w:hAnsi="仿宋" w:cs="Times New Roman"/>
          <w:szCs w:val="32"/>
          <w:highlight w:val="none"/>
          <w:lang w:val="en-US" w:eastAsia="zh-CN"/>
        </w:rPr>
        <w:t>采</w:t>
      </w:r>
      <w:r>
        <w:rPr>
          <w:rFonts w:hint="eastAsia" w:ascii="仿宋_GB2312" w:hAnsi="仿宋" w:cs="Times New Roman"/>
          <w:szCs w:val="32"/>
          <w:lang w:val="en-US" w:eastAsia="zh-CN"/>
        </w:rPr>
        <w:t>购预算安排。</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w:t>
      </w:r>
      <w:r>
        <w:rPr>
          <w:rFonts w:hint="eastAsia"/>
          <w:szCs w:val="32"/>
          <w:lang w:val="en-US" w:eastAsia="zh-CN"/>
        </w:rPr>
        <w:t>3</w:t>
      </w:r>
      <w:r>
        <w:rPr>
          <w:rFonts w:hint="eastAsia"/>
          <w:szCs w:val="32"/>
        </w:rPr>
        <w:t>年8月底，</w:t>
      </w:r>
      <w:r>
        <w:rPr>
          <w:rFonts w:hint="eastAsia"/>
          <w:szCs w:val="32"/>
          <w:lang w:val="en-US" w:eastAsia="zh-CN"/>
        </w:rPr>
        <w:t>本</w:t>
      </w:r>
      <w:r>
        <w:rPr>
          <w:rFonts w:hint="eastAsia"/>
          <w:szCs w:val="32"/>
        </w:rPr>
        <w:t>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pPr>
        <w:spacing w:line="540" w:lineRule="exact"/>
        <w:ind w:firstLine="640" w:firstLineChars="200"/>
        <w:rPr>
          <w:szCs w:val="32"/>
        </w:rPr>
      </w:pPr>
      <w:r>
        <w:rPr>
          <w:rFonts w:hint="eastAsia"/>
          <w:szCs w:val="32"/>
        </w:rPr>
        <w:t>202</w:t>
      </w:r>
      <w:r>
        <w:rPr>
          <w:rFonts w:hint="eastAsia"/>
          <w:szCs w:val="32"/>
          <w:lang w:val="en-US" w:eastAsia="zh-CN"/>
        </w:rPr>
        <w:t>4</w:t>
      </w:r>
      <w:r>
        <w:rPr>
          <w:rFonts w:hint="eastAsia"/>
          <w:szCs w:val="32"/>
        </w:rPr>
        <w:t>年</w:t>
      </w:r>
      <w:r>
        <w:rPr>
          <w:rFonts w:hint="eastAsia"/>
          <w:szCs w:val="32"/>
          <w:lang w:val="en-US"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pPr>
        <w:numPr>
          <w:ilvl w:val="0"/>
          <w:numId w:val="1"/>
        </w:numPr>
        <w:spacing w:line="540" w:lineRule="exact"/>
        <w:ind w:firstLine="640" w:firstLineChars="200"/>
        <w:rPr>
          <w:rFonts w:hint="eastAsia" w:eastAsia="楷体"/>
          <w:szCs w:val="32"/>
          <w:highlight w:val="none"/>
        </w:rPr>
      </w:pPr>
      <w:r>
        <w:rPr>
          <w:rFonts w:hint="eastAsia" w:eastAsia="楷体"/>
          <w:szCs w:val="32"/>
          <w:highlight w:val="none"/>
        </w:rPr>
        <w:t>项目支出情况说明</w:t>
      </w:r>
    </w:p>
    <w:p>
      <w:pPr>
        <w:spacing w:line="540" w:lineRule="exact"/>
        <w:ind w:firstLine="640" w:firstLineChars="200"/>
      </w:pPr>
      <w:r>
        <w:t>202</w:t>
      </w:r>
      <w:r>
        <w:rPr>
          <w:rFonts w:hint="eastAsia"/>
          <w:lang w:val="en-US" w:eastAsia="zh-CN"/>
        </w:rPr>
        <w:t>4</w:t>
      </w:r>
      <w:r>
        <w:t>年</w:t>
      </w:r>
      <w:r>
        <w:rPr>
          <w:rFonts w:hint="eastAsia"/>
          <w:szCs w:val="32"/>
          <w:lang w:val="en-US" w:eastAsia="zh-CN"/>
        </w:rPr>
        <w:t>单位</w:t>
      </w:r>
      <w:r>
        <w:t>项目支出</w:t>
      </w:r>
      <w:r>
        <w:rPr>
          <w:rFonts w:hint="eastAsia"/>
          <w:szCs w:val="32"/>
          <w:lang w:val="en-US" w:eastAsia="zh-CN"/>
        </w:rPr>
        <w:t>69.28</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69.28</w:t>
      </w:r>
      <w:r>
        <w:rPr>
          <w:szCs w:val="32"/>
        </w:rPr>
        <w:t>万元，</w:t>
      </w:r>
      <w:r>
        <w:rPr>
          <w:rFonts w:hint="eastAsia"/>
          <w:szCs w:val="32"/>
        </w:rPr>
        <w:t>财政拨款结转</w:t>
      </w:r>
      <w:r>
        <w:rPr>
          <w:rFonts w:hint="eastAsia"/>
          <w:szCs w:val="32"/>
          <w:lang w:val="en-US" w:eastAsia="zh-CN"/>
        </w:rPr>
        <w:t>0</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szCs w:val="32"/>
          <w:lang w:val="en-US"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2</w:t>
      </w:r>
      <w:r>
        <w:rPr>
          <w:rFonts w:hint="eastAsia" w:ascii="宋体" w:hAnsi="宋体"/>
        </w:rPr>
        <w:t>个项目支出的绩效目标和指标向社会公开，涉及金额</w:t>
      </w:r>
      <w:r>
        <w:rPr>
          <w:rFonts w:hint="eastAsia"/>
          <w:szCs w:val="32"/>
          <w:lang w:val="en-US" w:eastAsia="zh-CN"/>
        </w:rPr>
        <w:t>69.28</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rPr>
          <w:szCs w:val="32"/>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w:t>
      </w:r>
      <w:r>
        <w:rPr>
          <w:rFonts w:hint="eastAsia"/>
          <w:szCs w:val="32"/>
          <w:lang w:val="en-US" w:eastAsia="zh-CN"/>
        </w:rPr>
        <w:t>单位</w:t>
      </w:r>
      <w:r>
        <w:rPr>
          <w:rFonts w:hint="eastAsia"/>
          <w:szCs w:val="32"/>
        </w:rPr>
        <w:t>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w:t>
      </w:r>
      <w:r>
        <w:rPr>
          <w:rFonts w:hint="eastAsia"/>
          <w:szCs w:val="32"/>
          <w:lang w:val="en-US" w:eastAsia="zh-CN"/>
        </w:rPr>
        <w:t>主</w:t>
      </w:r>
      <w:r>
        <w:rPr>
          <w:rFonts w:hint="eastAsia"/>
          <w:szCs w:val="32"/>
          <w:lang w:eastAsia="zh-CN"/>
        </w:rPr>
        <w:t>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val="en-US" w:eastAsia="zh-CN"/>
        </w:rPr>
        <w:t>单位</w:t>
      </w:r>
      <w:r>
        <w:rPr>
          <w:szCs w:val="32"/>
        </w:rPr>
        <w:t>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highlight w:val="none"/>
          <w:lang w:val="en-US" w:eastAsia="zh-CN"/>
        </w:rPr>
        <w:t>单位</w:t>
      </w:r>
      <w:r>
        <w:rPr>
          <w:rFonts w:hint="eastAsia"/>
        </w:rPr>
        <w:t>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zMjNmZWRkMmM5YWExOTY5OGNhYWVlMDg2YmNjM2MifQ=="/>
  </w:docVars>
  <w:rsids>
    <w:rsidRoot w:val="48674ED2"/>
    <w:rsid w:val="000C6D48"/>
    <w:rsid w:val="000D7FB8"/>
    <w:rsid w:val="000E46F6"/>
    <w:rsid w:val="00102492"/>
    <w:rsid w:val="00145456"/>
    <w:rsid w:val="002300BA"/>
    <w:rsid w:val="00292A39"/>
    <w:rsid w:val="002A5441"/>
    <w:rsid w:val="002E7CD8"/>
    <w:rsid w:val="00367BC1"/>
    <w:rsid w:val="00396D8D"/>
    <w:rsid w:val="003A6B66"/>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B96468"/>
    <w:rsid w:val="02C44267"/>
    <w:rsid w:val="031D7D4B"/>
    <w:rsid w:val="037F2004"/>
    <w:rsid w:val="0486486A"/>
    <w:rsid w:val="04954460"/>
    <w:rsid w:val="04B818D1"/>
    <w:rsid w:val="04DC3F31"/>
    <w:rsid w:val="04FB0E2F"/>
    <w:rsid w:val="050D06DA"/>
    <w:rsid w:val="05310B72"/>
    <w:rsid w:val="05513E94"/>
    <w:rsid w:val="056F5A6D"/>
    <w:rsid w:val="059B3770"/>
    <w:rsid w:val="063949A0"/>
    <w:rsid w:val="06BD5BC7"/>
    <w:rsid w:val="06F008FF"/>
    <w:rsid w:val="079E5032"/>
    <w:rsid w:val="08742F5F"/>
    <w:rsid w:val="09015F14"/>
    <w:rsid w:val="091C5C63"/>
    <w:rsid w:val="09421190"/>
    <w:rsid w:val="09A0082A"/>
    <w:rsid w:val="0A00435B"/>
    <w:rsid w:val="0AAA1697"/>
    <w:rsid w:val="0ABA06FE"/>
    <w:rsid w:val="0B49202F"/>
    <w:rsid w:val="0B5D7BAD"/>
    <w:rsid w:val="0B5F5ADA"/>
    <w:rsid w:val="0C2A5C84"/>
    <w:rsid w:val="0C4F64D9"/>
    <w:rsid w:val="0C583939"/>
    <w:rsid w:val="0C6D1BAE"/>
    <w:rsid w:val="0D2A2435"/>
    <w:rsid w:val="0D350DE1"/>
    <w:rsid w:val="0DA001B0"/>
    <w:rsid w:val="0DEB170B"/>
    <w:rsid w:val="0DF20A80"/>
    <w:rsid w:val="0E4C7841"/>
    <w:rsid w:val="0E97506F"/>
    <w:rsid w:val="0F3E0406"/>
    <w:rsid w:val="0F476BAA"/>
    <w:rsid w:val="0F980230"/>
    <w:rsid w:val="0F9E1CC2"/>
    <w:rsid w:val="0FD62F63"/>
    <w:rsid w:val="0FDE2A27"/>
    <w:rsid w:val="0FF860F6"/>
    <w:rsid w:val="10AD0C8E"/>
    <w:rsid w:val="10AE7F82"/>
    <w:rsid w:val="10C93B35"/>
    <w:rsid w:val="111331E7"/>
    <w:rsid w:val="11177619"/>
    <w:rsid w:val="112605C8"/>
    <w:rsid w:val="11A6707B"/>
    <w:rsid w:val="11B35B2F"/>
    <w:rsid w:val="121F796A"/>
    <w:rsid w:val="12E711B7"/>
    <w:rsid w:val="136D62BD"/>
    <w:rsid w:val="136E4388"/>
    <w:rsid w:val="13C86A2A"/>
    <w:rsid w:val="13F21722"/>
    <w:rsid w:val="1441443C"/>
    <w:rsid w:val="14C12787"/>
    <w:rsid w:val="14F055ED"/>
    <w:rsid w:val="15593E10"/>
    <w:rsid w:val="159F7E25"/>
    <w:rsid w:val="15F848D0"/>
    <w:rsid w:val="160E1FA5"/>
    <w:rsid w:val="160F2600"/>
    <w:rsid w:val="165F0C7D"/>
    <w:rsid w:val="16C829AB"/>
    <w:rsid w:val="16C924D4"/>
    <w:rsid w:val="16DD34F5"/>
    <w:rsid w:val="171001C9"/>
    <w:rsid w:val="17765BCA"/>
    <w:rsid w:val="17A027D8"/>
    <w:rsid w:val="17CC2625"/>
    <w:rsid w:val="18E479B4"/>
    <w:rsid w:val="19132BE0"/>
    <w:rsid w:val="191F4716"/>
    <w:rsid w:val="1954649C"/>
    <w:rsid w:val="1A817DF8"/>
    <w:rsid w:val="1A8A6135"/>
    <w:rsid w:val="1ADC594E"/>
    <w:rsid w:val="1AEB5252"/>
    <w:rsid w:val="1B8A03E4"/>
    <w:rsid w:val="1B9C1459"/>
    <w:rsid w:val="1C752FA8"/>
    <w:rsid w:val="1C852172"/>
    <w:rsid w:val="1CA40C0C"/>
    <w:rsid w:val="1CFF4A32"/>
    <w:rsid w:val="1D297E19"/>
    <w:rsid w:val="1D833200"/>
    <w:rsid w:val="1E186FF4"/>
    <w:rsid w:val="1E3A3FD0"/>
    <w:rsid w:val="1EB55C07"/>
    <w:rsid w:val="1F351A10"/>
    <w:rsid w:val="1F857EA5"/>
    <w:rsid w:val="1FED47E9"/>
    <w:rsid w:val="206816AC"/>
    <w:rsid w:val="20DF3C25"/>
    <w:rsid w:val="21134335"/>
    <w:rsid w:val="220F17A9"/>
    <w:rsid w:val="226E581D"/>
    <w:rsid w:val="22A4003E"/>
    <w:rsid w:val="23135C25"/>
    <w:rsid w:val="235F406A"/>
    <w:rsid w:val="23EC61F6"/>
    <w:rsid w:val="244C543C"/>
    <w:rsid w:val="24624768"/>
    <w:rsid w:val="251D622E"/>
    <w:rsid w:val="259B5BC5"/>
    <w:rsid w:val="25F62C4E"/>
    <w:rsid w:val="26643D6C"/>
    <w:rsid w:val="26FE109D"/>
    <w:rsid w:val="27073E1E"/>
    <w:rsid w:val="27147861"/>
    <w:rsid w:val="27B04AB3"/>
    <w:rsid w:val="282C3BA1"/>
    <w:rsid w:val="28A63332"/>
    <w:rsid w:val="28C96E8E"/>
    <w:rsid w:val="29C45F24"/>
    <w:rsid w:val="2BE55328"/>
    <w:rsid w:val="2D9038E4"/>
    <w:rsid w:val="2DF8796C"/>
    <w:rsid w:val="2EA414CB"/>
    <w:rsid w:val="2EB22F18"/>
    <w:rsid w:val="2EE12108"/>
    <w:rsid w:val="2EE95241"/>
    <w:rsid w:val="2EEB70FA"/>
    <w:rsid w:val="2EED35E3"/>
    <w:rsid w:val="2EF73CF0"/>
    <w:rsid w:val="2F0B5068"/>
    <w:rsid w:val="2F250383"/>
    <w:rsid w:val="2F63610B"/>
    <w:rsid w:val="2F881EBD"/>
    <w:rsid w:val="2FBC646B"/>
    <w:rsid w:val="2FDC417D"/>
    <w:rsid w:val="300965A3"/>
    <w:rsid w:val="30730D6E"/>
    <w:rsid w:val="308B20C9"/>
    <w:rsid w:val="30983075"/>
    <w:rsid w:val="30B91A70"/>
    <w:rsid w:val="30F84C22"/>
    <w:rsid w:val="310C6AA2"/>
    <w:rsid w:val="3175714F"/>
    <w:rsid w:val="31793674"/>
    <w:rsid w:val="31894469"/>
    <w:rsid w:val="32332703"/>
    <w:rsid w:val="32CF2C5D"/>
    <w:rsid w:val="32EE2C61"/>
    <w:rsid w:val="335402B5"/>
    <w:rsid w:val="338A3699"/>
    <w:rsid w:val="339466B2"/>
    <w:rsid w:val="34555AF5"/>
    <w:rsid w:val="34FF687B"/>
    <w:rsid w:val="354C4987"/>
    <w:rsid w:val="35616772"/>
    <w:rsid w:val="358A2C38"/>
    <w:rsid w:val="35EA1663"/>
    <w:rsid w:val="35EC25CA"/>
    <w:rsid w:val="364C598E"/>
    <w:rsid w:val="368A3622"/>
    <w:rsid w:val="36B543E5"/>
    <w:rsid w:val="36CC2B0F"/>
    <w:rsid w:val="36FC762F"/>
    <w:rsid w:val="372040DC"/>
    <w:rsid w:val="37DE3C9F"/>
    <w:rsid w:val="3838492F"/>
    <w:rsid w:val="383A009B"/>
    <w:rsid w:val="3887374F"/>
    <w:rsid w:val="38CB0ABC"/>
    <w:rsid w:val="39041A07"/>
    <w:rsid w:val="39043B77"/>
    <w:rsid w:val="39670895"/>
    <w:rsid w:val="397B4EE2"/>
    <w:rsid w:val="39DE7F87"/>
    <w:rsid w:val="3A387943"/>
    <w:rsid w:val="3A657F9A"/>
    <w:rsid w:val="3A9113D4"/>
    <w:rsid w:val="3AC54F32"/>
    <w:rsid w:val="3B144A0A"/>
    <w:rsid w:val="3B254018"/>
    <w:rsid w:val="3B5257F8"/>
    <w:rsid w:val="3B77237D"/>
    <w:rsid w:val="3BC92948"/>
    <w:rsid w:val="3BE370D4"/>
    <w:rsid w:val="3C1A026D"/>
    <w:rsid w:val="3C29381E"/>
    <w:rsid w:val="3C711E1D"/>
    <w:rsid w:val="3C7F463D"/>
    <w:rsid w:val="3CAE3960"/>
    <w:rsid w:val="3CEF6494"/>
    <w:rsid w:val="3D365BF6"/>
    <w:rsid w:val="3D7F7007"/>
    <w:rsid w:val="3DB008AA"/>
    <w:rsid w:val="3DF23324"/>
    <w:rsid w:val="3EA14040"/>
    <w:rsid w:val="3EE8108D"/>
    <w:rsid w:val="3F8201A3"/>
    <w:rsid w:val="402675EA"/>
    <w:rsid w:val="40A521A3"/>
    <w:rsid w:val="40B80EFF"/>
    <w:rsid w:val="41A35364"/>
    <w:rsid w:val="41C31686"/>
    <w:rsid w:val="41C837BC"/>
    <w:rsid w:val="41D35EF7"/>
    <w:rsid w:val="421643AC"/>
    <w:rsid w:val="421D5B39"/>
    <w:rsid w:val="42754AB5"/>
    <w:rsid w:val="42982B4E"/>
    <w:rsid w:val="429F5D0C"/>
    <w:rsid w:val="42BF647C"/>
    <w:rsid w:val="42D83665"/>
    <w:rsid w:val="42E1604C"/>
    <w:rsid w:val="42ED123B"/>
    <w:rsid w:val="434A6B47"/>
    <w:rsid w:val="436B1E42"/>
    <w:rsid w:val="452B429C"/>
    <w:rsid w:val="456D114B"/>
    <w:rsid w:val="45EB670F"/>
    <w:rsid w:val="46AB7C0D"/>
    <w:rsid w:val="46D44808"/>
    <w:rsid w:val="46ED776B"/>
    <w:rsid w:val="471D250A"/>
    <w:rsid w:val="479D2523"/>
    <w:rsid w:val="47BF47C2"/>
    <w:rsid w:val="47CF49E6"/>
    <w:rsid w:val="4823074C"/>
    <w:rsid w:val="48674ED2"/>
    <w:rsid w:val="486755EB"/>
    <w:rsid w:val="487708E6"/>
    <w:rsid w:val="48B540F2"/>
    <w:rsid w:val="48EB7FCA"/>
    <w:rsid w:val="493F6F72"/>
    <w:rsid w:val="494B0AE6"/>
    <w:rsid w:val="49645F71"/>
    <w:rsid w:val="499F5C68"/>
    <w:rsid w:val="4A52465C"/>
    <w:rsid w:val="4A5C4AC6"/>
    <w:rsid w:val="4A662FBF"/>
    <w:rsid w:val="4A9B7D60"/>
    <w:rsid w:val="4AF16062"/>
    <w:rsid w:val="4B0A57E5"/>
    <w:rsid w:val="4B646DDD"/>
    <w:rsid w:val="4B7F44F8"/>
    <w:rsid w:val="4BAC24C5"/>
    <w:rsid w:val="4BFA0656"/>
    <w:rsid w:val="4C871DB8"/>
    <w:rsid w:val="4D3439E8"/>
    <w:rsid w:val="4D4E2809"/>
    <w:rsid w:val="4D730507"/>
    <w:rsid w:val="4D741DD3"/>
    <w:rsid w:val="4DC93207"/>
    <w:rsid w:val="4E010C4C"/>
    <w:rsid w:val="4E214B2B"/>
    <w:rsid w:val="4E8D5761"/>
    <w:rsid w:val="4EF54A85"/>
    <w:rsid w:val="4EF972C6"/>
    <w:rsid w:val="4F0C4E52"/>
    <w:rsid w:val="501B3C66"/>
    <w:rsid w:val="504B40C5"/>
    <w:rsid w:val="50987DC2"/>
    <w:rsid w:val="50A4703E"/>
    <w:rsid w:val="50C23D07"/>
    <w:rsid w:val="51282B99"/>
    <w:rsid w:val="5136104F"/>
    <w:rsid w:val="51465EDE"/>
    <w:rsid w:val="52071113"/>
    <w:rsid w:val="52085509"/>
    <w:rsid w:val="520D44EE"/>
    <w:rsid w:val="522774C4"/>
    <w:rsid w:val="522A7431"/>
    <w:rsid w:val="523A5B1F"/>
    <w:rsid w:val="525A440D"/>
    <w:rsid w:val="52626449"/>
    <w:rsid w:val="53BB69BC"/>
    <w:rsid w:val="543842E0"/>
    <w:rsid w:val="544E511A"/>
    <w:rsid w:val="54741940"/>
    <w:rsid w:val="54810E66"/>
    <w:rsid w:val="54C063E4"/>
    <w:rsid w:val="54C2556E"/>
    <w:rsid w:val="55480EEF"/>
    <w:rsid w:val="564C5E20"/>
    <w:rsid w:val="569B7F91"/>
    <w:rsid w:val="56D21BED"/>
    <w:rsid w:val="572651B2"/>
    <w:rsid w:val="57AE5C26"/>
    <w:rsid w:val="57DD75A9"/>
    <w:rsid w:val="5801059F"/>
    <w:rsid w:val="58130E54"/>
    <w:rsid w:val="58256ABD"/>
    <w:rsid w:val="58C27FDB"/>
    <w:rsid w:val="59472AC7"/>
    <w:rsid w:val="59723DF0"/>
    <w:rsid w:val="59D514A6"/>
    <w:rsid w:val="59EA796E"/>
    <w:rsid w:val="59EC6E09"/>
    <w:rsid w:val="5AB343F7"/>
    <w:rsid w:val="5ABF50F2"/>
    <w:rsid w:val="5AF25D13"/>
    <w:rsid w:val="5AF76904"/>
    <w:rsid w:val="5B052E7A"/>
    <w:rsid w:val="5B3D7F7E"/>
    <w:rsid w:val="5B7C7777"/>
    <w:rsid w:val="5BEC6771"/>
    <w:rsid w:val="5CA506B9"/>
    <w:rsid w:val="5CF74CE4"/>
    <w:rsid w:val="5CFF3BED"/>
    <w:rsid w:val="5D5A7C63"/>
    <w:rsid w:val="5D964551"/>
    <w:rsid w:val="5E0D40E7"/>
    <w:rsid w:val="5E256F6F"/>
    <w:rsid w:val="5E437B09"/>
    <w:rsid w:val="5F6235A9"/>
    <w:rsid w:val="5FFE173A"/>
    <w:rsid w:val="60DC439E"/>
    <w:rsid w:val="614125C2"/>
    <w:rsid w:val="61AA1D1F"/>
    <w:rsid w:val="624C5C52"/>
    <w:rsid w:val="63DF08E4"/>
    <w:rsid w:val="64C04AFD"/>
    <w:rsid w:val="655B219F"/>
    <w:rsid w:val="65E201F4"/>
    <w:rsid w:val="661A7B69"/>
    <w:rsid w:val="66455323"/>
    <w:rsid w:val="664909C1"/>
    <w:rsid w:val="66635AE4"/>
    <w:rsid w:val="66C63EB5"/>
    <w:rsid w:val="67592674"/>
    <w:rsid w:val="679461D3"/>
    <w:rsid w:val="67980EC5"/>
    <w:rsid w:val="67EE4F89"/>
    <w:rsid w:val="6858287E"/>
    <w:rsid w:val="68593A1E"/>
    <w:rsid w:val="68C04D52"/>
    <w:rsid w:val="68C33D20"/>
    <w:rsid w:val="68D33DE9"/>
    <w:rsid w:val="69157114"/>
    <w:rsid w:val="691A443E"/>
    <w:rsid w:val="69E203A0"/>
    <w:rsid w:val="6A114F5F"/>
    <w:rsid w:val="6A5B6D7D"/>
    <w:rsid w:val="6A765FBC"/>
    <w:rsid w:val="6A80735F"/>
    <w:rsid w:val="6AC17181"/>
    <w:rsid w:val="6ACC5E47"/>
    <w:rsid w:val="6AD43ED1"/>
    <w:rsid w:val="6B11024D"/>
    <w:rsid w:val="6B250CC2"/>
    <w:rsid w:val="6B6712DB"/>
    <w:rsid w:val="6B7D5B36"/>
    <w:rsid w:val="6BA60EF1"/>
    <w:rsid w:val="6C834DAA"/>
    <w:rsid w:val="6C993CCE"/>
    <w:rsid w:val="6CC4275D"/>
    <w:rsid w:val="6CF120A8"/>
    <w:rsid w:val="6D72413D"/>
    <w:rsid w:val="6D88378A"/>
    <w:rsid w:val="6FF50B81"/>
    <w:rsid w:val="70330B9C"/>
    <w:rsid w:val="704936A5"/>
    <w:rsid w:val="714213DD"/>
    <w:rsid w:val="717F272E"/>
    <w:rsid w:val="72407493"/>
    <w:rsid w:val="72783A23"/>
    <w:rsid w:val="728027C6"/>
    <w:rsid w:val="72E74AAF"/>
    <w:rsid w:val="73D62FA6"/>
    <w:rsid w:val="73FE7ACC"/>
    <w:rsid w:val="74257F85"/>
    <w:rsid w:val="74556746"/>
    <w:rsid w:val="746C1B8C"/>
    <w:rsid w:val="74743258"/>
    <w:rsid w:val="74CA3BD0"/>
    <w:rsid w:val="75074D94"/>
    <w:rsid w:val="761B13C4"/>
    <w:rsid w:val="764B6A8A"/>
    <w:rsid w:val="76C17E06"/>
    <w:rsid w:val="76CA67BD"/>
    <w:rsid w:val="774E6400"/>
    <w:rsid w:val="775B0046"/>
    <w:rsid w:val="79265527"/>
    <w:rsid w:val="79700BEF"/>
    <w:rsid w:val="798D552B"/>
    <w:rsid w:val="7A090695"/>
    <w:rsid w:val="7A1D5951"/>
    <w:rsid w:val="7AE175F4"/>
    <w:rsid w:val="7B417685"/>
    <w:rsid w:val="7B5220F0"/>
    <w:rsid w:val="7B5B0730"/>
    <w:rsid w:val="7BA169C0"/>
    <w:rsid w:val="7BC55243"/>
    <w:rsid w:val="7C2F4A9A"/>
    <w:rsid w:val="7CAD595B"/>
    <w:rsid w:val="7CF65D07"/>
    <w:rsid w:val="7D2975D1"/>
    <w:rsid w:val="7D2F3083"/>
    <w:rsid w:val="7D906046"/>
    <w:rsid w:val="7DCC0CD6"/>
    <w:rsid w:val="7E631D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uiPriority w:val="99"/>
    <w:tblPr>
      <w:tblCellMar>
        <w:top w:w="0" w:type="dxa"/>
        <w:left w:w="108" w:type="dxa"/>
        <w:bottom w:w="0" w:type="dxa"/>
        <w:right w:w="108" w:type="dxa"/>
      </w:tblCellMar>
    </w:tblPr>
  </w:style>
  <w:style w:type="paragraph" w:styleId="2">
    <w:name w:val="Body Text Indent"/>
    <w:basedOn w:val="1"/>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qFormat/>
    <w:uiPriority w:val="0"/>
    <w:rPr>
      <w:rFonts w:hint="eastAsia" w:ascii="宋体" w:hAnsi="宋体" w:eastAsia="宋体" w:cs="宋体"/>
      <w:color w:val="000000"/>
      <w:sz w:val="24"/>
      <w:szCs w:val="24"/>
      <w:u w:val="none"/>
    </w:rPr>
  </w:style>
  <w:style w:type="character" w:customStyle="1" w:styleId="14">
    <w:name w:val="font41"/>
    <w:qFormat/>
    <w:uiPriority w:val="0"/>
    <w:rPr>
      <w:rFonts w:hint="default" w:ascii="华文细黑" w:hAnsi="华文细黑" w:eastAsia="华文细黑" w:cs="华文细黑"/>
      <w:color w:val="000000"/>
      <w:sz w:val="20"/>
      <w:szCs w:val="20"/>
      <w:u w:val="none"/>
    </w:rPr>
  </w:style>
  <w:style w:type="character" w:customStyle="1" w:styleId="15">
    <w:name w:val="font11"/>
    <w:qFormat/>
    <w:uiPriority w:val="0"/>
    <w:rPr>
      <w:rFonts w:hint="default" w:ascii="Arial" w:hAnsi="Arial" w:cs="Arial"/>
      <w:color w:val="000000"/>
      <w:sz w:val="24"/>
      <w:szCs w:val="24"/>
      <w:u w:val="none"/>
    </w:rPr>
  </w:style>
  <w:style w:type="character" w:customStyle="1" w:styleId="16">
    <w:name w:val="页脚 字符"/>
    <w:link w:val="6"/>
    <w:qFormat/>
    <w:uiPriority w:val="0"/>
    <w:rPr>
      <w:rFonts w:eastAsia="仿宋_GB2312"/>
      <w:kern w:val="2"/>
      <w:sz w:val="18"/>
    </w:rPr>
  </w:style>
  <w:style w:type="character" w:customStyle="1" w:styleId="17">
    <w:name w:val="批注框文本 字符"/>
    <w:link w:val="5"/>
    <w:qFormat/>
    <w:uiPriority w:val="0"/>
    <w:rPr>
      <w:rFonts w:eastAsia="仿宋_GB2312"/>
      <w:kern w:val="2"/>
      <w:sz w:val="18"/>
      <w:szCs w:val="18"/>
    </w:rPr>
  </w:style>
  <w:style w:type="character" w:customStyle="1" w:styleId="18">
    <w:name w:val="font21"/>
    <w:qFormat/>
    <w:uiPriority w:val="0"/>
    <w:rPr>
      <w:rFonts w:hint="default" w:ascii="Arial" w:hAnsi="Arial" w:cs="Arial"/>
      <w:color w:val="000000"/>
      <w:sz w:val="20"/>
      <w:szCs w:val="20"/>
      <w:u w:val="none"/>
    </w:rPr>
  </w:style>
  <w:style w:type="character" w:customStyle="1" w:styleId="19">
    <w:name w:val="font01"/>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qFormat/>
    <w:uiPriority w:val="0"/>
    <w:rPr>
      <w:rFonts w:eastAsia="宋体"/>
      <w:sz w:val="21"/>
      <w:szCs w:val="21"/>
    </w:rPr>
  </w:style>
  <w:style w:type="paragraph" w:customStyle="1" w:styleId="80">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33</Pages>
  <Words>1513</Words>
  <Characters>8625</Characters>
  <Lines>71</Lines>
  <Paragraphs>20</Paragraphs>
  <TotalTime>4</TotalTime>
  <ScaleCrop>false</ScaleCrop>
  <LinksUpToDate>false</LinksUpToDate>
  <CharactersWithSpaces>10118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2024-02-21T02:38:00Z</cp:lastPrinted>
  <dcterms:modified xsi:type="dcterms:W3CDTF">2024-02-26T01:56:11Z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2778DE0D3D1747E5A61F757C22D63E49_13</vt:lpwstr>
  </property>
</Properties>
</file>