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hint="eastAsia" w:ascii="宋体" w:hAnsi="宋体" w:eastAsia="宋体" w:cs="宋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lang w:val="en-US" w:eastAsia="zh-CN"/>
        </w:rPr>
        <w:t>吉林省统计局舒兰市农村社会经济调查队</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rPr>
          <w:rFonts w:hint="eastAsia"/>
          <w:color w:val="000000"/>
          <w:szCs w:val="32"/>
        </w:rPr>
      </w:pPr>
      <w:r>
        <w:rPr>
          <w:rFonts w:hint="eastAsia"/>
          <w:color w:val="000000"/>
          <w:szCs w:val="32"/>
        </w:rPr>
        <w:t>为政府决策及社会需求调查提供农村社会经济信息。贯彻执行国家有关统计工作的方针政策，组织实施农村住户、农产量、农村社会经济基础基本情况等有关调查，为政府决策提供农村社会经济信息等。</w:t>
      </w:r>
    </w:p>
    <w:p>
      <w:pPr>
        <w:ind w:firstLine="640" w:firstLineChars="200"/>
      </w:pPr>
      <w:r>
        <w:rPr>
          <w:rFonts w:eastAsia="楷体_GB2312"/>
        </w:rPr>
        <w:t>二、机构设置</w:t>
      </w:r>
    </w:p>
    <w:p>
      <w:pPr>
        <w:pStyle w:val="48"/>
        <w:ind w:firstLine="640" w:firstLineChars="200"/>
        <w:rPr>
          <w:rFonts w:eastAsia="仿宋_GB2312"/>
        </w:rPr>
      </w:pPr>
      <w:r>
        <w:rPr>
          <w:rFonts w:hint="eastAsia" w:eastAsia="仿宋_GB2312"/>
          <w:lang w:val="en-US" w:eastAsia="zh-CN"/>
        </w:rPr>
        <w:t>根据机构编制管理有关规定，吉林省统计局舒兰市农村社会经济调查队不设置</w:t>
      </w:r>
      <w:r>
        <w:rPr>
          <w:rFonts w:hint="eastAsia" w:eastAsia="仿宋_GB2312"/>
        </w:rPr>
        <w:t>内设机构。</w:t>
      </w:r>
    </w:p>
    <w:p>
      <w:pPr>
        <w:pStyle w:val="48"/>
        <w:ind w:firstLine="640" w:firstLineChars="200"/>
        <w:rPr>
          <w:rFonts w:eastAsia="仿宋_GB2312"/>
        </w:rPr>
      </w:pPr>
      <w:r>
        <w:rPr>
          <w:rFonts w:hint="eastAsia" w:eastAsia="仿宋_GB2312"/>
          <w:lang w:val="en-US" w:eastAsia="zh-CN"/>
        </w:rPr>
        <w:t>无</w:t>
      </w:r>
      <w:r>
        <w:rPr>
          <w:rFonts w:eastAsia="仿宋_GB2312"/>
        </w:rPr>
        <w:t>下设预算单位。</w:t>
      </w:r>
    </w:p>
    <w:p>
      <w:pPr>
        <w:pStyle w:val="48"/>
        <w:ind w:firstLine="640" w:firstLineChars="200"/>
        <w:rPr>
          <w:rFonts w:eastAsia="楷体"/>
        </w:rPr>
      </w:pPr>
    </w:p>
    <w:p>
      <w:pPr>
        <w:pStyle w:val="48"/>
        <w:ind w:firstLine="640" w:firstLineChars="200"/>
        <w:rPr>
          <w:rFonts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int="eastAsia" w:hAnsi="楷体" w:eastAsia="楷体"/>
        </w:rPr>
      </w:pPr>
    </w:p>
    <w:p>
      <w:pPr>
        <w:pStyle w:val="48"/>
        <w:ind w:firstLine="640" w:firstLineChars="200"/>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lang w:val="en-US" w:eastAsia="zh-CN"/>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93.19</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89.18</w:t>
            </w:r>
          </w:p>
        </w:tc>
        <w:tc>
          <w:tcPr>
            <w:tcW w:w="1134"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4.01</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76.83</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73.25</w:t>
            </w:r>
          </w:p>
        </w:tc>
        <w:tc>
          <w:tcPr>
            <w:tcW w:w="1158"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3.58</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93.19</w:t>
            </w:r>
          </w:p>
        </w:tc>
        <w:tc>
          <w:tcPr>
            <w:tcW w:w="984" w:type="dxa"/>
            <w:gridSpan w:val="2"/>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89.18</w:t>
            </w:r>
          </w:p>
        </w:tc>
        <w:tc>
          <w:tcPr>
            <w:tcW w:w="1134" w:type="dxa"/>
            <w:tcBorders>
              <w:top w:val="nil"/>
              <w:left w:val="single" w:color="auto" w:sz="4" w:space="0"/>
              <w:bottom w:val="single" w:color="auto" w:sz="4" w:space="0"/>
              <w:right w:val="nil"/>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4.01</w:t>
            </w: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eastAsia="宋体"/>
                <w:color w:val="000000"/>
                <w:sz w:val="20"/>
              </w:rPr>
              <w:t>二、</w:t>
            </w:r>
            <w:r>
              <w:rPr>
                <w:rFonts w:hint="eastAsia" w:eastAsia="宋体"/>
                <w:color w:val="000000"/>
                <w:sz w:val="20"/>
                <w:lang w:val="en-US" w:eastAsia="zh-CN"/>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7.98</w:t>
            </w:r>
          </w:p>
        </w:tc>
        <w:tc>
          <w:tcPr>
            <w:tcW w:w="1182" w:type="dxa"/>
            <w:gridSpan w:val="2"/>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7.60</w:t>
            </w:r>
          </w:p>
        </w:tc>
        <w:tc>
          <w:tcPr>
            <w:tcW w:w="1158" w:type="dxa"/>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0.38</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eastAsia="宋体"/>
                <w:color w:val="000000"/>
                <w:sz w:val="20"/>
              </w:rPr>
              <w:t>三、</w:t>
            </w:r>
            <w:r>
              <w:rPr>
                <w:rFonts w:hint="eastAsia" w:eastAsia="宋体"/>
                <w:color w:val="000000"/>
                <w:sz w:val="20"/>
                <w:lang w:val="en-US" w:eastAsia="zh-CN"/>
              </w:rPr>
              <w:t>卫生健康支出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2.47</w:t>
            </w:r>
          </w:p>
        </w:tc>
        <w:tc>
          <w:tcPr>
            <w:tcW w:w="1182" w:type="dxa"/>
            <w:gridSpan w:val="2"/>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2.42</w:t>
            </w:r>
          </w:p>
        </w:tc>
        <w:tc>
          <w:tcPr>
            <w:tcW w:w="1158" w:type="dxa"/>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0.05</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5.91</w:t>
            </w:r>
          </w:p>
        </w:tc>
        <w:tc>
          <w:tcPr>
            <w:tcW w:w="1182" w:type="dxa"/>
            <w:gridSpan w:val="2"/>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5.91</w:t>
            </w: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pPr>
              <w:jc w:val="right"/>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pPr>
              <w:jc w:val="right"/>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pPr>
              <w:jc w:val="right"/>
              <w:rPr>
                <w:rFonts w:hint="eastAsia" w:eastAsia="宋体"/>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93.19</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89.18</w:t>
            </w:r>
          </w:p>
        </w:tc>
        <w:tc>
          <w:tcPr>
            <w:tcW w:w="1134"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4.01</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b/>
                <w:bCs/>
                <w:kern w:val="0"/>
                <w:sz w:val="20"/>
                <w:lang w:val="en-US" w:eastAsia="zh-CN"/>
              </w:rPr>
            </w:pPr>
            <w:r>
              <w:rPr>
                <w:rFonts w:hint="eastAsia" w:eastAsia="宋体"/>
                <w:b w:val="0"/>
                <w:bCs w:val="0"/>
                <w:kern w:val="0"/>
                <w:sz w:val="20"/>
                <w:lang w:val="en-US" w:eastAsia="zh-CN"/>
              </w:rPr>
              <w:t>93.19</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89.18</w:t>
            </w:r>
          </w:p>
        </w:tc>
        <w:tc>
          <w:tcPr>
            <w:tcW w:w="1158"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4.01</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93.19</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89.18</w:t>
            </w:r>
          </w:p>
        </w:tc>
        <w:tc>
          <w:tcPr>
            <w:tcW w:w="1134"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4.01</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93.19</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89.18</w:t>
            </w:r>
          </w:p>
        </w:tc>
        <w:tc>
          <w:tcPr>
            <w:tcW w:w="1158"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4.01</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9427" w:type="dxa"/>
        <w:jc w:val="center"/>
        <w:tblLayout w:type="fixed"/>
        <w:tblCellMar>
          <w:top w:w="0" w:type="dxa"/>
          <w:left w:w="108" w:type="dxa"/>
          <w:bottom w:w="0" w:type="dxa"/>
          <w:right w:w="108" w:type="dxa"/>
        </w:tblCellMar>
      </w:tblPr>
      <w:tblGrid>
        <w:gridCol w:w="851"/>
        <w:gridCol w:w="818"/>
        <w:gridCol w:w="795"/>
        <w:gridCol w:w="840"/>
        <w:gridCol w:w="352"/>
        <w:gridCol w:w="338"/>
        <w:gridCol w:w="337"/>
        <w:gridCol w:w="345"/>
        <w:gridCol w:w="330"/>
        <w:gridCol w:w="375"/>
        <w:gridCol w:w="375"/>
        <w:gridCol w:w="375"/>
        <w:gridCol w:w="675"/>
        <w:gridCol w:w="713"/>
        <w:gridCol w:w="236"/>
        <w:gridCol w:w="229"/>
        <w:gridCol w:w="495"/>
        <w:gridCol w:w="495"/>
        <w:gridCol w:w="438"/>
        <w:gridCol w:w="15"/>
      </w:tblGrid>
      <w:tr>
        <w:tblPrEx>
          <w:tblCellMar>
            <w:top w:w="0" w:type="dxa"/>
            <w:left w:w="108" w:type="dxa"/>
            <w:bottom w:w="0" w:type="dxa"/>
            <w:right w:w="108" w:type="dxa"/>
          </w:tblCellMar>
        </w:tblPrEx>
        <w:trPr>
          <w:trHeight w:val="335" w:hRule="atLeast"/>
          <w:jc w:val="center"/>
        </w:trPr>
        <w:tc>
          <w:tcPr>
            <w:tcW w:w="851" w:type="dxa"/>
            <w:tcBorders>
              <w:bottom w:val="single" w:color="000000" w:sz="4" w:space="0"/>
            </w:tcBorders>
            <w:noWrap w:val="0"/>
            <w:vAlign w:val="top"/>
          </w:tcPr>
          <w:p>
            <w:pPr>
              <w:autoSpaceDN w:val="0"/>
              <w:jc w:val="left"/>
              <w:textAlignment w:val="center"/>
              <w:rPr>
                <w:rFonts w:eastAsia="华文细黑"/>
                <w:color w:val="000000"/>
                <w:sz w:val="20"/>
              </w:rPr>
            </w:pPr>
          </w:p>
        </w:tc>
        <w:tc>
          <w:tcPr>
            <w:tcW w:w="4155" w:type="dxa"/>
            <w:gridSpan w:val="8"/>
            <w:tcBorders>
              <w:bottom w:val="single" w:color="000000" w:sz="4" w:space="0"/>
            </w:tcBorders>
            <w:noWrap w:val="0"/>
            <w:vAlign w:val="center"/>
          </w:tcPr>
          <w:p>
            <w:pPr>
              <w:autoSpaceDN w:val="0"/>
              <w:jc w:val="left"/>
              <w:textAlignment w:val="center"/>
              <w:rPr>
                <w:rFonts w:eastAsia="华文细黑"/>
                <w:color w:val="000000"/>
                <w:sz w:val="20"/>
              </w:rPr>
            </w:pPr>
          </w:p>
        </w:tc>
        <w:tc>
          <w:tcPr>
            <w:tcW w:w="1125" w:type="dxa"/>
            <w:gridSpan w:val="3"/>
            <w:noWrap w:val="0"/>
            <w:vAlign w:val="center"/>
          </w:tcPr>
          <w:p>
            <w:pPr>
              <w:autoSpaceDN w:val="0"/>
              <w:jc w:val="left"/>
              <w:textAlignment w:val="center"/>
              <w:rPr>
                <w:rFonts w:eastAsia="华文细黑"/>
                <w:color w:val="000000"/>
                <w:sz w:val="20"/>
              </w:rPr>
            </w:pPr>
          </w:p>
        </w:tc>
        <w:tc>
          <w:tcPr>
            <w:tcW w:w="675" w:type="dxa"/>
            <w:noWrap w:val="0"/>
            <w:vAlign w:val="center"/>
          </w:tcPr>
          <w:p>
            <w:pPr>
              <w:autoSpaceDN w:val="0"/>
              <w:jc w:val="left"/>
              <w:textAlignment w:val="center"/>
              <w:rPr>
                <w:rFonts w:eastAsia="华文细黑"/>
                <w:color w:val="000000"/>
                <w:sz w:val="20"/>
              </w:rPr>
            </w:pPr>
          </w:p>
        </w:tc>
        <w:tc>
          <w:tcPr>
            <w:tcW w:w="713" w:type="dxa"/>
            <w:noWrap w:val="0"/>
            <w:vAlign w:val="center"/>
          </w:tcPr>
          <w:p>
            <w:pPr>
              <w:autoSpaceDN w:val="0"/>
              <w:jc w:val="left"/>
              <w:textAlignment w:val="center"/>
              <w:rPr>
                <w:rFonts w:eastAsia="华文细黑"/>
                <w:color w:val="000000"/>
                <w:sz w:val="20"/>
              </w:rPr>
            </w:pPr>
          </w:p>
        </w:tc>
        <w:tc>
          <w:tcPr>
            <w:tcW w:w="236" w:type="dxa"/>
            <w:noWrap w:val="0"/>
            <w:vAlign w:val="bottom"/>
          </w:tcPr>
          <w:p>
            <w:pPr>
              <w:autoSpaceDN w:val="0"/>
              <w:jc w:val="right"/>
              <w:textAlignment w:val="bottom"/>
              <w:rPr>
                <w:rFonts w:eastAsia="宋体"/>
                <w:color w:val="000000"/>
                <w:sz w:val="20"/>
              </w:rPr>
            </w:pPr>
          </w:p>
        </w:tc>
        <w:tc>
          <w:tcPr>
            <w:tcW w:w="1672" w:type="dxa"/>
            <w:gridSpan w:val="5"/>
            <w:noWrap w:val="0"/>
            <w:vAlign w:val="bottom"/>
          </w:tcPr>
          <w:p>
            <w:pPr>
              <w:wordWrap/>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gridAfter w:val="1"/>
          <w:wAfter w:w="15" w:type="dxa"/>
          <w:trHeight w:val="517" w:hRule="atLeast"/>
          <w:jc w:val="center"/>
        </w:trPr>
        <w:tc>
          <w:tcPr>
            <w:tcW w:w="851"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w:t>
            </w:r>
          </w:p>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名称</w:t>
            </w:r>
          </w:p>
        </w:tc>
        <w:tc>
          <w:tcPr>
            <w:tcW w:w="818"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462" w:type="dxa"/>
            <w:gridSpan w:val="10"/>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3281" w:type="dxa"/>
            <w:gridSpan w:val="7"/>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gridAfter w:val="1"/>
          <w:wAfter w:w="15" w:type="dxa"/>
          <w:trHeight w:val="517" w:hRule="atLeast"/>
          <w:jc w:val="center"/>
        </w:trPr>
        <w:tc>
          <w:tcPr>
            <w:tcW w:w="851"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818"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795"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530"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w:t>
            </w:r>
          </w:p>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款收入</w:t>
            </w:r>
          </w:p>
        </w:tc>
        <w:tc>
          <w:tcPr>
            <w:tcW w:w="337"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800" w:type="dxa"/>
            <w:gridSpan w:val="5"/>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675"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673" w:type="dxa"/>
            <w:gridSpan w:val="4"/>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财政拨款结转</w:t>
            </w:r>
          </w:p>
        </w:tc>
        <w:tc>
          <w:tcPr>
            <w:tcW w:w="933"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gridAfter w:val="1"/>
          <w:wAfter w:w="15" w:type="dxa"/>
          <w:trHeight w:val="2818" w:hRule="atLeast"/>
          <w:jc w:val="center"/>
        </w:trPr>
        <w:tc>
          <w:tcPr>
            <w:tcW w:w="851"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18"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79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84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352"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33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337"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67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71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465"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495"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49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43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gridAfter w:val="1"/>
          <w:wAfter w:w="15" w:type="dxa"/>
          <w:trHeight w:val="517" w:hRule="atLeast"/>
          <w:jc w:val="center"/>
        </w:trPr>
        <w:tc>
          <w:tcPr>
            <w:tcW w:w="851"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吉林省统计局舒兰市农村社会经济调查队</w:t>
            </w:r>
          </w:p>
        </w:tc>
        <w:tc>
          <w:tcPr>
            <w:tcW w:w="8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93.19</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89.18</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89.18</w:t>
            </w:r>
          </w:p>
        </w:tc>
        <w:tc>
          <w:tcPr>
            <w:tcW w:w="352"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7"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4.01</w:t>
            </w:r>
          </w:p>
        </w:tc>
        <w:tc>
          <w:tcPr>
            <w:tcW w:w="7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4.01</w:t>
            </w:r>
          </w:p>
        </w:tc>
        <w:tc>
          <w:tcPr>
            <w:tcW w:w="46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15" w:type="dxa"/>
          <w:trHeight w:val="517" w:hRule="atLeast"/>
          <w:jc w:val="center"/>
        </w:trPr>
        <w:tc>
          <w:tcPr>
            <w:tcW w:w="851"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2"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7"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15" w:type="dxa"/>
          <w:trHeight w:val="517" w:hRule="atLeast"/>
          <w:jc w:val="center"/>
        </w:trPr>
        <w:tc>
          <w:tcPr>
            <w:tcW w:w="851"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2"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7"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15" w:type="dxa"/>
          <w:trHeight w:val="517" w:hRule="atLeast"/>
          <w:jc w:val="center"/>
        </w:trPr>
        <w:tc>
          <w:tcPr>
            <w:tcW w:w="851"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2"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7"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15" w:type="dxa"/>
          <w:trHeight w:val="530" w:hRule="atLeast"/>
          <w:jc w:val="center"/>
        </w:trPr>
        <w:tc>
          <w:tcPr>
            <w:tcW w:w="851"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93.19</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89.18</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89.18</w:t>
            </w:r>
          </w:p>
        </w:tc>
        <w:tc>
          <w:tcPr>
            <w:tcW w:w="352"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37"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4.01</w:t>
            </w:r>
          </w:p>
        </w:tc>
        <w:tc>
          <w:tcPr>
            <w:tcW w:w="7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4.01</w:t>
            </w:r>
          </w:p>
        </w:tc>
        <w:tc>
          <w:tcPr>
            <w:tcW w:w="46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5271" w:hRule="atLeast"/>
          <w:jc w:val="center"/>
        </w:trPr>
        <w:tc>
          <w:tcPr>
            <w:tcW w:w="10405"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482"/>
              <w:gridCol w:w="934"/>
              <w:gridCol w:w="1306"/>
              <w:gridCol w:w="1090"/>
              <w:gridCol w:w="1297"/>
              <w:gridCol w:w="1266"/>
              <w:gridCol w:w="30"/>
              <w:gridCol w:w="1297"/>
              <w:gridCol w:w="138"/>
            </w:tblGrid>
            <w:tr>
              <w:trPr>
                <w:gridAfter w:val="1"/>
                <w:wAfter w:w="138" w:type="dxa"/>
                <w:trHeight w:val="636" w:hRule="atLeast"/>
              </w:trPr>
              <w:tc>
                <w:tcPr>
                  <w:tcW w:w="5812" w:type="dxa"/>
                  <w:gridSpan w:val="4"/>
                  <w:tcBorders>
                    <w:bottom w:val="single" w:color="000000" w:sz="4" w:space="0"/>
                  </w:tcBorders>
                  <w:noWrap w:val="0"/>
                  <w:vAlign w:val="center"/>
                </w:tcPr>
                <w:p>
                  <w:pPr>
                    <w:widowControl/>
                    <w:jc w:val="left"/>
                    <w:rPr>
                      <w:rFonts w:eastAsia="华文细黑"/>
                      <w:color w:val="000000"/>
                      <w:kern w:val="0"/>
                      <w:sz w:val="20"/>
                    </w:rPr>
                  </w:pPr>
                </w:p>
              </w:tc>
              <w:tc>
                <w:tcPr>
                  <w:tcW w:w="1297" w:type="dxa"/>
                  <w:tcBorders>
                    <w:bottom w:val="single" w:color="000000" w:sz="4" w:space="0"/>
                  </w:tcBorders>
                  <w:noWrap w:val="0"/>
                  <w:vAlign w:val="center"/>
                </w:tcPr>
                <w:p>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pPr>
                    <w:widowControl/>
                    <w:jc w:val="right"/>
                    <w:rPr>
                      <w:rFonts w:eastAsia="华文细黑"/>
                      <w:color w:val="000000"/>
                      <w:kern w:val="0"/>
                      <w:sz w:val="20"/>
                    </w:rPr>
                  </w:pPr>
                </w:p>
              </w:tc>
              <w:tc>
                <w:tcPr>
                  <w:tcW w:w="1297" w:type="dxa"/>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2211" w:hRule="atLeast"/>
              </w:trPr>
              <w:tc>
                <w:tcPr>
                  <w:tcW w:w="2482"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934"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lang w:val="en-US"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406"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76.83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55.83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21.00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15"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20"/>
                      <w:lang w:val="en-US" w:eastAsia="zh-CN"/>
                    </w:rPr>
                  </w:pPr>
                  <w:r>
                    <w:rPr>
                      <w:rFonts w:eastAsia="宋体"/>
                      <w:color w:val="000000"/>
                      <w:kern w:val="0"/>
                      <w:sz w:val="20"/>
                    </w:rPr>
                    <w:t xml:space="preserve">    </w:t>
                  </w:r>
                  <w:r>
                    <w:rPr>
                      <w:rFonts w:hint="eastAsia" w:eastAsia="宋体"/>
                      <w:color w:val="000000"/>
                      <w:kern w:val="0"/>
                      <w:sz w:val="20"/>
                      <w:lang w:val="en-US" w:eastAsia="zh-CN"/>
                    </w:rPr>
                    <w:t>统计信息事务</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76.83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55.83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21.00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00"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行政运行</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55.83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55.83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05"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20"/>
                      <w:lang w:val="en-US" w:eastAsia="zh-CN"/>
                    </w:rPr>
                  </w:pPr>
                  <w:r>
                    <w:rPr>
                      <w:rFonts w:eastAsia="宋体"/>
                      <w:color w:val="000000"/>
                      <w:kern w:val="0"/>
                      <w:sz w:val="20"/>
                    </w:rPr>
                    <w:t xml:space="preserve">      </w:t>
                  </w:r>
                  <w:r>
                    <w:rPr>
                      <w:rFonts w:hint="eastAsia" w:eastAsia="宋体"/>
                      <w:color w:val="000000"/>
                      <w:kern w:val="0"/>
                      <w:sz w:val="20"/>
                      <w:lang w:val="en-US" w:eastAsia="zh-CN"/>
                    </w:rPr>
                    <w:t>统计抽样调查</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21.00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21.00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85"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20"/>
                      <w:lang w:val="en-US" w:eastAsia="zh-CN"/>
                    </w:rPr>
                  </w:pPr>
                  <w:r>
                    <w:rPr>
                      <w:rFonts w:eastAsia="宋体"/>
                      <w:color w:val="000000"/>
                      <w:kern w:val="0"/>
                      <w:sz w:val="20"/>
                    </w:rPr>
                    <w:t>二、</w:t>
                  </w:r>
                  <w:r>
                    <w:rPr>
                      <w:rFonts w:hint="eastAsia" w:eastAsia="宋体"/>
                      <w:color w:val="000000"/>
                      <w:kern w:val="0"/>
                      <w:sz w:val="20"/>
                      <w:lang w:val="en-US" w:eastAsia="zh-CN"/>
                    </w:rPr>
                    <w:t>社会保障和就业支出</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7.98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7.98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35"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20"/>
                      <w:lang w:val="en-US" w:eastAsia="zh-CN"/>
                    </w:rPr>
                  </w:pPr>
                  <w:r>
                    <w:rPr>
                      <w:rFonts w:eastAsia="宋体"/>
                      <w:color w:val="000000"/>
                      <w:kern w:val="0"/>
                      <w:sz w:val="20"/>
                    </w:rPr>
                    <w:t xml:space="preserve">    </w:t>
                  </w:r>
                  <w:r>
                    <w:rPr>
                      <w:rFonts w:hint="eastAsia" w:eastAsia="宋体"/>
                      <w:color w:val="000000"/>
                      <w:kern w:val="0"/>
                      <w:sz w:val="20"/>
                      <w:lang w:val="en-US" w:eastAsia="zh-CN"/>
                    </w:rPr>
                    <w:t>行政事业单位养老支出</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7.98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7.98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20"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w:t>
                  </w:r>
                  <w:r>
                    <w:rPr>
                      <w:rFonts w:hint="eastAsia" w:ascii="宋体" w:hAnsi="宋体" w:eastAsia="宋体" w:cs="宋体"/>
                      <w:color w:val="000000"/>
                      <w:kern w:val="0"/>
                      <w:sz w:val="20"/>
                    </w:rPr>
                    <w:t>行政单位离退休</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0"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w:t>
                  </w:r>
                  <w:r>
                    <w:rPr>
                      <w:rFonts w:hint="eastAsia" w:ascii="宋体" w:hAnsi="宋体" w:eastAsia="宋体" w:cs="宋体"/>
                      <w:color w:val="000000"/>
                      <w:kern w:val="0"/>
                      <w:sz w:val="20"/>
                    </w:rPr>
                    <w:t>机关事业单位基本养老保险缴费支出</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6.73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6.73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20"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eastAsia="宋体"/>
                      <w:color w:val="000000"/>
                      <w:kern w:val="0"/>
                      <w:sz w:val="20"/>
                      <w:lang w:val="en-US" w:eastAsia="zh-CN"/>
                    </w:rPr>
                    <w:t>三</w:t>
                  </w:r>
                  <w:r>
                    <w:rPr>
                      <w:rFonts w:eastAsia="宋体"/>
                      <w:color w:val="000000"/>
                      <w:kern w:val="0"/>
                      <w:sz w:val="20"/>
                    </w:rPr>
                    <w:t>、</w:t>
                  </w:r>
                  <w:r>
                    <w:rPr>
                      <w:rFonts w:hint="eastAsia" w:eastAsia="宋体"/>
                      <w:color w:val="000000"/>
                      <w:kern w:val="0"/>
                      <w:sz w:val="20"/>
                      <w:lang w:val="en-US" w:eastAsia="zh-CN"/>
                    </w:rPr>
                    <w:t>卫生健康支出</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00"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行政事业单位</w:t>
                  </w:r>
                  <w:r>
                    <w:rPr>
                      <w:rFonts w:hint="eastAsia" w:ascii="宋体" w:hAnsi="宋体" w:eastAsia="宋体" w:cs="宋体"/>
                      <w:color w:val="000000"/>
                      <w:kern w:val="0"/>
                      <w:sz w:val="20"/>
                    </w:rPr>
                    <w:t>医疗</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35"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w:t>
                  </w:r>
                  <w:r>
                    <w:rPr>
                      <w:rFonts w:hint="eastAsia" w:ascii="宋体" w:hAnsi="宋体" w:eastAsia="宋体" w:cs="宋体"/>
                      <w:color w:val="000000"/>
                      <w:kern w:val="0"/>
                      <w:sz w:val="20"/>
                    </w:rPr>
                    <w:t>行政单位医疗</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10"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20"/>
                      <w:lang w:val="en-US"/>
                    </w:rPr>
                  </w:pPr>
                  <w:r>
                    <w:rPr>
                      <w:rFonts w:hint="eastAsia" w:eastAsia="宋体"/>
                      <w:color w:val="000000"/>
                      <w:kern w:val="0"/>
                      <w:sz w:val="20"/>
                      <w:lang w:val="en-US" w:eastAsia="zh-CN"/>
                    </w:rPr>
                    <w:t>四、住房保障支出</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5.91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5.91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00"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20"/>
                      <w:lang w:val="en-US" w:eastAsia="zh-CN"/>
                    </w:rPr>
                  </w:pPr>
                  <w:r>
                    <w:rPr>
                      <w:rFonts w:hint="eastAsia" w:eastAsia="宋体"/>
                      <w:color w:val="000000"/>
                      <w:kern w:val="0"/>
                      <w:sz w:val="20"/>
                      <w:lang w:val="en-US" w:eastAsia="zh-CN"/>
                    </w:rPr>
                    <w:t xml:space="preserve">    住房改革支出</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5.91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5.91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30"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20"/>
                      <w:lang w:val="en-US" w:eastAsia="zh-CN"/>
                    </w:rPr>
                  </w:pPr>
                  <w:r>
                    <w:rPr>
                      <w:rFonts w:hint="eastAsia" w:eastAsia="宋体"/>
                      <w:color w:val="000000"/>
                      <w:kern w:val="0"/>
                      <w:sz w:val="20"/>
                      <w:lang w:val="en-US" w:eastAsia="zh-CN"/>
                    </w:rPr>
                    <w:t xml:space="preserve">      住房公积金</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5.91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5.91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93.19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72.19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21.00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
      <w:pPr>
        <w:ind w:firstLine="640" w:firstLineChars="200"/>
        <w:rPr>
          <w:rFonts w:hAnsi="楷体" w:eastAsia="楷体"/>
        </w:rPr>
      </w:pPr>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555"/>
              <w:gridCol w:w="967"/>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555"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967"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93.19</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89.18</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4.01</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93.19</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right"/>
                    <w:rPr>
                      <w:rFonts w:hint="default" w:eastAsia="宋体"/>
                      <w:kern w:val="0"/>
                      <w:sz w:val="20"/>
                      <w:lang w:val="en-US" w:eastAsia="zh-CN"/>
                    </w:rPr>
                  </w:pPr>
                  <w:r>
                    <w:rPr>
                      <w:rFonts w:hint="eastAsia" w:eastAsia="宋体"/>
                      <w:kern w:val="0"/>
                      <w:sz w:val="20"/>
                      <w:lang w:val="en-US" w:eastAsia="zh-CN"/>
                    </w:rPr>
                    <w:t>89.18</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right"/>
                    <w:rPr>
                      <w:rFonts w:hint="default" w:eastAsia="宋体"/>
                      <w:kern w:val="0"/>
                      <w:sz w:val="20"/>
                      <w:lang w:val="en-US" w:eastAsia="zh-CN"/>
                    </w:rPr>
                  </w:pPr>
                  <w:r>
                    <w:rPr>
                      <w:rFonts w:hint="eastAsia" w:eastAsia="宋体"/>
                      <w:kern w:val="0"/>
                      <w:sz w:val="20"/>
                      <w:lang w:val="en-US" w:eastAsia="zh-CN"/>
                    </w:rPr>
                    <w:t>4.01</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93.19</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89.18</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4.01</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eastAsia="zh-CN"/>
                    </w:rPr>
                    <w:t>（一）</w:t>
                  </w:r>
                  <w:r>
                    <w:rPr>
                      <w:rFonts w:hint="eastAsia" w:eastAsia="宋体"/>
                      <w:color w:val="000000"/>
                      <w:kern w:val="0"/>
                      <w:sz w:val="20"/>
                    </w:rPr>
                    <w:t>一般公共服务支出</w:t>
                  </w: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76.83</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73.25</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3.58</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社会保障和就业支出</w:t>
                  </w: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7.98</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7.60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0.38</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ascii="宋体" w:hAnsi="宋体" w:eastAsia="宋体" w:cs="宋体"/>
                      <w:color w:val="000000"/>
                      <w:sz w:val="20"/>
                    </w:rPr>
                    <w:t>卫生健康支出</w:t>
                  </w: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2.47</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2.42</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0.05</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kern w:val="0"/>
                      <w:sz w:val="20"/>
                    </w:rPr>
                    <w:t>（</w:t>
                  </w:r>
                  <w:r>
                    <w:rPr>
                      <w:rFonts w:hint="default" w:eastAsia="宋体"/>
                      <w:color w:val="000000"/>
                      <w:kern w:val="0"/>
                      <w:sz w:val="20"/>
                    </w:rPr>
                    <w:t>四</w:t>
                  </w:r>
                  <w:r>
                    <w:rPr>
                      <w:rFonts w:hint="eastAsia" w:eastAsia="宋体"/>
                      <w:color w:val="000000"/>
                      <w:kern w:val="0"/>
                      <w:sz w:val="20"/>
                    </w:rPr>
                    <w:t>）</w:t>
                  </w:r>
                  <w:r>
                    <w:rPr>
                      <w:rFonts w:hint="eastAsia" w:ascii="宋体" w:hAnsi="宋体" w:eastAsia="宋体" w:cs="宋体"/>
                      <w:color w:val="000000"/>
                      <w:kern w:val="0"/>
                      <w:sz w:val="20"/>
                      <w:lang w:val="en-US" w:eastAsia="zh-CN"/>
                    </w:rPr>
                    <w:t>住房保障支出</w:t>
                  </w: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5.91</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5.91</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967"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黑体"/>
                      <w:kern w:val="0"/>
                      <w:sz w:val="20"/>
                      <w:lang w:val="en-US" w:eastAsia="zh-CN"/>
                    </w:rPr>
                  </w:pPr>
                  <w:r>
                    <w:rPr>
                      <w:rFonts w:hint="eastAsia" w:eastAsia="黑体"/>
                      <w:kern w:val="0"/>
                      <w:sz w:val="20"/>
                      <w:lang w:val="en-US" w:eastAsia="zh-CN"/>
                    </w:rPr>
                    <w:t>93.19</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黑体"/>
                      <w:kern w:val="0"/>
                      <w:sz w:val="20"/>
                      <w:lang w:val="en-US" w:eastAsia="zh-CN"/>
                    </w:rPr>
                  </w:pPr>
                  <w:r>
                    <w:rPr>
                      <w:rFonts w:hint="eastAsia" w:eastAsia="黑体"/>
                      <w:kern w:val="0"/>
                      <w:sz w:val="20"/>
                      <w:lang w:val="en-US" w:eastAsia="zh-CN"/>
                    </w:rPr>
                    <w:t>89.18</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黑体"/>
                      <w:kern w:val="0"/>
                      <w:sz w:val="20"/>
                      <w:lang w:val="en-US" w:eastAsia="zh-CN"/>
                    </w:rPr>
                  </w:pPr>
                  <w:r>
                    <w:rPr>
                      <w:rFonts w:hint="eastAsia" w:eastAsia="黑体"/>
                      <w:kern w:val="0"/>
                      <w:sz w:val="20"/>
                      <w:lang w:val="en-US" w:eastAsia="zh-CN"/>
                    </w:rPr>
                    <w:t>4.01</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93.19</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89.18</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4.01</w:t>
                  </w:r>
                </w:p>
              </w:tc>
            </w:tr>
          </w:tbl>
          <w:p>
            <w:pPr>
              <w:widowControl/>
              <w:rPr>
                <w:rFonts w:eastAsia="方正小标宋简体"/>
                <w:kern w:val="0"/>
                <w:sz w:val="44"/>
                <w:szCs w:val="44"/>
              </w:rPr>
            </w:pPr>
          </w:p>
        </w:tc>
      </w:tr>
    </w:tbl>
    <w:p>
      <w:pPr>
        <w:ind w:firstLine="640" w:firstLineChars="200"/>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lang w:val="en-US" w:eastAsia="zh-CN"/>
                    </w:rPr>
                    <w:t>合</w:t>
                  </w:r>
                  <w:r>
                    <w:rPr>
                      <w:rFonts w:eastAsia="华文细黑"/>
                      <w:color w:val="000000"/>
                      <w:kern w:val="0"/>
                      <w:sz w:val="20"/>
                    </w:rPr>
                    <w:t>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lang w:val="en-US" w:eastAsia="zh-CN"/>
                    </w:rPr>
                    <w:t>小</w:t>
                  </w:r>
                  <w:r>
                    <w:rPr>
                      <w:rFonts w:eastAsia="华文细黑"/>
                      <w:color w:val="000000"/>
                      <w:kern w:val="0"/>
                      <w:sz w:val="20"/>
                    </w:rPr>
                    <w:t>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华文细黑"/>
                      <w:color w:val="000000"/>
                      <w:kern w:val="0"/>
                      <w:sz w:val="20"/>
                    </w:rPr>
                  </w:pPr>
                  <w:r>
                    <w:rPr>
                      <w:rFonts w:eastAsia="宋体"/>
                      <w:color w:val="000000"/>
                      <w:kern w:val="0"/>
                      <w:sz w:val="20"/>
                    </w:rPr>
                    <w:t>一、</w:t>
                  </w:r>
                  <w:r>
                    <w:rPr>
                      <w:rFonts w:hint="eastAsia" w:ascii="宋体" w:hAnsi="宋体" w:eastAsia="宋体" w:cs="宋体"/>
                      <w:color w:val="000000"/>
                      <w:kern w:val="0"/>
                      <w:sz w:val="20"/>
                    </w:rPr>
                    <w:t>一般公共服务</w:t>
                  </w:r>
                  <w:r>
                    <w:rPr>
                      <w:rFonts w:hint="eastAsia" w:ascii="宋体" w:hAnsi="宋体" w:eastAsia="宋体" w:cs="宋体"/>
                      <w:color w:val="000000"/>
                      <w:kern w:val="0"/>
                      <w:sz w:val="20"/>
                      <w:lang w:val="en-US"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76.83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55.83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43.17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12.66</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21.00</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76.83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55.83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43.17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12.66</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21.00</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55.83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55.83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43.17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12.66</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20"/>
                      <w:lang w:val="en-US" w:eastAsia="zh-CN"/>
                    </w:rPr>
                  </w:pPr>
                  <w:r>
                    <w:rPr>
                      <w:rFonts w:eastAsia="宋体"/>
                      <w:color w:val="000000"/>
                      <w:kern w:val="0"/>
                      <w:sz w:val="20"/>
                    </w:rPr>
                    <w:t xml:space="preserve">      </w:t>
                  </w:r>
                  <w:r>
                    <w:rPr>
                      <w:rFonts w:hint="eastAsia" w:ascii="宋体" w:hAnsi="宋体" w:eastAsia="宋体" w:cs="宋体"/>
                      <w:color w:val="000000"/>
                      <w:kern w:val="0"/>
                      <w:sz w:val="20"/>
                      <w:lang w:val="en-US" w:eastAsia="zh-CN"/>
                    </w:rPr>
                    <w:t>统计抽样调查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21.00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21.00</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eastAsia="宋体"/>
                      <w:color w:val="000000"/>
                      <w:kern w:val="0"/>
                      <w:sz w:val="20"/>
                      <w:lang w:val="en-US" w:eastAsia="zh-CN"/>
                    </w:rPr>
                  </w:pPr>
                  <w:r>
                    <w:rPr>
                      <w:rFonts w:eastAsia="宋体"/>
                      <w:color w:val="000000"/>
                      <w:kern w:val="0"/>
                      <w:sz w:val="20"/>
                    </w:rPr>
                    <w:t>二、</w:t>
                  </w:r>
                  <w:r>
                    <w:rPr>
                      <w:rFonts w:hint="eastAsia" w:eastAsia="宋体"/>
                      <w:color w:val="000000"/>
                      <w:kern w:val="0"/>
                      <w:sz w:val="20"/>
                      <w:lang w:val="en-US" w:eastAsia="zh-CN"/>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7.98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7.98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7.98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w:t>
                  </w:r>
                  <w:r>
                    <w:rPr>
                      <w:rFonts w:hint="eastAsia" w:ascii="宋体" w:hAnsi="宋体" w:eastAsia="宋体" w:cs="宋体"/>
                      <w:color w:val="000000"/>
                      <w:kern w:val="0"/>
                      <w:sz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7.98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7.98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7.98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6.73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6.73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6.73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r>
                    <w:rPr>
                      <w:rFonts w:hint="eastAsia" w:eastAsia="宋体"/>
                      <w:color w:val="000000"/>
                      <w:kern w:val="0"/>
                      <w:sz w:val="20"/>
                      <w:lang w:val="en-US" w:eastAsia="zh-CN"/>
                    </w:rPr>
                    <w:t>三</w:t>
                  </w:r>
                  <w:r>
                    <w:rPr>
                      <w:rFonts w:eastAsia="宋体"/>
                      <w:color w:val="000000"/>
                      <w:kern w:val="0"/>
                      <w:sz w:val="20"/>
                    </w:rPr>
                    <w:t>、</w:t>
                  </w:r>
                  <w:r>
                    <w:rPr>
                      <w:rFonts w:hint="eastAsia" w:eastAsia="宋体"/>
                      <w:color w:val="000000"/>
                      <w:kern w:val="0"/>
                      <w:sz w:val="20"/>
                      <w:lang w:val="en-US" w:eastAsia="zh-CN"/>
                    </w:rPr>
                    <w:t>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r>
                    <w:rPr>
                      <w:rFonts w:hint="eastAsia" w:eastAsia="宋体"/>
                      <w:color w:val="000000"/>
                      <w:kern w:val="0"/>
                      <w:sz w:val="20"/>
                      <w:lang w:val="en-US" w:eastAsia="zh-CN"/>
                    </w:rPr>
                    <w:t>四</w:t>
                  </w:r>
                  <w:r>
                    <w:rPr>
                      <w:rFonts w:eastAsia="宋体"/>
                      <w:color w:val="000000"/>
                      <w:kern w:val="0"/>
                      <w:sz w:val="20"/>
                    </w:rPr>
                    <w:t>、</w:t>
                  </w:r>
                  <w:r>
                    <w:rPr>
                      <w:rFonts w:hint="eastAsia" w:eastAsia="宋体"/>
                      <w:color w:val="000000"/>
                      <w:kern w:val="0"/>
                      <w:sz w:val="20"/>
                      <w:lang w:val="en-US" w:eastAsia="zh-CN"/>
                    </w:rPr>
                    <w:t>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20"/>
                      <w:lang w:val="en-US" w:eastAsia="zh-CN"/>
                    </w:rPr>
                  </w:pPr>
                  <w:r>
                    <w:rPr>
                      <w:rFonts w:hint="eastAsia" w:eastAsia="宋体"/>
                      <w:color w:val="000000"/>
                      <w:kern w:val="0"/>
                      <w:sz w:val="20"/>
                      <w:lang w:val="en-US" w:eastAsia="zh-CN"/>
                    </w:rPr>
                    <w:t xml:space="preserve">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93.19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72.19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59.53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12.66</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21.00</w:t>
                  </w:r>
                </w:p>
              </w:tc>
            </w:tr>
          </w:tbl>
          <w:p>
            <w:pPr>
              <w:widowControl/>
              <w:jc w:val="center"/>
              <w:rPr>
                <w:rFonts w:eastAsia="方正小标宋简体"/>
                <w:kern w:val="0"/>
                <w:sz w:val="44"/>
                <w:szCs w:val="44"/>
              </w:rPr>
            </w:pPr>
          </w:p>
        </w:tc>
      </w:tr>
    </w:tbl>
    <w:p>
      <w:pPr>
        <w:rPr>
          <w:rFonts w:eastAsia="楷体"/>
        </w:rPr>
      </w:pPr>
    </w:p>
    <w:p>
      <w:pPr>
        <w:ind w:firstLine="640" w:firstLineChars="200"/>
        <w:rPr>
          <w:rFonts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467" w:hRule="atLeast"/>
          <w:jc w:val="center"/>
        </w:trPr>
        <w:tc>
          <w:tcPr>
            <w:tcW w:w="3176"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rPr>
          <w:trHeight w:val="15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58.06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58.06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sz w:val="20"/>
                <w:szCs w:val="20"/>
              </w:rPr>
            </w:pPr>
          </w:p>
        </w:tc>
      </w:tr>
      <w:tr>
        <w:tblPrEx>
          <w:tblCellMar>
            <w:top w:w="0" w:type="dxa"/>
            <w:left w:w="108" w:type="dxa"/>
            <w:bottom w:w="0" w:type="dxa"/>
            <w:right w:w="108" w:type="dxa"/>
          </w:tblCellMar>
        </w:tblPrEx>
        <w:trPr>
          <w:trHeight w:val="11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19.17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19.17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9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12.88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12.88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9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9.35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9.35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9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color w:val="000000"/>
                <w:sz w:val="20"/>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6.73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sz w:val="20"/>
                <w:szCs w:val="20"/>
                <w:lang w:val="en-US" w:eastAsia="zh-CN"/>
              </w:rPr>
            </w:pPr>
            <w:r>
              <w:rPr>
                <w:rFonts w:hint="eastAsia"/>
                <w:sz w:val="20"/>
                <w:szCs w:val="20"/>
                <w:lang w:val="en-US" w:eastAsia="zh-CN"/>
              </w:rPr>
              <w:t>6.73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9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color w:val="000000"/>
                <w:sz w:val="20"/>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2.36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sz w:val="20"/>
                <w:szCs w:val="20"/>
                <w:lang w:val="en-US" w:eastAsia="zh-CN"/>
              </w:rPr>
            </w:pPr>
            <w:r>
              <w:rPr>
                <w:rFonts w:hint="eastAsia"/>
                <w:sz w:val="20"/>
                <w:szCs w:val="20"/>
                <w:lang w:val="en-US" w:eastAsia="zh-CN"/>
              </w:rPr>
              <w:t>2.36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9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color w:val="000000"/>
                <w:sz w:val="20"/>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0.62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sz w:val="20"/>
                <w:szCs w:val="20"/>
                <w:lang w:val="en-US" w:eastAsia="zh-CN"/>
              </w:rPr>
            </w:pPr>
            <w:r>
              <w:rPr>
                <w:rFonts w:hint="eastAsia"/>
                <w:sz w:val="20"/>
                <w:szCs w:val="20"/>
                <w:lang w:val="en-US" w:eastAsia="zh-CN"/>
              </w:rPr>
              <w:t>0.62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9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color w:val="000000"/>
                <w:sz w:val="20"/>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5.91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sz w:val="20"/>
                <w:szCs w:val="20"/>
                <w:lang w:val="en-US" w:eastAsia="zh-CN"/>
              </w:rPr>
            </w:pPr>
            <w:r>
              <w:rPr>
                <w:rFonts w:hint="eastAsia"/>
                <w:sz w:val="20"/>
                <w:szCs w:val="20"/>
                <w:lang w:val="en-US" w:eastAsia="zh-CN"/>
              </w:rPr>
              <w:t>5.91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9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color w:val="000000"/>
                <w:sz w:val="20"/>
              </w:rPr>
              <w:t>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0.40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sz w:val="20"/>
                <w:szCs w:val="20"/>
                <w:lang w:val="en-US" w:eastAsia="zh-CN"/>
              </w:rPr>
            </w:pPr>
            <w:r>
              <w:rPr>
                <w:rFonts w:hint="eastAsia"/>
                <w:sz w:val="20"/>
                <w:szCs w:val="20"/>
                <w:lang w:val="en-US" w:eastAsia="zh-CN"/>
              </w:rPr>
              <w:t>0.40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9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eastAsia="宋体"/>
                <w:color w:val="000000"/>
                <w:sz w:val="20"/>
              </w:rPr>
              <w:t>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0.64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0.64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9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kern w:val="0"/>
                <w:sz w:val="20"/>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12.07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12.07</w:t>
            </w:r>
          </w:p>
        </w:tc>
      </w:tr>
      <w:tr>
        <w:tblPrEx>
          <w:tblCellMar>
            <w:top w:w="0" w:type="dxa"/>
            <w:left w:w="108" w:type="dxa"/>
            <w:bottom w:w="0" w:type="dxa"/>
            <w:right w:w="108" w:type="dxa"/>
          </w:tblCellMar>
        </w:tblPrEx>
        <w:trPr>
          <w:trHeight w:val="9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eastAsia="宋体"/>
                <w:color w:val="000000"/>
                <w:sz w:val="20"/>
              </w:rPr>
              <w:t>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0.80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0.80</w:t>
            </w:r>
          </w:p>
        </w:tc>
      </w:tr>
      <w:tr>
        <w:tblPrEx>
          <w:tblCellMar>
            <w:top w:w="0" w:type="dxa"/>
            <w:left w:w="108" w:type="dxa"/>
            <w:bottom w:w="0" w:type="dxa"/>
            <w:right w:w="108" w:type="dxa"/>
          </w:tblCellMar>
        </w:tblPrEx>
        <w:trPr>
          <w:trHeight w:val="9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kern w:val="0"/>
                <w:sz w:val="20"/>
              </w:rPr>
            </w:pPr>
            <w:r>
              <w:rPr>
                <w:rFonts w:hint="eastAsia" w:ascii="宋体" w:hAnsi="宋体" w:eastAsia="宋体" w:cs="宋体"/>
                <w:kern w:val="0"/>
                <w:sz w:val="20"/>
                <w:szCs w:val="20"/>
              </w:rPr>
              <w:t>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0.10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0.10</w:t>
            </w:r>
          </w:p>
        </w:tc>
      </w:tr>
      <w:tr>
        <w:tblPrEx>
          <w:tblCellMar>
            <w:top w:w="0" w:type="dxa"/>
            <w:left w:w="108" w:type="dxa"/>
            <w:bottom w:w="0" w:type="dxa"/>
            <w:right w:w="108" w:type="dxa"/>
          </w:tblCellMar>
        </w:tblPrEx>
        <w:trPr>
          <w:trHeight w:val="9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szCs w:val="20"/>
              </w:rPr>
              <w:t>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0.50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0.50</w:t>
            </w:r>
          </w:p>
        </w:tc>
      </w:tr>
      <w:tr>
        <w:tblPrEx>
          <w:tblCellMar>
            <w:top w:w="0" w:type="dxa"/>
            <w:left w:w="108" w:type="dxa"/>
            <w:bottom w:w="0" w:type="dxa"/>
            <w:right w:w="108" w:type="dxa"/>
          </w:tblCellMar>
        </w:tblPrEx>
        <w:trPr>
          <w:trHeight w:val="9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szCs w:val="20"/>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3.65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3.65</w:t>
            </w:r>
          </w:p>
        </w:tc>
      </w:tr>
      <w:tr>
        <w:tblPrEx>
          <w:tblCellMar>
            <w:top w:w="0" w:type="dxa"/>
            <w:left w:w="108" w:type="dxa"/>
            <w:bottom w:w="0" w:type="dxa"/>
            <w:right w:w="108" w:type="dxa"/>
          </w:tblCellMar>
        </w:tblPrEx>
        <w:trPr>
          <w:trHeight w:val="15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0.64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0.64</w:t>
            </w:r>
          </w:p>
        </w:tc>
      </w:tr>
      <w:tr>
        <w:tblPrEx>
          <w:tblCellMar>
            <w:top w:w="0" w:type="dxa"/>
            <w:left w:w="108" w:type="dxa"/>
            <w:bottom w:w="0" w:type="dxa"/>
            <w:right w:w="108" w:type="dxa"/>
          </w:tblCellMar>
        </w:tblPrEx>
        <w:trPr>
          <w:trHeight w:val="9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lang w:val="en-US" w:eastAsia="zh-CN"/>
              </w:rPr>
            </w:pPr>
            <w:r>
              <w:rPr>
                <w:rFonts w:hint="eastAsia" w:eastAsia="宋体"/>
                <w:color w:val="000000"/>
                <w:kern w:val="0"/>
                <w:sz w:val="20"/>
                <w:lang w:val="en-US" w:eastAsia="zh-CN"/>
              </w:rPr>
              <w:t>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2.65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2.65</w:t>
            </w:r>
          </w:p>
        </w:tc>
      </w:tr>
      <w:tr>
        <w:tblPrEx>
          <w:tblCellMar>
            <w:top w:w="0" w:type="dxa"/>
            <w:left w:w="108" w:type="dxa"/>
            <w:bottom w:w="0" w:type="dxa"/>
            <w:right w:w="108" w:type="dxa"/>
          </w:tblCellMar>
        </w:tblPrEx>
        <w:trPr>
          <w:trHeight w:val="9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3.06</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3.06</w:t>
            </w:r>
          </w:p>
        </w:tc>
      </w:tr>
      <w:tr>
        <w:tblPrEx>
          <w:tblCellMar>
            <w:top w:w="0" w:type="dxa"/>
            <w:left w:w="108" w:type="dxa"/>
            <w:bottom w:w="0" w:type="dxa"/>
            <w:right w:w="108" w:type="dxa"/>
          </w:tblCellMar>
        </w:tblPrEx>
        <w:trPr>
          <w:trHeight w:val="15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0.67</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0.67</w:t>
            </w:r>
          </w:p>
        </w:tc>
      </w:tr>
      <w:tr>
        <w:tblPrEx>
          <w:tblCellMar>
            <w:top w:w="0" w:type="dxa"/>
            <w:left w:w="108" w:type="dxa"/>
            <w:bottom w:w="0" w:type="dxa"/>
            <w:right w:w="108" w:type="dxa"/>
          </w:tblCellMar>
        </w:tblPrEx>
        <w:trPr>
          <w:trHeight w:val="26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val="en-US" w:eastAsia="zh-CN"/>
              </w:rPr>
              <w:t>三</w:t>
            </w:r>
            <w:r>
              <w:rPr>
                <w:rFonts w:eastAsia="宋体"/>
                <w:color w:val="000000"/>
                <w:sz w:val="20"/>
              </w:rPr>
              <w:t>、</w:t>
            </w:r>
            <w:r>
              <w:rPr>
                <w:rFonts w:hint="eastAsia" w:eastAsia="宋体"/>
                <w:color w:val="000000"/>
                <w:sz w:val="20"/>
              </w:rPr>
              <w:t>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1.46</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1.46</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r>
      <w:tr>
        <w:tblPrEx>
          <w:tblCellMar>
            <w:top w:w="0" w:type="dxa"/>
            <w:left w:w="108" w:type="dxa"/>
            <w:bottom w:w="0" w:type="dxa"/>
            <w:right w:w="108" w:type="dxa"/>
          </w:tblCellMar>
        </w:tblPrEx>
        <w:trPr>
          <w:trHeight w:val="9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szCs w:val="20"/>
              </w:rPr>
              <w:t>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1.25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1.25</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r>
      <w:tr>
        <w:tblPrEx>
          <w:tblCellMar>
            <w:top w:w="0" w:type="dxa"/>
            <w:left w:w="108" w:type="dxa"/>
            <w:bottom w:w="0" w:type="dxa"/>
            <w:right w:w="108" w:type="dxa"/>
          </w:tblCellMar>
        </w:tblPrEx>
        <w:trPr>
          <w:trHeight w:val="9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szCs w:val="20"/>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0.21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0.21</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r>
      <w:tr>
        <w:tblPrEx>
          <w:tblCellMar>
            <w:top w:w="0" w:type="dxa"/>
            <w:left w:w="108" w:type="dxa"/>
            <w:bottom w:w="0" w:type="dxa"/>
            <w:right w:w="108" w:type="dxa"/>
          </w:tblCellMar>
        </w:tblPrEx>
        <w:trPr>
          <w:trHeight w:val="15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val="en-US" w:eastAsia="zh-CN"/>
              </w:rPr>
              <w:t>四</w:t>
            </w:r>
            <w:r>
              <w:rPr>
                <w:rFonts w:eastAsia="宋体"/>
                <w:color w:val="000000"/>
                <w:sz w:val="20"/>
              </w:rPr>
              <w:t>、</w:t>
            </w:r>
            <w:r>
              <w:rPr>
                <w:rFonts w:hint="eastAsia" w:ascii="宋体" w:hAnsi="宋体" w:eastAsia="宋体" w:cs="宋体"/>
                <w:color w:val="000000"/>
                <w:kern w:val="0"/>
                <w:sz w:val="20"/>
                <w:szCs w:val="20"/>
                <w:lang w:val="en-US" w:eastAsia="zh-CN"/>
              </w:rPr>
              <w:t>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0.60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0.60</w:t>
            </w:r>
          </w:p>
        </w:tc>
      </w:tr>
      <w:tr>
        <w:tblPrEx>
          <w:tblCellMar>
            <w:top w:w="0" w:type="dxa"/>
            <w:left w:w="108" w:type="dxa"/>
            <w:bottom w:w="0" w:type="dxa"/>
            <w:right w:w="108" w:type="dxa"/>
          </w:tblCellMar>
        </w:tblPrEx>
        <w:trPr>
          <w:trHeight w:val="9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szCs w:val="20"/>
              </w:rPr>
              <w:t>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0.60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0.60</w:t>
            </w:r>
          </w:p>
        </w:tc>
      </w:tr>
    </w:tbl>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jc w:val="left"/>
              <w:rPr>
                <w:color w:val="000000"/>
                <w:kern w:val="0"/>
                <w:sz w:val="28"/>
                <w:szCs w:val="28"/>
              </w:rPr>
            </w:pPr>
            <w:r>
              <w:rPr>
                <w:color w:val="000000"/>
                <w:kern w:val="0"/>
                <w:sz w:val="28"/>
                <w:szCs w:val="28"/>
              </w:rPr>
              <w:t>说明：</w:t>
            </w:r>
          </w:p>
          <w:p>
            <w:pPr>
              <w:widowControl/>
              <w:jc w:val="left"/>
              <w:rPr>
                <w:rFonts w:hint="eastAsia" w:eastAsia="仿宋_GB2312"/>
                <w:color w:val="000000"/>
                <w:kern w:val="0"/>
                <w:sz w:val="28"/>
                <w:szCs w:val="28"/>
                <w:lang w:val="en-US" w:eastAsia="zh-CN"/>
              </w:rPr>
            </w:pPr>
            <w:r>
              <w:rPr>
                <w:rFonts w:eastAsia="宋体"/>
                <w:color w:val="000000"/>
                <w:kern w:val="0"/>
                <w:sz w:val="28"/>
                <w:szCs w:val="28"/>
              </w:rPr>
              <w:t xml:space="preserve">  </w:t>
            </w:r>
            <w:r>
              <w:rPr>
                <w:rFonts w:hint="eastAsia" w:eastAsia="宋体"/>
                <w:color w:val="000000"/>
                <w:kern w:val="0"/>
                <w:sz w:val="28"/>
                <w:szCs w:val="28"/>
                <w:lang w:val="en-US" w:eastAsia="zh-CN"/>
              </w:rPr>
              <w:t xml:space="preserve"> 1、</w:t>
            </w:r>
            <w:r>
              <w:rPr>
                <w:rFonts w:eastAsia="宋体"/>
                <w:color w:val="000000"/>
                <w:kern w:val="0"/>
                <w:sz w:val="28"/>
                <w:szCs w:val="28"/>
              </w:rPr>
              <w:t>“20</w:t>
            </w:r>
            <w:r>
              <w:rPr>
                <w:rFonts w:hint="eastAsia" w:eastAsia="宋体"/>
                <w:color w:val="000000"/>
                <w:kern w:val="0"/>
                <w:sz w:val="28"/>
                <w:szCs w:val="28"/>
              </w:rPr>
              <w:t>2</w:t>
            </w:r>
            <w:r>
              <w:rPr>
                <w:rFonts w:hint="eastAsia" w:eastAsia="宋体"/>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的单位范围包括</w:t>
            </w:r>
            <w:r>
              <w:rPr>
                <w:rFonts w:hint="eastAsia"/>
                <w:color w:val="000000"/>
                <w:kern w:val="0"/>
                <w:sz w:val="28"/>
                <w:szCs w:val="28"/>
                <w:lang w:val="en-US" w:eastAsia="zh-CN"/>
              </w:rPr>
              <w:t>1</w:t>
            </w:r>
            <w:r>
              <w:rPr>
                <w:color w:val="000000"/>
                <w:kern w:val="0"/>
                <w:sz w:val="28"/>
                <w:szCs w:val="28"/>
              </w:rPr>
              <w:t>个预算单位。</w:t>
            </w:r>
            <w:r>
              <w:rPr>
                <w:rFonts w:eastAsia="宋体"/>
                <w:color w:val="000000"/>
                <w:kern w:val="0"/>
                <w:sz w:val="28"/>
                <w:szCs w:val="28"/>
              </w:rPr>
              <w:t xml:space="preserve">   </w:t>
            </w:r>
            <w:r>
              <w:rPr>
                <w:rFonts w:eastAsia="宋体"/>
                <w:color w:val="000000"/>
                <w:kern w:val="0"/>
                <w:sz w:val="28"/>
                <w:szCs w:val="28"/>
              </w:rPr>
              <w:br w:type="textWrapping"/>
            </w:r>
            <w:r>
              <w:rPr>
                <w:rFonts w:eastAsia="宋体"/>
                <w:color w:val="000000"/>
                <w:kern w:val="0"/>
                <w:sz w:val="28"/>
                <w:szCs w:val="28"/>
              </w:rPr>
              <w:t xml:space="preserve">  </w:t>
            </w:r>
            <w:r>
              <w:rPr>
                <w:rFonts w:hint="eastAsia" w:eastAsia="宋体"/>
                <w:color w:val="000000"/>
                <w:kern w:val="0"/>
                <w:sz w:val="28"/>
                <w:szCs w:val="28"/>
                <w:lang w:val="en-US" w:eastAsia="zh-CN"/>
              </w:rPr>
              <w:t xml:space="preserve"> </w:t>
            </w:r>
            <w:r>
              <w:rPr>
                <w:rFonts w:eastAsia="宋体"/>
                <w:color w:val="000000"/>
                <w:kern w:val="0"/>
                <w:sz w:val="28"/>
                <w:szCs w:val="28"/>
              </w:rPr>
              <w:t>2</w:t>
            </w:r>
            <w:r>
              <w:rPr>
                <w:color w:val="000000"/>
                <w:kern w:val="0"/>
                <w:sz w:val="28"/>
                <w:szCs w:val="28"/>
              </w:rPr>
              <w:t>、</w:t>
            </w:r>
            <w:r>
              <w:rPr>
                <w:rFonts w:eastAsia="宋体"/>
                <w:color w:val="000000"/>
                <w:kern w:val="0"/>
                <w:sz w:val="28"/>
                <w:szCs w:val="28"/>
              </w:rPr>
              <w:t>“20</w:t>
            </w:r>
            <w:r>
              <w:rPr>
                <w:rFonts w:hint="eastAsia" w:eastAsia="宋体"/>
                <w:color w:val="000000"/>
                <w:kern w:val="0"/>
                <w:sz w:val="28"/>
                <w:szCs w:val="28"/>
              </w:rPr>
              <w:t>2</w:t>
            </w:r>
            <w:r>
              <w:rPr>
                <w:rFonts w:hint="eastAsia" w:eastAsia="宋体"/>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的实有人员</w:t>
            </w:r>
            <w:r>
              <w:rPr>
                <w:rFonts w:hint="eastAsia"/>
                <w:color w:val="000000"/>
                <w:kern w:val="0"/>
                <w:sz w:val="28"/>
                <w:szCs w:val="28"/>
                <w:lang w:val="en-US" w:eastAsia="zh-CN"/>
              </w:rPr>
              <w:t>5</w:t>
            </w:r>
            <w:r>
              <w:rPr>
                <w:color w:val="000000"/>
                <w:kern w:val="0"/>
                <w:sz w:val="28"/>
                <w:szCs w:val="28"/>
              </w:rPr>
              <w:t>人，其中：在职人员</w:t>
            </w:r>
            <w:r>
              <w:rPr>
                <w:rFonts w:hint="eastAsia"/>
                <w:color w:val="000000"/>
                <w:kern w:val="0"/>
                <w:sz w:val="28"/>
                <w:szCs w:val="28"/>
                <w:lang w:val="en-US" w:eastAsia="zh-CN"/>
              </w:rPr>
              <w:t>4</w:t>
            </w:r>
            <w:r>
              <w:rPr>
                <w:color w:val="000000"/>
                <w:kern w:val="0"/>
                <w:sz w:val="28"/>
                <w:szCs w:val="28"/>
              </w:rPr>
              <w:t>人，离退休人员</w:t>
            </w:r>
            <w:r>
              <w:rPr>
                <w:rFonts w:hint="eastAsia"/>
                <w:color w:val="000000"/>
                <w:kern w:val="0"/>
                <w:sz w:val="28"/>
                <w:szCs w:val="28"/>
                <w:lang w:val="en-US" w:eastAsia="zh-CN"/>
              </w:rPr>
              <w:t>1</w:t>
            </w:r>
            <w:bookmarkStart w:id="0" w:name="_GoBack"/>
            <w:bookmarkEnd w:id="0"/>
            <w:r>
              <w:rPr>
                <w:color w:val="000000"/>
                <w:kern w:val="0"/>
                <w:sz w:val="28"/>
                <w:szCs w:val="28"/>
              </w:rPr>
              <w:t>人。</w:t>
            </w:r>
          </w:p>
        </w:tc>
      </w:tr>
    </w:tbl>
    <w:p>
      <w:pPr>
        <w:ind w:firstLine="640" w:firstLineChars="200"/>
        <w:rPr>
          <w:rFonts w:hAnsi="楷体" w:eastAsia="楷体"/>
        </w:rPr>
      </w:pPr>
    </w:p>
    <w:p>
      <w:pPr>
        <w:ind w:firstLine="640" w:firstLineChars="200"/>
        <w:rPr>
          <w:rFonts w:eastAsia="楷体"/>
          <w:kern w:val="0"/>
          <w:szCs w:val="32"/>
        </w:rPr>
      </w:pPr>
    </w:p>
    <w:p>
      <w:pPr>
        <w:rPr>
          <w:rFonts w:eastAsia="楷体"/>
          <w:kern w:val="0"/>
          <w:szCs w:val="32"/>
        </w:rPr>
      </w:pPr>
      <w:r>
        <w:rPr>
          <w:rFonts w:eastAsia="楷体"/>
          <w:kern w:val="0"/>
          <w:szCs w:val="32"/>
        </w:rPr>
        <w:br w:type="page"/>
      </w: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
          <w:kern w:val="0"/>
          <w:szCs w:val="32"/>
        </w:rPr>
      </w:pPr>
    </w:p>
    <w:p>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pPr>
        <w:spacing w:line="700" w:lineRule="exact"/>
        <w:jc w:val="center"/>
        <w:rPr>
          <w:rFonts w:eastAsia="楷体"/>
          <w:kern w:val="0"/>
          <w:szCs w:val="32"/>
        </w:rPr>
      </w:pPr>
    </w:p>
    <w:p>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900"/>
        <w:gridCol w:w="118"/>
        <w:gridCol w:w="917"/>
        <w:gridCol w:w="870"/>
        <w:gridCol w:w="765"/>
        <w:gridCol w:w="720"/>
        <w:gridCol w:w="405"/>
        <w:gridCol w:w="390"/>
        <w:gridCol w:w="375"/>
        <w:gridCol w:w="405"/>
        <w:gridCol w:w="405"/>
        <w:gridCol w:w="420"/>
        <w:gridCol w:w="405"/>
        <w:gridCol w:w="405"/>
        <w:gridCol w:w="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21"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018"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917"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87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765"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295"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990"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21"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1935"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870" w:type="dxa"/>
            <w:vMerge w:val="restart"/>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部门（单位）名称</w:t>
            </w:r>
          </w:p>
        </w:tc>
        <w:tc>
          <w:tcPr>
            <w:tcW w:w="765"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295" w:type="dxa"/>
            <w:gridSpan w:val="5"/>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1990" w:type="dxa"/>
            <w:gridSpan w:val="5"/>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21"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900" w:type="dxa"/>
            <w:vMerge w:val="restart"/>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1035" w:type="dxa"/>
            <w:gridSpan w:val="2"/>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二级项目</w:t>
            </w:r>
          </w:p>
        </w:tc>
        <w:tc>
          <w:tcPr>
            <w:tcW w:w="870"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765"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515" w:type="dxa"/>
            <w:gridSpan w:val="3"/>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375" w:type="dxa"/>
            <w:vMerge w:val="restart"/>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405" w:type="dxa"/>
            <w:vMerge w:val="restart"/>
            <w:noWrap w:val="0"/>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230"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760" w:type="dxa"/>
            <w:gridSpan w:val="2"/>
            <w:noWrap w:val="0"/>
            <w:vAlign w:val="center"/>
          </w:tcPr>
          <w:p>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821" w:type="dxa"/>
            <w:vMerge w:val="continue"/>
            <w:noWrap w:val="0"/>
            <w:vAlign w:val="center"/>
          </w:tcPr>
          <w:p>
            <w:pPr>
              <w:autoSpaceDN w:val="0"/>
              <w:jc w:val="center"/>
              <w:textAlignment w:val="center"/>
              <w:rPr>
                <w:rFonts w:ascii="Calibri" w:hAnsi="Calibri" w:eastAsia="华文细黑"/>
                <w:color w:val="000000"/>
                <w:sz w:val="20"/>
                <w:szCs w:val="22"/>
              </w:rPr>
            </w:pPr>
          </w:p>
        </w:tc>
        <w:tc>
          <w:tcPr>
            <w:tcW w:w="900" w:type="dxa"/>
            <w:vMerge w:val="continue"/>
            <w:noWrap w:val="0"/>
            <w:vAlign w:val="center"/>
          </w:tcPr>
          <w:p>
            <w:pPr>
              <w:autoSpaceDN w:val="0"/>
              <w:jc w:val="center"/>
              <w:textAlignment w:val="center"/>
              <w:rPr>
                <w:rFonts w:ascii="Calibri" w:hAnsi="Calibri" w:eastAsia="华文细黑"/>
                <w:color w:val="000000"/>
                <w:sz w:val="20"/>
                <w:szCs w:val="22"/>
              </w:rPr>
            </w:pPr>
          </w:p>
        </w:tc>
        <w:tc>
          <w:tcPr>
            <w:tcW w:w="1035" w:type="dxa"/>
            <w:gridSpan w:val="2"/>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870" w:type="dxa"/>
            <w:vMerge w:val="continue"/>
            <w:noWrap w:val="0"/>
            <w:vAlign w:val="center"/>
          </w:tcPr>
          <w:p>
            <w:pPr>
              <w:autoSpaceDN w:val="0"/>
              <w:jc w:val="center"/>
              <w:textAlignment w:val="center"/>
              <w:rPr>
                <w:rFonts w:ascii="Calibri" w:hAnsi="Calibri" w:eastAsia="华文细黑"/>
                <w:color w:val="000000"/>
                <w:sz w:val="20"/>
                <w:szCs w:val="22"/>
              </w:rPr>
            </w:pPr>
          </w:p>
        </w:tc>
        <w:tc>
          <w:tcPr>
            <w:tcW w:w="765" w:type="dxa"/>
            <w:vMerge w:val="continue"/>
            <w:noWrap w:val="0"/>
            <w:vAlign w:val="center"/>
          </w:tcPr>
          <w:p>
            <w:pPr>
              <w:autoSpaceDN w:val="0"/>
              <w:jc w:val="center"/>
              <w:textAlignment w:val="center"/>
              <w:rPr>
                <w:rFonts w:ascii="Calibri" w:hAnsi="Calibri" w:eastAsia="华文细黑"/>
                <w:color w:val="000000"/>
                <w:sz w:val="20"/>
                <w:szCs w:val="22"/>
              </w:rPr>
            </w:pPr>
          </w:p>
        </w:tc>
        <w:tc>
          <w:tcPr>
            <w:tcW w:w="720"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405"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390"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375"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405"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rPr>
            </w:pPr>
          </w:p>
        </w:tc>
        <w:tc>
          <w:tcPr>
            <w:tcW w:w="405"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公共</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20"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基金</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05"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05" w:type="dxa"/>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355" w:type="dxa"/>
            <w:noWrap w:val="0"/>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21" w:type="dxa"/>
            <w:noWrap w:val="0"/>
            <w:vAlign w:val="center"/>
          </w:tcPr>
          <w:p>
            <w:pPr>
              <w:spacing w:line="240" w:lineRule="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专项业务支出</w:t>
            </w:r>
          </w:p>
        </w:tc>
        <w:tc>
          <w:tcPr>
            <w:tcW w:w="900" w:type="dxa"/>
            <w:noWrap w:val="0"/>
            <w:vAlign w:val="center"/>
          </w:tcPr>
          <w:p>
            <w:pPr>
              <w:spacing w:line="700" w:lineRule="exact"/>
              <w:jc w:val="center"/>
              <w:rPr>
                <w:rFonts w:hint="eastAsia" w:ascii="宋体" w:hAnsi="宋体" w:eastAsia="宋体" w:cs="宋体"/>
                <w:kern w:val="0"/>
                <w:szCs w:val="32"/>
              </w:rPr>
            </w:pPr>
          </w:p>
        </w:tc>
        <w:tc>
          <w:tcPr>
            <w:tcW w:w="1035" w:type="dxa"/>
            <w:gridSpan w:val="2"/>
            <w:noWrap w:val="0"/>
            <w:vAlign w:val="center"/>
          </w:tcPr>
          <w:p>
            <w:pPr>
              <w:spacing w:line="700" w:lineRule="exact"/>
              <w:jc w:val="center"/>
              <w:rPr>
                <w:rFonts w:hint="eastAsia" w:ascii="宋体" w:hAnsi="宋体" w:eastAsia="宋体" w:cs="宋体"/>
                <w:kern w:val="0"/>
                <w:szCs w:val="32"/>
              </w:rPr>
            </w:pPr>
          </w:p>
        </w:tc>
        <w:tc>
          <w:tcPr>
            <w:tcW w:w="870" w:type="dxa"/>
            <w:noWrap w:val="0"/>
            <w:vAlign w:val="center"/>
          </w:tcPr>
          <w:p>
            <w:pPr>
              <w:spacing w:line="700" w:lineRule="exact"/>
              <w:jc w:val="center"/>
              <w:rPr>
                <w:rFonts w:hint="eastAsia" w:ascii="宋体" w:hAnsi="宋体" w:eastAsia="宋体" w:cs="宋体"/>
                <w:kern w:val="0"/>
                <w:szCs w:val="32"/>
              </w:rPr>
            </w:pPr>
          </w:p>
        </w:tc>
        <w:tc>
          <w:tcPr>
            <w:tcW w:w="765" w:type="dxa"/>
            <w:noWrap w:val="0"/>
            <w:vAlign w:val="center"/>
          </w:tcPr>
          <w:p>
            <w:pPr>
              <w:spacing w:line="24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21.00</w:t>
            </w:r>
          </w:p>
        </w:tc>
        <w:tc>
          <w:tcPr>
            <w:tcW w:w="720" w:type="dxa"/>
            <w:noWrap w:val="0"/>
            <w:vAlign w:val="center"/>
          </w:tcPr>
          <w:p>
            <w:pPr>
              <w:spacing w:line="24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21.00</w:t>
            </w:r>
          </w:p>
        </w:tc>
        <w:tc>
          <w:tcPr>
            <w:tcW w:w="405" w:type="dxa"/>
            <w:noWrap w:val="0"/>
            <w:vAlign w:val="center"/>
          </w:tcPr>
          <w:p>
            <w:pPr>
              <w:spacing w:line="240" w:lineRule="auto"/>
              <w:jc w:val="center"/>
              <w:rPr>
                <w:rFonts w:hint="eastAsia" w:ascii="Calibri" w:hAnsi="Calibri" w:eastAsia="楷体"/>
                <w:kern w:val="0"/>
                <w:sz w:val="20"/>
                <w:szCs w:val="20"/>
                <w:lang w:val="en-US" w:eastAsia="zh-CN"/>
              </w:rPr>
            </w:pPr>
          </w:p>
        </w:tc>
        <w:tc>
          <w:tcPr>
            <w:tcW w:w="390" w:type="dxa"/>
            <w:noWrap w:val="0"/>
            <w:vAlign w:val="center"/>
          </w:tcPr>
          <w:p>
            <w:pPr>
              <w:spacing w:line="240" w:lineRule="auto"/>
              <w:jc w:val="center"/>
              <w:rPr>
                <w:rFonts w:hint="eastAsia" w:ascii="Calibri" w:hAnsi="Calibri" w:eastAsia="楷体"/>
                <w:kern w:val="0"/>
                <w:sz w:val="20"/>
                <w:szCs w:val="20"/>
                <w:lang w:val="en-US" w:eastAsia="zh-CN"/>
              </w:rPr>
            </w:pPr>
          </w:p>
        </w:tc>
        <w:tc>
          <w:tcPr>
            <w:tcW w:w="375" w:type="dxa"/>
            <w:noWrap w:val="0"/>
            <w:vAlign w:val="center"/>
          </w:tcPr>
          <w:p>
            <w:pPr>
              <w:spacing w:line="240" w:lineRule="auto"/>
              <w:jc w:val="center"/>
              <w:rPr>
                <w:rFonts w:hint="eastAsia" w:ascii="Calibri" w:hAnsi="Calibri" w:eastAsia="楷体"/>
                <w:kern w:val="0"/>
                <w:sz w:val="20"/>
                <w:szCs w:val="20"/>
                <w:lang w:val="en-US" w:eastAsia="zh-CN"/>
              </w:rPr>
            </w:pPr>
          </w:p>
        </w:tc>
        <w:tc>
          <w:tcPr>
            <w:tcW w:w="405" w:type="dxa"/>
            <w:noWrap w:val="0"/>
            <w:vAlign w:val="center"/>
          </w:tcPr>
          <w:p>
            <w:pPr>
              <w:spacing w:line="240" w:lineRule="auto"/>
              <w:jc w:val="center"/>
              <w:rPr>
                <w:rFonts w:hint="eastAsia" w:ascii="Calibri" w:hAnsi="Calibri" w:eastAsia="楷体"/>
                <w:kern w:val="0"/>
                <w:sz w:val="20"/>
                <w:szCs w:val="20"/>
                <w:lang w:val="en-US" w:eastAsia="zh-CN"/>
              </w:rPr>
            </w:pPr>
          </w:p>
        </w:tc>
        <w:tc>
          <w:tcPr>
            <w:tcW w:w="405" w:type="dxa"/>
            <w:noWrap w:val="0"/>
            <w:vAlign w:val="center"/>
          </w:tcPr>
          <w:p>
            <w:pPr>
              <w:spacing w:line="240" w:lineRule="auto"/>
              <w:jc w:val="center"/>
              <w:rPr>
                <w:rFonts w:hint="eastAsia" w:ascii="Calibri" w:hAnsi="Calibri" w:eastAsia="楷体"/>
                <w:kern w:val="0"/>
                <w:sz w:val="20"/>
                <w:szCs w:val="20"/>
                <w:lang w:val="en-US" w:eastAsia="zh-CN"/>
              </w:rPr>
            </w:pPr>
          </w:p>
        </w:tc>
        <w:tc>
          <w:tcPr>
            <w:tcW w:w="420" w:type="dxa"/>
            <w:noWrap w:val="0"/>
            <w:vAlign w:val="center"/>
          </w:tcPr>
          <w:p>
            <w:pPr>
              <w:spacing w:line="240" w:lineRule="auto"/>
              <w:jc w:val="center"/>
              <w:rPr>
                <w:rFonts w:hint="eastAsia" w:ascii="Calibri" w:hAnsi="Calibri" w:eastAsia="楷体"/>
                <w:kern w:val="0"/>
                <w:sz w:val="20"/>
                <w:szCs w:val="20"/>
                <w:lang w:val="en-US" w:eastAsia="zh-CN"/>
              </w:rPr>
            </w:pPr>
          </w:p>
        </w:tc>
        <w:tc>
          <w:tcPr>
            <w:tcW w:w="405" w:type="dxa"/>
            <w:noWrap w:val="0"/>
            <w:vAlign w:val="center"/>
          </w:tcPr>
          <w:p>
            <w:pPr>
              <w:spacing w:line="240" w:lineRule="auto"/>
              <w:jc w:val="center"/>
              <w:rPr>
                <w:rFonts w:hint="eastAsia" w:ascii="Calibri" w:hAnsi="Calibri" w:eastAsia="楷体"/>
                <w:kern w:val="0"/>
                <w:sz w:val="20"/>
                <w:szCs w:val="20"/>
                <w:lang w:val="en-US" w:eastAsia="zh-CN"/>
              </w:rPr>
            </w:pPr>
          </w:p>
        </w:tc>
        <w:tc>
          <w:tcPr>
            <w:tcW w:w="405" w:type="dxa"/>
            <w:noWrap w:val="0"/>
            <w:vAlign w:val="center"/>
          </w:tcPr>
          <w:p>
            <w:pPr>
              <w:spacing w:line="240" w:lineRule="auto"/>
              <w:jc w:val="center"/>
              <w:rPr>
                <w:rFonts w:hint="eastAsia" w:ascii="Calibri" w:hAnsi="Calibri" w:eastAsia="楷体"/>
                <w:kern w:val="0"/>
                <w:sz w:val="20"/>
                <w:szCs w:val="20"/>
                <w:lang w:val="en-US" w:eastAsia="zh-CN"/>
              </w:rPr>
            </w:pPr>
          </w:p>
        </w:tc>
        <w:tc>
          <w:tcPr>
            <w:tcW w:w="355" w:type="dxa"/>
            <w:noWrap w:val="0"/>
            <w:vAlign w:val="center"/>
          </w:tcPr>
          <w:p>
            <w:pPr>
              <w:spacing w:line="240" w:lineRule="auto"/>
              <w:jc w:val="center"/>
              <w:rPr>
                <w:rFonts w:hint="eastAsia" w:ascii="Calibri" w:hAnsi="Calibri" w:eastAsia="楷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1" w:type="dxa"/>
            <w:noWrap w:val="0"/>
            <w:vAlign w:val="center"/>
          </w:tcPr>
          <w:p>
            <w:pPr>
              <w:spacing w:line="700" w:lineRule="exact"/>
              <w:jc w:val="center"/>
              <w:rPr>
                <w:rFonts w:hint="eastAsia" w:ascii="宋体" w:hAnsi="宋体" w:eastAsia="宋体" w:cs="宋体"/>
                <w:kern w:val="0"/>
                <w:szCs w:val="32"/>
              </w:rPr>
            </w:pPr>
          </w:p>
        </w:tc>
        <w:tc>
          <w:tcPr>
            <w:tcW w:w="900" w:type="dxa"/>
            <w:noWrap w:val="0"/>
            <w:vAlign w:val="center"/>
          </w:tcPr>
          <w:p>
            <w:pPr>
              <w:spacing w:line="240" w:lineRule="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统计抽样调查</w:t>
            </w:r>
          </w:p>
        </w:tc>
        <w:tc>
          <w:tcPr>
            <w:tcW w:w="1035" w:type="dxa"/>
            <w:gridSpan w:val="2"/>
            <w:noWrap w:val="0"/>
            <w:vAlign w:val="center"/>
          </w:tcPr>
          <w:p>
            <w:pPr>
              <w:spacing w:line="240" w:lineRule="auto"/>
              <w:jc w:val="center"/>
              <w:rPr>
                <w:rFonts w:hint="eastAsia" w:ascii="宋体" w:hAnsi="宋体" w:eastAsia="宋体" w:cs="宋体"/>
                <w:kern w:val="0"/>
                <w:sz w:val="20"/>
                <w:szCs w:val="20"/>
                <w:lang w:val="en-US" w:eastAsia="zh-CN"/>
              </w:rPr>
            </w:pPr>
          </w:p>
        </w:tc>
        <w:tc>
          <w:tcPr>
            <w:tcW w:w="870"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765" w:type="dxa"/>
            <w:noWrap w:val="0"/>
            <w:vAlign w:val="center"/>
          </w:tcPr>
          <w:p>
            <w:pPr>
              <w:spacing w:line="24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21.00</w:t>
            </w:r>
          </w:p>
        </w:tc>
        <w:tc>
          <w:tcPr>
            <w:tcW w:w="720" w:type="dxa"/>
            <w:noWrap w:val="0"/>
            <w:vAlign w:val="center"/>
          </w:tcPr>
          <w:p>
            <w:pPr>
              <w:spacing w:line="24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21.00</w:t>
            </w:r>
          </w:p>
        </w:tc>
        <w:tc>
          <w:tcPr>
            <w:tcW w:w="405" w:type="dxa"/>
            <w:noWrap w:val="0"/>
            <w:vAlign w:val="center"/>
          </w:tcPr>
          <w:p>
            <w:pPr>
              <w:spacing w:line="700" w:lineRule="exact"/>
              <w:jc w:val="center"/>
              <w:rPr>
                <w:rFonts w:ascii="Calibri" w:hAnsi="Calibri" w:eastAsia="楷体"/>
                <w:kern w:val="0"/>
                <w:szCs w:val="32"/>
              </w:rPr>
            </w:pPr>
          </w:p>
        </w:tc>
        <w:tc>
          <w:tcPr>
            <w:tcW w:w="390" w:type="dxa"/>
            <w:noWrap w:val="0"/>
            <w:vAlign w:val="center"/>
          </w:tcPr>
          <w:p>
            <w:pPr>
              <w:spacing w:line="700" w:lineRule="exact"/>
              <w:jc w:val="center"/>
              <w:rPr>
                <w:rFonts w:ascii="Calibri" w:hAnsi="Calibri" w:eastAsia="楷体"/>
                <w:kern w:val="0"/>
                <w:szCs w:val="32"/>
              </w:rPr>
            </w:pPr>
          </w:p>
        </w:tc>
        <w:tc>
          <w:tcPr>
            <w:tcW w:w="375" w:type="dxa"/>
            <w:noWrap w:val="0"/>
            <w:vAlign w:val="center"/>
          </w:tcPr>
          <w:p>
            <w:pPr>
              <w:spacing w:line="700" w:lineRule="exact"/>
              <w:jc w:val="center"/>
              <w:rPr>
                <w:rFonts w:ascii="Calibri" w:hAnsi="Calibri" w:eastAsia="楷体"/>
                <w:kern w:val="0"/>
                <w:szCs w:val="32"/>
              </w:rPr>
            </w:pPr>
          </w:p>
        </w:tc>
        <w:tc>
          <w:tcPr>
            <w:tcW w:w="405" w:type="dxa"/>
            <w:noWrap w:val="0"/>
            <w:vAlign w:val="center"/>
          </w:tcPr>
          <w:p>
            <w:pPr>
              <w:spacing w:line="700" w:lineRule="exact"/>
              <w:jc w:val="center"/>
              <w:rPr>
                <w:rFonts w:ascii="Calibri" w:hAnsi="Calibri" w:eastAsia="楷体"/>
                <w:kern w:val="0"/>
                <w:szCs w:val="32"/>
              </w:rPr>
            </w:pPr>
          </w:p>
        </w:tc>
        <w:tc>
          <w:tcPr>
            <w:tcW w:w="405" w:type="dxa"/>
            <w:noWrap w:val="0"/>
            <w:vAlign w:val="center"/>
          </w:tcPr>
          <w:p>
            <w:pPr>
              <w:spacing w:line="700" w:lineRule="exact"/>
              <w:jc w:val="center"/>
              <w:rPr>
                <w:rFonts w:ascii="Calibri" w:hAnsi="Calibri" w:eastAsia="楷体"/>
                <w:kern w:val="0"/>
                <w:szCs w:val="32"/>
              </w:rPr>
            </w:pPr>
          </w:p>
        </w:tc>
        <w:tc>
          <w:tcPr>
            <w:tcW w:w="420" w:type="dxa"/>
            <w:noWrap w:val="0"/>
            <w:vAlign w:val="center"/>
          </w:tcPr>
          <w:p>
            <w:pPr>
              <w:spacing w:line="700" w:lineRule="exact"/>
              <w:jc w:val="center"/>
              <w:rPr>
                <w:rFonts w:ascii="Calibri" w:hAnsi="Calibri" w:eastAsia="楷体"/>
                <w:kern w:val="0"/>
                <w:szCs w:val="32"/>
              </w:rPr>
            </w:pPr>
          </w:p>
        </w:tc>
        <w:tc>
          <w:tcPr>
            <w:tcW w:w="405" w:type="dxa"/>
            <w:noWrap w:val="0"/>
            <w:vAlign w:val="center"/>
          </w:tcPr>
          <w:p>
            <w:pPr>
              <w:spacing w:line="700" w:lineRule="exact"/>
              <w:jc w:val="center"/>
              <w:rPr>
                <w:rFonts w:ascii="Calibri" w:hAnsi="Calibri" w:eastAsia="楷体"/>
                <w:kern w:val="0"/>
                <w:szCs w:val="32"/>
              </w:rPr>
            </w:pPr>
          </w:p>
        </w:tc>
        <w:tc>
          <w:tcPr>
            <w:tcW w:w="405" w:type="dxa"/>
            <w:noWrap w:val="0"/>
            <w:vAlign w:val="center"/>
          </w:tcPr>
          <w:p>
            <w:pPr>
              <w:spacing w:line="700" w:lineRule="exact"/>
              <w:jc w:val="center"/>
              <w:rPr>
                <w:rFonts w:ascii="Calibri" w:hAnsi="Calibri" w:eastAsia="楷体"/>
                <w:kern w:val="0"/>
                <w:szCs w:val="32"/>
              </w:rPr>
            </w:pPr>
          </w:p>
        </w:tc>
        <w:tc>
          <w:tcPr>
            <w:tcW w:w="355"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21" w:type="dxa"/>
            <w:noWrap w:val="0"/>
            <w:vAlign w:val="center"/>
          </w:tcPr>
          <w:p>
            <w:pPr>
              <w:spacing w:line="700" w:lineRule="exact"/>
              <w:jc w:val="center"/>
              <w:rPr>
                <w:rFonts w:hint="eastAsia" w:ascii="宋体" w:hAnsi="宋体" w:eastAsia="宋体" w:cs="宋体"/>
                <w:kern w:val="0"/>
                <w:szCs w:val="32"/>
              </w:rPr>
            </w:pPr>
          </w:p>
        </w:tc>
        <w:tc>
          <w:tcPr>
            <w:tcW w:w="900"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1035" w:type="dxa"/>
            <w:gridSpan w:val="2"/>
            <w:noWrap w:val="0"/>
            <w:vAlign w:val="center"/>
          </w:tcPr>
          <w:p>
            <w:pPr>
              <w:spacing w:line="240" w:lineRule="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全省地方点城乡居民住户调查及专项调查工作经费</w:t>
            </w:r>
          </w:p>
        </w:tc>
        <w:tc>
          <w:tcPr>
            <w:tcW w:w="870" w:type="dxa"/>
            <w:noWrap w:val="0"/>
            <w:vAlign w:val="center"/>
          </w:tcPr>
          <w:p>
            <w:pPr>
              <w:spacing w:line="240" w:lineRule="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吉林省统计局舒兰市农村社会经济调查队</w:t>
            </w:r>
          </w:p>
        </w:tc>
        <w:tc>
          <w:tcPr>
            <w:tcW w:w="765" w:type="dxa"/>
            <w:noWrap w:val="0"/>
            <w:vAlign w:val="center"/>
          </w:tcPr>
          <w:p>
            <w:pPr>
              <w:spacing w:line="24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21.00</w:t>
            </w:r>
          </w:p>
        </w:tc>
        <w:tc>
          <w:tcPr>
            <w:tcW w:w="720" w:type="dxa"/>
            <w:noWrap w:val="0"/>
            <w:vAlign w:val="center"/>
          </w:tcPr>
          <w:p>
            <w:pPr>
              <w:spacing w:line="24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21.00</w:t>
            </w:r>
          </w:p>
        </w:tc>
        <w:tc>
          <w:tcPr>
            <w:tcW w:w="405" w:type="dxa"/>
            <w:noWrap w:val="0"/>
            <w:vAlign w:val="center"/>
          </w:tcPr>
          <w:p>
            <w:pPr>
              <w:spacing w:line="700" w:lineRule="exact"/>
              <w:jc w:val="center"/>
              <w:rPr>
                <w:rFonts w:ascii="Calibri" w:hAnsi="Calibri" w:eastAsia="楷体"/>
                <w:kern w:val="0"/>
                <w:szCs w:val="32"/>
              </w:rPr>
            </w:pPr>
          </w:p>
        </w:tc>
        <w:tc>
          <w:tcPr>
            <w:tcW w:w="390" w:type="dxa"/>
            <w:noWrap w:val="0"/>
            <w:vAlign w:val="center"/>
          </w:tcPr>
          <w:p>
            <w:pPr>
              <w:spacing w:line="700" w:lineRule="exact"/>
              <w:jc w:val="center"/>
              <w:rPr>
                <w:rFonts w:ascii="Calibri" w:hAnsi="Calibri" w:eastAsia="楷体"/>
                <w:kern w:val="0"/>
                <w:szCs w:val="32"/>
              </w:rPr>
            </w:pPr>
          </w:p>
        </w:tc>
        <w:tc>
          <w:tcPr>
            <w:tcW w:w="375" w:type="dxa"/>
            <w:noWrap w:val="0"/>
            <w:vAlign w:val="center"/>
          </w:tcPr>
          <w:p>
            <w:pPr>
              <w:spacing w:line="700" w:lineRule="exact"/>
              <w:jc w:val="center"/>
              <w:rPr>
                <w:rFonts w:ascii="Calibri" w:hAnsi="Calibri" w:eastAsia="楷体"/>
                <w:kern w:val="0"/>
                <w:szCs w:val="32"/>
              </w:rPr>
            </w:pPr>
          </w:p>
        </w:tc>
        <w:tc>
          <w:tcPr>
            <w:tcW w:w="405" w:type="dxa"/>
            <w:noWrap w:val="0"/>
            <w:vAlign w:val="center"/>
          </w:tcPr>
          <w:p>
            <w:pPr>
              <w:spacing w:line="700" w:lineRule="exact"/>
              <w:jc w:val="center"/>
              <w:rPr>
                <w:rFonts w:ascii="Calibri" w:hAnsi="Calibri" w:eastAsia="楷体"/>
                <w:kern w:val="0"/>
                <w:szCs w:val="32"/>
              </w:rPr>
            </w:pPr>
          </w:p>
        </w:tc>
        <w:tc>
          <w:tcPr>
            <w:tcW w:w="405" w:type="dxa"/>
            <w:noWrap w:val="0"/>
            <w:vAlign w:val="center"/>
          </w:tcPr>
          <w:p>
            <w:pPr>
              <w:spacing w:line="700" w:lineRule="exact"/>
              <w:jc w:val="center"/>
              <w:rPr>
                <w:rFonts w:ascii="Calibri" w:hAnsi="Calibri" w:eastAsia="楷体"/>
                <w:kern w:val="0"/>
                <w:szCs w:val="32"/>
              </w:rPr>
            </w:pPr>
          </w:p>
        </w:tc>
        <w:tc>
          <w:tcPr>
            <w:tcW w:w="420" w:type="dxa"/>
            <w:noWrap w:val="0"/>
            <w:vAlign w:val="center"/>
          </w:tcPr>
          <w:p>
            <w:pPr>
              <w:spacing w:line="700" w:lineRule="exact"/>
              <w:jc w:val="center"/>
              <w:rPr>
                <w:rFonts w:ascii="Calibri" w:hAnsi="Calibri" w:eastAsia="楷体"/>
                <w:kern w:val="0"/>
                <w:szCs w:val="32"/>
              </w:rPr>
            </w:pPr>
          </w:p>
        </w:tc>
        <w:tc>
          <w:tcPr>
            <w:tcW w:w="405" w:type="dxa"/>
            <w:noWrap w:val="0"/>
            <w:vAlign w:val="center"/>
          </w:tcPr>
          <w:p>
            <w:pPr>
              <w:spacing w:line="700" w:lineRule="exact"/>
              <w:jc w:val="center"/>
              <w:rPr>
                <w:rFonts w:ascii="Calibri" w:hAnsi="Calibri" w:eastAsia="楷体"/>
                <w:kern w:val="0"/>
                <w:szCs w:val="32"/>
              </w:rPr>
            </w:pPr>
          </w:p>
        </w:tc>
        <w:tc>
          <w:tcPr>
            <w:tcW w:w="405" w:type="dxa"/>
            <w:noWrap w:val="0"/>
            <w:vAlign w:val="center"/>
          </w:tcPr>
          <w:p>
            <w:pPr>
              <w:spacing w:line="700" w:lineRule="exact"/>
              <w:jc w:val="center"/>
              <w:rPr>
                <w:rFonts w:ascii="Calibri" w:hAnsi="Calibri" w:eastAsia="楷体"/>
                <w:kern w:val="0"/>
                <w:szCs w:val="32"/>
              </w:rPr>
            </w:pPr>
          </w:p>
        </w:tc>
        <w:tc>
          <w:tcPr>
            <w:tcW w:w="355"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21"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900" w:type="dxa"/>
            <w:noWrap w:val="0"/>
            <w:vAlign w:val="center"/>
          </w:tcPr>
          <w:p>
            <w:pPr>
              <w:autoSpaceDN w:val="0"/>
              <w:jc w:val="center"/>
              <w:textAlignment w:val="center"/>
              <w:rPr>
                <w:rFonts w:ascii="Calibri" w:hAnsi="Calibri" w:eastAsia="华文细黑"/>
                <w:color w:val="000000"/>
                <w:sz w:val="20"/>
                <w:szCs w:val="22"/>
              </w:rPr>
            </w:pPr>
          </w:p>
        </w:tc>
        <w:tc>
          <w:tcPr>
            <w:tcW w:w="1035" w:type="dxa"/>
            <w:gridSpan w:val="2"/>
            <w:noWrap w:val="0"/>
            <w:vAlign w:val="center"/>
          </w:tcPr>
          <w:p>
            <w:pPr>
              <w:spacing w:line="700" w:lineRule="exact"/>
              <w:jc w:val="center"/>
              <w:rPr>
                <w:rFonts w:ascii="Calibri" w:hAnsi="Calibri" w:eastAsia="楷体"/>
                <w:kern w:val="0"/>
                <w:szCs w:val="32"/>
              </w:rPr>
            </w:pPr>
          </w:p>
        </w:tc>
        <w:tc>
          <w:tcPr>
            <w:tcW w:w="870" w:type="dxa"/>
            <w:noWrap w:val="0"/>
            <w:vAlign w:val="center"/>
          </w:tcPr>
          <w:p>
            <w:pPr>
              <w:spacing w:line="700" w:lineRule="exact"/>
              <w:jc w:val="center"/>
              <w:rPr>
                <w:rFonts w:ascii="Calibri" w:hAnsi="Calibri" w:eastAsia="楷体"/>
                <w:kern w:val="0"/>
                <w:szCs w:val="32"/>
              </w:rPr>
            </w:pPr>
          </w:p>
        </w:tc>
        <w:tc>
          <w:tcPr>
            <w:tcW w:w="765" w:type="dxa"/>
            <w:noWrap w:val="0"/>
            <w:vAlign w:val="center"/>
          </w:tcPr>
          <w:p>
            <w:pPr>
              <w:spacing w:line="24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21.00</w:t>
            </w:r>
          </w:p>
        </w:tc>
        <w:tc>
          <w:tcPr>
            <w:tcW w:w="720" w:type="dxa"/>
            <w:noWrap w:val="0"/>
            <w:vAlign w:val="center"/>
          </w:tcPr>
          <w:p>
            <w:pPr>
              <w:spacing w:line="24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21.00</w:t>
            </w:r>
          </w:p>
        </w:tc>
        <w:tc>
          <w:tcPr>
            <w:tcW w:w="405" w:type="dxa"/>
            <w:noWrap w:val="0"/>
            <w:vAlign w:val="center"/>
          </w:tcPr>
          <w:p>
            <w:pPr>
              <w:spacing w:line="700" w:lineRule="exact"/>
              <w:jc w:val="center"/>
              <w:rPr>
                <w:rFonts w:ascii="Calibri" w:hAnsi="Calibri" w:eastAsia="楷体"/>
                <w:kern w:val="0"/>
                <w:szCs w:val="32"/>
              </w:rPr>
            </w:pPr>
          </w:p>
        </w:tc>
        <w:tc>
          <w:tcPr>
            <w:tcW w:w="390" w:type="dxa"/>
            <w:noWrap w:val="0"/>
            <w:vAlign w:val="center"/>
          </w:tcPr>
          <w:p>
            <w:pPr>
              <w:spacing w:line="700" w:lineRule="exact"/>
              <w:jc w:val="center"/>
              <w:rPr>
                <w:rFonts w:ascii="Calibri" w:hAnsi="Calibri" w:eastAsia="楷体"/>
                <w:kern w:val="0"/>
                <w:szCs w:val="32"/>
              </w:rPr>
            </w:pPr>
          </w:p>
        </w:tc>
        <w:tc>
          <w:tcPr>
            <w:tcW w:w="375" w:type="dxa"/>
            <w:noWrap w:val="0"/>
            <w:vAlign w:val="center"/>
          </w:tcPr>
          <w:p>
            <w:pPr>
              <w:spacing w:line="700" w:lineRule="exact"/>
              <w:jc w:val="center"/>
              <w:rPr>
                <w:rFonts w:ascii="Calibri" w:hAnsi="Calibri" w:eastAsia="楷体"/>
                <w:kern w:val="0"/>
                <w:szCs w:val="32"/>
              </w:rPr>
            </w:pPr>
          </w:p>
        </w:tc>
        <w:tc>
          <w:tcPr>
            <w:tcW w:w="405" w:type="dxa"/>
            <w:noWrap w:val="0"/>
            <w:vAlign w:val="center"/>
          </w:tcPr>
          <w:p>
            <w:pPr>
              <w:spacing w:line="700" w:lineRule="exact"/>
              <w:jc w:val="center"/>
              <w:rPr>
                <w:rFonts w:ascii="Calibri" w:hAnsi="Calibri" w:eastAsia="楷体"/>
                <w:kern w:val="0"/>
                <w:szCs w:val="32"/>
              </w:rPr>
            </w:pPr>
          </w:p>
        </w:tc>
        <w:tc>
          <w:tcPr>
            <w:tcW w:w="405" w:type="dxa"/>
            <w:noWrap w:val="0"/>
            <w:vAlign w:val="center"/>
          </w:tcPr>
          <w:p>
            <w:pPr>
              <w:spacing w:line="700" w:lineRule="exact"/>
              <w:jc w:val="center"/>
              <w:rPr>
                <w:rFonts w:ascii="Calibri" w:hAnsi="Calibri" w:eastAsia="楷体"/>
                <w:kern w:val="0"/>
                <w:szCs w:val="32"/>
              </w:rPr>
            </w:pPr>
          </w:p>
        </w:tc>
        <w:tc>
          <w:tcPr>
            <w:tcW w:w="420" w:type="dxa"/>
            <w:noWrap w:val="0"/>
            <w:vAlign w:val="center"/>
          </w:tcPr>
          <w:p>
            <w:pPr>
              <w:spacing w:line="700" w:lineRule="exact"/>
              <w:jc w:val="center"/>
              <w:rPr>
                <w:rFonts w:ascii="Calibri" w:hAnsi="Calibri" w:eastAsia="楷体"/>
                <w:kern w:val="0"/>
                <w:szCs w:val="32"/>
              </w:rPr>
            </w:pPr>
          </w:p>
        </w:tc>
        <w:tc>
          <w:tcPr>
            <w:tcW w:w="405" w:type="dxa"/>
            <w:noWrap w:val="0"/>
            <w:vAlign w:val="center"/>
          </w:tcPr>
          <w:p>
            <w:pPr>
              <w:spacing w:line="700" w:lineRule="exact"/>
              <w:jc w:val="center"/>
              <w:rPr>
                <w:rFonts w:ascii="Calibri" w:hAnsi="Calibri" w:eastAsia="楷体"/>
                <w:kern w:val="0"/>
                <w:szCs w:val="32"/>
              </w:rPr>
            </w:pPr>
          </w:p>
        </w:tc>
        <w:tc>
          <w:tcPr>
            <w:tcW w:w="405" w:type="dxa"/>
            <w:noWrap w:val="0"/>
            <w:vAlign w:val="center"/>
          </w:tcPr>
          <w:p>
            <w:pPr>
              <w:spacing w:line="700" w:lineRule="exact"/>
              <w:jc w:val="center"/>
              <w:rPr>
                <w:rFonts w:ascii="Calibri" w:hAnsi="Calibri" w:eastAsia="楷体"/>
                <w:kern w:val="0"/>
                <w:szCs w:val="32"/>
              </w:rPr>
            </w:pPr>
          </w:p>
        </w:tc>
        <w:tc>
          <w:tcPr>
            <w:tcW w:w="355" w:type="dxa"/>
            <w:noWrap w:val="0"/>
            <w:vAlign w:val="center"/>
          </w:tcPr>
          <w:p>
            <w:pPr>
              <w:spacing w:line="700" w:lineRule="exact"/>
              <w:jc w:val="center"/>
              <w:rPr>
                <w:rFonts w:ascii="Calibri" w:hAnsi="Calibri" w:eastAsia="楷体"/>
                <w:kern w:val="0"/>
                <w:szCs w:val="32"/>
              </w:rPr>
            </w:pPr>
          </w:p>
        </w:tc>
      </w:tr>
    </w:tbl>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ind w:firstLine="640" w:firstLineChars="200"/>
        <w:rPr>
          <w:rFonts w:eastAsia="楷体"/>
          <w:kern w:val="0"/>
          <w:szCs w:val="32"/>
        </w:rPr>
      </w:pPr>
    </w:p>
    <w:p>
      <w:pPr>
        <w:ind w:firstLine="640" w:firstLineChars="200"/>
        <w:rPr>
          <w:rFonts w:eastAsia="楷体"/>
          <w:kern w:val="0"/>
          <w:szCs w:val="32"/>
        </w:rPr>
      </w:pPr>
    </w:p>
    <w:p>
      <w:pPr>
        <w:rPr>
          <w:rFonts w:hint="eastAsia" w:eastAsia="楷体"/>
          <w:kern w:val="0"/>
          <w:szCs w:val="32"/>
          <w:lang w:eastAsia="zh-CN"/>
        </w:rPr>
      </w:pPr>
    </w:p>
    <w:p>
      <w:pPr>
        <w:ind w:firstLine="640" w:firstLineChars="200"/>
        <w:rPr>
          <w:rFonts w:hint="eastAsia" w:eastAsia="楷体"/>
          <w:kern w:val="0"/>
          <w:szCs w:val="32"/>
          <w:lang w:val="en-US" w:eastAsia="zh-CN"/>
        </w:rPr>
      </w:pPr>
    </w:p>
    <w:p>
      <w:pPr>
        <w:ind w:firstLine="640" w:firstLineChars="200"/>
        <w:rPr>
          <w:rFonts w:hint="eastAsia" w:eastAsia="楷体"/>
          <w:kern w:val="0"/>
          <w:szCs w:val="32"/>
          <w:lang w:val="en-US" w:eastAsia="zh-CN"/>
        </w:rPr>
      </w:pPr>
    </w:p>
    <w:p>
      <w:pPr>
        <w:ind w:firstLine="640" w:firstLineChars="200"/>
        <w:rPr>
          <w:rFonts w:hint="eastAsia" w:eastAsia="楷体"/>
          <w:kern w:val="0"/>
          <w:szCs w:val="32"/>
          <w:lang w:val="en-US" w:eastAsia="zh-CN"/>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810"/>
        <w:gridCol w:w="920"/>
        <w:gridCol w:w="1723"/>
        <w:gridCol w:w="667"/>
        <w:gridCol w:w="770"/>
        <w:gridCol w:w="820"/>
        <w:gridCol w:w="1160"/>
        <w:gridCol w:w="820"/>
        <w:gridCol w:w="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w:t>
            </w:r>
          </w:p>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名称</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99"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吉林省统计局舒兰市农村社会经济调查队</w:t>
            </w:r>
          </w:p>
        </w:tc>
        <w:tc>
          <w:tcPr>
            <w:tcW w:w="810"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全省地方点城乡居民住户调查及专项调查工作经费</w:t>
            </w:r>
          </w:p>
        </w:tc>
        <w:tc>
          <w:tcPr>
            <w:tcW w:w="920"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21.00</w:t>
            </w:r>
          </w:p>
        </w:tc>
        <w:tc>
          <w:tcPr>
            <w:tcW w:w="1723"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严格按照国家和本省有关规定制定城乡一体化抽样调查实施方案，扎实开展全市城乡居民收支调查工作。按照国家统计局住户统计调查制度，通过业务培训会议实现辅助调查员及全体记账户参与完成电子记账、纸质记账有关工作，顺利完成数据审核、汇总等工作，完成一次性调查相关统计表，对所获得的的数据进行统计分析，科学评估全市城镇人均可支配收入、农村人均可支配收入，为全市经济决策提供可靠的数据支撑，为经济运行预测提供有力的数据参考。</w:t>
            </w:r>
          </w:p>
        </w:tc>
        <w:tc>
          <w:tcPr>
            <w:tcW w:w="667"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发放劳务费</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向辅助调查员及全体电子、纸质记账户发放全省地方点城乡居民住户调查及专项调查工作劳务费</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default" w:ascii="Arial" w:hAnsi="Arial" w:eastAsia="宋体" w:cs="Arial"/>
                <w:kern w:val="0"/>
                <w:sz w:val="20"/>
                <w:szCs w:val="20"/>
                <w:vertAlign w:val="baseline"/>
              </w:rPr>
              <w:t>≤</w:t>
            </w:r>
            <w:r>
              <w:rPr>
                <w:rFonts w:hint="eastAsia" w:ascii="华文细黑" w:hAnsi="华文细黑" w:eastAsia="华文细黑" w:cs="华文细黑"/>
                <w:kern w:val="0"/>
                <w:sz w:val="20"/>
                <w:szCs w:val="20"/>
                <w:vertAlign w:val="baseline"/>
              </w:rPr>
              <w:t>18.03万元</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9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1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72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770"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82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抽样调查户补助发放人数</w:t>
            </w:r>
          </w:p>
        </w:tc>
        <w:tc>
          <w:tcPr>
            <w:tcW w:w="116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反映发放抽样调查户补助的人数情况</w:t>
            </w:r>
          </w:p>
        </w:tc>
        <w:tc>
          <w:tcPr>
            <w:tcW w:w="82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default" w:ascii="Arial" w:hAnsi="Arial" w:eastAsia="宋体" w:cs="Arial"/>
                <w:kern w:val="0"/>
                <w:sz w:val="20"/>
                <w:szCs w:val="20"/>
                <w:vertAlign w:val="baseline"/>
              </w:rPr>
              <w:t>≥</w:t>
            </w:r>
            <w:r>
              <w:rPr>
                <w:rFonts w:hint="eastAsia" w:ascii="华文细黑" w:hAnsi="华文细黑" w:eastAsia="华文细黑" w:cs="华文细黑"/>
                <w:kern w:val="0"/>
                <w:sz w:val="20"/>
                <w:szCs w:val="20"/>
                <w:vertAlign w:val="baseline"/>
              </w:rPr>
              <w:t>185人</w:t>
            </w:r>
          </w:p>
        </w:tc>
        <w:tc>
          <w:tcPr>
            <w:tcW w:w="552"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9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1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72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0"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2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统计培训人次</w:t>
            </w:r>
          </w:p>
        </w:tc>
        <w:tc>
          <w:tcPr>
            <w:tcW w:w="116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反映统计培训人次情况</w:t>
            </w:r>
          </w:p>
        </w:tc>
        <w:tc>
          <w:tcPr>
            <w:tcW w:w="82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default" w:ascii="Arial" w:hAnsi="Arial" w:eastAsia="宋体" w:cs="Arial"/>
                <w:kern w:val="0"/>
                <w:sz w:val="20"/>
                <w:szCs w:val="20"/>
                <w:vertAlign w:val="baseline"/>
              </w:rPr>
              <w:t>≥</w:t>
            </w:r>
            <w:r>
              <w:rPr>
                <w:rFonts w:hint="eastAsia" w:ascii="华文细黑" w:hAnsi="华文细黑" w:eastAsia="华文细黑" w:cs="华文细黑"/>
                <w:kern w:val="0"/>
                <w:sz w:val="20"/>
                <w:szCs w:val="20"/>
                <w:vertAlign w:val="baseline"/>
              </w:rPr>
              <w:t>80人（次）</w:t>
            </w:r>
          </w:p>
        </w:tc>
        <w:tc>
          <w:tcPr>
            <w:tcW w:w="552"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9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1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72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0"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2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培训次数</w:t>
            </w:r>
          </w:p>
        </w:tc>
        <w:tc>
          <w:tcPr>
            <w:tcW w:w="116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反映住户调查员业务培训情况</w:t>
            </w:r>
          </w:p>
        </w:tc>
        <w:tc>
          <w:tcPr>
            <w:tcW w:w="82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default" w:ascii="Arial" w:hAnsi="Arial" w:eastAsia="宋体" w:cs="Arial"/>
                <w:kern w:val="0"/>
                <w:sz w:val="20"/>
                <w:szCs w:val="20"/>
                <w:vertAlign w:val="baseline"/>
              </w:rPr>
              <w:t>≥</w:t>
            </w:r>
            <w:r>
              <w:rPr>
                <w:rFonts w:hint="eastAsia" w:ascii="华文细黑" w:hAnsi="华文细黑" w:eastAsia="华文细黑" w:cs="华文细黑"/>
                <w:kern w:val="0"/>
                <w:sz w:val="20"/>
                <w:szCs w:val="20"/>
                <w:vertAlign w:val="baseline"/>
              </w:rPr>
              <w:t>2次</w:t>
            </w:r>
          </w:p>
        </w:tc>
        <w:tc>
          <w:tcPr>
            <w:tcW w:w="552"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9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1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72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0"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82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电子记账劳务费用发放准确率</w:t>
            </w:r>
          </w:p>
        </w:tc>
        <w:tc>
          <w:tcPr>
            <w:tcW w:w="116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反映电子记账劳务费用发放对象和数额准确的情况</w:t>
            </w:r>
          </w:p>
        </w:tc>
        <w:tc>
          <w:tcPr>
            <w:tcW w:w="820" w:type="dxa"/>
            <w:noWrap w:val="0"/>
            <w:vAlign w:val="center"/>
          </w:tcPr>
          <w:p>
            <w:pPr>
              <w:tabs>
                <w:tab w:val="left" w:pos="282"/>
              </w:tabs>
              <w:spacing w:line="240" w:lineRule="auto"/>
              <w:jc w:val="left"/>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=100%</w:t>
            </w:r>
          </w:p>
        </w:tc>
        <w:tc>
          <w:tcPr>
            <w:tcW w:w="552"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9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1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72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770"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社会</w:t>
            </w:r>
            <w:r>
              <w:rPr>
                <w:rFonts w:hint="eastAsia" w:ascii="华文细黑" w:hAnsi="华文细黑" w:eastAsia="华文细黑" w:cs="华文细黑"/>
                <w:kern w:val="0"/>
                <w:sz w:val="20"/>
                <w:szCs w:val="20"/>
                <w:vertAlign w:val="baseline"/>
                <w:lang w:eastAsia="zh-CN"/>
              </w:rPr>
              <w:t>效益指标</w:t>
            </w:r>
          </w:p>
        </w:tc>
        <w:tc>
          <w:tcPr>
            <w:tcW w:w="82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抽样调查户补助发放覆盖率</w:t>
            </w:r>
          </w:p>
        </w:tc>
        <w:tc>
          <w:tcPr>
            <w:tcW w:w="116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反映抽样调查户补助发放覆盖的情况</w:t>
            </w:r>
          </w:p>
        </w:tc>
        <w:tc>
          <w:tcPr>
            <w:tcW w:w="82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=100%</w:t>
            </w:r>
          </w:p>
        </w:tc>
        <w:tc>
          <w:tcPr>
            <w:tcW w:w="552"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30</w:t>
            </w:r>
          </w:p>
        </w:tc>
      </w:tr>
    </w:tbl>
    <w:p>
      <w:pPr>
        <w:ind w:firstLine="640" w:firstLineChars="200"/>
        <w:jc w:val="center"/>
        <w:rPr>
          <w:rFonts w:eastAsia="黑体"/>
        </w:rPr>
      </w:pP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szCs w:val="32"/>
        </w:rPr>
      </w:pPr>
      <w:r>
        <w:rPr>
          <w:szCs w:val="32"/>
        </w:rPr>
        <w:t>按照综合预算的原则，所有收入和支出全部纳入</w:t>
      </w:r>
      <w:r>
        <w:rPr>
          <w:rFonts w:hint="eastAsia"/>
          <w:szCs w:val="32"/>
          <w:lang w:val="en-US" w:eastAsia="zh-CN"/>
        </w:rPr>
        <w:t>单位</w:t>
      </w:r>
      <w:r>
        <w:rPr>
          <w:szCs w:val="32"/>
        </w:rPr>
        <w:t>预算管理。收入包括：一般公共预算拨款收入、上年结转</w:t>
      </w:r>
      <w:r>
        <w:rPr>
          <w:rFonts w:hint="eastAsia"/>
          <w:szCs w:val="32"/>
        </w:rPr>
        <w:t>结余</w:t>
      </w:r>
      <w:r>
        <w:rPr>
          <w:szCs w:val="32"/>
        </w:rPr>
        <w:t>等；支出包括：一般公共服务支出、社会保障和就业支出、</w:t>
      </w:r>
      <w:r>
        <w:rPr>
          <w:rFonts w:hint="eastAsia"/>
          <w:szCs w:val="32"/>
          <w:lang w:val="en-US" w:eastAsia="zh-CN"/>
        </w:rPr>
        <w:t>卫生健康</w:t>
      </w:r>
      <w:r>
        <w:rPr>
          <w:szCs w:val="32"/>
        </w:rPr>
        <w:t>支出、住房保障支出等。20</w:t>
      </w:r>
      <w:r>
        <w:rPr>
          <w:rFonts w:hint="eastAsia"/>
          <w:szCs w:val="32"/>
        </w:rPr>
        <w:t>2</w:t>
      </w:r>
      <w:r>
        <w:rPr>
          <w:rFonts w:hint="eastAsia"/>
          <w:szCs w:val="32"/>
          <w:lang w:val="en-US" w:eastAsia="zh-CN"/>
        </w:rPr>
        <w:t>4</w:t>
      </w:r>
      <w:r>
        <w:rPr>
          <w:szCs w:val="32"/>
        </w:rPr>
        <w:t>年收支总预算</w:t>
      </w:r>
      <w:r>
        <w:rPr>
          <w:rFonts w:hint="eastAsia"/>
          <w:szCs w:val="32"/>
          <w:lang w:val="en-US" w:eastAsia="zh-CN"/>
        </w:rPr>
        <w:t>93.19</w:t>
      </w:r>
      <w:r>
        <w:rPr>
          <w:szCs w:val="32"/>
        </w:rPr>
        <w:t>万元</w:t>
      </w:r>
      <w:r>
        <w:rPr>
          <w:rFonts w:hint="eastAsia"/>
          <w:szCs w:val="32"/>
          <w:lang w:eastAsia="zh-CN"/>
        </w:rPr>
        <w:t>，其中：本年预算</w:t>
      </w:r>
      <w:r>
        <w:rPr>
          <w:rFonts w:hint="eastAsia"/>
          <w:szCs w:val="32"/>
          <w:lang w:val="en-US" w:eastAsia="zh-CN"/>
        </w:rPr>
        <w:t>89.18</w:t>
      </w:r>
      <w:r>
        <w:rPr>
          <w:rFonts w:hint="eastAsia"/>
          <w:szCs w:val="32"/>
          <w:lang w:eastAsia="zh-CN"/>
        </w:rPr>
        <w:t>万元；上年结转</w:t>
      </w:r>
      <w:r>
        <w:rPr>
          <w:rFonts w:hint="eastAsia"/>
          <w:szCs w:val="32"/>
          <w:lang w:val="en-US" w:eastAsia="zh-CN"/>
        </w:rPr>
        <w:t>4.01</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w:t>
      </w:r>
      <w:r>
        <w:rPr>
          <w:rFonts w:hint="eastAsia"/>
          <w:szCs w:val="32"/>
          <w:lang w:val="en-US" w:eastAsia="zh-CN"/>
        </w:rPr>
        <w:t>增加4.18</w:t>
      </w:r>
      <w:r>
        <w:rPr>
          <w:szCs w:val="32"/>
        </w:rPr>
        <w:t>万元，主要原因是</w:t>
      </w:r>
      <w:r>
        <w:rPr>
          <w:rFonts w:hint="eastAsia"/>
          <w:szCs w:val="32"/>
          <w:lang w:val="en-US" w:eastAsia="zh-CN"/>
        </w:rPr>
        <w:t>退休人员生活补贴调整，在职人员艰苦边远补贴调整，相应人员经费增加，致使本年预算较2023年增加</w:t>
      </w:r>
      <w:r>
        <w:rPr>
          <w:szCs w:val="32"/>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rFonts w:hint="eastAsia"/>
          <w:szCs w:val="32"/>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lang w:val="en-US" w:eastAsia="zh-CN"/>
        </w:rPr>
        <w:t>93.19</w:t>
      </w:r>
      <w:r>
        <w:rPr>
          <w:szCs w:val="32"/>
        </w:rPr>
        <w:t>万元，其中：本年收入</w:t>
      </w:r>
      <w:r>
        <w:rPr>
          <w:rFonts w:hint="eastAsia"/>
          <w:szCs w:val="32"/>
          <w:lang w:val="en-US" w:eastAsia="zh-CN"/>
        </w:rPr>
        <w:t>89.18</w:t>
      </w:r>
      <w:r>
        <w:rPr>
          <w:szCs w:val="32"/>
        </w:rPr>
        <w:t>万元，占</w:t>
      </w:r>
      <w:r>
        <w:rPr>
          <w:rFonts w:hint="eastAsia"/>
          <w:szCs w:val="32"/>
          <w:lang w:val="en-US" w:eastAsia="zh-CN"/>
        </w:rPr>
        <w:t>95.7</w:t>
      </w:r>
      <w:r>
        <w:rPr>
          <w:szCs w:val="32"/>
        </w:rPr>
        <w:t>%；上年结转</w:t>
      </w:r>
      <w:r>
        <w:rPr>
          <w:rFonts w:hint="eastAsia"/>
          <w:szCs w:val="32"/>
          <w:lang w:eastAsia="zh-CN"/>
        </w:rPr>
        <w:t>结余</w:t>
      </w:r>
      <w:r>
        <w:rPr>
          <w:rFonts w:hint="eastAsia"/>
          <w:szCs w:val="32"/>
          <w:lang w:val="en-US" w:eastAsia="zh-CN"/>
        </w:rPr>
        <w:t>4.01</w:t>
      </w:r>
      <w:r>
        <w:rPr>
          <w:szCs w:val="32"/>
        </w:rPr>
        <w:t>万元，占</w:t>
      </w:r>
      <w:r>
        <w:rPr>
          <w:rFonts w:hint="eastAsia"/>
          <w:szCs w:val="32"/>
          <w:lang w:val="en-US" w:eastAsia="zh-CN"/>
        </w:rPr>
        <w:t>4.3</w:t>
      </w:r>
      <w:r>
        <w:rPr>
          <w:szCs w:val="32"/>
        </w:rPr>
        <w:t>%。本年收入中，一般公共预算拨款收入</w:t>
      </w:r>
      <w:r>
        <w:rPr>
          <w:rFonts w:hint="eastAsia"/>
          <w:szCs w:val="32"/>
          <w:lang w:val="en-US" w:eastAsia="zh-CN"/>
        </w:rPr>
        <w:t>89.18</w:t>
      </w:r>
      <w:r>
        <w:rPr>
          <w:szCs w:val="32"/>
        </w:rPr>
        <w:t>万元，占</w:t>
      </w:r>
      <w:r>
        <w:rPr>
          <w:rFonts w:hint="eastAsia"/>
          <w:szCs w:val="32"/>
          <w:lang w:val="en-US" w:eastAsia="zh-CN"/>
        </w:rPr>
        <w:t>100</w:t>
      </w:r>
      <w:r>
        <w:rPr>
          <w:szCs w:val="32"/>
        </w:rPr>
        <w:t>%</w:t>
      </w:r>
      <w:r>
        <w:rPr>
          <w:rFonts w:hint="eastAsia"/>
          <w:szCs w:val="32"/>
        </w:rPr>
        <w:t>。</w:t>
      </w:r>
      <w:r>
        <w:rPr>
          <w:szCs w:val="32"/>
        </w:rPr>
        <w:t>上年结转</w:t>
      </w:r>
      <w:r>
        <w:rPr>
          <w:rFonts w:hint="eastAsia"/>
          <w:szCs w:val="32"/>
        </w:rPr>
        <w:t>中，一般公共预算拨款结转</w:t>
      </w:r>
      <w:r>
        <w:rPr>
          <w:rFonts w:hint="eastAsia"/>
          <w:szCs w:val="32"/>
          <w:lang w:val="en-US" w:eastAsia="zh-CN"/>
        </w:rPr>
        <w:t>4.01</w:t>
      </w:r>
      <w:r>
        <w:rPr>
          <w:szCs w:val="32"/>
        </w:rPr>
        <w:t>万元，占</w:t>
      </w:r>
      <w:r>
        <w:rPr>
          <w:rFonts w:hint="eastAsia"/>
          <w:szCs w:val="32"/>
          <w:lang w:val="en-US" w:eastAsia="zh-CN"/>
        </w:rPr>
        <w:t>100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lang w:val="en-US" w:eastAsia="zh-CN"/>
        </w:rPr>
        <w:t>93.19</w:t>
      </w:r>
      <w:r>
        <w:rPr>
          <w:szCs w:val="32"/>
        </w:rPr>
        <w:t>万元，其中：基本支出</w:t>
      </w:r>
      <w:r>
        <w:rPr>
          <w:rFonts w:hint="eastAsia"/>
          <w:szCs w:val="32"/>
          <w:lang w:val="en-US" w:eastAsia="zh-CN"/>
        </w:rPr>
        <w:t>72.19</w:t>
      </w:r>
      <w:r>
        <w:rPr>
          <w:szCs w:val="32"/>
        </w:rPr>
        <w:t>万元，占</w:t>
      </w:r>
      <w:r>
        <w:rPr>
          <w:rFonts w:hint="eastAsia"/>
          <w:szCs w:val="32"/>
          <w:lang w:val="en-US" w:eastAsia="zh-CN"/>
        </w:rPr>
        <w:t>77.5</w:t>
      </w:r>
      <w:r>
        <w:rPr>
          <w:szCs w:val="32"/>
        </w:rPr>
        <w:t>%；项目支出</w:t>
      </w:r>
      <w:r>
        <w:rPr>
          <w:rFonts w:hint="eastAsia"/>
          <w:szCs w:val="32"/>
          <w:lang w:val="en-US" w:eastAsia="zh-CN"/>
        </w:rPr>
        <w:t>21</w:t>
      </w:r>
      <w:r>
        <w:rPr>
          <w:szCs w:val="32"/>
        </w:rPr>
        <w:t>万元，占</w:t>
      </w:r>
      <w:r>
        <w:rPr>
          <w:rFonts w:hint="eastAsia"/>
          <w:szCs w:val="32"/>
          <w:lang w:val="en-US" w:eastAsia="zh-CN"/>
        </w:rPr>
        <w:t>22.5</w:t>
      </w:r>
      <w:r>
        <w:rPr>
          <w:szCs w:val="32"/>
        </w:rPr>
        <w:t>%。</w:t>
      </w:r>
    </w:p>
    <w:p>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lang w:val="en-US" w:eastAsia="zh-CN"/>
        </w:rPr>
        <w:t>93.19</w:t>
      </w:r>
      <w:r>
        <w:rPr>
          <w:szCs w:val="32"/>
        </w:rPr>
        <w:t>万元，其中：</w:t>
      </w:r>
      <w:r>
        <w:rPr>
          <w:rFonts w:hint="eastAsia"/>
          <w:szCs w:val="32"/>
        </w:rPr>
        <w:t>本年</w:t>
      </w:r>
      <w:r>
        <w:rPr>
          <w:rFonts w:hint="eastAsia"/>
          <w:szCs w:val="32"/>
          <w:lang w:eastAsia="zh-CN"/>
        </w:rPr>
        <w:t>预算</w:t>
      </w:r>
      <w:r>
        <w:rPr>
          <w:rFonts w:hint="eastAsia"/>
          <w:szCs w:val="32"/>
          <w:lang w:val="en-US" w:eastAsia="zh-CN"/>
        </w:rPr>
        <w:t>89.18</w:t>
      </w:r>
      <w:r>
        <w:rPr>
          <w:szCs w:val="32"/>
        </w:rPr>
        <w:t>万元</w:t>
      </w:r>
      <w:r>
        <w:rPr>
          <w:rFonts w:hint="eastAsia"/>
          <w:szCs w:val="32"/>
        </w:rPr>
        <w:t>，上年结转</w:t>
      </w:r>
      <w:r>
        <w:rPr>
          <w:rFonts w:hint="eastAsia"/>
          <w:szCs w:val="32"/>
          <w:lang w:val="en-US" w:eastAsia="zh-CN"/>
        </w:rPr>
        <w:t>4.01</w:t>
      </w:r>
      <w:r>
        <w:rPr>
          <w:szCs w:val="32"/>
        </w:rPr>
        <w:t>万元</w:t>
      </w:r>
      <w:r>
        <w:rPr>
          <w:rFonts w:hint="eastAsia"/>
          <w:szCs w:val="32"/>
        </w:rPr>
        <w:t>。</w:t>
      </w:r>
      <w:r>
        <w:rPr>
          <w:szCs w:val="32"/>
        </w:rPr>
        <w:t>支出包括：</w:t>
      </w:r>
      <w:r>
        <w:rPr>
          <w:kern w:val="0"/>
          <w:szCs w:val="32"/>
        </w:rPr>
        <w:t>一般公共服务支出</w:t>
      </w:r>
      <w:r>
        <w:rPr>
          <w:rFonts w:hint="eastAsia"/>
          <w:kern w:val="0"/>
          <w:szCs w:val="32"/>
          <w:lang w:val="en-US" w:eastAsia="zh-CN"/>
        </w:rPr>
        <w:t>76.83</w:t>
      </w:r>
      <w:r>
        <w:rPr>
          <w:szCs w:val="32"/>
        </w:rPr>
        <w:t>万元，</w:t>
      </w:r>
      <w:r>
        <w:rPr>
          <w:kern w:val="0"/>
          <w:szCs w:val="32"/>
        </w:rPr>
        <w:t>社会保障和就业支出</w:t>
      </w:r>
      <w:r>
        <w:rPr>
          <w:rFonts w:hint="eastAsia"/>
          <w:szCs w:val="32"/>
          <w:lang w:val="en-US" w:eastAsia="zh-CN"/>
        </w:rPr>
        <w:t>7.98</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2.47</w:t>
      </w:r>
      <w:r>
        <w:rPr>
          <w:szCs w:val="32"/>
        </w:rPr>
        <w:t>万元，</w:t>
      </w:r>
      <w:r>
        <w:rPr>
          <w:kern w:val="0"/>
          <w:szCs w:val="32"/>
        </w:rPr>
        <w:t>住房保障支出</w:t>
      </w:r>
      <w:r>
        <w:rPr>
          <w:rFonts w:hint="eastAsia"/>
          <w:szCs w:val="32"/>
          <w:lang w:val="en-US" w:eastAsia="zh-CN"/>
        </w:rPr>
        <w:t>5.91</w:t>
      </w:r>
      <w:r>
        <w:rPr>
          <w:szCs w:val="32"/>
        </w:rPr>
        <w:t>万元。</w:t>
      </w:r>
    </w:p>
    <w:p>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lang w:val="en-US" w:eastAsia="zh-CN"/>
        </w:rPr>
        <w:t>93.19</w:t>
      </w:r>
      <w:r>
        <w:rPr>
          <w:szCs w:val="32"/>
        </w:rPr>
        <w:t>万元，其中：基本支出</w:t>
      </w:r>
      <w:r>
        <w:rPr>
          <w:rFonts w:hint="eastAsia"/>
          <w:szCs w:val="32"/>
          <w:lang w:val="en-US" w:eastAsia="zh-CN"/>
        </w:rPr>
        <w:t>72.19</w:t>
      </w:r>
      <w:r>
        <w:rPr>
          <w:szCs w:val="32"/>
        </w:rPr>
        <w:t>万元，占</w:t>
      </w:r>
      <w:r>
        <w:rPr>
          <w:rFonts w:hint="eastAsia"/>
          <w:szCs w:val="32"/>
          <w:lang w:val="en-US" w:eastAsia="zh-CN"/>
        </w:rPr>
        <w:t>77.5</w:t>
      </w:r>
      <w:r>
        <w:rPr>
          <w:szCs w:val="32"/>
        </w:rPr>
        <w:t>%；项目支出</w:t>
      </w:r>
      <w:r>
        <w:rPr>
          <w:rFonts w:hint="eastAsia"/>
          <w:szCs w:val="32"/>
          <w:lang w:val="en-US" w:eastAsia="zh-CN"/>
        </w:rPr>
        <w:t>21</w:t>
      </w:r>
      <w:r>
        <w:rPr>
          <w:szCs w:val="32"/>
        </w:rPr>
        <w:t>万元，占</w:t>
      </w:r>
      <w:r>
        <w:rPr>
          <w:rFonts w:hint="eastAsia"/>
          <w:szCs w:val="32"/>
          <w:lang w:val="en-US" w:eastAsia="zh-CN"/>
        </w:rPr>
        <w:t>22.5</w:t>
      </w:r>
      <w:r>
        <w:rPr>
          <w:szCs w:val="32"/>
        </w:rPr>
        <w:t>%。基本支出中，人员经费</w:t>
      </w:r>
      <w:r>
        <w:rPr>
          <w:rFonts w:hint="eastAsia"/>
          <w:szCs w:val="32"/>
          <w:lang w:val="en-US" w:eastAsia="zh-CN"/>
        </w:rPr>
        <w:t>59.53</w:t>
      </w:r>
      <w:r>
        <w:rPr>
          <w:szCs w:val="32"/>
        </w:rPr>
        <w:t>万元，占</w:t>
      </w:r>
      <w:r>
        <w:rPr>
          <w:rFonts w:hint="eastAsia"/>
          <w:szCs w:val="32"/>
          <w:lang w:val="en-US" w:eastAsia="zh-CN"/>
        </w:rPr>
        <w:t>82.5</w:t>
      </w:r>
      <w:r>
        <w:rPr>
          <w:szCs w:val="32"/>
        </w:rPr>
        <w:t>%；公用经费</w:t>
      </w:r>
      <w:r>
        <w:rPr>
          <w:rFonts w:hint="eastAsia"/>
          <w:szCs w:val="32"/>
          <w:lang w:val="en-US" w:eastAsia="zh-CN"/>
        </w:rPr>
        <w:t>12.66</w:t>
      </w:r>
      <w:r>
        <w:rPr>
          <w:szCs w:val="32"/>
        </w:rPr>
        <w:t>万元，占</w:t>
      </w:r>
      <w:r>
        <w:rPr>
          <w:rFonts w:hint="eastAsia"/>
          <w:szCs w:val="32"/>
          <w:lang w:val="en-US" w:eastAsia="zh-CN"/>
        </w:rPr>
        <w:t>17.5</w:t>
      </w:r>
      <w:r>
        <w:rPr>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szCs w:val="32"/>
        </w:rPr>
      </w:pPr>
      <w:r>
        <w:rPr>
          <w:szCs w:val="32"/>
        </w:rPr>
        <w:t>一般公共服务（类）支出</w:t>
      </w:r>
      <w:r>
        <w:rPr>
          <w:rFonts w:hint="eastAsia"/>
          <w:szCs w:val="32"/>
          <w:lang w:val="en-US" w:eastAsia="zh-CN"/>
        </w:rPr>
        <w:t>76.83</w:t>
      </w:r>
      <w:r>
        <w:rPr>
          <w:szCs w:val="32"/>
        </w:rPr>
        <w:t>万元，占</w:t>
      </w:r>
      <w:r>
        <w:rPr>
          <w:rFonts w:hint="eastAsia"/>
          <w:szCs w:val="32"/>
          <w:lang w:val="en-US" w:eastAsia="zh-CN"/>
        </w:rPr>
        <w:t>82.4</w:t>
      </w:r>
      <w:r>
        <w:rPr>
          <w:szCs w:val="32"/>
        </w:rPr>
        <w:t>%，主要用于</w:t>
      </w:r>
      <w:r>
        <w:rPr>
          <w:rFonts w:hint="eastAsia"/>
          <w:szCs w:val="32"/>
        </w:rPr>
        <w:t>保障单位日常活动正常运转</w:t>
      </w:r>
      <w:r>
        <w:rPr>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szCs w:val="32"/>
        </w:rPr>
      </w:pPr>
      <w:r>
        <w:rPr>
          <w:szCs w:val="32"/>
        </w:rPr>
        <w:t>社会保障和就业（类）支出</w:t>
      </w:r>
      <w:r>
        <w:rPr>
          <w:rFonts w:hint="eastAsia"/>
          <w:szCs w:val="32"/>
          <w:lang w:val="en-US" w:eastAsia="zh-CN"/>
        </w:rPr>
        <w:t>7.98</w:t>
      </w:r>
      <w:r>
        <w:rPr>
          <w:szCs w:val="32"/>
        </w:rPr>
        <w:t>万元，占</w:t>
      </w:r>
      <w:r>
        <w:rPr>
          <w:rFonts w:hint="eastAsia"/>
          <w:szCs w:val="32"/>
          <w:lang w:val="en-US" w:eastAsia="zh-CN"/>
        </w:rPr>
        <w:t>8.6</w:t>
      </w:r>
      <w:r>
        <w:rPr>
          <w:szCs w:val="32"/>
        </w:rPr>
        <w:t>%，主要用于</w:t>
      </w:r>
      <w:r>
        <w:rPr>
          <w:rFonts w:hint="eastAsia"/>
          <w:szCs w:val="32"/>
        </w:rPr>
        <w:t>保障退休职工取暖补贴及机关事业单位基本养老保险缴费支出</w:t>
      </w:r>
      <w:r>
        <w:rPr>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szCs w:val="32"/>
        </w:rPr>
      </w:pPr>
      <w:r>
        <w:rPr>
          <w:rFonts w:hint="eastAsia"/>
          <w:szCs w:val="32"/>
          <w:lang w:val="en-US" w:eastAsia="zh-CN"/>
        </w:rPr>
        <w:t>卫生健康</w:t>
      </w:r>
      <w:r>
        <w:rPr>
          <w:szCs w:val="32"/>
        </w:rPr>
        <w:t>（类）支出</w:t>
      </w:r>
      <w:r>
        <w:rPr>
          <w:rFonts w:hint="eastAsia"/>
          <w:szCs w:val="32"/>
          <w:lang w:val="en-US" w:eastAsia="zh-CN"/>
        </w:rPr>
        <w:t>2.47</w:t>
      </w:r>
      <w:r>
        <w:rPr>
          <w:szCs w:val="32"/>
        </w:rPr>
        <w:t>万元，占</w:t>
      </w:r>
      <w:r>
        <w:rPr>
          <w:rFonts w:hint="eastAsia"/>
          <w:szCs w:val="32"/>
          <w:lang w:val="en-US" w:eastAsia="zh-CN"/>
        </w:rPr>
        <w:t>2.7</w:t>
      </w:r>
      <w:r>
        <w:rPr>
          <w:szCs w:val="32"/>
        </w:rPr>
        <w:t>%，主要用于</w:t>
      </w:r>
      <w:r>
        <w:rPr>
          <w:rFonts w:hint="eastAsia"/>
          <w:szCs w:val="32"/>
        </w:rPr>
        <w:t>缴纳在职及退休人员基本医疗保险</w:t>
      </w:r>
      <w:r>
        <w:rPr>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szCs w:val="32"/>
        </w:rPr>
      </w:pPr>
      <w:r>
        <w:rPr>
          <w:szCs w:val="32"/>
        </w:rPr>
        <w:t>住房保障（类）支出</w:t>
      </w:r>
      <w:r>
        <w:rPr>
          <w:rFonts w:hint="eastAsia"/>
          <w:szCs w:val="32"/>
          <w:lang w:val="en-US" w:eastAsia="zh-CN"/>
        </w:rPr>
        <w:t>5.91</w:t>
      </w:r>
      <w:r>
        <w:rPr>
          <w:szCs w:val="32"/>
        </w:rPr>
        <w:t>万元，占</w:t>
      </w:r>
      <w:r>
        <w:rPr>
          <w:rFonts w:hint="eastAsia"/>
          <w:szCs w:val="32"/>
          <w:lang w:val="en-US" w:eastAsia="zh-CN"/>
        </w:rPr>
        <w:t>6.3</w:t>
      </w:r>
      <w:r>
        <w:rPr>
          <w:szCs w:val="32"/>
        </w:rPr>
        <w:t>%，主要用于</w:t>
      </w:r>
      <w:r>
        <w:rPr>
          <w:rFonts w:hint="eastAsia"/>
          <w:szCs w:val="32"/>
        </w:rPr>
        <w:t>缴纳在职人员住房公积金</w:t>
      </w:r>
      <w:r>
        <w:rPr>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lang w:val="en-US" w:eastAsia="zh-CN"/>
        </w:rPr>
        <w:t>72.19</w:t>
      </w:r>
      <w:r>
        <w:rPr>
          <w:szCs w:val="32"/>
        </w:rPr>
        <w:t>万元，其中：</w:t>
      </w:r>
    </w:p>
    <w:p>
      <w:pPr>
        <w:ind w:firstLine="640" w:firstLineChars="200"/>
        <w:rPr>
          <w:rFonts w:hint="eastAsia"/>
          <w:kern w:val="0"/>
          <w:szCs w:val="32"/>
        </w:rPr>
      </w:pPr>
      <w:r>
        <w:rPr>
          <w:szCs w:val="32"/>
        </w:rPr>
        <w:t>人员经费</w:t>
      </w:r>
      <w:r>
        <w:rPr>
          <w:rFonts w:hint="eastAsia"/>
          <w:szCs w:val="32"/>
          <w:lang w:val="en-US" w:eastAsia="zh-CN"/>
        </w:rPr>
        <w:t>59.52</w:t>
      </w:r>
      <w:r>
        <w:rPr>
          <w:szCs w:val="32"/>
        </w:rPr>
        <w:t>万元，主要包括：</w:t>
      </w:r>
      <w:r>
        <w:rPr>
          <w:rFonts w:hint="eastAsia"/>
          <w:kern w:val="0"/>
          <w:szCs w:val="32"/>
        </w:rPr>
        <w:t>基本工资、津贴补贴、奖金、机关事业单位基本养老保险缴费、职工基本医疗保险缴费、其他社会保障缴费、住房公积金、医疗费、其他工资福利支出、退休费、其他对个人和家庭的补助。</w:t>
      </w:r>
    </w:p>
    <w:p>
      <w:pPr>
        <w:ind w:firstLine="640" w:firstLineChars="200"/>
        <w:rPr>
          <w:rFonts w:hint="eastAsia"/>
          <w:kern w:val="0"/>
          <w:szCs w:val="32"/>
        </w:rPr>
      </w:pPr>
      <w:r>
        <w:rPr>
          <w:kern w:val="0"/>
          <w:szCs w:val="32"/>
        </w:rPr>
        <w:t>公用经费</w:t>
      </w:r>
      <w:r>
        <w:rPr>
          <w:rFonts w:hint="eastAsia"/>
          <w:szCs w:val="32"/>
          <w:lang w:val="en-US" w:eastAsia="zh-CN"/>
        </w:rPr>
        <w:t>12.67</w:t>
      </w:r>
      <w:r>
        <w:rPr>
          <w:szCs w:val="32"/>
        </w:rPr>
        <w:t>万元，主要包括：</w:t>
      </w:r>
      <w:r>
        <w:rPr>
          <w:rFonts w:hint="eastAsia"/>
          <w:kern w:val="0"/>
          <w:szCs w:val="32"/>
        </w:rPr>
        <w:t>办公费、印刷费、邮电费、差旅费、工会经费、福利费、其他交通费用、其他商品和服务支出、办公设备购置。</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szCs w:val="32"/>
          <w:lang w:val="en-US" w:eastAsia="zh-CN"/>
        </w:rPr>
      </w:pPr>
      <w:r>
        <w:rPr>
          <w:rFonts w:hint="eastAsia"/>
          <w:szCs w:val="32"/>
          <w:lang w:val="en-US" w:eastAsia="zh-CN"/>
        </w:rPr>
        <w:t>2024年“三公”经费预算数为0万元。2024年本年预算数比2023年当年预算数减少0.10万元。其中：</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szCs w:val="32"/>
          <w:lang w:val="en-US" w:eastAsia="zh-CN"/>
        </w:rPr>
      </w:pPr>
      <w:r>
        <w:rPr>
          <w:rFonts w:hint="eastAsia"/>
          <w:szCs w:val="32"/>
          <w:lang w:val="en-US" w:eastAsia="zh-CN"/>
        </w:rPr>
        <w:t>1.因公出国（境）费0万元，2024年本年预算数与2023年当年预算数持平。</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szCs w:val="32"/>
          <w:lang w:val="en-US" w:eastAsia="zh-CN"/>
        </w:rPr>
      </w:pPr>
      <w:r>
        <w:rPr>
          <w:rFonts w:hint="eastAsia"/>
          <w:szCs w:val="32"/>
          <w:lang w:val="en-US" w:eastAsia="zh-CN"/>
        </w:rPr>
        <w:t>2.公务接待费0万元，2024年本年预算数比2023年当年预算数减少0.10万元，主要原因是落实过紧日子原则，减少公务接待费支出。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szCs w:val="32"/>
          <w:lang w:val="en-US" w:eastAsia="zh-CN"/>
        </w:rPr>
      </w:pPr>
      <w:r>
        <w:rPr>
          <w:rFonts w:hint="eastAsia"/>
          <w:szCs w:val="32"/>
          <w:lang w:val="en-US" w:eastAsia="zh-CN"/>
        </w:rPr>
        <w:t xml:space="preserve">3.公务用车购置及运行费0万元。2024年本年预算数与2023年当年预算数持平。公务用车运行维护费0万元，2024年本年预算数与2023年当年预算数持平；公务用车购置费0万元，2024年本年预算数与2023年当年预算数持平。   </w:t>
      </w:r>
    </w:p>
    <w:p>
      <w:pPr>
        <w:ind w:firstLine="640" w:firstLineChars="200"/>
        <w:jc w:val="both"/>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rPr>
          <w:rFonts w:eastAsia="楷体"/>
          <w:szCs w:val="32"/>
        </w:rPr>
      </w:pPr>
      <w:r>
        <w:rPr>
          <w:rFonts w:hint="eastAsia"/>
          <w:szCs w:val="32"/>
        </w:rPr>
        <w:t>本</w:t>
      </w:r>
      <w:r>
        <w:rPr>
          <w:rFonts w:hint="eastAsia"/>
          <w:szCs w:val="32"/>
          <w:lang w:val="en-US" w:eastAsia="zh-CN"/>
        </w:rPr>
        <w:t>单位</w:t>
      </w:r>
      <w:r>
        <w:rPr>
          <w:rFonts w:hint="eastAsia"/>
          <w:szCs w:val="32"/>
        </w:rPr>
        <w:t>无政府性基金预算拨款</w:t>
      </w:r>
      <w:r>
        <w:rPr>
          <w:rFonts w:hint="eastAsia"/>
          <w:szCs w:val="32"/>
          <w:lang w:eastAsia="zh-CN"/>
        </w:rPr>
        <w:t>。</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ind w:firstLine="640"/>
        <w:rPr>
          <w:rFonts w:eastAsia="楷体"/>
          <w:szCs w:val="32"/>
        </w:rPr>
      </w:pPr>
      <w:r>
        <w:rPr>
          <w:rFonts w:hint="eastAsia"/>
          <w:szCs w:val="32"/>
        </w:rPr>
        <w:t>本</w:t>
      </w:r>
      <w:r>
        <w:rPr>
          <w:rFonts w:hint="eastAsia"/>
          <w:szCs w:val="32"/>
          <w:lang w:val="en-US" w:eastAsia="zh-CN"/>
        </w:rPr>
        <w:t>单位</w:t>
      </w:r>
      <w:r>
        <w:rPr>
          <w:rFonts w:hint="eastAsia"/>
          <w:szCs w:val="32"/>
        </w:rPr>
        <w:t>无国有资本经营预算拨款</w:t>
      </w:r>
      <w:r>
        <w:rPr>
          <w:rFonts w:hint="eastAsia"/>
          <w:szCs w:val="32"/>
          <w:lang w:eastAsia="zh-CN"/>
        </w:rPr>
        <w:t>。</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年本</w:t>
      </w:r>
      <w:r>
        <w:rPr>
          <w:rFonts w:hint="eastAsia"/>
          <w:szCs w:val="32"/>
          <w:lang w:val="en-US" w:eastAsia="zh-CN"/>
        </w:rPr>
        <w:t>单位1</w:t>
      </w:r>
      <w:r>
        <w:rPr>
          <w:szCs w:val="32"/>
        </w:rPr>
        <w:t>家</w:t>
      </w:r>
      <w:r>
        <w:rPr>
          <w:rFonts w:hint="eastAsia"/>
          <w:szCs w:val="32"/>
        </w:rPr>
        <w:t>参公管理事业单位</w:t>
      </w:r>
      <w:r>
        <w:rPr>
          <w:szCs w:val="32"/>
        </w:rPr>
        <w:t>的机关运行经费财政拨款预算</w:t>
      </w:r>
      <w:r>
        <w:rPr>
          <w:rFonts w:hint="eastAsia"/>
          <w:szCs w:val="32"/>
          <w:lang w:val="en-US" w:eastAsia="zh-CN"/>
        </w:rPr>
        <w:t>12.67</w:t>
      </w:r>
      <w:r>
        <w:rPr>
          <w:szCs w:val="32"/>
        </w:rPr>
        <w:t>万元，比20</w:t>
      </w:r>
      <w:r>
        <w:rPr>
          <w:rFonts w:hint="eastAsia"/>
          <w:szCs w:val="32"/>
        </w:rPr>
        <w:t>2</w:t>
      </w:r>
      <w:r>
        <w:rPr>
          <w:rFonts w:hint="eastAsia"/>
          <w:szCs w:val="32"/>
          <w:lang w:val="en-US" w:eastAsia="zh-CN"/>
        </w:rPr>
        <w:t>3</w:t>
      </w:r>
      <w:r>
        <w:rPr>
          <w:szCs w:val="32"/>
        </w:rPr>
        <w:t>年预算增加</w:t>
      </w:r>
      <w:r>
        <w:rPr>
          <w:rFonts w:hint="eastAsia"/>
          <w:szCs w:val="32"/>
          <w:lang w:val="en-US" w:eastAsia="zh-CN"/>
        </w:rPr>
        <w:t>2.36</w:t>
      </w:r>
      <w:r>
        <w:rPr>
          <w:szCs w:val="32"/>
        </w:rPr>
        <w:t>万元，增长</w:t>
      </w:r>
      <w:r>
        <w:rPr>
          <w:rFonts w:hint="eastAsia"/>
          <w:szCs w:val="32"/>
          <w:lang w:val="en-US" w:eastAsia="zh-CN"/>
        </w:rPr>
        <w:t>12</w:t>
      </w:r>
      <w:r>
        <w:rPr>
          <w:szCs w:val="32"/>
        </w:rPr>
        <w:t>%</w:t>
      </w:r>
      <w:r>
        <w:rPr>
          <w:rFonts w:hint="eastAsia"/>
          <w:szCs w:val="32"/>
        </w:rPr>
        <w:t>，</w:t>
      </w:r>
      <w:r>
        <w:rPr>
          <w:rFonts w:hint="eastAsia"/>
          <w:szCs w:val="32"/>
          <w:highlight w:val="none"/>
        </w:rPr>
        <w:t>主要原因是</w:t>
      </w:r>
      <w:r>
        <w:rPr>
          <w:rFonts w:hint="eastAsia"/>
          <w:szCs w:val="32"/>
          <w:highlight w:val="none"/>
          <w:lang w:val="en-US" w:eastAsia="zh-CN"/>
        </w:rPr>
        <w:t>本年预算含上年结转公用经费</w:t>
      </w:r>
      <w:r>
        <w:rPr>
          <w:rFonts w:hint="eastAsia"/>
          <w:szCs w:val="32"/>
          <w:highlight w:val="none"/>
        </w:rPr>
        <w:t>，致使机关运行经费增加</w:t>
      </w:r>
      <w:r>
        <w:rPr>
          <w:szCs w:val="32"/>
          <w:highlight w:val="none"/>
        </w:rPr>
        <w:t>。</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rFonts w:hint="default" w:eastAsia="仿宋_GB2312"/>
          <w:szCs w:val="32"/>
          <w:lang w:val="en-US" w:eastAsia="zh-CN"/>
        </w:rPr>
      </w:pPr>
      <w:r>
        <w:rPr>
          <w:rFonts w:hint="eastAsia"/>
          <w:szCs w:val="32"/>
          <w:lang w:val="en-US" w:eastAsia="zh-CN"/>
        </w:rPr>
        <w:t>本单位无政府采购预算安排。</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szCs w:val="32"/>
          <w:lang w:val="en-US" w:eastAsia="zh-CN"/>
        </w:rPr>
      </w:pPr>
      <w:r>
        <w:rPr>
          <w:rFonts w:hint="eastAsia"/>
          <w:szCs w:val="32"/>
          <w:lang w:val="en-US" w:eastAsia="zh-CN"/>
        </w:rPr>
        <w:t>截至2023年8月底，本单位共有车辆0辆，土地0平方米，房屋0平方米，单价50万元以上设备0台/套。</w:t>
      </w:r>
    </w:p>
    <w:p>
      <w:pPr>
        <w:spacing w:line="540" w:lineRule="exact"/>
        <w:ind w:firstLine="640" w:firstLineChars="200"/>
        <w:rPr>
          <w:rFonts w:hint="default" w:eastAsia="仿宋_GB2312"/>
          <w:szCs w:val="32"/>
          <w:lang w:val="en-US" w:eastAsia="zh-CN"/>
        </w:rPr>
      </w:pPr>
      <w:r>
        <w:rPr>
          <w:rFonts w:hint="eastAsia"/>
          <w:szCs w:val="32"/>
          <w:lang w:val="en-US" w:eastAsia="zh-CN"/>
        </w:rPr>
        <w:t>2024年单位预算安排购置车辆0辆，安排购置土地0平方米，安排购置房屋0平方米，计划新增单价50万元以上设备0台/套。</w:t>
      </w:r>
    </w:p>
    <w:p>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lang w:val="en-US" w:eastAsia="zh-CN"/>
        </w:rPr>
        <w:t>4</w:t>
      </w:r>
      <w:r>
        <w:t>年</w:t>
      </w:r>
      <w:r>
        <w:rPr>
          <w:rFonts w:hint="eastAsia"/>
          <w:lang w:val="en-US" w:eastAsia="zh-CN"/>
        </w:rPr>
        <w:t>单位</w:t>
      </w:r>
      <w:r>
        <w:t>项目支出</w:t>
      </w:r>
      <w:r>
        <w:rPr>
          <w:rFonts w:hint="eastAsia"/>
          <w:szCs w:val="32"/>
          <w:lang w:val="en-US" w:eastAsia="zh-CN"/>
        </w:rPr>
        <w:t>21</w:t>
      </w:r>
      <w:r>
        <w:rPr>
          <w:szCs w:val="32"/>
        </w:rPr>
        <w:t>万元，其中：一级项目</w:t>
      </w:r>
      <w:r>
        <w:rPr>
          <w:rFonts w:hint="eastAsia"/>
          <w:szCs w:val="32"/>
          <w:lang w:val="en-US" w:eastAsia="zh-CN"/>
        </w:rPr>
        <w:t>1</w:t>
      </w:r>
      <w:r>
        <w:rPr>
          <w:szCs w:val="32"/>
        </w:rPr>
        <w:t>个，二级项目</w:t>
      </w:r>
      <w:r>
        <w:rPr>
          <w:rFonts w:hint="eastAsia"/>
          <w:szCs w:val="32"/>
          <w:lang w:val="en-US" w:eastAsia="zh-CN"/>
        </w:rPr>
        <w:t>1</w:t>
      </w:r>
      <w:r>
        <w:rPr>
          <w:szCs w:val="32"/>
        </w:rPr>
        <w:t>个；使用</w:t>
      </w:r>
      <w:r>
        <w:rPr>
          <w:rFonts w:hint="eastAsia"/>
          <w:szCs w:val="32"/>
        </w:rPr>
        <w:t>本年拨款</w:t>
      </w:r>
      <w:r>
        <w:rPr>
          <w:rFonts w:hint="eastAsia"/>
          <w:szCs w:val="32"/>
          <w:lang w:val="en-US" w:eastAsia="zh-CN"/>
        </w:rPr>
        <w:t>21</w:t>
      </w:r>
      <w:r>
        <w:rPr>
          <w:szCs w:val="32"/>
        </w:rPr>
        <w:t>万元，</w:t>
      </w:r>
      <w:r>
        <w:rPr>
          <w:rFonts w:hint="eastAsia"/>
          <w:szCs w:val="32"/>
        </w:rPr>
        <w:t>财政拨款结转</w:t>
      </w:r>
      <w:r>
        <w:rPr>
          <w:rFonts w:hint="eastAsia"/>
          <w:szCs w:val="32"/>
          <w:lang w:val="en-US" w:eastAsia="zh-CN"/>
        </w:rPr>
        <w:t>0</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w:t>
      </w:r>
      <w:r>
        <w:rPr>
          <w:rFonts w:hint="eastAsia" w:ascii="宋体" w:hAnsi="宋体"/>
          <w:lang w:val="en-US" w:eastAsia="zh-CN"/>
        </w:rPr>
        <w:t>单位</w:t>
      </w:r>
      <w:r>
        <w:rPr>
          <w:rFonts w:hint="eastAsia" w:ascii="宋体" w:hAnsi="宋体"/>
        </w:rPr>
        <w:t>职能和重点工作，202</w:t>
      </w:r>
      <w:r>
        <w:rPr>
          <w:rFonts w:hint="eastAsia" w:ascii="宋体" w:hAnsi="宋体"/>
          <w:lang w:val="en-US" w:eastAsia="zh-CN"/>
        </w:rPr>
        <w:t>4</w:t>
      </w:r>
      <w:r>
        <w:rPr>
          <w:rFonts w:hint="eastAsia" w:ascii="宋体" w:hAnsi="宋体"/>
        </w:rPr>
        <w:t>年</w:t>
      </w:r>
      <w:r>
        <w:rPr>
          <w:rFonts w:hint="eastAsia" w:ascii="宋体" w:hAnsi="宋体"/>
          <w:lang w:eastAsia="zh-CN"/>
        </w:rPr>
        <w:t>将</w:t>
      </w:r>
      <w:r>
        <w:rPr>
          <w:rFonts w:hint="eastAsia"/>
          <w:szCs w:val="32"/>
          <w:lang w:val="en-US" w:eastAsia="zh-CN"/>
        </w:rPr>
        <w:t>1</w:t>
      </w:r>
      <w:r>
        <w:rPr>
          <w:rFonts w:hint="eastAsia" w:ascii="宋体" w:hAnsi="宋体"/>
        </w:rPr>
        <w:t>个项目支出的绩效目标和指标向社会公开，涉及金额</w:t>
      </w:r>
      <w:r>
        <w:rPr>
          <w:rFonts w:hint="eastAsia"/>
          <w:szCs w:val="32"/>
          <w:lang w:val="en-US" w:eastAsia="zh-CN"/>
        </w:rPr>
        <w:t>21</w:t>
      </w:r>
      <w:r>
        <w:rPr>
          <w:rFonts w:hint="eastAsia" w:ascii="宋体" w:hAnsi="宋体"/>
        </w:rPr>
        <w:t>万元。</w:t>
      </w:r>
      <w:r>
        <w:rPr>
          <w:rFonts w:eastAsia="楷体"/>
          <w:szCs w:val="32"/>
        </w:rPr>
        <w:br w:type="page"/>
      </w:r>
    </w:p>
    <w:p>
      <w:pPr>
        <w:ind w:firstLine="640" w:firstLineChars="200"/>
        <w:rPr>
          <w:szCs w:val="32"/>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w:t>
      </w:r>
      <w:r>
        <w:rPr>
          <w:rFonts w:hint="eastAsia"/>
          <w:szCs w:val="32"/>
          <w:lang w:val="en-US" w:eastAsia="zh-CN"/>
        </w:rPr>
        <w:t>单位</w:t>
      </w:r>
      <w:r>
        <w:rPr>
          <w:rFonts w:hint="eastAsia"/>
          <w:szCs w:val="32"/>
        </w:rPr>
        <w:t>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w:t>
      </w:r>
      <w:r>
        <w:rPr>
          <w:rFonts w:hint="eastAsia"/>
          <w:szCs w:val="32"/>
          <w:lang w:val="en-US" w:eastAsia="zh-CN"/>
        </w:rPr>
        <w:t>主</w:t>
      </w:r>
      <w:r>
        <w:rPr>
          <w:rFonts w:hint="eastAsia"/>
          <w:szCs w:val="32"/>
          <w:lang w:eastAsia="zh-CN"/>
        </w:rPr>
        <w:t>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w:t>
      </w:r>
      <w:r>
        <w:rPr>
          <w:rFonts w:hint="eastAsia"/>
          <w:szCs w:val="32"/>
          <w:lang w:val="en-US" w:eastAsia="zh-CN"/>
        </w:rPr>
        <w:t>单位</w:t>
      </w:r>
      <w:r>
        <w:rPr>
          <w:szCs w:val="32"/>
        </w:rPr>
        <w:t>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eastAsia"/>
          <w:lang w:val="en-US" w:eastAsia="zh-CN"/>
        </w:rPr>
        <w:t>单位</w:t>
      </w:r>
      <w:r>
        <w:rPr>
          <w:rFonts w:hint="eastAsia"/>
        </w:rPr>
        <w:t>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MTk2ZjM5ZjVlZjhkMDJlNjE3MGYxZjk5YjZkYjk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486486A"/>
    <w:rsid w:val="04954460"/>
    <w:rsid w:val="04B818D1"/>
    <w:rsid w:val="050D06DA"/>
    <w:rsid w:val="05310B72"/>
    <w:rsid w:val="05513E94"/>
    <w:rsid w:val="056F5A6D"/>
    <w:rsid w:val="059B3770"/>
    <w:rsid w:val="063949A0"/>
    <w:rsid w:val="06881EA4"/>
    <w:rsid w:val="06BD5BC7"/>
    <w:rsid w:val="06F008FF"/>
    <w:rsid w:val="079E5032"/>
    <w:rsid w:val="09015F14"/>
    <w:rsid w:val="091C5C63"/>
    <w:rsid w:val="09421190"/>
    <w:rsid w:val="09A0082A"/>
    <w:rsid w:val="0A00435B"/>
    <w:rsid w:val="0AAA1697"/>
    <w:rsid w:val="0ABA06FE"/>
    <w:rsid w:val="0B49202F"/>
    <w:rsid w:val="0B5F5ADA"/>
    <w:rsid w:val="0C2A5C84"/>
    <w:rsid w:val="0C4F64D9"/>
    <w:rsid w:val="0C583939"/>
    <w:rsid w:val="0C6D1BAE"/>
    <w:rsid w:val="0D2A2435"/>
    <w:rsid w:val="0DA001B0"/>
    <w:rsid w:val="0DEB170B"/>
    <w:rsid w:val="0E4C7841"/>
    <w:rsid w:val="0E97506F"/>
    <w:rsid w:val="0F3E0406"/>
    <w:rsid w:val="0F980230"/>
    <w:rsid w:val="0FD62F63"/>
    <w:rsid w:val="0FDE2A27"/>
    <w:rsid w:val="10AE7F82"/>
    <w:rsid w:val="10C93B35"/>
    <w:rsid w:val="11177619"/>
    <w:rsid w:val="112605C8"/>
    <w:rsid w:val="11A6707B"/>
    <w:rsid w:val="11B35B2F"/>
    <w:rsid w:val="12E711B7"/>
    <w:rsid w:val="135A02D0"/>
    <w:rsid w:val="136D62BD"/>
    <w:rsid w:val="136E4388"/>
    <w:rsid w:val="13D644DA"/>
    <w:rsid w:val="13F21722"/>
    <w:rsid w:val="1441443C"/>
    <w:rsid w:val="14C12787"/>
    <w:rsid w:val="15593E10"/>
    <w:rsid w:val="159F7E25"/>
    <w:rsid w:val="15F848D0"/>
    <w:rsid w:val="160E1FA5"/>
    <w:rsid w:val="160F2600"/>
    <w:rsid w:val="16C829AB"/>
    <w:rsid w:val="16DD34F5"/>
    <w:rsid w:val="17765BCA"/>
    <w:rsid w:val="17A027D8"/>
    <w:rsid w:val="17CC2625"/>
    <w:rsid w:val="19132BE0"/>
    <w:rsid w:val="191F4716"/>
    <w:rsid w:val="1954649C"/>
    <w:rsid w:val="1A817DF8"/>
    <w:rsid w:val="1A8A6135"/>
    <w:rsid w:val="1ADC594E"/>
    <w:rsid w:val="1AEB5252"/>
    <w:rsid w:val="1B8A03E4"/>
    <w:rsid w:val="1B9C1459"/>
    <w:rsid w:val="1C852172"/>
    <w:rsid w:val="1CA40C0C"/>
    <w:rsid w:val="1CFF4A32"/>
    <w:rsid w:val="1D833200"/>
    <w:rsid w:val="1E3A3FD0"/>
    <w:rsid w:val="1EB55C07"/>
    <w:rsid w:val="1ED507CD"/>
    <w:rsid w:val="1F351A10"/>
    <w:rsid w:val="1F857EA5"/>
    <w:rsid w:val="1FED47E9"/>
    <w:rsid w:val="205167C4"/>
    <w:rsid w:val="206816AC"/>
    <w:rsid w:val="21134335"/>
    <w:rsid w:val="226E581D"/>
    <w:rsid w:val="22A4003E"/>
    <w:rsid w:val="23135C25"/>
    <w:rsid w:val="23EC61F6"/>
    <w:rsid w:val="244C543C"/>
    <w:rsid w:val="24624768"/>
    <w:rsid w:val="2595774D"/>
    <w:rsid w:val="259B5BC5"/>
    <w:rsid w:val="25F62C4E"/>
    <w:rsid w:val="26643D6C"/>
    <w:rsid w:val="26FE109D"/>
    <w:rsid w:val="27073E1E"/>
    <w:rsid w:val="27B04AB3"/>
    <w:rsid w:val="282C3BA1"/>
    <w:rsid w:val="28A63332"/>
    <w:rsid w:val="28C96E8E"/>
    <w:rsid w:val="29C45F24"/>
    <w:rsid w:val="2ABF359A"/>
    <w:rsid w:val="2D9038E4"/>
    <w:rsid w:val="2DF8796C"/>
    <w:rsid w:val="2E7A2ED6"/>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5402B5"/>
    <w:rsid w:val="339466B2"/>
    <w:rsid w:val="34555AF5"/>
    <w:rsid w:val="34FF687B"/>
    <w:rsid w:val="354C4987"/>
    <w:rsid w:val="35616772"/>
    <w:rsid w:val="35EA1663"/>
    <w:rsid w:val="364C598E"/>
    <w:rsid w:val="368A3622"/>
    <w:rsid w:val="36B543E5"/>
    <w:rsid w:val="36CC2B0F"/>
    <w:rsid w:val="36FC762F"/>
    <w:rsid w:val="37026631"/>
    <w:rsid w:val="3838492F"/>
    <w:rsid w:val="383A009B"/>
    <w:rsid w:val="3887374F"/>
    <w:rsid w:val="38CB0ABC"/>
    <w:rsid w:val="39041A07"/>
    <w:rsid w:val="39043B77"/>
    <w:rsid w:val="39670895"/>
    <w:rsid w:val="397B4EE2"/>
    <w:rsid w:val="3A387943"/>
    <w:rsid w:val="3A4D6803"/>
    <w:rsid w:val="3A657F9A"/>
    <w:rsid w:val="3A9113D4"/>
    <w:rsid w:val="3AC54F32"/>
    <w:rsid w:val="3B144A0A"/>
    <w:rsid w:val="3B254018"/>
    <w:rsid w:val="3B5257F8"/>
    <w:rsid w:val="3BC92948"/>
    <w:rsid w:val="3BE370D4"/>
    <w:rsid w:val="3C060D06"/>
    <w:rsid w:val="3C1A026D"/>
    <w:rsid w:val="3C29381E"/>
    <w:rsid w:val="3C711E1D"/>
    <w:rsid w:val="3C7F463D"/>
    <w:rsid w:val="3CAE3960"/>
    <w:rsid w:val="3CEF6494"/>
    <w:rsid w:val="3D365BF6"/>
    <w:rsid w:val="3D7F7007"/>
    <w:rsid w:val="3DB008AA"/>
    <w:rsid w:val="3DF23324"/>
    <w:rsid w:val="3EA14040"/>
    <w:rsid w:val="3EE8108D"/>
    <w:rsid w:val="3F185CE9"/>
    <w:rsid w:val="3F1F712F"/>
    <w:rsid w:val="3F8201A3"/>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ED776B"/>
    <w:rsid w:val="479D2523"/>
    <w:rsid w:val="47CF49E6"/>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4FF516E0"/>
    <w:rsid w:val="501B3C66"/>
    <w:rsid w:val="504B40C5"/>
    <w:rsid w:val="50987DC2"/>
    <w:rsid w:val="50A4703E"/>
    <w:rsid w:val="510B6B67"/>
    <w:rsid w:val="51282B99"/>
    <w:rsid w:val="5136104F"/>
    <w:rsid w:val="51465EDE"/>
    <w:rsid w:val="52071113"/>
    <w:rsid w:val="52085509"/>
    <w:rsid w:val="522774C4"/>
    <w:rsid w:val="522A7431"/>
    <w:rsid w:val="525A440D"/>
    <w:rsid w:val="52626449"/>
    <w:rsid w:val="544E511A"/>
    <w:rsid w:val="54741940"/>
    <w:rsid w:val="54810E66"/>
    <w:rsid w:val="54C063E4"/>
    <w:rsid w:val="54C2556E"/>
    <w:rsid w:val="55480EEF"/>
    <w:rsid w:val="569B7F91"/>
    <w:rsid w:val="56D21BED"/>
    <w:rsid w:val="572651B2"/>
    <w:rsid w:val="57AE5C26"/>
    <w:rsid w:val="57DD75A9"/>
    <w:rsid w:val="5801059F"/>
    <w:rsid w:val="58256ABD"/>
    <w:rsid w:val="58495C64"/>
    <w:rsid w:val="58C27FDB"/>
    <w:rsid w:val="59472AC7"/>
    <w:rsid w:val="59D514A6"/>
    <w:rsid w:val="59EC6E09"/>
    <w:rsid w:val="5AB343F7"/>
    <w:rsid w:val="5ABF50F2"/>
    <w:rsid w:val="5AF25D13"/>
    <w:rsid w:val="5AF76904"/>
    <w:rsid w:val="5B052E7A"/>
    <w:rsid w:val="5B3D7F7E"/>
    <w:rsid w:val="5B7C7777"/>
    <w:rsid w:val="5BEC6771"/>
    <w:rsid w:val="5CA506B9"/>
    <w:rsid w:val="5CF74CE4"/>
    <w:rsid w:val="5D5A7C63"/>
    <w:rsid w:val="5E256F6F"/>
    <w:rsid w:val="5F6235A9"/>
    <w:rsid w:val="60DC439E"/>
    <w:rsid w:val="614125C2"/>
    <w:rsid w:val="61AA1D1F"/>
    <w:rsid w:val="61CB2B7C"/>
    <w:rsid w:val="624C5C52"/>
    <w:rsid w:val="62CF5694"/>
    <w:rsid w:val="634F6AFB"/>
    <w:rsid w:val="635B5D88"/>
    <w:rsid w:val="63DF08E4"/>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FF50B81"/>
    <w:rsid w:val="70330B9C"/>
    <w:rsid w:val="714213DD"/>
    <w:rsid w:val="717F272E"/>
    <w:rsid w:val="72783A23"/>
    <w:rsid w:val="728027C6"/>
    <w:rsid w:val="73D62FA6"/>
    <w:rsid w:val="73FE7ACC"/>
    <w:rsid w:val="74556746"/>
    <w:rsid w:val="74743258"/>
    <w:rsid w:val="761B13C4"/>
    <w:rsid w:val="764B6A8A"/>
    <w:rsid w:val="76C17E06"/>
    <w:rsid w:val="76CA67BD"/>
    <w:rsid w:val="774E6400"/>
    <w:rsid w:val="775B0046"/>
    <w:rsid w:val="79700BEF"/>
    <w:rsid w:val="798D552B"/>
    <w:rsid w:val="7A090695"/>
    <w:rsid w:val="7A1D5951"/>
    <w:rsid w:val="7AE175F4"/>
    <w:rsid w:val="7B417685"/>
    <w:rsid w:val="7B5220F0"/>
    <w:rsid w:val="7B5D19ED"/>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qForma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61"/>
    <w:qFormat/>
    <w:uiPriority w:val="0"/>
    <w:rPr>
      <w:rFonts w:hint="eastAsia" w:ascii="宋体" w:hAnsi="宋体" w:eastAsia="宋体" w:cs="宋体"/>
      <w:color w:val="000000"/>
      <w:sz w:val="24"/>
      <w:szCs w:val="24"/>
      <w:u w:val="none"/>
    </w:rPr>
  </w:style>
  <w:style w:type="character" w:customStyle="1" w:styleId="14">
    <w:name w:val="font41"/>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qFormat/>
    <w:uiPriority w:val="0"/>
    <w:rPr>
      <w:rFonts w:eastAsia="仿宋_GB2312"/>
      <w:kern w:val="2"/>
      <w:sz w:val="18"/>
    </w:rPr>
  </w:style>
  <w:style w:type="character" w:customStyle="1" w:styleId="17">
    <w:name w:val="批注框文本 字符"/>
    <w:link w:val="5"/>
    <w:qFormat/>
    <w:uiPriority w:val="0"/>
    <w:rPr>
      <w:rFonts w:eastAsia="仿宋_GB2312"/>
      <w:kern w:val="2"/>
      <w:sz w:val="18"/>
      <w:szCs w:val="18"/>
    </w:rPr>
  </w:style>
  <w:style w:type="character" w:customStyle="1" w:styleId="18">
    <w:name w:val="font21"/>
    <w:qFormat/>
    <w:uiPriority w:val="0"/>
    <w:rPr>
      <w:rFonts w:hint="default" w:ascii="Arial" w:hAnsi="Arial" w:cs="Arial"/>
      <w:color w:val="000000"/>
      <w:sz w:val="20"/>
      <w:szCs w:val="20"/>
      <w:u w:val="none"/>
    </w:rPr>
  </w:style>
  <w:style w:type="character" w:customStyle="1" w:styleId="19">
    <w:name w:val="font01"/>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qFormat/>
    <w:uiPriority w:val="0"/>
    <w:rPr>
      <w:rFonts w:eastAsia="宋体"/>
      <w:sz w:val="21"/>
      <w:szCs w:val="21"/>
    </w:rPr>
  </w:style>
  <w:style w:type="paragraph" w:customStyle="1" w:styleId="80">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22</Pages>
  <Words>5342</Words>
  <Characters>6378</Characters>
  <Lines>71</Lines>
  <Paragraphs>20</Paragraphs>
  <TotalTime>0</TotalTime>
  <ScaleCrop>false</ScaleCrop>
  <LinksUpToDate>false</LinksUpToDate>
  <CharactersWithSpaces>6990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Healer Pan</cp:lastModifiedBy>
  <cp:lastPrinted>2024-01-23T03:39:00Z</cp:lastPrinted>
  <dcterms:modified xsi:type="dcterms:W3CDTF">2024-02-26T01:53:31Z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859C948ADB5E403786571598126C9CE9_13</vt:lpwstr>
  </property>
</Properties>
</file>