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lang w:eastAsia="zh-CN"/>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lang w:val="en-US" w:eastAsia="zh-CN"/>
        </w:rPr>
      </w:pPr>
      <w:r>
        <w:rPr>
          <w:rFonts w:hint="eastAsia" w:eastAsia="方正小标宋简体"/>
          <w:sz w:val="44"/>
          <w:szCs w:val="44"/>
          <w:lang w:val="en-US" w:eastAsia="zh-CN"/>
        </w:rPr>
        <w:t>四平市统计局地方社会经济调查队</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rPr>
          <w:rFonts w:hint="eastAsia" w:ascii="仿宋" w:hAnsi="仿宋" w:eastAsia="仿宋" w:cs="仿宋"/>
        </w:rPr>
      </w:pPr>
      <w:r>
        <w:rPr>
          <w:rFonts w:hint="eastAsia" w:ascii="仿宋" w:hAnsi="仿宋" w:eastAsia="仿宋" w:cs="仿宋"/>
        </w:rPr>
        <w:t>一、主要职能</w:t>
      </w:r>
    </w:p>
    <w:p>
      <w:pPr>
        <w:ind w:left="320" w:leftChars="100" w:firstLine="320" w:firstLineChars="100"/>
        <w:rPr>
          <w:rFonts w:hint="eastAsia" w:ascii="仿宋" w:hAnsi="仿宋" w:eastAsia="仿宋" w:cs="仿宋"/>
        </w:rPr>
      </w:pPr>
      <w:r>
        <w:rPr>
          <w:rFonts w:hint="eastAsia" w:ascii="仿宋" w:hAnsi="仿宋" w:eastAsia="仿宋" w:cs="仿宋"/>
        </w:rPr>
        <w:t>二、机构设置</w:t>
      </w:r>
    </w:p>
    <w:p>
      <w:pPr>
        <w:rPr>
          <w:rFonts w:eastAsia="黑体"/>
        </w:rPr>
      </w:pPr>
      <w:r>
        <w:rPr>
          <w:rFonts w:eastAsia="黑体"/>
        </w:rPr>
        <w:t>第二部分  预算表格</w:t>
      </w:r>
    </w:p>
    <w:p>
      <w:pPr>
        <w:ind w:left="320" w:leftChars="100" w:firstLine="320" w:firstLineChars="100"/>
        <w:rPr>
          <w:rFonts w:hint="eastAsia" w:ascii="仿宋" w:hAnsi="仿宋" w:eastAsia="仿宋" w:cs="仿宋"/>
        </w:rPr>
      </w:pPr>
      <w:r>
        <w:rPr>
          <w:rFonts w:hint="eastAsia" w:ascii="仿宋" w:hAnsi="仿宋" w:eastAsia="仿宋" w:cs="仿宋"/>
        </w:rPr>
        <w:t>一、收支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二、收入</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三、支出</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四、财政拨款收支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五、一般公共预算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六、一般公共预算基本支出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七、一般公共预算“三公”经费支出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八、政府性基金预算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九、国有资本经营预算支出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lang w:eastAsia="zh-CN"/>
        </w:rPr>
        <w:t>十、</w:t>
      </w:r>
      <w:r>
        <w:rPr>
          <w:rFonts w:hint="eastAsia" w:ascii="仿宋" w:hAnsi="仿宋" w:eastAsia="仿宋" w:cs="仿宋"/>
        </w:rPr>
        <w:t>项目支出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lang w:eastAsia="zh-CN"/>
        </w:rPr>
      </w:pPr>
      <w:r>
        <w:rPr>
          <w:rFonts w:hint="eastAsia" w:ascii="仿宋" w:hAnsi="仿宋" w:eastAsia="仿宋" w:cs="仿宋"/>
          <w:lang w:eastAsia="zh-CN"/>
        </w:rPr>
        <w:t>十一、财政拨款委托业务费支出预算表</w:t>
      </w:r>
    </w:p>
    <w:p>
      <w:pPr>
        <w:ind w:firstLine="640" w:firstLineChars="200"/>
        <w:rPr>
          <w:rFonts w:hint="eastAsia"/>
        </w:rPr>
      </w:pPr>
      <w:r>
        <w:rPr>
          <w:rFonts w:hint="eastAsia" w:ascii="仿宋" w:hAnsi="仿宋" w:eastAsia="仿宋" w:cs="仿宋"/>
        </w:rPr>
        <w:t>十</w:t>
      </w:r>
      <w:r>
        <w:rPr>
          <w:rFonts w:hint="eastAsia" w:ascii="仿宋" w:hAnsi="仿宋" w:eastAsia="仿宋" w:cs="仿宋"/>
          <w:lang w:eastAsia="zh-CN"/>
        </w:rPr>
        <w:t>二</w:t>
      </w:r>
      <w:r>
        <w:rPr>
          <w:rFonts w:hint="eastAsia" w:ascii="仿宋" w:hAnsi="仿宋" w:eastAsia="仿宋" w:cs="仿宋"/>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hint="eastAsia" w:ascii="楷体" w:hAnsi="楷体" w:eastAsia="楷体" w:cs="楷体"/>
        </w:rPr>
        <w:t>一、主要职能</w:t>
      </w:r>
    </w:p>
    <w:p>
      <w:pPr>
        <w:ind w:firstLine="640" w:firstLineChars="200"/>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一）</w:t>
      </w:r>
      <w:r>
        <w:rPr>
          <w:rFonts w:hint="eastAsia" w:ascii="仿宋" w:hAnsi="仿宋" w:eastAsia="仿宋" w:cs="仿宋"/>
          <w:color w:val="000000"/>
          <w:szCs w:val="32"/>
        </w:rPr>
        <w:t>负责全市社会经济抽样调查和专项调查</w:t>
      </w:r>
      <w:r>
        <w:rPr>
          <w:rFonts w:hint="eastAsia" w:ascii="仿宋" w:hAnsi="仿宋" w:eastAsia="仿宋" w:cs="仿宋"/>
          <w:color w:val="000000"/>
          <w:szCs w:val="32"/>
          <w:lang w:eastAsia="zh-CN"/>
        </w:rPr>
        <w:t>。</w:t>
      </w:r>
    </w:p>
    <w:p>
      <w:pPr>
        <w:ind w:firstLine="640" w:firstLineChars="200"/>
        <w:rPr>
          <w:rFonts w:hint="eastAsia" w:eastAsia="仿宋"/>
          <w:color w:val="000000"/>
          <w:sz w:val="21"/>
          <w:szCs w:val="21"/>
          <w:lang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二）</w:t>
      </w:r>
      <w:r>
        <w:rPr>
          <w:rFonts w:hint="eastAsia" w:ascii="仿宋" w:hAnsi="仿宋" w:eastAsia="仿宋" w:cs="仿宋"/>
          <w:color w:val="000000"/>
          <w:szCs w:val="32"/>
        </w:rPr>
        <w:t>负责统计调查数据的收集、汇总、整理、分析和预测</w:t>
      </w:r>
      <w:r>
        <w:rPr>
          <w:rFonts w:hint="eastAsia" w:ascii="仿宋" w:hAnsi="仿宋" w:eastAsia="仿宋" w:cs="仿宋"/>
          <w:color w:val="000000"/>
          <w:szCs w:val="32"/>
          <w:lang w:eastAsia="zh-CN"/>
        </w:rPr>
        <w:t>。</w:t>
      </w:r>
    </w:p>
    <w:p>
      <w:pPr>
        <w:ind w:firstLine="640" w:firstLineChars="200"/>
        <w:rPr>
          <w:rFonts w:hint="eastAsia" w:ascii="楷体" w:hAnsi="楷体" w:eastAsia="楷体" w:cs="楷体"/>
        </w:rPr>
      </w:pPr>
      <w:r>
        <w:rPr>
          <w:rFonts w:hint="eastAsia" w:ascii="楷体" w:hAnsi="楷体" w:eastAsia="楷体" w:cs="楷体"/>
        </w:rPr>
        <w:t>二、机构设置</w:t>
      </w:r>
    </w:p>
    <w:p>
      <w:pPr>
        <w:pStyle w:val="48"/>
        <w:ind w:firstLine="640" w:firstLineChars="200"/>
        <w:rPr>
          <w:rFonts w:hint="eastAsia" w:ascii="仿宋" w:hAnsi="仿宋" w:eastAsia="仿宋" w:cs="仿宋"/>
        </w:rPr>
      </w:pPr>
      <w:r>
        <w:rPr>
          <w:rFonts w:hint="eastAsia" w:ascii="仿宋" w:hAnsi="仿宋" w:eastAsia="仿宋" w:cs="仿宋"/>
        </w:rPr>
        <w:t>根据实际工作需要，四平市统计局地方社会经济调查队不设置内设机构。</w:t>
      </w:r>
    </w:p>
    <w:p>
      <w:pPr>
        <w:pStyle w:val="48"/>
        <w:ind w:firstLine="640" w:firstLineChars="200"/>
        <w:rPr>
          <w:rFonts w:hint="eastAsia" w:ascii="仿宋" w:hAnsi="仿宋" w:eastAsia="仿宋" w:cs="仿宋"/>
        </w:rPr>
      </w:pPr>
      <w:r>
        <w:rPr>
          <w:rFonts w:hint="eastAsia" w:ascii="仿宋" w:hAnsi="仿宋" w:eastAsia="仿宋" w:cs="仿宋"/>
        </w:rPr>
        <w:t>四平市统计局地方社会经济调查队为编制独立单位。自2022年起依据省财政厅要求，单位预决算独立申报核算，由市统计局统一监管。</w:t>
      </w:r>
    </w:p>
    <w:p>
      <w:pPr>
        <w:pStyle w:val="48"/>
        <w:ind w:firstLine="640" w:firstLineChars="200"/>
        <w:rPr>
          <w:rFonts w:hAnsi="楷体" w:eastAsia="楷体"/>
        </w:rPr>
      </w:pPr>
      <w:r>
        <w:rPr>
          <w:rFonts w:hint="eastAsia" w:ascii="仿宋" w:hAnsi="仿宋" w:eastAsia="仿宋" w:cs="仿宋"/>
        </w:rPr>
        <w:t>本单位无下设预算单位。</w:t>
      </w: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668"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117.04</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4.03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val="en-US" w:eastAsia="zh-CN"/>
              </w:rPr>
              <w:t>支出</w:t>
            </w: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87.33</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3.65</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一般公共预算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117.04</w:t>
            </w: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4.03</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sz w:val="20"/>
              </w:rPr>
              <w:t>二、</w:t>
            </w:r>
            <w:r>
              <w:rPr>
                <w:rFonts w:hint="eastAsia" w:ascii="宋体" w:hAnsi="宋体" w:eastAsia="宋体" w:cs="宋体"/>
                <w:color w:val="000000"/>
                <w:sz w:val="20"/>
                <w:lang w:val="en-US" w:eastAsia="zh-CN"/>
              </w:rPr>
              <w:t>社会保障和就业支出</w:t>
            </w:r>
          </w:p>
        </w:tc>
        <w:tc>
          <w:tcPr>
            <w:tcW w:w="1165"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117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12.69</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0.38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政府性基金预算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sz w:val="20"/>
              </w:rPr>
              <w:t>三、</w:t>
            </w:r>
            <w:r>
              <w:rPr>
                <w:rFonts w:hint="eastAsia" w:ascii="宋体" w:hAnsi="宋体" w:eastAsia="宋体" w:cs="宋体"/>
                <w:color w:val="000000"/>
                <w:sz w:val="20"/>
                <w:lang w:val="en-US" w:eastAsia="zh-CN"/>
              </w:rPr>
              <w:t>卫生健康支出</w:t>
            </w:r>
          </w:p>
        </w:tc>
        <w:tc>
          <w:tcPr>
            <w:tcW w:w="1165"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117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3.64</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四、住房保障支出</w:t>
            </w:r>
          </w:p>
        </w:tc>
        <w:tc>
          <w:tcPr>
            <w:tcW w:w="1165"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117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9.35</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sz w:val="20"/>
              </w:rPr>
            </w:pPr>
            <w:r>
              <w:rPr>
                <w:rFonts w:hint="eastAsia" w:ascii="宋体" w:hAnsi="宋体" w:eastAsia="宋体" w:cs="宋体"/>
                <w:sz w:val="20"/>
              </w:rPr>
              <w:t>二、财政专户管理</w:t>
            </w:r>
            <w:r>
              <w:rPr>
                <w:rFonts w:hint="eastAsia" w:ascii="宋体" w:hAnsi="宋体" w:eastAsia="宋体" w:cs="宋体"/>
                <w:sz w:val="20"/>
                <w:lang w:val="en-US" w:eastAsia="zh-CN"/>
              </w:rPr>
              <w:t xml:space="preserve">  </w:t>
            </w:r>
            <w:r>
              <w:rPr>
                <w:rFonts w:hint="eastAsia" w:ascii="宋体" w:hAnsi="宋体" w:eastAsia="宋体" w:cs="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0"/>
              </w:rPr>
            </w:pPr>
            <w:r>
              <w:rPr>
                <w:rFonts w:hint="eastAsia" w:ascii="宋体" w:hAnsi="宋体" w:eastAsia="宋体" w:cs="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0"/>
              </w:rPr>
            </w:pPr>
            <w:r>
              <w:rPr>
                <w:rFonts w:hint="eastAsia" w:ascii="宋体" w:hAnsi="宋体" w:eastAsia="宋体" w:cs="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7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7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7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7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117.04</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4.03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lang w:val="en-US" w:eastAsia="zh-CN"/>
              </w:rPr>
            </w:pPr>
            <w:r>
              <w:rPr>
                <w:rFonts w:hint="eastAsia" w:ascii="宋体" w:hAnsi="宋体" w:eastAsia="宋体" w:cs="宋体"/>
                <w:kern w:val="0"/>
                <w:sz w:val="20"/>
                <w:lang w:val="en-US" w:eastAsia="zh-CN"/>
              </w:rPr>
              <w:t>117.04</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4.03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7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52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117.04</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4.03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b/>
                <w:bCs/>
                <w:kern w:val="0"/>
                <w:sz w:val="20"/>
              </w:rPr>
              <w:t>支出总计</w:t>
            </w: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117.04</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4.03</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633" w:type="dxa"/>
        <w:jc w:val="center"/>
        <w:tblLayout w:type="fixed"/>
        <w:tblCellMar>
          <w:top w:w="0" w:type="dxa"/>
          <w:left w:w="108" w:type="dxa"/>
          <w:bottom w:w="0" w:type="dxa"/>
          <w:right w:w="108" w:type="dxa"/>
        </w:tblCellMar>
      </w:tblPr>
      <w:tblGrid>
        <w:gridCol w:w="1663"/>
        <w:gridCol w:w="840"/>
        <w:gridCol w:w="888"/>
        <w:gridCol w:w="840"/>
        <w:gridCol w:w="360"/>
        <w:gridCol w:w="396"/>
        <w:gridCol w:w="324"/>
        <w:gridCol w:w="348"/>
        <w:gridCol w:w="348"/>
        <w:gridCol w:w="360"/>
        <w:gridCol w:w="336"/>
        <w:gridCol w:w="300"/>
        <w:gridCol w:w="394"/>
        <w:gridCol w:w="338"/>
        <w:gridCol w:w="360"/>
        <w:gridCol w:w="352"/>
        <w:gridCol w:w="320"/>
        <w:gridCol w:w="337"/>
        <w:gridCol w:w="331"/>
        <w:gridCol w:w="262"/>
        <w:gridCol w:w="936"/>
      </w:tblGrid>
      <w:tr>
        <w:tblPrEx>
          <w:tblCellMar>
            <w:top w:w="0" w:type="dxa"/>
            <w:left w:w="108" w:type="dxa"/>
            <w:bottom w:w="0" w:type="dxa"/>
            <w:right w:w="108" w:type="dxa"/>
          </w:tblCellMar>
        </w:tblPrEx>
        <w:trPr>
          <w:trHeight w:val="335" w:hRule="atLeast"/>
          <w:jc w:val="center"/>
        </w:trPr>
        <w:tc>
          <w:tcPr>
            <w:tcW w:w="1663" w:type="dxa"/>
            <w:tcBorders>
              <w:bottom w:val="single" w:color="000000" w:sz="4" w:space="0"/>
            </w:tcBorders>
            <w:noWrap w:val="0"/>
            <w:vAlign w:val="top"/>
          </w:tcPr>
          <w:p>
            <w:pPr>
              <w:autoSpaceDN w:val="0"/>
              <w:jc w:val="left"/>
              <w:textAlignment w:val="center"/>
              <w:rPr>
                <w:rFonts w:eastAsia="华文细黑"/>
                <w:color w:val="000000"/>
                <w:sz w:val="20"/>
              </w:rPr>
            </w:pPr>
          </w:p>
        </w:tc>
        <w:tc>
          <w:tcPr>
            <w:tcW w:w="3996"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348" w:type="dxa"/>
            <w:noWrap w:val="0"/>
            <w:vAlign w:val="center"/>
          </w:tcPr>
          <w:p>
            <w:pPr>
              <w:autoSpaceDN w:val="0"/>
              <w:jc w:val="left"/>
              <w:textAlignment w:val="center"/>
              <w:rPr>
                <w:rFonts w:eastAsia="华文细黑"/>
                <w:color w:val="000000"/>
                <w:sz w:val="20"/>
              </w:rPr>
            </w:pPr>
          </w:p>
        </w:tc>
        <w:tc>
          <w:tcPr>
            <w:tcW w:w="1390" w:type="dxa"/>
            <w:gridSpan w:val="4"/>
            <w:noWrap w:val="0"/>
            <w:vAlign w:val="center"/>
          </w:tcPr>
          <w:p>
            <w:pPr>
              <w:autoSpaceDN w:val="0"/>
              <w:jc w:val="left"/>
              <w:textAlignment w:val="center"/>
              <w:rPr>
                <w:rFonts w:eastAsia="华文细黑"/>
                <w:color w:val="000000"/>
                <w:sz w:val="20"/>
              </w:rPr>
            </w:pPr>
          </w:p>
        </w:tc>
        <w:tc>
          <w:tcPr>
            <w:tcW w:w="338" w:type="dxa"/>
            <w:noWrap w:val="0"/>
            <w:vAlign w:val="center"/>
          </w:tcPr>
          <w:p>
            <w:pPr>
              <w:autoSpaceDN w:val="0"/>
              <w:jc w:val="left"/>
              <w:textAlignment w:val="center"/>
              <w:rPr>
                <w:rFonts w:eastAsia="华文细黑"/>
                <w:color w:val="000000"/>
                <w:sz w:val="20"/>
              </w:rPr>
            </w:pPr>
          </w:p>
        </w:tc>
        <w:tc>
          <w:tcPr>
            <w:tcW w:w="360" w:type="dxa"/>
            <w:noWrap w:val="0"/>
            <w:vAlign w:val="bottom"/>
          </w:tcPr>
          <w:p>
            <w:pPr>
              <w:autoSpaceDN w:val="0"/>
              <w:jc w:val="right"/>
              <w:textAlignment w:val="bottom"/>
              <w:rPr>
                <w:rFonts w:eastAsia="宋体"/>
                <w:color w:val="000000"/>
                <w:sz w:val="20"/>
              </w:rPr>
            </w:pPr>
          </w:p>
        </w:tc>
        <w:tc>
          <w:tcPr>
            <w:tcW w:w="2538" w:type="dxa"/>
            <w:gridSpan w:val="6"/>
            <w:noWrap w:val="0"/>
            <w:vAlign w:val="bottom"/>
          </w:tcPr>
          <w:p>
            <w:pPr>
              <w:wordWrap/>
              <w:autoSpaceDN w:val="0"/>
              <w:ind w:firstLine="600" w:firstLineChars="30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936" w:type="dxa"/>
          <w:trHeight w:val="517" w:hRule="atLeast"/>
          <w:jc w:val="center"/>
        </w:trPr>
        <w:tc>
          <w:tcPr>
            <w:tcW w:w="1663"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84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500"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694"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936" w:type="dxa"/>
          <w:trHeight w:val="1398" w:hRule="atLeast"/>
          <w:jc w:val="center"/>
        </w:trPr>
        <w:tc>
          <w:tcPr>
            <w:tcW w:w="1663"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40"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88"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96"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24"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692"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单位资金收入</w:t>
            </w:r>
          </w:p>
        </w:tc>
        <w:tc>
          <w:tcPr>
            <w:tcW w:w="732"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32"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930" w:type="dxa"/>
            <w:gridSpan w:val="3"/>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936" w:type="dxa"/>
          <w:trHeight w:val="2818" w:hRule="atLeast"/>
          <w:jc w:val="center"/>
        </w:trPr>
        <w:tc>
          <w:tcPr>
            <w:tcW w:w="1663"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8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24"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32"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12"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37"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3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936" w:type="dxa"/>
          <w:trHeight w:val="517" w:hRule="atLeast"/>
          <w:jc w:val="center"/>
        </w:trPr>
        <w:tc>
          <w:tcPr>
            <w:tcW w:w="1663" w:type="dxa"/>
            <w:tcBorders>
              <w:top w:val="single" w:color="000000" w:sz="4" w:space="0"/>
              <w:left w:val="single" w:color="000000" w:sz="4" w:space="0"/>
              <w:bottom w:val="single" w:color="000000" w:sz="4" w:space="0"/>
            </w:tcBorders>
            <w:shd w:val="solid" w:color="FFFFFF" w:fill="auto"/>
            <w:noWrap w:val="0"/>
            <w:vAlign w:val="center"/>
          </w:tcPr>
          <w:p>
            <w:pPr>
              <w:widowControl/>
              <w:ind w:left="200" w:hanging="200" w:hangingChars="100"/>
              <w:jc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四平市统计局</w:t>
            </w:r>
          </w:p>
          <w:p>
            <w:pPr>
              <w:widowControl/>
              <w:ind w:left="200" w:hanging="200" w:hangingChars="100"/>
              <w:jc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地方社会经济调查队</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117.04</w:t>
            </w:r>
          </w:p>
        </w:tc>
        <w:tc>
          <w:tcPr>
            <w:tcW w:w="8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113.01</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113.01</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4"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4.03</w:t>
            </w:r>
          </w:p>
        </w:tc>
        <w:tc>
          <w:tcPr>
            <w:tcW w:w="71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4.03</w:t>
            </w: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gridAfter w:val="1"/>
          <w:wAfter w:w="936" w:type="dxa"/>
          <w:trHeight w:val="517" w:hRule="atLeast"/>
          <w:jc w:val="center"/>
        </w:trPr>
        <w:tc>
          <w:tcPr>
            <w:tcW w:w="166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4"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1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gridAfter w:val="1"/>
          <w:wAfter w:w="936" w:type="dxa"/>
          <w:trHeight w:val="517" w:hRule="atLeast"/>
          <w:jc w:val="center"/>
        </w:trPr>
        <w:tc>
          <w:tcPr>
            <w:tcW w:w="166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4"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1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gridAfter w:val="1"/>
          <w:wAfter w:w="936" w:type="dxa"/>
          <w:trHeight w:val="517" w:hRule="atLeast"/>
          <w:jc w:val="center"/>
        </w:trPr>
        <w:tc>
          <w:tcPr>
            <w:tcW w:w="1663"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4"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1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gridAfter w:val="1"/>
          <w:wAfter w:w="936" w:type="dxa"/>
          <w:trHeight w:val="530" w:hRule="atLeast"/>
          <w:jc w:val="center"/>
        </w:trPr>
        <w:tc>
          <w:tcPr>
            <w:tcW w:w="16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117.04</w:t>
            </w:r>
          </w:p>
        </w:tc>
        <w:tc>
          <w:tcPr>
            <w:tcW w:w="8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113.01</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113.01</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24"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3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4.03</w:t>
            </w:r>
          </w:p>
        </w:tc>
        <w:tc>
          <w:tcPr>
            <w:tcW w:w="71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val="en-US" w:eastAsia="zh-CN"/>
              </w:rPr>
              <w:t>4.03</w:t>
            </w: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trHeight w:val="3943" w:hRule="atLeast"/>
          <w:jc w:val="center"/>
        </w:trPr>
        <w:tc>
          <w:tcPr>
            <w:tcW w:w="10405" w:type="dxa"/>
            <w:gridSpan w:val="2"/>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3868"/>
              <w:gridCol w:w="1013"/>
              <w:gridCol w:w="975"/>
              <w:gridCol w:w="925"/>
              <w:gridCol w:w="987"/>
              <w:gridCol w:w="637"/>
              <w:gridCol w:w="251"/>
              <w:gridCol w:w="1046"/>
              <w:gridCol w:w="138"/>
            </w:tblGrid>
            <w:tr>
              <w:tblPrEx>
                <w:tblCellMar>
                  <w:top w:w="15" w:type="dxa"/>
                  <w:left w:w="15" w:type="dxa"/>
                  <w:bottom w:w="15" w:type="dxa"/>
                  <w:right w:w="15" w:type="dxa"/>
                </w:tblCellMar>
              </w:tblPrEx>
              <w:trPr>
                <w:gridAfter w:val="1"/>
                <w:wAfter w:w="138" w:type="dxa"/>
                <w:trHeight w:val="636" w:hRule="atLeast"/>
              </w:trPr>
              <w:tc>
                <w:tcPr>
                  <w:tcW w:w="6781" w:type="dxa"/>
                  <w:gridSpan w:val="4"/>
                  <w:tcBorders>
                    <w:bottom w:val="single" w:color="000000" w:sz="4" w:space="0"/>
                  </w:tcBorders>
                  <w:noWrap w:val="0"/>
                  <w:vAlign w:val="center"/>
                </w:tcPr>
                <w:p>
                  <w:pPr>
                    <w:widowControl/>
                    <w:jc w:val="left"/>
                    <w:rPr>
                      <w:rFonts w:eastAsia="华文细黑"/>
                      <w:color w:val="000000"/>
                      <w:kern w:val="0"/>
                      <w:sz w:val="20"/>
                    </w:rPr>
                  </w:pPr>
                </w:p>
              </w:tc>
              <w:tc>
                <w:tcPr>
                  <w:tcW w:w="987" w:type="dxa"/>
                  <w:tcBorders>
                    <w:bottom w:val="single" w:color="000000" w:sz="4" w:space="0"/>
                  </w:tcBorders>
                  <w:noWrap w:val="0"/>
                  <w:vAlign w:val="center"/>
                </w:tcPr>
                <w:p>
                  <w:pPr>
                    <w:widowControl/>
                    <w:jc w:val="right"/>
                    <w:rPr>
                      <w:rFonts w:eastAsia="华文细黑"/>
                      <w:color w:val="000000"/>
                      <w:kern w:val="0"/>
                      <w:sz w:val="20"/>
                    </w:rPr>
                  </w:pPr>
                </w:p>
              </w:tc>
              <w:tc>
                <w:tcPr>
                  <w:tcW w:w="637"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3868"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科目名称</w:t>
                  </w:r>
                </w:p>
              </w:tc>
              <w:tc>
                <w:tcPr>
                  <w:tcW w:w="1013"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p>
                  <w:pPr>
                    <w:widowControl/>
                    <w:jc w:val="center"/>
                    <w:rPr>
                      <w:rFonts w:hint="eastAsia" w:ascii="宋体" w:hAnsi="宋体" w:eastAsia="宋体" w:cs="宋体"/>
                      <w:color w:val="000000"/>
                      <w:kern w:val="0"/>
                      <w:sz w:val="20"/>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事业单位</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经营支出</w:t>
                  </w:r>
                </w:p>
              </w:tc>
              <w:tc>
                <w:tcPr>
                  <w:tcW w:w="88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上缴上级</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tc>
              <w:tc>
                <w:tcPr>
                  <w:tcW w:w="11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对附属单位</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补助支出</w:t>
                  </w: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一、一般公共服务</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统计信息事务</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行政运行</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二、社会保障和就业支出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行政事业单位养老支出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行政单位离退休</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2.44</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2.44</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机关事业单位基本养老保险缴费支出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10.63</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10.63</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三、卫生健康支出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行政事业单位医疗</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行政单位医疗</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四、住房保障支出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住房改革支出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住房公积金</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合计</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117.04</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117.04</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2420"/>
              <w:gridCol w:w="876"/>
              <w:gridCol w:w="900"/>
              <w:gridCol w:w="624"/>
              <w:gridCol w:w="2400"/>
              <w:gridCol w:w="852"/>
              <w:gridCol w:w="949"/>
              <w:gridCol w:w="619"/>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1363" w:hRule="atLeast"/>
              </w:trPr>
              <w:tc>
                <w:tcPr>
                  <w:tcW w:w="242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87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年预算</w:t>
                  </w:r>
                  <w:r>
                    <w:rPr>
                      <w:rFonts w:hint="eastAsia" w:ascii="宋体" w:hAnsi="宋体" w:eastAsia="宋体" w:cs="宋体"/>
                      <w:kern w:val="0"/>
                      <w:sz w:val="20"/>
                      <w:lang w:eastAsia="zh-CN"/>
                    </w:rPr>
                    <w:t>数</w:t>
                  </w:r>
                </w:p>
              </w:tc>
              <w:tc>
                <w:tcPr>
                  <w:tcW w:w="90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62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240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85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年预算</w:t>
                  </w:r>
                  <w:r>
                    <w:rPr>
                      <w:rFonts w:hint="eastAsia" w:ascii="宋体" w:hAnsi="宋体" w:eastAsia="宋体" w:cs="宋体"/>
                      <w:kern w:val="0"/>
                      <w:sz w:val="20"/>
                      <w:lang w:eastAsia="zh-CN"/>
                    </w:rPr>
                    <w:t>数</w:t>
                  </w:r>
                </w:p>
              </w:tc>
              <w:tc>
                <w:tcPr>
                  <w:tcW w:w="94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一、本年收入</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117.04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4.03</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一、本年支出</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rPr>
                  </w:pPr>
                  <w:r>
                    <w:rPr>
                      <w:rFonts w:hint="eastAsia" w:ascii="宋体" w:hAnsi="宋体" w:eastAsia="宋体" w:cs="宋体"/>
                      <w:kern w:val="0"/>
                      <w:sz w:val="20"/>
                      <w:lang w:val="en-US" w:eastAsia="zh-CN"/>
                    </w:rPr>
                    <w:t>117.04</w:t>
                  </w: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2"/>
                      <w:lang w:val="en-US" w:eastAsia="zh-CN"/>
                    </w:rPr>
                  </w:pPr>
                  <w:r>
                    <w:rPr>
                      <w:rFonts w:hint="eastAsia" w:ascii="宋体" w:hAnsi="宋体" w:eastAsia="宋体" w:cs="宋体"/>
                      <w:kern w:val="0"/>
                      <w:sz w:val="20"/>
                      <w:szCs w:val="22"/>
                      <w:lang w:val="en-US" w:eastAsia="zh-CN"/>
                    </w:rPr>
                    <w:t>4.03</w:t>
                  </w: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一般公共预算拨款</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117.04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4.03</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eastAsia="zh-CN"/>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rPr>
                  </w:pPr>
                  <w:r>
                    <w:rPr>
                      <w:rFonts w:hint="eastAsia" w:ascii="宋体" w:hAnsi="宋体" w:eastAsia="宋体" w:cs="宋体"/>
                      <w:kern w:val="0"/>
                      <w:sz w:val="20"/>
                      <w:lang w:val="en-US" w:eastAsia="zh-CN"/>
                    </w:rPr>
                    <w:t>90.98</w:t>
                  </w: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87.33</w:t>
                  </w:r>
                </w:p>
              </w:tc>
              <w:tc>
                <w:tcPr>
                  <w:tcW w:w="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3.65</w:t>
                  </w: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政府性基金预算拨款</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二</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社会保障和就业支出</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rPr>
                  </w:pPr>
                  <w:r>
                    <w:rPr>
                      <w:rFonts w:hint="eastAsia" w:ascii="宋体" w:hAnsi="宋体" w:eastAsia="宋体" w:cs="宋体"/>
                      <w:kern w:val="0"/>
                      <w:sz w:val="20"/>
                      <w:lang w:val="en-US" w:eastAsia="zh-CN"/>
                    </w:rPr>
                    <w:t>13.07</w:t>
                  </w: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12.69</w:t>
                  </w:r>
                </w:p>
              </w:tc>
              <w:tc>
                <w:tcPr>
                  <w:tcW w:w="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0.38</w:t>
                  </w: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国有资本经营预算拨款</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三</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卫生健康支出</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rPr>
                  </w:pPr>
                  <w:r>
                    <w:rPr>
                      <w:rFonts w:hint="eastAsia" w:ascii="宋体" w:hAnsi="宋体" w:eastAsia="宋体" w:cs="宋体"/>
                      <w:kern w:val="0"/>
                      <w:sz w:val="20"/>
                      <w:lang w:val="en-US" w:eastAsia="zh-CN"/>
                    </w:rPr>
                    <w:t>3.64</w:t>
                  </w: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3.64</w:t>
                  </w:r>
                </w:p>
              </w:tc>
              <w:tc>
                <w:tcPr>
                  <w:tcW w:w="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（四）住房保障支出</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9.35</w:t>
                  </w: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9.35</w:t>
                  </w:r>
                </w:p>
              </w:tc>
              <w:tc>
                <w:tcPr>
                  <w:tcW w:w="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6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9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6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9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6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9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6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9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6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kern w:val="0"/>
                      <w:sz w:val="2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kern w:val="0"/>
                      <w:sz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9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6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94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619"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0"/>
                    </w:rPr>
                  </w:pPr>
                  <w:r>
                    <w:rPr>
                      <w:rFonts w:hint="eastAsia" w:ascii="宋体" w:hAnsi="宋体" w:eastAsia="宋体" w:cs="宋体"/>
                      <w:kern w:val="0"/>
                      <w:sz w:val="20"/>
                      <w:lang w:eastAsia="zh-CN"/>
                    </w:rPr>
                    <w:t>二、</w:t>
                  </w:r>
                  <w:r>
                    <w:rPr>
                      <w:rFonts w:hint="eastAsia" w:ascii="宋体" w:hAnsi="宋体" w:eastAsia="宋体" w:cs="宋体"/>
                      <w:kern w:val="0"/>
                      <w:sz w:val="20"/>
                    </w:rPr>
                    <w:t>结转下年</w:t>
                  </w:r>
                </w:p>
              </w:tc>
              <w:tc>
                <w:tcPr>
                  <w:tcW w:w="85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rPr>
                  </w:pPr>
                </w:p>
              </w:tc>
              <w:tc>
                <w:tcPr>
                  <w:tcW w:w="619"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rPr>
                  </w:pPr>
                </w:p>
              </w:tc>
            </w:tr>
            <w:tr>
              <w:tblPrEx>
                <w:tblCellMar>
                  <w:top w:w="0" w:type="dxa"/>
                  <w:left w:w="108" w:type="dxa"/>
                  <w:bottom w:w="0" w:type="dxa"/>
                  <w:right w:w="108" w:type="dxa"/>
                </w:tblCellMar>
              </w:tblPrEx>
              <w:trPr>
                <w:trHeight w:val="567" w:hRule="atLeast"/>
              </w:trPr>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收入总计</w:t>
                  </w:r>
                </w:p>
              </w:tc>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117.04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4.03</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支出总计</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rPr>
                  </w:pPr>
                  <w:r>
                    <w:rPr>
                      <w:rFonts w:hint="eastAsia" w:ascii="宋体" w:hAnsi="宋体" w:eastAsia="宋体" w:cs="宋体"/>
                      <w:kern w:val="0"/>
                      <w:sz w:val="20"/>
                      <w:lang w:val="en-US" w:eastAsia="zh-CN"/>
                    </w:rPr>
                    <w:t>117.04</w:t>
                  </w:r>
                </w:p>
              </w:tc>
              <w:tc>
                <w:tcPr>
                  <w:tcW w:w="9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113.01</w:t>
                  </w:r>
                </w:p>
              </w:tc>
              <w:tc>
                <w:tcPr>
                  <w:tcW w:w="6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4.03</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3"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72.59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18.39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72.59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18.39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90.98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72.59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18.39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二、</w:t>
                  </w:r>
                  <w:r>
                    <w:rPr>
                      <w:rFonts w:hint="eastAsia" w:ascii="宋体" w:hAnsi="宋体" w:eastAsia="宋体" w:cs="宋体"/>
                      <w:color w:val="000000"/>
                      <w:kern w:val="0"/>
                      <w:sz w:val="20"/>
                      <w:lang w:val="en-US"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10.63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98.65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18.39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r>
          </w:tbl>
          <w:p>
            <w:pPr>
              <w:widowControl/>
              <w:jc w:val="center"/>
              <w:rPr>
                <w:rFonts w:eastAsia="方正小标宋简体"/>
                <w:kern w:val="0"/>
                <w:sz w:val="44"/>
                <w:szCs w:val="44"/>
              </w:rPr>
            </w:pPr>
          </w:p>
        </w:tc>
      </w:tr>
    </w:tbl>
    <w:p>
      <w:pPr>
        <w:rPr>
          <w:rFonts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单位</w:t>
            </w:r>
            <w:r>
              <w:rPr>
                <w:rFonts w:hint="eastAsia" w:ascii="宋体" w:hAnsi="宋体" w:eastAsia="宋体" w:cs="宋体"/>
                <w:kern w:val="0"/>
                <w:sz w:val="20"/>
                <w:szCs w:val="20"/>
                <w:lang w:eastAsia="zh-CN"/>
              </w:rPr>
              <w:t>预算支出</w:t>
            </w:r>
            <w:r>
              <w:rPr>
                <w:rFonts w:hint="eastAsia" w:ascii="宋体" w:hAnsi="宋体" w:eastAsia="宋体" w:cs="宋体"/>
                <w:kern w:val="0"/>
                <w:sz w:val="20"/>
                <w:szCs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95.62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95.62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27.90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27.90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19.84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19.57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9.35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18.39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18.39</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4.15</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kern w:val="0"/>
                <w:sz w:val="20"/>
                <w:lang w:val="en-US" w:eastAsia="zh-CN"/>
              </w:rPr>
            </w:pPr>
            <w:r>
              <w:rPr>
                <w:rFonts w:hint="eastAsia" w:eastAsia="宋体"/>
                <w:kern w:val="0"/>
                <w:sz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2.00</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kern w:val="0"/>
                <w:sz w:val="20"/>
                <w:lang w:val="en-US" w:eastAsia="zh-CN"/>
              </w:rPr>
            </w:pPr>
            <w:r>
              <w:rPr>
                <w:rFonts w:hint="eastAsia" w:eastAsia="宋体"/>
                <w:kern w:val="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0.50</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kern w:val="0"/>
                <w:sz w:val="20"/>
                <w:lang w:val="en-US" w:eastAsia="zh-CN"/>
              </w:rPr>
            </w:pPr>
            <w:r>
              <w:rPr>
                <w:rFonts w:hint="eastAsia" w:eastAsia="宋体"/>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2.00</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0.96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0.96</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2.28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2.28</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5.34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5.34</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1.16</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kern w:val="0"/>
                <w:sz w:val="20"/>
                <w:lang w:val="en-US" w:eastAsia="zh-CN"/>
              </w:rPr>
            </w:pPr>
            <w:r>
              <w:rPr>
                <w:rFonts w:hint="default" w:eastAsia="宋体"/>
                <w:kern w:val="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3.03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3.03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lang w:val="en-US" w:eastAsia="zh-CN"/>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2.44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2.44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lang w:val="en-US" w:eastAsia="zh-CN"/>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0.59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lang w:val="en-US" w:eastAsia="zh-CN"/>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117.04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98.65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lang w:val="en-US" w:eastAsia="zh-CN"/>
              </w:rPr>
              <w:t>18.39</w:t>
            </w:r>
          </w:p>
        </w:tc>
      </w:tr>
    </w:tbl>
    <w:p>
      <w:pPr>
        <w:rPr>
          <w:sz w:val="16"/>
          <w:szCs w:val="16"/>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4</w:t>
            </w:r>
            <w:r>
              <w:rPr>
                <w:rFonts w:hint="eastAsia" w:ascii="宋体" w:hAnsi="宋体" w:eastAsia="宋体" w:cs="宋体"/>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440" w:firstLineChars="200"/>
              <w:jc w:val="both"/>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说明：</w:t>
            </w:r>
          </w:p>
          <w:p>
            <w:pPr>
              <w:widowControl/>
              <w:numPr>
                <w:ilvl w:val="0"/>
                <w:numId w:val="0"/>
              </w:numPr>
              <w:ind w:firstLine="660" w:firstLineChars="300"/>
              <w:jc w:val="both"/>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bidi="ar-SA"/>
              </w:rPr>
              <w:t>1、</w:t>
            </w:r>
            <w:r>
              <w:rPr>
                <w:rFonts w:hint="eastAsia" w:ascii="仿宋" w:hAnsi="仿宋" w:eastAsia="仿宋" w:cs="仿宋"/>
                <w:color w:val="000000"/>
                <w:kern w:val="0"/>
                <w:sz w:val="22"/>
                <w:szCs w:val="22"/>
                <w:lang w:val="en-US" w:eastAsia="zh-CN"/>
              </w:rPr>
              <w:t>“2024年预算数”的单位范围包括单位本级1个预算单位。</w:t>
            </w:r>
          </w:p>
          <w:p>
            <w:pPr>
              <w:widowControl/>
              <w:ind w:firstLine="660" w:firstLineChars="300"/>
              <w:jc w:val="both"/>
              <w:rPr>
                <w:rFonts w:hint="eastAsia" w:eastAsia="仿宋_GB2312"/>
                <w:color w:val="000000"/>
                <w:kern w:val="0"/>
                <w:sz w:val="28"/>
                <w:szCs w:val="28"/>
                <w:lang w:val="en-US" w:eastAsia="zh-CN"/>
              </w:rPr>
            </w:pPr>
            <w:r>
              <w:rPr>
                <w:rFonts w:hint="eastAsia" w:ascii="仿宋" w:hAnsi="仿宋" w:eastAsia="仿宋" w:cs="仿宋"/>
                <w:color w:val="000000"/>
                <w:kern w:val="0"/>
                <w:sz w:val="22"/>
                <w:szCs w:val="22"/>
                <w:lang w:val="en-US" w:eastAsia="zh-CN" w:bidi="ar-SA"/>
              </w:rPr>
              <w:t>2、</w:t>
            </w:r>
            <w:r>
              <w:rPr>
                <w:rFonts w:hint="eastAsia" w:ascii="仿宋" w:hAnsi="仿宋" w:eastAsia="仿宋" w:cs="仿宋"/>
                <w:color w:val="000000"/>
                <w:kern w:val="0"/>
                <w:sz w:val="22"/>
                <w:szCs w:val="22"/>
                <w:lang w:val="en-US" w:eastAsia="zh-CN"/>
              </w:rPr>
              <w:t>“2024年预算数”的实有人员10人，其中在职人员8人，离退休人员2人。</w:t>
            </w:r>
          </w:p>
        </w:tc>
      </w:tr>
    </w:tbl>
    <w:p>
      <w:pPr>
        <w:rPr>
          <w:rFonts w:hAnsi="楷体" w:eastAsia="楷体"/>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bookmarkStart w:id="0" w:name="_GoBack" w:colFirst="0" w:colLast="3"/>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bookmarkEnd w:id="0"/>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50"/>
        <w:gridCol w:w="424"/>
        <w:gridCol w:w="439"/>
        <w:gridCol w:w="1550"/>
        <w:gridCol w:w="1137"/>
        <w:gridCol w:w="400"/>
        <w:gridCol w:w="375"/>
        <w:gridCol w:w="375"/>
        <w:gridCol w:w="413"/>
        <w:gridCol w:w="337"/>
        <w:gridCol w:w="363"/>
        <w:gridCol w:w="362"/>
        <w:gridCol w:w="388"/>
        <w:gridCol w:w="350"/>
        <w:gridCol w:w="348"/>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93" w:hRule="atLeast"/>
          <w:jc w:val="center"/>
        </w:trPr>
        <w:tc>
          <w:tcPr>
            <w:tcW w:w="66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74"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3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55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3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90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811"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836" w:hRule="atLeast"/>
          <w:jc w:val="center"/>
        </w:trPr>
        <w:tc>
          <w:tcPr>
            <w:tcW w:w="66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13"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550" w:type="dxa"/>
            <w:vMerge w:val="restart"/>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1137"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1900"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811"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836" w:hRule="atLeast"/>
          <w:jc w:val="center"/>
        </w:trPr>
        <w:tc>
          <w:tcPr>
            <w:tcW w:w="66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5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63"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w:t>
            </w:r>
          </w:p>
        </w:tc>
        <w:tc>
          <w:tcPr>
            <w:tcW w:w="155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1137"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150"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13"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37" w:type="dxa"/>
            <w:vMerge w:val="restart"/>
            <w:noWrap w:val="0"/>
            <w:textDirection w:val="tbLrV"/>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725" w:type="dxa"/>
            <w:gridSpan w:val="2"/>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086" w:type="dxa"/>
            <w:gridSpan w:val="3"/>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6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5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63"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55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137"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40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7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75"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13"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337"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363"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一般</w:t>
            </w:r>
          </w:p>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公共</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62"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88"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国有资本经营</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50"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65" w:type="dxa"/>
            <w:gridSpan w:val="2"/>
            <w:noWrap w:val="0"/>
            <w:textDirection w:val="tbRlV"/>
            <w:vAlign w:val="center"/>
          </w:tcPr>
          <w:p>
            <w:pPr>
              <w:autoSpaceDN w:val="0"/>
              <w:ind w:left="113" w:right="113"/>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65" w:type="dxa"/>
            <w:noWrap w:val="0"/>
            <w:vAlign w:val="center"/>
          </w:tcPr>
          <w:p>
            <w:pPr>
              <w:spacing w:line="240" w:lineRule="auto"/>
              <w:jc w:val="center"/>
              <w:rPr>
                <w:rFonts w:hint="default" w:ascii="宋体" w:hAnsi="宋体" w:eastAsia="宋体" w:cs="宋体"/>
                <w:kern w:val="0"/>
                <w:sz w:val="20"/>
                <w:szCs w:val="20"/>
                <w:lang w:val="en-US" w:eastAsia="zh-CN"/>
              </w:rPr>
            </w:pPr>
          </w:p>
        </w:tc>
        <w:tc>
          <w:tcPr>
            <w:tcW w:w="750" w:type="dxa"/>
            <w:noWrap w:val="0"/>
            <w:vAlign w:val="center"/>
          </w:tcPr>
          <w:p>
            <w:pPr>
              <w:spacing w:line="700" w:lineRule="exact"/>
              <w:jc w:val="center"/>
              <w:rPr>
                <w:rFonts w:ascii="Calibri" w:hAnsi="Calibri" w:eastAsia="楷体"/>
                <w:kern w:val="0"/>
                <w:szCs w:val="32"/>
              </w:rPr>
            </w:pPr>
          </w:p>
        </w:tc>
        <w:tc>
          <w:tcPr>
            <w:tcW w:w="863" w:type="dxa"/>
            <w:gridSpan w:val="2"/>
            <w:noWrap w:val="0"/>
            <w:vAlign w:val="center"/>
          </w:tcPr>
          <w:p>
            <w:pPr>
              <w:spacing w:line="700" w:lineRule="exact"/>
              <w:jc w:val="center"/>
              <w:rPr>
                <w:rFonts w:ascii="Calibri" w:hAnsi="Calibri" w:eastAsia="楷体"/>
                <w:kern w:val="0"/>
                <w:szCs w:val="32"/>
              </w:rPr>
            </w:pPr>
          </w:p>
        </w:tc>
        <w:tc>
          <w:tcPr>
            <w:tcW w:w="1550" w:type="dxa"/>
            <w:noWrap w:val="0"/>
            <w:vAlign w:val="center"/>
          </w:tcPr>
          <w:p>
            <w:pPr>
              <w:spacing w:line="700" w:lineRule="exact"/>
              <w:jc w:val="center"/>
              <w:rPr>
                <w:rFonts w:ascii="Calibri" w:hAnsi="Calibri" w:eastAsia="楷体"/>
                <w:kern w:val="0"/>
                <w:szCs w:val="32"/>
              </w:rPr>
            </w:pPr>
          </w:p>
        </w:tc>
        <w:tc>
          <w:tcPr>
            <w:tcW w:w="1137" w:type="dxa"/>
            <w:noWrap w:val="0"/>
            <w:vAlign w:val="center"/>
          </w:tcPr>
          <w:p>
            <w:pPr>
              <w:spacing w:line="700" w:lineRule="exact"/>
              <w:jc w:val="center"/>
              <w:rPr>
                <w:rFonts w:ascii="Calibri" w:hAnsi="Calibri" w:eastAsia="楷体"/>
                <w:kern w:val="0"/>
                <w:szCs w:val="32"/>
              </w:rPr>
            </w:pPr>
          </w:p>
        </w:tc>
        <w:tc>
          <w:tcPr>
            <w:tcW w:w="40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13" w:type="dxa"/>
            <w:noWrap w:val="0"/>
            <w:vAlign w:val="center"/>
          </w:tcPr>
          <w:p>
            <w:pPr>
              <w:spacing w:line="700" w:lineRule="exact"/>
              <w:jc w:val="center"/>
              <w:rPr>
                <w:rFonts w:ascii="Calibri" w:hAnsi="Calibri" w:eastAsia="楷体"/>
                <w:kern w:val="0"/>
                <w:szCs w:val="32"/>
              </w:rPr>
            </w:pPr>
          </w:p>
        </w:tc>
        <w:tc>
          <w:tcPr>
            <w:tcW w:w="337" w:type="dxa"/>
            <w:noWrap w:val="0"/>
            <w:vAlign w:val="center"/>
          </w:tcPr>
          <w:p>
            <w:pPr>
              <w:spacing w:line="700" w:lineRule="exact"/>
              <w:jc w:val="center"/>
              <w:rPr>
                <w:rFonts w:ascii="Calibri" w:hAnsi="Calibri" w:eastAsia="楷体"/>
                <w:kern w:val="0"/>
                <w:szCs w:val="32"/>
              </w:rPr>
            </w:pPr>
          </w:p>
        </w:tc>
        <w:tc>
          <w:tcPr>
            <w:tcW w:w="363"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388" w:type="dxa"/>
            <w:noWrap w:val="0"/>
            <w:vAlign w:val="center"/>
          </w:tcPr>
          <w:p>
            <w:pPr>
              <w:spacing w:line="700" w:lineRule="exact"/>
              <w:jc w:val="center"/>
              <w:rPr>
                <w:rFonts w:ascii="Calibri" w:hAnsi="Calibri" w:eastAsia="楷体"/>
                <w:kern w:val="0"/>
                <w:szCs w:val="32"/>
              </w:rPr>
            </w:pPr>
          </w:p>
        </w:tc>
        <w:tc>
          <w:tcPr>
            <w:tcW w:w="350" w:type="dxa"/>
            <w:noWrap w:val="0"/>
            <w:vAlign w:val="center"/>
          </w:tcPr>
          <w:p>
            <w:pPr>
              <w:spacing w:line="700" w:lineRule="exact"/>
              <w:jc w:val="center"/>
              <w:rPr>
                <w:rFonts w:ascii="Calibri" w:hAnsi="Calibri" w:eastAsia="楷体"/>
                <w:kern w:val="0"/>
                <w:szCs w:val="32"/>
              </w:rPr>
            </w:pPr>
          </w:p>
        </w:tc>
        <w:tc>
          <w:tcPr>
            <w:tcW w:w="365" w:type="dxa"/>
            <w:gridSpan w:val="2"/>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65" w:type="dxa"/>
            <w:noWrap w:val="0"/>
            <w:vAlign w:val="center"/>
          </w:tcPr>
          <w:p>
            <w:pPr>
              <w:spacing w:line="700" w:lineRule="exact"/>
              <w:jc w:val="center"/>
              <w:rPr>
                <w:rFonts w:ascii="Calibri" w:hAnsi="Calibri" w:eastAsia="楷体"/>
                <w:kern w:val="0"/>
                <w:szCs w:val="32"/>
              </w:rPr>
            </w:pPr>
          </w:p>
        </w:tc>
        <w:tc>
          <w:tcPr>
            <w:tcW w:w="750" w:type="dxa"/>
            <w:noWrap w:val="0"/>
            <w:vAlign w:val="center"/>
          </w:tcPr>
          <w:p>
            <w:pPr>
              <w:spacing w:line="240" w:lineRule="auto"/>
              <w:jc w:val="center"/>
              <w:rPr>
                <w:rFonts w:hint="default" w:ascii="宋体" w:hAnsi="宋体" w:eastAsia="宋体" w:cs="宋体"/>
                <w:kern w:val="0"/>
                <w:sz w:val="20"/>
                <w:szCs w:val="20"/>
                <w:lang w:val="en-US" w:eastAsia="zh-CN"/>
              </w:rPr>
            </w:pPr>
          </w:p>
        </w:tc>
        <w:tc>
          <w:tcPr>
            <w:tcW w:w="863"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c>
          <w:tcPr>
            <w:tcW w:w="1550" w:type="dxa"/>
            <w:noWrap w:val="0"/>
            <w:vAlign w:val="center"/>
          </w:tcPr>
          <w:p>
            <w:pPr>
              <w:spacing w:line="700" w:lineRule="exact"/>
              <w:jc w:val="center"/>
              <w:rPr>
                <w:rFonts w:ascii="Calibri" w:hAnsi="Calibri" w:eastAsia="楷体"/>
                <w:kern w:val="0"/>
                <w:szCs w:val="32"/>
              </w:rPr>
            </w:pPr>
          </w:p>
        </w:tc>
        <w:tc>
          <w:tcPr>
            <w:tcW w:w="1137" w:type="dxa"/>
            <w:noWrap w:val="0"/>
            <w:vAlign w:val="center"/>
          </w:tcPr>
          <w:p>
            <w:pPr>
              <w:spacing w:line="700" w:lineRule="exact"/>
              <w:jc w:val="center"/>
              <w:rPr>
                <w:rFonts w:ascii="Calibri" w:hAnsi="Calibri" w:eastAsia="楷体"/>
                <w:kern w:val="0"/>
                <w:szCs w:val="32"/>
              </w:rPr>
            </w:pPr>
          </w:p>
        </w:tc>
        <w:tc>
          <w:tcPr>
            <w:tcW w:w="40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13" w:type="dxa"/>
            <w:noWrap w:val="0"/>
            <w:vAlign w:val="center"/>
          </w:tcPr>
          <w:p>
            <w:pPr>
              <w:spacing w:line="700" w:lineRule="exact"/>
              <w:jc w:val="center"/>
              <w:rPr>
                <w:rFonts w:ascii="Calibri" w:hAnsi="Calibri" w:eastAsia="楷体"/>
                <w:kern w:val="0"/>
                <w:szCs w:val="32"/>
              </w:rPr>
            </w:pPr>
          </w:p>
        </w:tc>
        <w:tc>
          <w:tcPr>
            <w:tcW w:w="337" w:type="dxa"/>
            <w:noWrap w:val="0"/>
            <w:vAlign w:val="center"/>
          </w:tcPr>
          <w:p>
            <w:pPr>
              <w:spacing w:line="700" w:lineRule="exact"/>
              <w:jc w:val="center"/>
              <w:rPr>
                <w:rFonts w:ascii="Calibri" w:hAnsi="Calibri" w:eastAsia="楷体"/>
                <w:kern w:val="0"/>
                <w:szCs w:val="32"/>
              </w:rPr>
            </w:pPr>
          </w:p>
        </w:tc>
        <w:tc>
          <w:tcPr>
            <w:tcW w:w="363"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388" w:type="dxa"/>
            <w:noWrap w:val="0"/>
            <w:vAlign w:val="center"/>
          </w:tcPr>
          <w:p>
            <w:pPr>
              <w:spacing w:line="700" w:lineRule="exact"/>
              <w:jc w:val="center"/>
              <w:rPr>
                <w:rFonts w:ascii="Calibri" w:hAnsi="Calibri" w:eastAsia="楷体"/>
                <w:kern w:val="0"/>
                <w:szCs w:val="32"/>
              </w:rPr>
            </w:pPr>
          </w:p>
        </w:tc>
        <w:tc>
          <w:tcPr>
            <w:tcW w:w="350" w:type="dxa"/>
            <w:noWrap w:val="0"/>
            <w:vAlign w:val="center"/>
          </w:tcPr>
          <w:p>
            <w:pPr>
              <w:spacing w:line="700" w:lineRule="exact"/>
              <w:jc w:val="center"/>
              <w:rPr>
                <w:rFonts w:ascii="Calibri" w:hAnsi="Calibri" w:eastAsia="楷体"/>
                <w:kern w:val="0"/>
                <w:szCs w:val="32"/>
              </w:rPr>
            </w:pPr>
          </w:p>
        </w:tc>
        <w:tc>
          <w:tcPr>
            <w:tcW w:w="365" w:type="dxa"/>
            <w:gridSpan w:val="2"/>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65" w:type="dxa"/>
            <w:noWrap w:val="0"/>
            <w:vAlign w:val="center"/>
          </w:tcPr>
          <w:p>
            <w:pPr>
              <w:spacing w:line="700" w:lineRule="exact"/>
              <w:jc w:val="center"/>
              <w:rPr>
                <w:rFonts w:ascii="Calibri" w:hAnsi="Calibri" w:eastAsia="楷体"/>
                <w:kern w:val="0"/>
                <w:szCs w:val="32"/>
              </w:rPr>
            </w:pPr>
          </w:p>
        </w:tc>
        <w:tc>
          <w:tcPr>
            <w:tcW w:w="750" w:type="dxa"/>
            <w:noWrap w:val="0"/>
            <w:vAlign w:val="center"/>
          </w:tcPr>
          <w:p>
            <w:pPr>
              <w:spacing w:line="700" w:lineRule="exact"/>
              <w:jc w:val="center"/>
              <w:rPr>
                <w:rFonts w:ascii="Calibri" w:hAnsi="Calibri" w:eastAsia="楷体"/>
                <w:kern w:val="0"/>
                <w:szCs w:val="32"/>
              </w:rPr>
            </w:pPr>
          </w:p>
        </w:tc>
        <w:tc>
          <w:tcPr>
            <w:tcW w:w="863" w:type="dxa"/>
            <w:gridSpan w:val="2"/>
            <w:noWrap w:val="0"/>
            <w:vAlign w:val="center"/>
          </w:tcPr>
          <w:p>
            <w:pPr>
              <w:spacing w:line="240" w:lineRule="auto"/>
              <w:jc w:val="center"/>
              <w:rPr>
                <w:rFonts w:hint="default" w:ascii="宋体" w:hAnsi="宋体" w:eastAsia="宋体" w:cs="宋体"/>
                <w:kern w:val="0"/>
                <w:sz w:val="20"/>
                <w:szCs w:val="20"/>
                <w:lang w:val="en-US" w:eastAsia="zh-CN"/>
              </w:rPr>
            </w:pPr>
          </w:p>
        </w:tc>
        <w:tc>
          <w:tcPr>
            <w:tcW w:w="15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1137" w:type="dxa"/>
            <w:noWrap w:val="0"/>
            <w:vAlign w:val="center"/>
          </w:tcPr>
          <w:p>
            <w:pPr>
              <w:spacing w:line="700" w:lineRule="exact"/>
              <w:jc w:val="center"/>
              <w:rPr>
                <w:rFonts w:hint="default" w:ascii="Calibri" w:hAnsi="Calibri" w:eastAsia="楷体"/>
                <w:kern w:val="0"/>
                <w:szCs w:val="32"/>
                <w:lang w:val="en-US" w:eastAsia="zh-CN"/>
              </w:rPr>
            </w:pPr>
          </w:p>
        </w:tc>
        <w:tc>
          <w:tcPr>
            <w:tcW w:w="400" w:type="dxa"/>
            <w:noWrap w:val="0"/>
            <w:vAlign w:val="center"/>
          </w:tcPr>
          <w:p>
            <w:pPr>
              <w:spacing w:line="700" w:lineRule="exact"/>
              <w:jc w:val="center"/>
              <w:rPr>
                <w:rFonts w:hint="default" w:ascii="宋体" w:hAnsi="宋体" w:eastAsia="宋体" w:cs="宋体"/>
                <w:kern w:val="0"/>
                <w:sz w:val="20"/>
                <w:szCs w:val="20"/>
                <w:lang w:val="en-US" w:eastAsia="zh-CN"/>
              </w:rPr>
            </w:pPr>
          </w:p>
        </w:tc>
        <w:tc>
          <w:tcPr>
            <w:tcW w:w="375"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13" w:type="dxa"/>
            <w:noWrap w:val="0"/>
            <w:vAlign w:val="center"/>
          </w:tcPr>
          <w:p>
            <w:pPr>
              <w:spacing w:line="700" w:lineRule="exact"/>
              <w:jc w:val="center"/>
              <w:rPr>
                <w:rFonts w:ascii="Calibri" w:hAnsi="Calibri" w:eastAsia="楷体"/>
                <w:kern w:val="0"/>
                <w:szCs w:val="32"/>
              </w:rPr>
            </w:pPr>
          </w:p>
        </w:tc>
        <w:tc>
          <w:tcPr>
            <w:tcW w:w="337" w:type="dxa"/>
            <w:noWrap w:val="0"/>
            <w:vAlign w:val="center"/>
          </w:tcPr>
          <w:p>
            <w:pPr>
              <w:spacing w:line="700" w:lineRule="exact"/>
              <w:jc w:val="center"/>
              <w:rPr>
                <w:rFonts w:ascii="Calibri" w:hAnsi="Calibri" w:eastAsia="楷体"/>
                <w:kern w:val="0"/>
                <w:szCs w:val="32"/>
              </w:rPr>
            </w:pPr>
          </w:p>
        </w:tc>
        <w:tc>
          <w:tcPr>
            <w:tcW w:w="363"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388" w:type="dxa"/>
            <w:noWrap w:val="0"/>
            <w:vAlign w:val="center"/>
          </w:tcPr>
          <w:p>
            <w:pPr>
              <w:spacing w:line="700" w:lineRule="exact"/>
              <w:jc w:val="center"/>
              <w:rPr>
                <w:rFonts w:ascii="Calibri" w:hAnsi="Calibri" w:eastAsia="楷体"/>
                <w:kern w:val="0"/>
                <w:szCs w:val="32"/>
              </w:rPr>
            </w:pPr>
          </w:p>
        </w:tc>
        <w:tc>
          <w:tcPr>
            <w:tcW w:w="350" w:type="dxa"/>
            <w:noWrap w:val="0"/>
            <w:vAlign w:val="center"/>
          </w:tcPr>
          <w:p>
            <w:pPr>
              <w:spacing w:line="700" w:lineRule="exact"/>
              <w:jc w:val="center"/>
              <w:rPr>
                <w:rFonts w:ascii="Calibri" w:hAnsi="Calibri" w:eastAsia="楷体"/>
                <w:kern w:val="0"/>
                <w:szCs w:val="32"/>
              </w:rPr>
            </w:pPr>
          </w:p>
        </w:tc>
        <w:tc>
          <w:tcPr>
            <w:tcW w:w="365" w:type="dxa"/>
            <w:gridSpan w:val="2"/>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65" w:type="dxa"/>
            <w:noWrap w:val="0"/>
            <w:vAlign w:val="center"/>
          </w:tcPr>
          <w:p>
            <w:pPr>
              <w:spacing w:line="700" w:lineRule="exact"/>
              <w:jc w:val="center"/>
              <w:rPr>
                <w:rFonts w:ascii="Calibri" w:hAnsi="Calibri" w:eastAsia="楷体"/>
                <w:kern w:val="0"/>
                <w:szCs w:val="32"/>
              </w:rPr>
            </w:pPr>
          </w:p>
        </w:tc>
        <w:tc>
          <w:tcPr>
            <w:tcW w:w="750" w:type="dxa"/>
            <w:noWrap w:val="0"/>
            <w:vAlign w:val="center"/>
          </w:tcPr>
          <w:p>
            <w:pPr>
              <w:spacing w:line="240" w:lineRule="auto"/>
              <w:jc w:val="center"/>
              <w:rPr>
                <w:rFonts w:hint="default" w:ascii="宋体" w:hAnsi="宋体" w:eastAsia="宋体" w:cs="宋体"/>
                <w:kern w:val="0"/>
                <w:sz w:val="20"/>
                <w:szCs w:val="20"/>
                <w:lang w:val="en-US" w:eastAsia="zh-CN"/>
              </w:rPr>
            </w:pPr>
          </w:p>
        </w:tc>
        <w:tc>
          <w:tcPr>
            <w:tcW w:w="863"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c>
          <w:tcPr>
            <w:tcW w:w="15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1137" w:type="dxa"/>
            <w:noWrap w:val="0"/>
            <w:vAlign w:val="center"/>
          </w:tcPr>
          <w:p>
            <w:pPr>
              <w:spacing w:line="700" w:lineRule="exact"/>
              <w:jc w:val="center"/>
              <w:rPr>
                <w:rFonts w:ascii="Calibri" w:hAnsi="Calibri" w:eastAsia="楷体"/>
                <w:kern w:val="0"/>
                <w:szCs w:val="32"/>
              </w:rPr>
            </w:pPr>
          </w:p>
        </w:tc>
        <w:tc>
          <w:tcPr>
            <w:tcW w:w="400"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13" w:type="dxa"/>
            <w:noWrap w:val="0"/>
            <w:vAlign w:val="center"/>
          </w:tcPr>
          <w:p>
            <w:pPr>
              <w:spacing w:line="700" w:lineRule="exact"/>
              <w:jc w:val="center"/>
              <w:rPr>
                <w:rFonts w:ascii="Calibri" w:hAnsi="Calibri" w:eastAsia="楷体"/>
                <w:kern w:val="0"/>
                <w:szCs w:val="32"/>
              </w:rPr>
            </w:pPr>
          </w:p>
        </w:tc>
        <w:tc>
          <w:tcPr>
            <w:tcW w:w="337" w:type="dxa"/>
            <w:noWrap w:val="0"/>
            <w:vAlign w:val="center"/>
          </w:tcPr>
          <w:p>
            <w:pPr>
              <w:spacing w:line="700" w:lineRule="exact"/>
              <w:jc w:val="center"/>
              <w:rPr>
                <w:rFonts w:ascii="Calibri" w:hAnsi="Calibri" w:eastAsia="楷体"/>
                <w:kern w:val="0"/>
                <w:szCs w:val="32"/>
              </w:rPr>
            </w:pPr>
          </w:p>
        </w:tc>
        <w:tc>
          <w:tcPr>
            <w:tcW w:w="363"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388" w:type="dxa"/>
            <w:noWrap w:val="0"/>
            <w:vAlign w:val="center"/>
          </w:tcPr>
          <w:p>
            <w:pPr>
              <w:spacing w:line="700" w:lineRule="exact"/>
              <w:jc w:val="center"/>
              <w:rPr>
                <w:rFonts w:ascii="Calibri" w:hAnsi="Calibri" w:eastAsia="楷体"/>
                <w:kern w:val="0"/>
                <w:szCs w:val="32"/>
              </w:rPr>
            </w:pPr>
          </w:p>
        </w:tc>
        <w:tc>
          <w:tcPr>
            <w:tcW w:w="350" w:type="dxa"/>
            <w:noWrap w:val="0"/>
            <w:vAlign w:val="center"/>
          </w:tcPr>
          <w:p>
            <w:pPr>
              <w:spacing w:line="700" w:lineRule="exact"/>
              <w:jc w:val="center"/>
              <w:rPr>
                <w:rFonts w:ascii="Calibri" w:hAnsi="Calibri" w:eastAsia="楷体"/>
                <w:kern w:val="0"/>
                <w:szCs w:val="32"/>
              </w:rPr>
            </w:pPr>
          </w:p>
        </w:tc>
        <w:tc>
          <w:tcPr>
            <w:tcW w:w="365" w:type="dxa"/>
            <w:gridSpan w:val="2"/>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5"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7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863" w:type="dxa"/>
            <w:gridSpan w:val="2"/>
            <w:noWrap w:val="0"/>
            <w:vAlign w:val="center"/>
          </w:tcPr>
          <w:p>
            <w:pPr>
              <w:spacing w:line="240" w:lineRule="auto"/>
              <w:jc w:val="center"/>
              <w:rPr>
                <w:rFonts w:hint="default" w:ascii="宋体" w:hAnsi="宋体" w:eastAsia="宋体" w:cs="宋体"/>
                <w:kern w:val="0"/>
                <w:sz w:val="20"/>
                <w:szCs w:val="20"/>
                <w:lang w:val="en-US" w:eastAsia="zh-CN"/>
              </w:rPr>
            </w:pPr>
          </w:p>
        </w:tc>
        <w:tc>
          <w:tcPr>
            <w:tcW w:w="15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1137" w:type="dxa"/>
            <w:noWrap w:val="0"/>
            <w:vAlign w:val="center"/>
          </w:tcPr>
          <w:p>
            <w:pPr>
              <w:spacing w:line="240" w:lineRule="auto"/>
              <w:jc w:val="center"/>
              <w:rPr>
                <w:rFonts w:hint="default" w:ascii="宋体" w:hAnsi="宋体" w:eastAsia="宋体" w:cs="宋体"/>
                <w:kern w:val="0"/>
                <w:sz w:val="20"/>
                <w:szCs w:val="20"/>
                <w:lang w:val="en-US" w:eastAsia="zh-CN"/>
              </w:rPr>
            </w:pPr>
          </w:p>
        </w:tc>
        <w:tc>
          <w:tcPr>
            <w:tcW w:w="400" w:type="dxa"/>
            <w:noWrap w:val="0"/>
            <w:vAlign w:val="center"/>
          </w:tcPr>
          <w:p>
            <w:pPr>
              <w:spacing w:line="240" w:lineRule="auto"/>
              <w:jc w:val="center"/>
              <w:rPr>
                <w:rFonts w:hint="default" w:ascii="宋体" w:hAnsi="宋体" w:eastAsia="宋体" w:cs="宋体"/>
                <w:kern w:val="0"/>
                <w:sz w:val="20"/>
                <w:szCs w:val="20"/>
                <w:lang w:val="en-US" w:eastAsia="zh-CN"/>
              </w:rPr>
            </w:pPr>
          </w:p>
        </w:tc>
        <w:tc>
          <w:tcPr>
            <w:tcW w:w="375"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75"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413"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37"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63"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62"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88"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65"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5" w:type="dxa"/>
            <w:noWrap w:val="0"/>
            <w:vAlign w:val="center"/>
          </w:tcPr>
          <w:p>
            <w:pPr>
              <w:autoSpaceDN w:val="0"/>
              <w:jc w:val="center"/>
              <w:textAlignment w:val="center"/>
              <w:rPr>
                <w:rFonts w:hint="eastAsia" w:ascii="Calibri" w:hAnsi="Calibri" w:eastAsia="华文细黑"/>
                <w:color w:val="000000"/>
                <w:sz w:val="20"/>
                <w:szCs w:val="22"/>
              </w:rPr>
            </w:pPr>
          </w:p>
        </w:tc>
        <w:tc>
          <w:tcPr>
            <w:tcW w:w="750" w:type="dxa"/>
            <w:noWrap w:val="0"/>
            <w:vAlign w:val="center"/>
          </w:tcPr>
          <w:p>
            <w:pPr>
              <w:autoSpaceDN w:val="0"/>
              <w:jc w:val="center"/>
              <w:textAlignment w:val="center"/>
              <w:rPr>
                <w:rFonts w:ascii="Calibri" w:hAnsi="Calibri" w:eastAsia="华文细黑"/>
                <w:color w:val="000000"/>
                <w:sz w:val="20"/>
                <w:szCs w:val="22"/>
              </w:rPr>
            </w:pPr>
          </w:p>
        </w:tc>
        <w:tc>
          <w:tcPr>
            <w:tcW w:w="863" w:type="dxa"/>
            <w:gridSpan w:val="2"/>
            <w:noWrap w:val="0"/>
            <w:vAlign w:val="center"/>
          </w:tcPr>
          <w:p>
            <w:pPr>
              <w:spacing w:line="700" w:lineRule="exact"/>
              <w:jc w:val="center"/>
              <w:rPr>
                <w:rFonts w:ascii="Calibri" w:hAnsi="Calibri" w:eastAsia="楷体"/>
                <w:kern w:val="0"/>
                <w:szCs w:val="32"/>
              </w:rPr>
            </w:pPr>
          </w:p>
        </w:tc>
        <w:tc>
          <w:tcPr>
            <w:tcW w:w="1550" w:type="dxa"/>
            <w:noWrap w:val="0"/>
            <w:vAlign w:val="center"/>
          </w:tcPr>
          <w:p>
            <w:pPr>
              <w:spacing w:line="700" w:lineRule="exact"/>
              <w:jc w:val="center"/>
              <w:rPr>
                <w:rFonts w:ascii="Calibri" w:hAnsi="Calibri" w:eastAsia="楷体"/>
                <w:kern w:val="0"/>
                <w:szCs w:val="32"/>
              </w:rPr>
            </w:pPr>
          </w:p>
        </w:tc>
        <w:tc>
          <w:tcPr>
            <w:tcW w:w="1137" w:type="dxa"/>
            <w:noWrap w:val="0"/>
            <w:vAlign w:val="center"/>
          </w:tcPr>
          <w:p>
            <w:pPr>
              <w:spacing w:line="240" w:lineRule="auto"/>
              <w:jc w:val="center"/>
              <w:rPr>
                <w:rFonts w:hint="default" w:ascii="宋体" w:hAnsi="宋体" w:eastAsia="宋体" w:cs="宋体"/>
                <w:kern w:val="0"/>
                <w:sz w:val="20"/>
                <w:szCs w:val="20"/>
                <w:lang w:val="en-US" w:eastAsia="zh-CN"/>
              </w:rPr>
            </w:pPr>
          </w:p>
        </w:tc>
        <w:tc>
          <w:tcPr>
            <w:tcW w:w="400" w:type="dxa"/>
            <w:noWrap w:val="0"/>
            <w:vAlign w:val="center"/>
          </w:tcPr>
          <w:p>
            <w:pPr>
              <w:spacing w:line="240" w:lineRule="auto"/>
              <w:jc w:val="center"/>
              <w:rPr>
                <w:rFonts w:hint="default" w:ascii="宋体" w:hAnsi="宋体" w:eastAsia="宋体" w:cs="宋体"/>
                <w:kern w:val="0"/>
                <w:sz w:val="20"/>
                <w:szCs w:val="20"/>
                <w:lang w:val="en-US" w:eastAsia="zh-CN"/>
              </w:rPr>
            </w:pPr>
          </w:p>
        </w:tc>
        <w:tc>
          <w:tcPr>
            <w:tcW w:w="375" w:type="dxa"/>
            <w:noWrap w:val="0"/>
            <w:vAlign w:val="center"/>
          </w:tcPr>
          <w:p>
            <w:pPr>
              <w:spacing w:line="700" w:lineRule="exact"/>
              <w:jc w:val="center"/>
              <w:rPr>
                <w:rFonts w:ascii="Calibri" w:hAnsi="Calibri" w:eastAsia="楷体"/>
                <w:kern w:val="0"/>
                <w:szCs w:val="32"/>
              </w:rPr>
            </w:pPr>
          </w:p>
        </w:tc>
        <w:tc>
          <w:tcPr>
            <w:tcW w:w="375" w:type="dxa"/>
            <w:noWrap w:val="0"/>
            <w:vAlign w:val="center"/>
          </w:tcPr>
          <w:p>
            <w:pPr>
              <w:spacing w:line="700" w:lineRule="exact"/>
              <w:jc w:val="center"/>
              <w:rPr>
                <w:rFonts w:ascii="Calibri" w:hAnsi="Calibri" w:eastAsia="楷体"/>
                <w:kern w:val="0"/>
                <w:szCs w:val="32"/>
              </w:rPr>
            </w:pPr>
          </w:p>
        </w:tc>
        <w:tc>
          <w:tcPr>
            <w:tcW w:w="413" w:type="dxa"/>
            <w:noWrap w:val="0"/>
            <w:vAlign w:val="center"/>
          </w:tcPr>
          <w:p>
            <w:pPr>
              <w:spacing w:line="700" w:lineRule="exact"/>
              <w:jc w:val="center"/>
              <w:rPr>
                <w:rFonts w:ascii="Calibri" w:hAnsi="Calibri" w:eastAsia="楷体"/>
                <w:kern w:val="0"/>
                <w:szCs w:val="32"/>
              </w:rPr>
            </w:pPr>
          </w:p>
        </w:tc>
        <w:tc>
          <w:tcPr>
            <w:tcW w:w="337" w:type="dxa"/>
            <w:noWrap w:val="0"/>
            <w:vAlign w:val="center"/>
          </w:tcPr>
          <w:p>
            <w:pPr>
              <w:spacing w:line="700" w:lineRule="exact"/>
              <w:jc w:val="center"/>
              <w:rPr>
                <w:rFonts w:ascii="Calibri" w:hAnsi="Calibri" w:eastAsia="楷体"/>
                <w:kern w:val="0"/>
                <w:szCs w:val="32"/>
              </w:rPr>
            </w:pPr>
          </w:p>
        </w:tc>
        <w:tc>
          <w:tcPr>
            <w:tcW w:w="363" w:type="dxa"/>
            <w:noWrap w:val="0"/>
            <w:vAlign w:val="center"/>
          </w:tcPr>
          <w:p>
            <w:pPr>
              <w:spacing w:line="700" w:lineRule="exact"/>
              <w:jc w:val="center"/>
              <w:rPr>
                <w:rFonts w:ascii="Calibri" w:hAnsi="Calibri" w:eastAsia="楷体"/>
                <w:kern w:val="0"/>
                <w:szCs w:val="32"/>
              </w:rPr>
            </w:pPr>
          </w:p>
        </w:tc>
        <w:tc>
          <w:tcPr>
            <w:tcW w:w="362" w:type="dxa"/>
            <w:noWrap w:val="0"/>
            <w:vAlign w:val="center"/>
          </w:tcPr>
          <w:p>
            <w:pPr>
              <w:spacing w:line="700" w:lineRule="exact"/>
              <w:jc w:val="center"/>
              <w:rPr>
                <w:rFonts w:ascii="Calibri" w:hAnsi="Calibri" w:eastAsia="楷体"/>
                <w:kern w:val="0"/>
                <w:szCs w:val="32"/>
              </w:rPr>
            </w:pPr>
          </w:p>
        </w:tc>
        <w:tc>
          <w:tcPr>
            <w:tcW w:w="388" w:type="dxa"/>
            <w:noWrap w:val="0"/>
            <w:vAlign w:val="center"/>
          </w:tcPr>
          <w:p>
            <w:pPr>
              <w:spacing w:line="700" w:lineRule="exact"/>
              <w:jc w:val="center"/>
              <w:rPr>
                <w:rFonts w:ascii="Calibri" w:hAnsi="Calibri" w:eastAsia="楷体"/>
                <w:kern w:val="0"/>
                <w:szCs w:val="32"/>
              </w:rPr>
            </w:pPr>
          </w:p>
        </w:tc>
        <w:tc>
          <w:tcPr>
            <w:tcW w:w="350" w:type="dxa"/>
            <w:noWrap w:val="0"/>
            <w:vAlign w:val="center"/>
          </w:tcPr>
          <w:p>
            <w:pPr>
              <w:spacing w:line="700" w:lineRule="exact"/>
              <w:jc w:val="center"/>
              <w:rPr>
                <w:rFonts w:ascii="Calibri" w:hAnsi="Calibri" w:eastAsia="楷体"/>
                <w:kern w:val="0"/>
                <w:szCs w:val="32"/>
              </w:rPr>
            </w:pPr>
          </w:p>
        </w:tc>
        <w:tc>
          <w:tcPr>
            <w:tcW w:w="365" w:type="dxa"/>
            <w:gridSpan w:val="2"/>
            <w:noWrap w:val="0"/>
            <w:vAlign w:val="center"/>
          </w:tcPr>
          <w:p>
            <w:pPr>
              <w:spacing w:line="700" w:lineRule="exact"/>
              <w:jc w:val="center"/>
              <w:rPr>
                <w:rFonts w:ascii="Calibri" w:hAnsi="Calibri" w:eastAsia="楷体"/>
                <w:kern w:val="0"/>
                <w:szCs w:val="32"/>
              </w:rPr>
            </w:pPr>
          </w:p>
        </w:tc>
      </w:tr>
    </w:tbl>
    <w:p>
      <w:pPr>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单位</w:t>
            </w:r>
          </w:p>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生态效益指标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满意度指标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bl>
    <w:p>
      <w:pPr>
        <w:spacing w:line="700" w:lineRule="exact"/>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hint="eastAsia" w:ascii="黑体" w:hAnsi="黑体" w:eastAsia="黑体" w:cs="黑体"/>
          <w:szCs w:val="32"/>
        </w:rPr>
        <w:t>一、202</w:t>
      </w:r>
      <w:r>
        <w:rPr>
          <w:rFonts w:hint="eastAsia" w:ascii="黑体" w:hAnsi="黑体" w:eastAsia="黑体" w:cs="黑体"/>
          <w:szCs w:val="32"/>
          <w:lang w:val="en-US" w:eastAsia="zh-CN"/>
        </w:rPr>
        <w:t>4</w:t>
      </w:r>
      <w:r>
        <w:rPr>
          <w:rFonts w:hint="eastAsia" w:ascii="黑体" w:hAnsi="黑体" w:eastAsia="黑体" w:cs="黑体"/>
          <w:szCs w:val="32"/>
        </w:rPr>
        <w:t>年收支预算总体情况</w:t>
      </w:r>
    </w:p>
    <w:p>
      <w:pPr>
        <w:ind w:firstLine="640" w:firstLineChars="200"/>
        <w:rPr>
          <w:rFonts w:hint="default"/>
          <w:color w:val="000000" w:themeColor="text1"/>
          <w:szCs w:val="32"/>
          <w:lang w:val="en-US"/>
          <w14:textFill>
            <w14:solidFill>
              <w14:schemeClr w14:val="tx1"/>
            </w14:solidFill>
          </w14:textFill>
        </w:rPr>
      </w:pPr>
      <w:r>
        <w:rPr>
          <w:rFonts w:hint="eastAsia" w:ascii="仿宋" w:hAnsi="仿宋" w:eastAsia="仿宋" w:cs="仿宋"/>
          <w:szCs w:val="32"/>
        </w:rPr>
        <w:t>按照综合预算的原则，所有收入和支出全部纳入</w:t>
      </w:r>
      <w:r>
        <w:rPr>
          <w:rFonts w:hint="eastAsia" w:ascii="仿宋" w:hAnsi="仿宋" w:eastAsia="仿宋" w:cs="仿宋"/>
          <w:szCs w:val="32"/>
          <w:lang w:val="en-US" w:eastAsia="zh-CN"/>
        </w:rPr>
        <w:t>单位</w:t>
      </w:r>
      <w:r>
        <w:rPr>
          <w:rFonts w:hint="eastAsia" w:ascii="仿宋" w:hAnsi="仿宋" w:eastAsia="仿宋" w:cs="仿宋"/>
          <w:szCs w:val="32"/>
        </w:rPr>
        <w:t>预算管理。收入包括：一般公共预算拨款收入</w:t>
      </w:r>
      <w:r>
        <w:rPr>
          <w:rFonts w:hint="eastAsia" w:ascii="仿宋" w:hAnsi="仿宋" w:eastAsia="仿宋" w:cs="仿宋"/>
          <w:szCs w:val="32"/>
          <w:lang w:eastAsia="zh-CN"/>
        </w:rPr>
        <w:t>、</w:t>
      </w:r>
      <w:r>
        <w:rPr>
          <w:rFonts w:hint="eastAsia" w:ascii="仿宋" w:hAnsi="仿宋" w:eastAsia="仿宋" w:cs="仿宋"/>
          <w:szCs w:val="32"/>
        </w:rPr>
        <w:t>上年结转结余；支出包括：一般公共服务支出、社会保障和就业支出、卫生健康支出、住房保障支出。202</w:t>
      </w:r>
      <w:r>
        <w:rPr>
          <w:rFonts w:hint="eastAsia" w:ascii="仿宋" w:hAnsi="仿宋" w:eastAsia="仿宋" w:cs="仿宋"/>
          <w:szCs w:val="32"/>
          <w:lang w:val="en-US" w:eastAsia="zh-CN"/>
        </w:rPr>
        <w:t>4</w:t>
      </w:r>
      <w:r>
        <w:rPr>
          <w:rFonts w:hint="eastAsia" w:ascii="仿宋" w:hAnsi="仿宋" w:eastAsia="仿宋" w:cs="仿宋"/>
          <w:szCs w:val="32"/>
        </w:rPr>
        <w:t>年收支总预算</w:t>
      </w:r>
      <w:r>
        <w:rPr>
          <w:rFonts w:hint="eastAsia" w:ascii="仿宋" w:hAnsi="仿宋" w:eastAsia="仿宋" w:cs="仿宋"/>
          <w:szCs w:val="32"/>
          <w:lang w:val="en-US" w:eastAsia="zh-CN"/>
        </w:rPr>
        <w:t>117.04</w:t>
      </w:r>
      <w:r>
        <w:rPr>
          <w:rFonts w:hint="eastAsia" w:ascii="仿宋" w:hAnsi="仿宋" w:eastAsia="仿宋" w:cs="仿宋"/>
          <w:szCs w:val="32"/>
        </w:rPr>
        <w:t>万元</w:t>
      </w:r>
      <w:r>
        <w:rPr>
          <w:rFonts w:hint="eastAsia" w:ascii="仿宋" w:hAnsi="仿宋" w:eastAsia="仿宋" w:cs="仿宋"/>
          <w:szCs w:val="32"/>
          <w:lang w:eastAsia="zh-CN"/>
        </w:rPr>
        <w:t>，其中：本年预算</w:t>
      </w:r>
      <w:r>
        <w:rPr>
          <w:rFonts w:hint="eastAsia" w:ascii="仿宋" w:hAnsi="仿宋" w:eastAsia="仿宋" w:cs="仿宋"/>
          <w:szCs w:val="32"/>
          <w:lang w:val="en-US" w:eastAsia="zh-CN"/>
        </w:rPr>
        <w:t>113.01</w:t>
      </w:r>
      <w:r>
        <w:rPr>
          <w:rFonts w:hint="eastAsia" w:ascii="仿宋" w:hAnsi="仿宋" w:eastAsia="仿宋" w:cs="仿宋"/>
          <w:szCs w:val="32"/>
          <w:lang w:eastAsia="zh-CN"/>
        </w:rPr>
        <w:t>万元；上年结转</w:t>
      </w:r>
      <w:r>
        <w:rPr>
          <w:rFonts w:hint="eastAsia" w:ascii="仿宋" w:hAnsi="仿宋" w:eastAsia="仿宋" w:cs="仿宋"/>
          <w:szCs w:val="32"/>
          <w:lang w:val="en-US" w:eastAsia="zh-CN"/>
        </w:rPr>
        <w:t>4.03</w:t>
      </w:r>
      <w:r>
        <w:rPr>
          <w:rFonts w:hint="eastAsia" w:ascii="仿宋" w:hAnsi="仿宋" w:eastAsia="仿宋" w:cs="仿宋"/>
          <w:szCs w:val="32"/>
          <w:lang w:eastAsia="zh-CN"/>
        </w:rPr>
        <w:t>万元。</w:t>
      </w:r>
      <w:r>
        <w:rPr>
          <w:rFonts w:hint="eastAsia" w:ascii="仿宋" w:hAnsi="仿宋" w:eastAsia="仿宋" w:cs="仿宋"/>
          <w:szCs w:val="32"/>
          <w:lang w:val="en-US" w:eastAsia="zh-CN"/>
        </w:rPr>
        <w:t>2024年本年预算比</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w:t>
      </w:r>
      <w:r>
        <w:rPr>
          <w:rFonts w:hint="eastAsia" w:ascii="仿宋" w:hAnsi="仿宋" w:eastAsia="仿宋" w:cs="仿宋"/>
          <w:szCs w:val="32"/>
          <w:lang w:val="en-US" w:eastAsia="zh-CN"/>
        </w:rPr>
        <w:t>增加3.41万元。</w:t>
      </w:r>
      <w:r>
        <w:rPr>
          <w:rFonts w:hint="eastAsia" w:ascii="仿宋" w:hAnsi="仿宋" w:eastAsia="仿宋" w:cs="仿宋"/>
          <w:color w:val="000000" w:themeColor="text1"/>
          <w:szCs w:val="32"/>
          <w:lang w:val="en-US" w:eastAsia="zh-CN"/>
          <w14:textFill>
            <w14:solidFill>
              <w14:schemeClr w14:val="tx1"/>
            </w14:solidFill>
          </w14:textFill>
        </w:rPr>
        <w:t>主要原因是本年度退休人员增加补贴纳入2024年度预算，由单位发放，导致2024年本年预算比2023年当年预算增加。</w:t>
      </w:r>
    </w:p>
    <w:p>
      <w:pPr>
        <w:ind w:firstLine="640" w:firstLineChars="200"/>
        <w:rPr>
          <w:rFonts w:eastAsia="黑体"/>
          <w:szCs w:val="32"/>
        </w:rPr>
      </w:pPr>
      <w:r>
        <w:rPr>
          <w:rFonts w:hint="eastAsia" w:ascii="黑体" w:hAnsi="黑体" w:eastAsia="黑体" w:cs="黑体"/>
          <w:szCs w:val="32"/>
        </w:rPr>
        <w:t>二、202</w:t>
      </w:r>
      <w:r>
        <w:rPr>
          <w:rFonts w:hint="eastAsia" w:ascii="黑体" w:hAnsi="黑体" w:eastAsia="黑体" w:cs="黑体"/>
          <w:szCs w:val="32"/>
          <w:lang w:val="en-US" w:eastAsia="zh-CN"/>
        </w:rPr>
        <w:t>4</w:t>
      </w:r>
      <w:r>
        <w:rPr>
          <w:rFonts w:hint="eastAsia" w:ascii="黑体" w:hAnsi="黑体" w:eastAsia="黑体" w:cs="黑体"/>
          <w:szCs w:val="32"/>
        </w:rPr>
        <w:t>年收入预算情况</w:t>
      </w:r>
    </w:p>
    <w:p>
      <w:pPr>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年收入预算</w:t>
      </w:r>
      <w:r>
        <w:rPr>
          <w:rFonts w:hint="eastAsia" w:ascii="仿宋" w:hAnsi="仿宋" w:eastAsia="仿宋" w:cs="仿宋"/>
          <w:szCs w:val="32"/>
          <w:lang w:val="en-US" w:eastAsia="zh-CN"/>
        </w:rPr>
        <w:t>117.04</w:t>
      </w:r>
      <w:r>
        <w:rPr>
          <w:rFonts w:hint="eastAsia" w:ascii="仿宋" w:hAnsi="仿宋" w:eastAsia="仿宋" w:cs="仿宋"/>
          <w:szCs w:val="32"/>
        </w:rPr>
        <w:t>万元，其中：本年收入</w:t>
      </w:r>
      <w:r>
        <w:rPr>
          <w:rFonts w:hint="eastAsia" w:ascii="仿宋" w:hAnsi="仿宋" w:eastAsia="仿宋" w:cs="仿宋"/>
          <w:szCs w:val="32"/>
          <w:lang w:val="en-US" w:eastAsia="zh-CN"/>
        </w:rPr>
        <w:t>113.01</w:t>
      </w:r>
      <w:r>
        <w:rPr>
          <w:rFonts w:hint="eastAsia" w:ascii="仿宋" w:hAnsi="仿宋" w:eastAsia="仿宋" w:cs="仿宋"/>
          <w:szCs w:val="32"/>
        </w:rPr>
        <w:t>万元，占</w:t>
      </w:r>
      <w:r>
        <w:rPr>
          <w:rFonts w:hint="eastAsia" w:ascii="仿宋" w:hAnsi="仿宋" w:eastAsia="仿宋" w:cs="仿宋"/>
          <w:szCs w:val="32"/>
          <w:lang w:val="en-US" w:eastAsia="zh-CN"/>
        </w:rPr>
        <w:t>96.56</w:t>
      </w:r>
      <w:r>
        <w:rPr>
          <w:rFonts w:hint="eastAsia" w:ascii="仿宋" w:hAnsi="仿宋" w:eastAsia="仿宋" w:cs="仿宋"/>
          <w:szCs w:val="32"/>
        </w:rPr>
        <w:t>%；上年结转</w:t>
      </w:r>
      <w:r>
        <w:rPr>
          <w:rFonts w:hint="eastAsia" w:ascii="仿宋" w:hAnsi="仿宋" w:eastAsia="仿宋" w:cs="仿宋"/>
          <w:szCs w:val="32"/>
          <w:lang w:eastAsia="zh-CN"/>
        </w:rPr>
        <w:t>结余</w:t>
      </w:r>
      <w:r>
        <w:rPr>
          <w:rFonts w:hint="eastAsia" w:ascii="仿宋" w:hAnsi="仿宋" w:eastAsia="仿宋" w:cs="仿宋"/>
          <w:szCs w:val="32"/>
          <w:lang w:val="en-US" w:eastAsia="zh-CN"/>
        </w:rPr>
        <w:t>4.03</w:t>
      </w:r>
      <w:r>
        <w:rPr>
          <w:rFonts w:hint="eastAsia" w:ascii="仿宋" w:hAnsi="仿宋" w:eastAsia="仿宋" w:cs="仿宋"/>
          <w:szCs w:val="32"/>
        </w:rPr>
        <w:t>万元，占</w:t>
      </w:r>
      <w:r>
        <w:rPr>
          <w:rFonts w:hint="eastAsia" w:ascii="仿宋" w:hAnsi="仿宋" w:eastAsia="仿宋" w:cs="仿宋"/>
          <w:szCs w:val="32"/>
          <w:lang w:val="en-US" w:eastAsia="zh-CN"/>
        </w:rPr>
        <w:t>3.44</w:t>
      </w:r>
      <w:r>
        <w:rPr>
          <w:rFonts w:hint="eastAsia" w:ascii="仿宋" w:hAnsi="仿宋" w:eastAsia="仿宋" w:cs="仿宋"/>
          <w:szCs w:val="32"/>
        </w:rPr>
        <w:t>%。本年收入中，一般公共预算拨款收入</w:t>
      </w:r>
      <w:r>
        <w:rPr>
          <w:rFonts w:hint="eastAsia" w:ascii="仿宋" w:hAnsi="仿宋" w:eastAsia="仿宋" w:cs="仿宋"/>
          <w:szCs w:val="32"/>
          <w:lang w:val="en-US" w:eastAsia="zh-CN"/>
        </w:rPr>
        <w:t>113.01</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%。上年结转中，一般公共预算拨款结转</w:t>
      </w:r>
      <w:r>
        <w:rPr>
          <w:rFonts w:hint="eastAsia" w:ascii="仿宋" w:hAnsi="仿宋" w:eastAsia="仿宋" w:cs="仿宋"/>
          <w:szCs w:val="32"/>
          <w:lang w:val="en-US" w:eastAsia="zh-CN"/>
        </w:rPr>
        <w:t>4.03</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w:t>
      </w:r>
    </w:p>
    <w:p>
      <w:pPr>
        <w:ind w:firstLine="640" w:firstLineChars="200"/>
        <w:rPr>
          <w:rFonts w:eastAsia="黑体"/>
          <w:szCs w:val="32"/>
        </w:rPr>
      </w:pPr>
      <w:r>
        <w:rPr>
          <w:rFonts w:hint="eastAsia" w:ascii="黑体" w:hAnsi="黑体" w:eastAsia="黑体" w:cs="黑体"/>
          <w:szCs w:val="32"/>
        </w:rPr>
        <w:t>三、202</w:t>
      </w:r>
      <w:r>
        <w:rPr>
          <w:rFonts w:hint="eastAsia" w:ascii="黑体" w:hAnsi="黑体" w:eastAsia="黑体" w:cs="黑体"/>
          <w:szCs w:val="32"/>
          <w:lang w:val="en-US" w:eastAsia="zh-CN"/>
        </w:rPr>
        <w:t>4</w:t>
      </w:r>
      <w:r>
        <w:rPr>
          <w:rFonts w:hint="eastAsia" w:ascii="黑体" w:hAnsi="黑体" w:eastAsia="黑体" w:cs="黑体"/>
          <w:szCs w:val="32"/>
        </w:rPr>
        <w:t>年支出预算情况</w:t>
      </w:r>
    </w:p>
    <w:p>
      <w:pPr>
        <w:ind w:firstLine="640" w:firstLineChars="200"/>
        <w:rPr>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年支出预算</w:t>
      </w:r>
      <w:r>
        <w:rPr>
          <w:rFonts w:hint="eastAsia" w:ascii="仿宋" w:hAnsi="仿宋" w:eastAsia="仿宋" w:cs="仿宋"/>
          <w:szCs w:val="32"/>
          <w:lang w:val="en-US" w:eastAsia="zh-CN"/>
        </w:rPr>
        <w:t>117.04</w:t>
      </w:r>
      <w:r>
        <w:rPr>
          <w:rFonts w:hint="eastAsia" w:ascii="仿宋" w:hAnsi="仿宋" w:eastAsia="仿宋" w:cs="仿宋"/>
          <w:szCs w:val="32"/>
        </w:rPr>
        <w:t>万元，其中：基本支出</w:t>
      </w:r>
      <w:r>
        <w:rPr>
          <w:rFonts w:hint="eastAsia" w:ascii="仿宋" w:hAnsi="仿宋" w:eastAsia="仿宋" w:cs="仿宋"/>
          <w:szCs w:val="32"/>
          <w:lang w:val="en-US" w:eastAsia="zh-CN"/>
        </w:rPr>
        <w:t>117.04</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w:t>
      </w:r>
    </w:p>
    <w:p>
      <w:pPr>
        <w:ind w:firstLine="600"/>
        <w:rPr>
          <w:rFonts w:eastAsia="黑体"/>
          <w:szCs w:val="32"/>
        </w:rPr>
      </w:pPr>
      <w:r>
        <w:rPr>
          <w:rFonts w:hint="eastAsia" w:ascii="黑体" w:hAnsi="黑体" w:eastAsia="黑体" w:cs="黑体"/>
          <w:szCs w:val="32"/>
        </w:rPr>
        <w:t>四、202</w:t>
      </w:r>
      <w:r>
        <w:rPr>
          <w:rFonts w:hint="eastAsia" w:ascii="黑体" w:hAnsi="黑体" w:eastAsia="黑体" w:cs="黑体"/>
          <w:szCs w:val="32"/>
          <w:lang w:val="en-US" w:eastAsia="zh-CN"/>
        </w:rPr>
        <w:t>4</w:t>
      </w:r>
      <w:r>
        <w:rPr>
          <w:rFonts w:hint="eastAsia" w:ascii="黑体" w:hAnsi="黑体" w:eastAsia="黑体" w:cs="黑体"/>
          <w:szCs w:val="32"/>
        </w:rPr>
        <w:t>年财政拨款收支预算情况</w:t>
      </w:r>
    </w:p>
    <w:p>
      <w:pPr>
        <w:ind w:firstLine="600"/>
        <w:rPr>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年财政拨款收支总预算</w:t>
      </w:r>
      <w:r>
        <w:rPr>
          <w:rFonts w:hint="eastAsia" w:ascii="仿宋" w:hAnsi="仿宋" w:eastAsia="仿宋" w:cs="仿宋"/>
          <w:szCs w:val="32"/>
          <w:lang w:val="en-US" w:eastAsia="zh-CN"/>
        </w:rPr>
        <w:t>117.04</w:t>
      </w:r>
      <w:r>
        <w:rPr>
          <w:rFonts w:hint="eastAsia" w:ascii="仿宋" w:hAnsi="仿宋" w:eastAsia="仿宋" w:cs="仿宋"/>
          <w:szCs w:val="32"/>
        </w:rPr>
        <w:t>万元，其中：本年</w:t>
      </w:r>
      <w:r>
        <w:rPr>
          <w:rFonts w:hint="eastAsia" w:ascii="仿宋" w:hAnsi="仿宋" w:eastAsia="仿宋" w:cs="仿宋"/>
          <w:szCs w:val="32"/>
          <w:lang w:eastAsia="zh-CN"/>
        </w:rPr>
        <w:t>预算</w:t>
      </w:r>
      <w:r>
        <w:rPr>
          <w:rFonts w:hint="eastAsia" w:ascii="仿宋" w:hAnsi="仿宋" w:eastAsia="仿宋" w:cs="仿宋"/>
          <w:szCs w:val="32"/>
          <w:lang w:val="en-US" w:eastAsia="zh-CN"/>
        </w:rPr>
        <w:t>113.01</w:t>
      </w:r>
      <w:r>
        <w:rPr>
          <w:rFonts w:hint="eastAsia" w:ascii="仿宋" w:hAnsi="仿宋" w:eastAsia="仿宋" w:cs="仿宋"/>
          <w:szCs w:val="32"/>
        </w:rPr>
        <w:t>万元，上年结转</w:t>
      </w:r>
      <w:r>
        <w:rPr>
          <w:rFonts w:hint="eastAsia" w:ascii="仿宋" w:hAnsi="仿宋" w:eastAsia="仿宋" w:cs="仿宋"/>
          <w:szCs w:val="32"/>
          <w:lang w:val="en-US" w:eastAsia="zh-CN"/>
        </w:rPr>
        <w:t>4.03</w:t>
      </w:r>
      <w:r>
        <w:rPr>
          <w:rFonts w:hint="eastAsia" w:ascii="仿宋" w:hAnsi="仿宋" w:eastAsia="仿宋" w:cs="仿宋"/>
          <w:szCs w:val="32"/>
        </w:rPr>
        <w:t>万元。支出包括：</w:t>
      </w:r>
      <w:r>
        <w:rPr>
          <w:rFonts w:hint="eastAsia" w:ascii="仿宋" w:hAnsi="仿宋" w:eastAsia="仿宋" w:cs="仿宋"/>
          <w:kern w:val="0"/>
          <w:szCs w:val="32"/>
        </w:rPr>
        <w:t>一般公共服务支出</w:t>
      </w:r>
      <w:r>
        <w:rPr>
          <w:rFonts w:hint="eastAsia" w:ascii="仿宋" w:hAnsi="仿宋" w:eastAsia="仿宋" w:cs="仿宋"/>
          <w:szCs w:val="32"/>
          <w:lang w:val="en-US" w:eastAsia="zh-CN"/>
        </w:rPr>
        <w:t>90.98</w:t>
      </w:r>
      <w:r>
        <w:rPr>
          <w:rFonts w:hint="eastAsia" w:ascii="仿宋" w:hAnsi="仿宋" w:eastAsia="仿宋" w:cs="仿宋"/>
          <w:szCs w:val="32"/>
        </w:rPr>
        <w:t>万元，</w:t>
      </w:r>
      <w:r>
        <w:rPr>
          <w:rFonts w:hint="eastAsia" w:ascii="仿宋" w:hAnsi="仿宋" w:eastAsia="仿宋" w:cs="仿宋"/>
          <w:kern w:val="0"/>
          <w:szCs w:val="32"/>
        </w:rPr>
        <w:t>社会保障和就业支出</w:t>
      </w:r>
      <w:r>
        <w:rPr>
          <w:rFonts w:hint="eastAsia" w:ascii="仿宋" w:hAnsi="仿宋" w:eastAsia="仿宋" w:cs="仿宋"/>
          <w:szCs w:val="32"/>
          <w:lang w:val="en-US" w:eastAsia="zh-CN"/>
        </w:rPr>
        <w:t>13.07</w:t>
      </w:r>
      <w:r>
        <w:rPr>
          <w:rFonts w:hint="eastAsia" w:ascii="仿宋" w:hAnsi="仿宋" w:eastAsia="仿宋" w:cs="仿宋"/>
          <w:szCs w:val="32"/>
        </w:rPr>
        <w:t>万元，</w:t>
      </w:r>
      <w:r>
        <w:rPr>
          <w:rFonts w:hint="eastAsia" w:ascii="仿宋" w:hAnsi="仿宋" w:eastAsia="仿宋" w:cs="仿宋"/>
          <w:kern w:val="0"/>
          <w:szCs w:val="32"/>
        </w:rPr>
        <w:t>卫生健康支出</w:t>
      </w:r>
      <w:r>
        <w:rPr>
          <w:rFonts w:hint="eastAsia" w:ascii="仿宋" w:hAnsi="仿宋" w:eastAsia="仿宋" w:cs="仿宋"/>
          <w:kern w:val="0"/>
          <w:szCs w:val="32"/>
          <w:lang w:val="en-US" w:eastAsia="zh-CN"/>
        </w:rPr>
        <w:t>3.64</w:t>
      </w:r>
      <w:r>
        <w:rPr>
          <w:rFonts w:hint="eastAsia" w:ascii="仿宋" w:hAnsi="仿宋" w:eastAsia="仿宋" w:cs="仿宋"/>
          <w:szCs w:val="32"/>
        </w:rPr>
        <w:t>万元，</w:t>
      </w:r>
      <w:r>
        <w:rPr>
          <w:rFonts w:hint="eastAsia" w:ascii="仿宋" w:hAnsi="仿宋" w:eastAsia="仿宋" w:cs="仿宋"/>
          <w:kern w:val="0"/>
          <w:szCs w:val="32"/>
        </w:rPr>
        <w:t>住房保障支出</w:t>
      </w:r>
      <w:r>
        <w:rPr>
          <w:rFonts w:hint="eastAsia" w:ascii="仿宋" w:hAnsi="仿宋" w:eastAsia="仿宋" w:cs="仿宋"/>
          <w:szCs w:val="32"/>
          <w:lang w:val="en-US" w:eastAsia="zh-CN"/>
        </w:rPr>
        <w:t>9.35</w:t>
      </w:r>
      <w:r>
        <w:rPr>
          <w:rFonts w:hint="eastAsia" w:ascii="仿宋" w:hAnsi="仿宋" w:eastAsia="仿宋" w:cs="仿宋"/>
          <w:szCs w:val="32"/>
        </w:rPr>
        <w:t>万元。</w:t>
      </w:r>
    </w:p>
    <w:p>
      <w:pPr>
        <w:ind w:firstLine="600"/>
        <w:rPr>
          <w:rFonts w:eastAsia="黑体"/>
          <w:szCs w:val="30"/>
        </w:rPr>
      </w:pPr>
      <w:r>
        <w:rPr>
          <w:rFonts w:hint="eastAsia" w:ascii="黑体" w:hAnsi="黑体" w:eastAsia="黑体" w:cs="黑体"/>
          <w:szCs w:val="32"/>
        </w:rPr>
        <w:t>五、202</w:t>
      </w:r>
      <w:r>
        <w:rPr>
          <w:rFonts w:hint="eastAsia" w:ascii="黑体" w:hAnsi="黑体" w:eastAsia="黑体" w:cs="黑体"/>
          <w:szCs w:val="32"/>
          <w:lang w:val="en-US" w:eastAsia="zh-CN"/>
        </w:rPr>
        <w:t>4</w:t>
      </w:r>
      <w:r>
        <w:rPr>
          <w:rFonts w:hint="eastAsia" w:ascii="黑体" w:hAnsi="黑体" w:eastAsia="黑体" w:cs="黑体"/>
          <w:szCs w:val="32"/>
        </w:rPr>
        <w:t>年一般公共预算支出情况</w:t>
      </w:r>
    </w:p>
    <w:p>
      <w:pPr>
        <w:ind w:firstLine="6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年一般公共预算拨款</w:t>
      </w:r>
      <w:r>
        <w:rPr>
          <w:rFonts w:hint="eastAsia" w:ascii="仿宋" w:hAnsi="仿宋" w:eastAsia="仿宋" w:cs="仿宋"/>
          <w:szCs w:val="32"/>
          <w:lang w:val="en-US" w:eastAsia="zh-CN"/>
        </w:rPr>
        <w:t>117.04</w:t>
      </w:r>
      <w:r>
        <w:rPr>
          <w:rFonts w:hint="eastAsia" w:ascii="仿宋" w:hAnsi="仿宋" w:eastAsia="仿宋" w:cs="仿宋"/>
          <w:szCs w:val="32"/>
        </w:rPr>
        <w:t>万元，其中：基本支出</w:t>
      </w:r>
      <w:r>
        <w:rPr>
          <w:rFonts w:hint="eastAsia" w:ascii="仿宋" w:hAnsi="仿宋" w:eastAsia="仿宋" w:cs="仿宋"/>
          <w:szCs w:val="32"/>
          <w:lang w:val="en-US" w:eastAsia="zh-CN"/>
        </w:rPr>
        <w:t>117.04</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%。基本支出中，人员经费</w:t>
      </w:r>
      <w:r>
        <w:rPr>
          <w:rFonts w:hint="eastAsia" w:ascii="仿宋" w:hAnsi="仿宋" w:eastAsia="仿宋" w:cs="仿宋"/>
          <w:szCs w:val="32"/>
          <w:lang w:val="en-US" w:eastAsia="zh-CN"/>
        </w:rPr>
        <w:t>98.65</w:t>
      </w:r>
      <w:r>
        <w:rPr>
          <w:rFonts w:hint="eastAsia" w:ascii="仿宋" w:hAnsi="仿宋" w:eastAsia="仿宋" w:cs="仿宋"/>
          <w:szCs w:val="32"/>
        </w:rPr>
        <w:t>万元，占</w:t>
      </w:r>
      <w:r>
        <w:rPr>
          <w:rFonts w:hint="eastAsia" w:ascii="仿宋" w:hAnsi="仿宋" w:eastAsia="仿宋" w:cs="仿宋"/>
          <w:szCs w:val="32"/>
          <w:lang w:val="en-US" w:eastAsia="zh-CN"/>
        </w:rPr>
        <w:t>84.29</w:t>
      </w:r>
      <w:r>
        <w:rPr>
          <w:rFonts w:hint="eastAsia" w:ascii="仿宋" w:hAnsi="仿宋" w:eastAsia="仿宋" w:cs="仿宋"/>
          <w:szCs w:val="32"/>
        </w:rPr>
        <w:t>%；公用经费</w:t>
      </w:r>
      <w:r>
        <w:rPr>
          <w:rFonts w:hint="eastAsia" w:ascii="仿宋" w:hAnsi="仿宋" w:eastAsia="仿宋" w:cs="仿宋"/>
          <w:szCs w:val="32"/>
          <w:lang w:val="en-US" w:eastAsia="zh-CN"/>
        </w:rPr>
        <w:t>18.39</w:t>
      </w:r>
      <w:r>
        <w:rPr>
          <w:rFonts w:hint="eastAsia" w:ascii="仿宋" w:hAnsi="仿宋" w:eastAsia="仿宋" w:cs="仿宋"/>
          <w:szCs w:val="32"/>
        </w:rPr>
        <w:t>万元，占</w:t>
      </w:r>
      <w:r>
        <w:rPr>
          <w:rFonts w:hint="eastAsia" w:ascii="仿宋" w:hAnsi="仿宋" w:eastAsia="仿宋" w:cs="仿宋"/>
          <w:szCs w:val="32"/>
          <w:lang w:val="en-US" w:eastAsia="zh-CN"/>
        </w:rPr>
        <w:t>15.71</w:t>
      </w:r>
      <w:r>
        <w:rPr>
          <w:rFonts w:hint="eastAsia" w:ascii="仿宋" w:hAnsi="仿宋" w:eastAsia="仿宋" w:cs="仿宋"/>
          <w:szCs w:val="32"/>
        </w:rPr>
        <w:t>%。</w:t>
      </w:r>
    </w:p>
    <w:p>
      <w:pPr>
        <w:ind w:firstLine="600"/>
        <w:rPr>
          <w:rFonts w:hint="eastAsia" w:ascii="仿宋" w:hAnsi="仿宋" w:eastAsia="仿宋" w:cs="仿宋"/>
          <w:szCs w:val="32"/>
        </w:rPr>
      </w:pPr>
      <w:r>
        <w:rPr>
          <w:rFonts w:hint="eastAsia" w:ascii="仿宋" w:hAnsi="仿宋" w:eastAsia="仿宋" w:cs="仿宋"/>
          <w:szCs w:val="32"/>
        </w:rPr>
        <w:t>一般公共服务（类）支出</w:t>
      </w:r>
      <w:r>
        <w:rPr>
          <w:rFonts w:hint="eastAsia" w:ascii="仿宋" w:hAnsi="仿宋" w:eastAsia="仿宋" w:cs="仿宋"/>
          <w:szCs w:val="32"/>
          <w:lang w:val="en-US" w:eastAsia="zh-CN"/>
        </w:rPr>
        <w:t>90.98</w:t>
      </w:r>
      <w:r>
        <w:rPr>
          <w:rFonts w:hint="eastAsia" w:ascii="仿宋" w:hAnsi="仿宋" w:eastAsia="仿宋" w:cs="仿宋"/>
          <w:szCs w:val="32"/>
        </w:rPr>
        <w:t>万元，占</w:t>
      </w:r>
      <w:r>
        <w:rPr>
          <w:rFonts w:hint="eastAsia" w:ascii="仿宋" w:hAnsi="仿宋" w:eastAsia="仿宋" w:cs="仿宋"/>
          <w:szCs w:val="32"/>
          <w:lang w:val="en-US" w:eastAsia="zh-CN"/>
        </w:rPr>
        <w:t>77.73</w:t>
      </w:r>
      <w:r>
        <w:rPr>
          <w:rFonts w:hint="eastAsia" w:ascii="仿宋" w:hAnsi="仿宋" w:eastAsia="仿宋" w:cs="仿宋"/>
          <w:szCs w:val="32"/>
        </w:rPr>
        <w:t>%，主要用于保障职工工资，维持机关正常运行，完成年度统计工作任务。</w:t>
      </w:r>
    </w:p>
    <w:p>
      <w:pPr>
        <w:ind w:firstLine="600"/>
        <w:rPr>
          <w:rFonts w:hint="eastAsia" w:ascii="仿宋" w:hAnsi="仿宋" w:eastAsia="仿宋" w:cs="仿宋"/>
          <w:szCs w:val="32"/>
        </w:rPr>
      </w:pPr>
      <w:r>
        <w:rPr>
          <w:rFonts w:hint="eastAsia" w:ascii="仿宋" w:hAnsi="仿宋" w:eastAsia="仿宋" w:cs="仿宋"/>
          <w:szCs w:val="32"/>
        </w:rPr>
        <w:t>社会保障和就业（类）支出</w:t>
      </w:r>
      <w:r>
        <w:rPr>
          <w:rFonts w:hint="eastAsia" w:ascii="仿宋" w:hAnsi="仿宋" w:eastAsia="仿宋" w:cs="仿宋"/>
          <w:szCs w:val="32"/>
          <w:lang w:val="en-US" w:eastAsia="zh-CN"/>
        </w:rPr>
        <w:t>13.07</w:t>
      </w:r>
      <w:r>
        <w:rPr>
          <w:rFonts w:hint="eastAsia" w:ascii="仿宋" w:hAnsi="仿宋" w:eastAsia="仿宋" w:cs="仿宋"/>
          <w:szCs w:val="32"/>
        </w:rPr>
        <w:t>万元，占</w:t>
      </w:r>
      <w:r>
        <w:rPr>
          <w:rFonts w:hint="eastAsia" w:ascii="仿宋" w:hAnsi="仿宋" w:eastAsia="仿宋" w:cs="仿宋"/>
          <w:szCs w:val="32"/>
          <w:lang w:val="en-US" w:eastAsia="zh-CN"/>
        </w:rPr>
        <w:t>11.17</w:t>
      </w:r>
      <w:r>
        <w:rPr>
          <w:rFonts w:hint="eastAsia" w:ascii="仿宋" w:hAnsi="仿宋" w:eastAsia="仿宋" w:cs="仿宋"/>
          <w:szCs w:val="32"/>
        </w:rPr>
        <w:t>%，主要用于保障离退休职工工资及机关单位基本养老保险缴费支出。</w:t>
      </w:r>
    </w:p>
    <w:p>
      <w:pPr>
        <w:ind w:firstLine="600"/>
        <w:rPr>
          <w:rFonts w:hint="eastAsia" w:ascii="仿宋" w:hAnsi="仿宋" w:eastAsia="仿宋" w:cs="仿宋"/>
          <w:szCs w:val="32"/>
        </w:rPr>
      </w:pPr>
      <w:r>
        <w:rPr>
          <w:rFonts w:hint="eastAsia" w:ascii="仿宋" w:hAnsi="仿宋" w:eastAsia="仿宋" w:cs="仿宋"/>
          <w:szCs w:val="32"/>
        </w:rPr>
        <w:t>卫生健康（类）支出</w:t>
      </w:r>
      <w:r>
        <w:rPr>
          <w:rFonts w:hint="eastAsia" w:ascii="仿宋" w:hAnsi="仿宋" w:eastAsia="仿宋" w:cs="仿宋"/>
          <w:szCs w:val="32"/>
          <w:lang w:val="en-US" w:eastAsia="zh-CN"/>
        </w:rPr>
        <w:t>3.64</w:t>
      </w:r>
      <w:r>
        <w:rPr>
          <w:rFonts w:hint="eastAsia" w:ascii="仿宋" w:hAnsi="仿宋" w:eastAsia="仿宋" w:cs="仿宋"/>
          <w:szCs w:val="32"/>
        </w:rPr>
        <w:t>万元，占</w:t>
      </w:r>
      <w:r>
        <w:rPr>
          <w:rFonts w:hint="eastAsia" w:ascii="仿宋" w:hAnsi="仿宋" w:eastAsia="仿宋" w:cs="仿宋"/>
          <w:szCs w:val="32"/>
          <w:lang w:val="en-US" w:eastAsia="zh-CN"/>
        </w:rPr>
        <w:t>3.11</w:t>
      </w:r>
      <w:r>
        <w:rPr>
          <w:rFonts w:hint="eastAsia" w:ascii="仿宋" w:hAnsi="仿宋" w:eastAsia="仿宋" w:cs="仿宋"/>
          <w:szCs w:val="32"/>
        </w:rPr>
        <w:t>%，主要用于缴纳职工医疗保险。</w:t>
      </w:r>
    </w:p>
    <w:p>
      <w:pPr>
        <w:ind w:firstLine="600"/>
        <w:rPr>
          <w:rFonts w:hint="eastAsia" w:ascii="仿宋" w:hAnsi="仿宋" w:eastAsia="仿宋" w:cs="仿宋"/>
          <w:szCs w:val="32"/>
        </w:rPr>
      </w:pPr>
      <w:r>
        <w:rPr>
          <w:rFonts w:hint="eastAsia" w:ascii="仿宋" w:hAnsi="仿宋" w:eastAsia="仿宋" w:cs="仿宋"/>
          <w:szCs w:val="32"/>
        </w:rPr>
        <w:t>住房保障（类）支出</w:t>
      </w:r>
      <w:r>
        <w:rPr>
          <w:rFonts w:hint="eastAsia" w:ascii="仿宋" w:hAnsi="仿宋" w:eastAsia="仿宋" w:cs="仿宋"/>
          <w:szCs w:val="32"/>
          <w:lang w:val="en-US" w:eastAsia="zh-CN"/>
        </w:rPr>
        <w:t>9.35</w:t>
      </w:r>
      <w:r>
        <w:rPr>
          <w:rFonts w:hint="eastAsia" w:ascii="仿宋" w:hAnsi="仿宋" w:eastAsia="仿宋" w:cs="仿宋"/>
          <w:szCs w:val="32"/>
        </w:rPr>
        <w:t>万元，占</w:t>
      </w:r>
      <w:r>
        <w:rPr>
          <w:rFonts w:hint="eastAsia" w:ascii="仿宋" w:hAnsi="仿宋" w:eastAsia="仿宋" w:cs="仿宋"/>
          <w:szCs w:val="32"/>
          <w:lang w:val="en-US" w:eastAsia="zh-CN"/>
        </w:rPr>
        <w:t>7.99</w:t>
      </w:r>
      <w:r>
        <w:rPr>
          <w:rFonts w:hint="eastAsia" w:ascii="仿宋" w:hAnsi="仿宋" w:eastAsia="仿宋" w:cs="仿宋"/>
          <w:szCs w:val="32"/>
        </w:rPr>
        <w:t>%，主要用于缴纳职工住房公积金。</w:t>
      </w:r>
    </w:p>
    <w:p>
      <w:pPr>
        <w:spacing w:line="520" w:lineRule="exact"/>
        <w:ind w:firstLine="640" w:firstLineChars="200"/>
        <w:rPr>
          <w:rFonts w:eastAsia="黑体"/>
          <w:szCs w:val="32"/>
        </w:rPr>
      </w:pPr>
      <w:r>
        <w:rPr>
          <w:rFonts w:hint="eastAsia" w:ascii="黑体" w:hAnsi="黑体" w:eastAsia="黑体" w:cs="黑体"/>
          <w:szCs w:val="32"/>
        </w:rPr>
        <w:t>六、202</w:t>
      </w:r>
      <w:r>
        <w:rPr>
          <w:rFonts w:hint="eastAsia" w:ascii="黑体" w:hAnsi="黑体" w:eastAsia="黑体" w:cs="黑体"/>
          <w:szCs w:val="32"/>
          <w:lang w:val="en-US" w:eastAsia="zh-CN"/>
        </w:rPr>
        <w:t>4</w:t>
      </w:r>
      <w:r>
        <w:rPr>
          <w:rFonts w:hint="eastAsia" w:ascii="黑体" w:hAnsi="黑体" w:eastAsia="黑体" w:cs="黑体"/>
          <w:szCs w:val="32"/>
        </w:rPr>
        <w:t>年一般公共预算基本支出情况</w:t>
      </w:r>
    </w:p>
    <w:p>
      <w:pPr>
        <w:ind w:firstLine="64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年一般公共预算基本支出</w:t>
      </w:r>
      <w:r>
        <w:rPr>
          <w:rFonts w:hint="eastAsia" w:ascii="仿宋" w:hAnsi="仿宋" w:eastAsia="仿宋" w:cs="仿宋"/>
          <w:szCs w:val="32"/>
          <w:lang w:val="en-US" w:eastAsia="zh-CN"/>
        </w:rPr>
        <w:t>117.04</w:t>
      </w:r>
      <w:r>
        <w:rPr>
          <w:rFonts w:hint="eastAsia" w:ascii="仿宋" w:hAnsi="仿宋" w:eastAsia="仿宋" w:cs="仿宋"/>
          <w:szCs w:val="32"/>
        </w:rPr>
        <w:t>万元，其中：</w:t>
      </w:r>
    </w:p>
    <w:p>
      <w:pPr>
        <w:ind w:firstLine="640" w:firstLineChars="200"/>
        <w:rPr>
          <w:rFonts w:hint="eastAsia" w:ascii="仿宋" w:hAnsi="仿宋" w:eastAsia="仿宋" w:cs="仿宋"/>
          <w:kern w:val="0"/>
          <w:szCs w:val="32"/>
        </w:rPr>
      </w:pPr>
      <w:r>
        <w:rPr>
          <w:rFonts w:hint="eastAsia" w:ascii="仿宋" w:hAnsi="仿宋" w:eastAsia="仿宋" w:cs="仿宋"/>
          <w:szCs w:val="32"/>
        </w:rPr>
        <w:t>人员经费</w:t>
      </w:r>
      <w:r>
        <w:rPr>
          <w:rFonts w:hint="eastAsia" w:ascii="仿宋" w:hAnsi="仿宋" w:eastAsia="仿宋" w:cs="仿宋"/>
          <w:szCs w:val="32"/>
          <w:lang w:val="en-US" w:eastAsia="zh-CN"/>
        </w:rPr>
        <w:t>98.65</w:t>
      </w:r>
      <w:r>
        <w:rPr>
          <w:rFonts w:hint="eastAsia" w:ascii="仿宋" w:hAnsi="仿宋" w:eastAsia="仿宋" w:cs="仿宋"/>
          <w:szCs w:val="32"/>
        </w:rPr>
        <w:t>万元，主要包括：</w:t>
      </w:r>
      <w:r>
        <w:rPr>
          <w:rFonts w:hint="eastAsia" w:ascii="仿宋" w:hAnsi="仿宋" w:eastAsia="仿宋" w:cs="仿宋"/>
          <w:kern w:val="0"/>
          <w:szCs w:val="32"/>
        </w:rPr>
        <w:t>基本工资、津贴补贴、奖金、机关事业单位基本养老保险缴费、职工基本医疗保险缴费、其他社会保障缴费、住房公积金、医疗费、其他工资福利支出、退休费、其他对个人和家庭的补助支出。</w:t>
      </w:r>
    </w:p>
    <w:p>
      <w:pPr>
        <w:ind w:firstLine="640" w:firstLineChars="200"/>
        <w:rPr>
          <w:rFonts w:hint="eastAsia" w:ascii="仿宋" w:hAnsi="仿宋" w:eastAsia="仿宋" w:cs="仿宋"/>
          <w:szCs w:val="32"/>
        </w:rPr>
      </w:pPr>
      <w:r>
        <w:rPr>
          <w:rFonts w:hint="eastAsia" w:ascii="仿宋" w:hAnsi="仿宋" w:eastAsia="仿宋" w:cs="仿宋"/>
          <w:kern w:val="0"/>
          <w:szCs w:val="32"/>
        </w:rPr>
        <w:t>公用经费</w:t>
      </w:r>
      <w:r>
        <w:rPr>
          <w:rFonts w:hint="eastAsia" w:ascii="仿宋" w:hAnsi="仿宋" w:eastAsia="仿宋" w:cs="仿宋"/>
          <w:szCs w:val="32"/>
          <w:lang w:val="en-US" w:eastAsia="zh-CN"/>
        </w:rPr>
        <w:t>18.39</w:t>
      </w:r>
      <w:r>
        <w:rPr>
          <w:rFonts w:hint="eastAsia" w:ascii="仿宋" w:hAnsi="仿宋" w:eastAsia="仿宋" w:cs="仿宋"/>
          <w:szCs w:val="32"/>
        </w:rPr>
        <w:t>万元，主要包括：</w:t>
      </w:r>
      <w:r>
        <w:rPr>
          <w:rFonts w:hint="eastAsia" w:ascii="仿宋" w:hAnsi="仿宋" w:eastAsia="仿宋" w:cs="仿宋"/>
          <w:kern w:val="0"/>
          <w:szCs w:val="32"/>
        </w:rPr>
        <w:t>办公费</w:t>
      </w:r>
      <w:r>
        <w:rPr>
          <w:rFonts w:hint="eastAsia" w:ascii="仿宋" w:hAnsi="仿宋" w:eastAsia="仿宋" w:cs="仿宋"/>
          <w:szCs w:val="32"/>
        </w:rPr>
        <w:t>、</w:t>
      </w:r>
      <w:r>
        <w:rPr>
          <w:rFonts w:hint="eastAsia" w:ascii="仿宋" w:hAnsi="仿宋" w:eastAsia="仿宋" w:cs="仿宋"/>
          <w:szCs w:val="32"/>
          <w:lang w:val="en-US" w:eastAsia="zh-CN"/>
        </w:rPr>
        <w:t>印刷费、</w:t>
      </w:r>
      <w:r>
        <w:rPr>
          <w:rFonts w:hint="eastAsia" w:ascii="仿宋" w:hAnsi="仿宋" w:eastAsia="仿宋" w:cs="仿宋"/>
          <w:kern w:val="0"/>
          <w:szCs w:val="32"/>
        </w:rPr>
        <w:t>邮电费</w:t>
      </w:r>
      <w:r>
        <w:rPr>
          <w:rFonts w:hint="eastAsia" w:ascii="仿宋" w:hAnsi="仿宋" w:eastAsia="仿宋" w:cs="仿宋"/>
          <w:szCs w:val="32"/>
        </w:rPr>
        <w:t>、</w:t>
      </w:r>
      <w:r>
        <w:rPr>
          <w:rFonts w:hint="eastAsia" w:ascii="仿宋" w:hAnsi="仿宋" w:eastAsia="仿宋" w:cs="仿宋"/>
          <w:kern w:val="0"/>
          <w:szCs w:val="32"/>
        </w:rPr>
        <w:t>差旅费</w:t>
      </w:r>
      <w:r>
        <w:rPr>
          <w:rFonts w:hint="eastAsia" w:ascii="仿宋" w:hAnsi="仿宋" w:eastAsia="仿宋" w:cs="仿宋"/>
          <w:szCs w:val="32"/>
        </w:rPr>
        <w:t>、</w:t>
      </w:r>
      <w:r>
        <w:rPr>
          <w:rFonts w:hint="eastAsia" w:ascii="仿宋" w:hAnsi="仿宋" w:eastAsia="仿宋" w:cs="仿宋"/>
          <w:kern w:val="0"/>
          <w:szCs w:val="32"/>
        </w:rPr>
        <w:t>工会经费、福利费</w:t>
      </w:r>
      <w:r>
        <w:rPr>
          <w:rFonts w:hint="eastAsia" w:ascii="仿宋" w:hAnsi="仿宋" w:eastAsia="仿宋" w:cs="仿宋"/>
          <w:szCs w:val="32"/>
        </w:rPr>
        <w:t>、</w:t>
      </w:r>
      <w:r>
        <w:rPr>
          <w:rFonts w:hint="eastAsia" w:ascii="仿宋" w:hAnsi="仿宋" w:eastAsia="仿宋" w:cs="仿宋"/>
          <w:kern w:val="0"/>
          <w:szCs w:val="32"/>
        </w:rPr>
        <w:t>其他交通</w:t>
      </w:r>
      <w:r>
        <w:rPr>
          <w:rFonts w:hint="eastAsia" w:ascii="仿宋" w:hAnsi="仿宋" w:eastAsia="仿宋" w:cs="仿宋"/>
          <w:kern w:val="0"/>
          <w:szCs w:val="32"/>
          <w:lang w:val="en-US" w:eastAsia="zh-CN"/>
        </w:rPr>
        <w:t>费用</w:t>
      </w:r>
      <w:r>
        <w:rPr>
          <w:rFonts w:hint="eastAsia" w:ascii="仿宋" w:hAnsi="仿宋" w:eastAsia="仿宋" w:cs="仿宋"/>
          <w:szCs w:val="32"/>
        </w:rPr>
        <w:t>、</w:t>
      </w:r>
      <w:r>
        <w:rPr>
          <w:rFonts w:hint="eastAsia" w:ascii="仿宋" w:hAnsi="仿宋" w:eastAsia="仿宋" w:cs="仿宋"/>
          <w:kern w:val="0"/>
          <w:szCs w:val="32"/>
        </w:rPr>
        <w:t>其他商品和服务支出。</w:t>
      </w:r>
    </w:p>
    <w:p>
      <w:pPr>
        <w:ind w:firstLine="640" w:firstLineChars="200"/>
        <w:rPr>
          <w:rFonts w:eastAsia="黑体"/>
          <w:szCs w:val="30"/>
        </w:rPr>
      </w:pPr>
      <w:r>
        <w:rPr>
          <w:rFonts w:hint="eastAsia" w:ascii="黑体" w:hAnsi="黑体" w:eastAsia="黑体" w:cs="黑体"/>
          <w:szCs w:val="32"/>
        </w:rPr>
        <w:t>七、202</w:t>
      </w:r>
      <w:r>
        <w:rPr>
          <w:rFonts w:hint="eastAsia" w:ascii="黑体" w:hAnsi="黑体" w:eastAsia="黑体" w:cs="黑体"/>
          <w:szCs w:val="32"/>
          <w:lang w:val="en-US" w:eastAsia="zh-CN"/>
        </w:rPr>
        <w:t>4</w:t>
      </w:r>
      <w:r>
        <w:rPr>
          <w:rFonts w:hint="eastAsia" w:ascii="黑体" w:hAnsi="黑体" w:eastAsia="黑体" w:cs="黑体"/>
          <w:szCs w:val="32"/>
        </w:rPr>
        <w:t>年一般公共预算财政拨款“三公”经费情况</w:t>
      </w:r>
    </w:p>
    <w:p>
      <w:pPr>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年“三公”经费预算数为</w:t>
      </w:r>
      <w:r>
        <w:rPr>
          <w:rFonts w:hint="eastAsia" w:ascii="仿宋" w:hAnsi="仿宋" w:eastAsia="仿宋" w:cs="仿宋"/>
          <w:szCs w:val="32"/>
          <w:lang w:val="en-US" w:eastAsia="zh-CN"/>
        </w:rPr>
        <w:t>0.00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其中：</w:t>
      </w:r>
    </w:p>
    <w:p>
      <w:pPr>
        <w:ind w:firstLine="640" w:firstLineChars="200"/>
        <w:jc w:val="both"/>
        <w:rPr>
          <w:rFonts w:hint="eastAsia" w:ascii="仿宋" w:hAnsi="仿宋" w:eastAsia="仿宋" w:cs="仿宋"/>
          <w:szCs w:val="32"/>
          <w:lang w:val="en-US" w:eastAsia="zh-CN"/>
        </w:rPr>
      </w:pPr>
      <w:r>
        <w:rPr>
          <w:rFonts w:hint="eastAsia" w:ascii="仿宋" w:hAnsi="仿宋" w:eastAsia="仿宋" w:cs="仿宋"/>
          <w:szCs w:val="32"/>
        </w:rPr>
        <w:t>1.因公出国（境）费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lang w:eastAsia="zh-CN"/>
        </w:rPr>
        <w:t>。</w:t>
      </w:r>
    </w:p>
    <w:p>
      <w:pPr>
        <w:ind w:firstLine="640" w:firstLineChars="200"/>
        <w:rPr>
          <w:rFonts w:hint="eastAsia" w:ascii="仿宋" w:hAnsi="仿宋" w:eastAsia="仿宋" w:cs="仿宋"/>
          <w:szCs w:val="32"/>
          <w:lang w:eastAsia="zh-CN"/>
        </w:rPr>
      </w:pPr>
      <w:r>
        <w:rPr>
          <w:rFonts w:hint="eastAsia" w:ascii="仿宋" w:hAnsi="仿宋" w:eastAsia="仿宋" w:cs="仿宋"/>
          <w:szCs w:val="32"/>
        </w:rPr>
        <w:t>2.公务接待费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lang w:eastAsia="zh-CN"/>
        </w:rPr>
        <w:t>。</w:t>
      </w:r>
    </w:p>
    <w:p>
      <w:pPr>
        <w:ind w:firstLine="640" w:firstLineChars="200"/>
        <w:jc w:val="both"/>
        <w:rPr>
          <w:rFonts w:hint="eastAsia"/>
          <w:szCs w:val="32"/>
          <w:lang w:val="en-US" w:eastAsia="zh-CN"/>
        </w:rPr>
      </w:pPr>
      <w:r>
        <w:rPr>
          <w:rFonts w:hint="eastAsia" w:ascii="仿宋" w:hAnsi="仿宋" w:eastAsia="仿宋" w:cs="仿宋"/>
          <w:szCs w:val="32"/>
        </w:rPr>
        <w:t>3.公务用车购置及运行费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。公务用车运行维护费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val="en-US" w:eastAsia="zh-CN"/>
        </w:rPr>
        <w:t>，2024年本年预算数与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；公务用车购置费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2024年当年预算数与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p>
    <w:p>
      <w:pPr>
        <w:ind w:firstLine="640" w:firstLineChars="200"/>
        <w:rPr>
          <w:rFonts w:eastAsia="黑体"/>
          <w:szCs w:val="32"/>
        </w:rPr>
      </w:pPr>
      <w:r>
        <w:rPr>
          <w:rFonts w:hint="eastAsia" w:ascii="黑体" w:hAnsi="黑体" w:eastAsia="黑体" w:cs="黑体"/>
          <w:szCs w:val="32"/>
        </w:rPr>
        <w:t>八、202</w:t>
      </w:r>
      <w:r>
        <w:rPr>
          <w:rFonts w:hint="eastAsia" w:ascii="黑体" w:hAnsi="黑体" w:eastAsia="黑体" w:cs="黑体"/>
          <w:szCs w:val="32"/>
          <w:lang w:val="en-US" w:eastAsia="zh-CN"/>
        </w:rPr>
        <w:t>4</w:t>
      </w:r>
      <w:r>
        <w:rPr>
          <w:rFonts w:hint="eastAsia" w:ascii="黑体" w:hAnsi="黑体" w:eastAsia="黑体" w:cs="黑体"/>
          <w:szCs w:val="32"/>
        </w:rPr>
        <w:t>年政府性基金预算支出情况</w:t>
      </w:r>
    </w:p>
    <w:p>
      <w:pPr>
        <w:ind w:firstLine="640" w:firstLineChars="200"/>
        <w:rPr>
          <w:rFonts w:hint="eastAsia" w:eastAsia="仿宋_GB2312"/>
          <w:szCs w:val="32"/>
          <w:lang w:eastAsia="zh-CN"/>
        </w:rPr>
      </w:pPr>
      <w:r>
        <w:rPr>
          <w:rFonts w:hint="eastAsia" w:ascii="仿宋" w:hAnsi="仿宋" w:eastAsia="仿宋" w:cs="仿宋"/>
          <w:szCs w:val="32"/>
        </w:rPr>
        <w:t>本</w:t>
      </w:r>
      <w:r>
        <w:rPr>
          <w:rFonts w:hint="eastAsia" w:ascii="仿宋" w:hAnsi="仿宋" w:eastAsia="仿宋" w:cs="仿宋"/>
          <w:szCs w:val="32"/>
          <w:lang w:val="en-US" w:eastAsia="zh-CN"/>
        </w:rPr>
        <w:t>单位</w:t>
      </w:r>
      <w:r>
        <w:rPr>
          <w:rFonts w:hint="eastAsia" w:ascii="仿宋" w:hAnsi="仿宋" w:eastAsia="仿宋" w:cs="仿宋"/>
          <w:szCs w:val="32"/>
        </w:rPr>
        <w:t>无政府性基金预算拨款</w:t>
      </w:r>
      <w:r>
        <w:rPr>
          <w:rFonts w:hint="eastAsia" w:ascii="仿宋" w:hAnsi="仿宋" w:eastAsia="仿宋" w:cs="仿宋"/>
          <w:szCs w:val="32"/>
          <w:lang w:eastAsia="zh-CN"/>
        </w:rPr>
        <w:t>。</w:t>
      </w:r>
    </w:p>
    <w:p>
      <w:pPr>
        <w:ind w:firstLine="640" w:firstLineChars="200"/>
        <w:rPr>
          <w:rFonts w:eastAsia="黑体"/>
          <w:szCs w:val="32"/>
        </w:rPr>
      </w:pPr>
      <w:r>
        <w:rPr>
          <w:rFonts w:hint="eastAsia" w:ascii="黑体" w:hAnsi="黑体" w:eastAsia="黑体" w:cs="黑体"/>
          <w:szCs w:val="32"/>
        </w:rPr>
        <w:t>九、202</w:t>
      </w:r>
      <w:r>
        <w:rPr>
          <w:rFonts w:hint="eastAsia" w:ascii="黑体" w:hAnsi="黑体" w:eastAsia="黑体" w:cs="黑体"/>
          <w:szCs w:val="32"/>
          <w:lang w:val="en-US" w:eastAsia="zh-CN"/>
        </w:rPr>
        <w:t>4</w:t>
      </w:r>
      <w:r>
        <w:rPr>
          <w:rFonts w:hint="eastAsia" w:ascii="黑体" w:hAnsi="黑体" w:eastAsia="黑体" w:cs="黑体"/>
          <w:szCs w:val="32"/>
        </w:rPr>
        <w:t>年国有资本经营预算支出情况</w:t>
      </w:r>
    </w:p>
    <w:p>
      <w:pPr>
        <w:ind w:firstLine="640"/>
        <w:rPr>
          <w:rFonts w:hint="eastAsia" w:eastAsia="仿宋_GB2312"/>
          <w:szCs w:val="32"/>
          <w:lang w:eastAsia="zh-CN"/>
        </w:rPr>
      </w:pPr>
      <w:r>
        <w:rPr>
          <w:rFonts w:hint="eastAsia" w:ascii="仿宋" w:hAnsi="仿宋" w:eastAsia="仿宋" w:cs="仿宋"/>
          <w:szCs w:val="32"/>
        </w:rPr>
        <w:t>本</w:t>
      </w:r>
      <w:r>
        <w:rPr>
          <w:rFonts w:hint="eastAsia" w:ascii="仿宋" w:hAnsi="仿宋" w:eastAsia="仿宋" w:cs="仿宋"/>
          <w:szCs w:val="32"/>
          <w:lang w:val="en-US" w:eastAsia="zh-CN"/>
        </w:rPr>
        <w:t>单位</w:t>
      </w:r>
      <w:r>
        <w:rPr>
          <w:rFonts w:hint="eastAsia" w:ascii="仿宋" w:hAnsi="仿宋" w:eastAsia="仿宋" w:cs="仿宋"/>
          <w:szCs w:val="32"/>
        </w:rPr>
        <w:t>无国有资本经营预算拨款</w:t>
      </w:r>
      <w:r>
        <w:rPr>
          <w:rFonts w:hint="eastAsia" w:ascii="仿宋" w:hAnsi="仿宋" w:eastAsia="仿宋" w:cs="仿宋"/>
          <w:szCs w:val="32"/>
          <w:lang w:eastAsia="zh-CN"/>
        </w:rPr>
        <w:t>。</w:t>
      </w:r>
    </w:p>
    <w:p>
      <w:pPr>
        <w:ind w:firstLine="640"/>
        <w:rPr>
          <w:rFonts w:eastAsia="黑体"/>
          <w:szCs w:val="32"/>
        </w:rPr>
      </w:pPr>
      <w:r>
        <w:rPr>
          <w:rFonts w:hint="eastAsia" w:ascii="黑体" w:hAnsi="黑体" w:eastAsia="黑体" w:cs="黑体"/>
          <w:szCs w:val="32"/>
        </w:rPr>
        <w:t>十、其他重要事项的说明情况</w:t>
      </w:r>
    </w:p>
    <w:p>
      <w:pPr>
        <w:spacing w:line="540" w:lineRule="exact"/>
        <w:ind w:firstLine="640" w:firstLineChars="200"/>
        <w:rPr>
          <w:rFonts w:hint="eastAsia" w:ascii="楷体" w:hAnsi="楷体" w:eastAsia="楷体" w:cs="楷体"/>
          <w:szCs w:val="32"/>
        </w:rPr>
      </w:pPr>
      <w:r>
        <w:rPr>
          <w:rFonts w:hint="eastAsia" w:ascii="楷体" w:hAnsi="楷体" w:eastAsia="楷体" w:cs="楷体"/>
          <w:szCs w:val="32"/>
        </w:rPr>
        <w:t>（一）机关运行经费</w:t>
      </w:r>
    </w:p>
    <w:p>
      <w:pPr>
        <w:spacing w:line="540" w:lineRule="exact"/>
        <w:ind w:firstLine="640" w:firstLineChars="200"/>
        <w:rPr>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单位</w:t>
      </w:r>
      <w:r>
        <w:rPr>
          <w:rFonts w:hint="eastAsia" w:ascii="仿宋" w:hAnsi="仿宋" w:eastAsia="仿宋" w:cs="仿宋"/>
          <w:szCs w:val="32"/>
        </w:rPr>
        <w:t>本级</w:t>
      </w:r>
      <w:r>
        <w:rPr>
          <w:rFonts w:hint="eastAsia" w:ascii="仿宋" w:hAnsi="仿宋" w:eastAsia="仿宋" w:cs="仿宋"/>
          <w:szCs w:val="32"/>
          <w:lang w:val="en-US" w:eastAsia="zh-CN"/>
        </w:rPr>
        <w:t>1</w:t>
      </w:r>
      <w:r>
        <w:rPr>
          <w:rFonts w:hint="eastAsia" w:ascii="仿宋" w:hAnsi="仿宋" w:eastAsia="仿宋" w:cs="仿宋"/>
          <w:szCs w:val="32"/>
        </w:rPr>
        <w:t>家行政单位的机关运行经费财政拨款预算</w:t>
      </w:r>
      <w:r>
        <w:rPr>
          <w:rFonts w:hint="eastAsia" w:ascii="仿宋" w:hAnsi="仿宋" w:eastAsia="仿宋" w:cs="仿宋"/>
          <w:szCs w:val="32"/>
          <w:lang w:val="en-US" w:eastAsia="zh-CN"/>
        </w:rPr>
        <w:t>18.39</w:t>
      </w:r>
      <w:r>
        <w:rPr>
          <w:rFonts w:hint="eastAsia" w:ascii="仿宋" w:hAnsi="仿宋" w:eastAsia="仿宋" w:cs="仿宋"/>
          <w:szCs w:val="32"/>
        </w:rPr>
        <w:t>万元，比202</w:t>
      </w:r>
      <w:r>
        <w:rPr>
          <w:rFonts w:hint="eastAsia" w:ascii="仿宋" w:hAnsi="仿宋" w:eastAsia="仿宋" w:cs="仿宋"/>
          <w:szCs w:val="32"/>
          <w:lang w:val="en-US" w:eastAsia="zh-CN"/>
        </w:rPr>
        <w:t>3</w:t>
      </w:r>
      <w:r>
        <w:rPr>
          <w:rFonts w:hint="eastAsia" w:ascii="仿宋" w:hAnsi="仿宋" w:eastAsia="仿宋" w:cs="仿宋"/>
          <w:szCs w:val="32"/>
        </w:rPr>
        <w:t>年预算减少</w:t>
      </w:r>
      <w:r>
        <w:rPr>
          <w:rFonts w:hint="eastAsia" w:ascii="仿宋" w:hAnsi="仿宋" w:eastAsia="仿宋" w:cs="仿宋"/>
          <w:szCs w:val="32"/>
          <w:lang w:val="en-US" w:eastAsia="zh-CN"/>
        </w:rPr>
        <w:t>2.08</w:t>
      </w:r>
      <w:r>
        <w:rPr>
          <w:rFonts w:hint="eastAsia" w:ascii="仿宋" w:hAnsi="仿宋" w:eastAsia="仿宋" w:cs="仿宋"/>
          <w:szCs w:val="32"/>
        </w:rPr>
        <w:t>万元，下降</w:t>
      </w:r>
      <w:r>
        <w:rPr>
          <w:rFonts w:hint="eastAsia" w:ascii="仿宋" w:hAnsi="仿宋" w:eastAsia="仿宋" w:cs="仿宋"/>
          <w:szCs w:val="32"/>
          <w:lang w:val="en-US" w:eastAsia="zh-CN"/>
        </w:rPr>
        <w:t>10.16</w:t>
      </w:r>
      <w:r>
        <w:rPr>
          <w:rFonts w:hint="eastAsia" w:ascii="仿宋" w:hAnsi="仿宋" w:eastAsia="仿宋" w:cs="仿宋"/>
          <w:szCs w:val="32"/>
        </w:rPr>
        <w:t>%，</w:t>
      </w:r>
      <w:r>
        <w:rPr>
          <w:rFonts w:hint="eastAsia" w:ascii="仿宋" w:hAnsi="仿宋" w:eastAsia="仿宋" w:cs="仿宋"/>
          <w:color w:val="000000" w:themeColor="text1"/>
          <w:szCs w:val="32"/>
          <w14:textFill>
            <w14:solidFill>
              <w14:schemeClr w14:val="tx1"/>
            </w14:solidFill>
          </w14:textFill>
        </w:rPr>
        <w:t>主要原因是</w:t>
      </w:r>
      <w:r>
        <w:rPr>
          <w:rFonts w:hint="eastAsia" w:ascii="仿宋" w:hAnsi="仿宋" w:eastAsia="仿宋" w:cs="仿宋"/>
          <w:color w:val="000000" w:themeColor="text1"/>
          <w:szCs w:val="32"/>
          <w:lang w:val="en-US" w:eastAsia="zh-CN"/>
          <w14:textFill>
            <w14:solidFill>
              <w14:schemeClr w14:val="tx1"/>
            </w14:solidFill>
          </w14:textFill>
        </w:rPr>
        <w:t>2024年度驻外参公单位人均公用经费标准较上年有所压减，导致机关运行经费预算有所下降</w:t>
      </w:r>
      <w:r>
        <w:rPr>
          <w:rFonts w:hint="eastAsia" w:ascii="仿宋" w:hAnsi="仿宋" w:eastAsia="仿宋" w:cs="仿宋"/>
          <w:color w:val="000000" w:themeColor="text1"/>
          <w:szCs w:val="32"/>
          <w14:textFill>
            <w14:solidFill>
              <w14:schemeClr w14:val="tx1"/>
            </w14:solidFill>
          </w14:textFill>
        </w:rPr>
        <w:t>。</w:t>
      </w:r>
    </w:p>
    <w:p>
      <w:pPr>
        <w:spacing w:line="540" w:lineRule="exact"/>
        <w:ind w:firstLine="640" w:firstLineChars="200"/>
        <w:rPr>
          <w:rFonts w:hint="eastAsia" w:ascii="楷体" w:hAnsi="楷体" w:eastAsia="楷体" w:cs="楷体"/>
          <w:szCs w:val="32"/>
        </w:rPr>
      </w:pPr>
      <w:r>
        <w:rPr>
          <w:rFonts w:hint="eastAsia" w:ascii="楷体" w:hAnsi="楷体" w:eastAsia="楷体" w:cs="楷体"/>
          <w:szCs w:val="32"/>
        </w:rPr>
        <w:t>（二）政府采购情况</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本单位无政府采购预算拨款。</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截至202</w:t>
      </w:r>
      <w:r>
        <w:rPr>
          <w:rFonts w:hint="eastAsia" w:ascii="仿宋" w:hAnsi="仿宋" w:eastAsia="仿宋" w:cs="仿宋"/>
          <w:szCs w:val="32"/>
          <w:lang w:val="en-US" w:eastAsia="zh-CN"/>
        </w:rPr>
        <w:t>3</w:t>
      </w:r>
      <w:r>
        <w:rPr>
          <w:rFonts w:hint="eastAsia" w:ascii="仿宋" w:hAnsi="仿宋" w:eastAsia="仿宋" w:cs="仿宋"/>
          <w:szCs w:val="32"/>
        </w:rPr>
        <w:t>年8月底，</w:t>
      </w:r>
      <w:r>
        <w:rPr>
          <w:rFonts w:hint="eastAsia" w:ascii="仿宋" w:hAnsi="仿宋" w:eastAsia="仿宋" w:cs="仿宋"/>
          <w:szCs w:val="32"/>
          <w:lang w:val="en-US" w:eastAsia="zh-CN"/>
        </w:rPr>
        <w:t>单位</w:t>
      </w:r>
      <w:r>
        <w:rPr>
          <w:rFonts w:hint="eastAsia" w:ascii="仿宋" w:hAnsi="仿宋" w:eastAsia="仿宋" w:cs="仿宋"/>
          <w:szCs w:val="32"/>
        </w:rPr>
        <w:t>本级共有车辆</w:t>
      </w:r>
      <w:r>
        <w:rPr>
          <w:rFonts w:hint="eastAsia" w:ascii="仿宋" w:hAnsi="仿宋" w:eastAsia="仿宋" w:cs="仿宋"/>
          <w:szCs w:val="32"/>
          <w:lang w:val="en-US" w:eastAsia="zh-CN"/>
        </w:rPr>
        <w:t>0</w:t>
      </w:r>
      <w:r>
        <w:rPr>
          <w:rFonts w:hint="eastAsia" w:ascii="仿宋" w:hAnsi="仿宋" w:eastAsia="仿宋" w:cs="仿宋"/>
          <w:szCs w:val="32"/>
        </w:rPr>
        <w:t>辆，土地</w:t>
      </w:r>
      <w:r>
        <w:rPr>
          <w:rFonts w:hint="eastAsia" w:ascii="仿宋" w:hAnsi="仿宋" w:eastAsia="仿宋" w:cs="仿宋"/>
          <w:szCs w:val="32"/>
          <w:lang w:val="en-US" w:eastAsia="zh-CN"/>
        </w:rPr>
        <w:t>0</w:t>
      </w:r>
      <w:r>
        <w:rPr>
          <w:rFonts w:hint="eastAsia" w:ascii="仿宋" w:hAnsi="仿宋" w:eastAsia="仿宋" w:cs="仿宋"/>
          <w:szCs w:val="32"/>
        </w:rPr>
        <w:t>平方米，房屋</w:t>
      </w:r>
      <w:r>
        <w:rPr>
          <w:rFonts w:hint="eastAsia" w:ascii="仿宋" w:hAnsi="仿宋" w:eastAsia="仿宋" w:cs="仿宋"/>
          <w:szCs w:val="32"/>
          <w:lang w:val="en-US" w:eastAsia="zh-CN"/>
        </w:rPr>
        <w:t>0</w:t>
      </w:r>
      <w:r>
        <w:rPr>
          <w:rFonts w:hint="eastAsia" w:ascii="仿宋" w:hAnsi="仿宋" w:eastAsia="仿宋" w:cs="仿宋"/>
          <w:szCs w:val="32"/>
        </w:rPr>
        <w:t>平方米，单价50万元以上设备</w:t>
      </w:r>
      <w:r>
        <w:rPr>
          <w:rFonts w:hint="eastAsia" w:ascii="仿宋" w:hAnsi="仿宋" w:eastAsia="仿宋" w:cs="仿宋"/>
          <w:szCs w:val="32"/>
          <w:lang w:val="en-US" w:eastAsia="zh-CN"/>
        </w:rPr>
        <w:t>0</w:t>
      </w:r>
      <w:r>
        <w:rPr>
          <w:rFonts w:hint="eastAsia" w:ascii="仿宋" w:hAnsi="仿宋" w:eastAsia="仿宋" w:cs="仿宋"/>
          <w:szCs w:val="32"/>
        </w:rPr>
        <w:t>台/套。</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单位</w:t>
      </w:r>
      <w:r>
        <w:rPr>
          <w:rFonts w:hint="eastAsia" w:ascii="仿宋" w:hAnsi="仿宋" w:eastAsia="仿宋" w:cs="仿宋"/>
          <w:szCs w:val="32"/>
        </w:rPr>
        <w:t>预算安排购置车辆</w:t>
      </w:r>
      <w:r>
        <w:rPr>
          <w:rFonts w:hint="eastAsia" w:ascii="仿宋" w:hAnsi="仿宋" w:eastAsia="仿宋" w:cs="仿宋"/>
          <w:szCs w:val="32"/>
          <w:lang w:val="en-US" w:eastAsia="zh-CN"/>
        </w:rPr>
        <w:t>0</w:t>
      </w:r>
      <w:r>
        <w:rPr>
          <w:rFonts w:hint="eastAsia" w:ascii="仿宋" w:hAnsi="仿宋" w:eastAsia="仿宋" w:cs="仿宋"/>
          <w:szCs w:val="32"/>
        </w:rPr>
        <w:t>辆，安排购置土地</w:t>
      </w:r>
      <w:r>
        <w:rPr>
          <w:rFonts w:hint="eastAsia" w:ascii="仿宋" w:hAnsi="仿宋" w:eastAsia="仿宋" w:cs="仿宋"/>
          <w:szCs w:val="32"/>
          <w:lang w:val="en-US" w:eastAsia="zh-CN"/>
        </w:rPr>
        <w:t>0</w:t>
      </w:r>
      <w:r>
        <w:rPr>
          <w:rFonts w:hint="eastAsia" w:ascii="仿宋" w:hAnsi="仿宋" w:eastAsia="仿宋" w:cs="仿宋"/>
          <w:szCs w:val="32"/>
        </w:rPr>
        <w:t>平方米，安排购置房屋</w:t>
      </w:r>
      <w:r>
        <w:rPr>
          <w:rFonts w:hint="eastAsia" w:ascii="仿宋" w:hAnsi="仿宋" w:eastAsia="仿宋" w:cs="仿宋"/>
          <w:szCs w:val="32"/>
          <w:lang w:val="en-US" w:eastAsia="zh-CN"/>
        </w:rPr>
        <w:t>0</w:t>
      </w:r>
      <w:r>
        <w:rPr>
          <w:rFonts w:hint="eastAsia" w:ascii="仿宋" w:hAnsi="仿宋" w:eastAsia="仿宋" w:cs="仿宋"/>
          <w:szCs w:val="32"/>
        </w:rPr>
        <w:t>平方米，计划新增单价50万元以上设备</w:t>
      </w:r>
      <w:r>
        <w:rPr>
          <w:rFonts w:hint="eastAsia" w:ascii="仿宋" w:hAnsi="仿宋" w:eastAsia="仿宋" w:cs="仿宋"/>
          <w:szCs w:val="32"/>
          <w:lang w:val="en-US" w:eastAsia="zh-CN"/>
        </w:rPr>
        <w:t>0</w:t>
      </w:r>
      <w:r>
        <w:rPr>
          <w:rFonts w:hint="eastAsia" w:ascii="仿宋" w:hAnsi="仿宋" w:eastAsia="仿宋" w:cs="仿宋"/>
          <w:szCs w:val="32"/>
        </w:rPr>
        <w:t>台/套。</w:t>
      </w:r>
    </w:p>
    <w:p>
      <w:pPr>
        <w:numPr>
          <w:ilvl w:val="0"/>
          <w:numId w:val="0"/>
        </w:numPr>
        <w:spacing w:line="540" w:lineRule="exact"/>
        <w:ind w:firstLine="640" w:firstLineChars="200"/>
        <w:rPr>
          <w:rFonts w:hint="eastAsia" w:ascii="楷体" w:hAnsi="楷体" w:eastAsia="楷体" w:cs="楷体"/>
          <w:szCs w:val="32"/>
        </w:rPr>
      </w:pPr>
      <w:r>
        <w:rPr>
          <w:rFonts w:hint="eastAsia" w:ascii="楷体" w:hAnsi="楷体" w:eastAsia="楷体" w:cs="楷体"/>
          <w:kern w:val="2"/>
          <w:sz w:val="32"/>
          <w:szCs w:val="32"/>
          <w:lang w:val="en-US" w:eastAsia="zh-CN" w:bidi="ar-SA"/>
        </w:rPr>
        <w:t>（四）</w:t>
      </w:r>
      <w:r>
        <w:rPr>
          <w:rFonts w:hint="eastAsia" w:ascii="楷体" w:hAnsi="楷体" w:eastAsia="楷体" w:cs="楷体"/>
          <w:szCs w:val="32"/>
        </w:rPr>
        <w:t>项目支出情况说明</w:t>
      </w:r>
    </w:p>
    <w:p>
      <w:pPr>
        <w:spacing w:line="540" w:lineRule="exact"/>
        <w:ind w:firstLine="640" w:firstLineChars="200"/>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单位</w:t>
      </w:r>
      <w:r>
        <w:rPr>
          <w:rFonts w:hint="eastAsia" w:ascii="仿宋" w:hAnsi="仿宋" w:eastAsia="仿宋" w:cs="仿宋"/>
        </w:rPr>
        <w:t>项目支出</w:t>
      </w:r>
      <w:r>
        <w:rPr>
          <w:rFonts w:hint="eastAsia" w:ascii="仿宋" w:hAnsi="仿宋" w:eastAsia="仿宋" w:cs="仿宋"/>
          <w:szCs w:val="32"/>
          <w:lang w:val="en-US" w:eastAsia="zh-CN"/>
        </w:rPr>
        <w:t>0</w:t>
      </w:r>
      <w:r>
        <w:rPr>
          <w:rFonts w:hint="eastAsia" w:ascii="仿宋" w:hAnsi="仿宋" w:eastAsia="仿宋" w:cs="仿宋"/>
          <w:szCs w:val="32"/>
        </w:rPr>
        <w:t>万元，其中：一级项目</w:t>
      </w:r>
      <w:r>
        <w:rPr>
          <w:rFonts w:hint="eastAsia" w:ascii="仿宋" w:hAnsi="仿宋" w:eastAsia="仿宋" w:cs="仿宋"/>
          <w:szCs w:val="32"/>
          <w:lang w:val="en-US" w:eastAsia="zh-CN"/>
        </w:rPr>
        <w:t>0</w:t>
      </w:r>
      <w:r>
        <w:rPr>
          <w:rFonts w:hint="eastAsia" w:ascii="仿宋" w:hAnsi="仿宋" w:eastAsia="仿宋" w:cs="仿宋"/>
          <w:szCs w:val="32"/>
        </w:rPr>
        <w:t>个，二级项目</w:t>
      </w:r>
      <w:r>
        <w:rPr>
          <w:rFonts w:hint="eastAsia" w:ascii="仿宋" w:hAnsi="仿宋" w:eastAsia="仿宋" w:cs="仿宋"/>
          <w:szCs w:val="32"/>
          <w:lang w:val="en-US" w:eastAsia="zh-CN"/>
        </w:rPr>
        <w:t>0</w:t>
      </w:r>
      <w:r>
        <w:rPr>
          <w:rFonts w:hint="eastAsia" w:ascii="仿宋" w:hAnsi="仿宋" w:eastAsia="仿宋" w:cs="仿宋"/>
          <w:szCs w:val="32"/>
        </w:rPr>
        <w:t>个；使用本年拨款</w:t>
      </w:r>
      <w:r>
        <w:rPr>
          <w:rFonts w:hint="eastAsia" w:ascii="仿宋" w:hAnsi="仿宋" w:eastAsia="仿宋" w:cs="仿宋"/>
          <w:szCs w:val="32"/>
          <w:lang w:val="en-US" w:eastAsia="zh-CN"/>
        </w:rPr>
        <w:t>0</w:t>
      </w:r>
      <w:r>
        <w:rPr>
          <w:rFonts w:hint="eastAsia" w:ascii="仿宋" w:hAnsi="仿宋" w:eastAsia="仿宋" w:cs="仿宋"/>
          <w:szCs w:val="32"/>
        </w:rPr>
        <w:t>万元，财政拨款结转</w:t>
      </w:r>
      <w:r>
        <w:rPr>
          <w:rFonts w:hint="eastAsia" w:ascii="仿宋" w:hAnsi="仿宋" w:eastAsia="仿宋" w:cs="仿宋"/>
          <w:szCs w:val="32"/>
          <w:lang w:val="en-US" w:eastAsia="zh-CN"/>
        </w:rPr>
        <w:t>0</w:t>
      </w:r>
      <w:r>
        <w:rPr>
          <w:rFonts w:hint="eastAsia" w:ascii="仿宋" w:hAnsi="仿宋" w:eastAsia="仿宋" w:cs="仿宋"/>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仿宋" w:hAnsi="仿宋" w:eastAsia="仿宋" w:cs="仿宋"/>
          <w:szCs w:val="32"/>
        </w:rPr>
      </w:pPr>
      <w:r>
        <w:rPr>
          <w:rFonts w:hint="eastAsia" w:ascii="仿宋" w:hAnsi="仿宋" w:eastAsia="仿宋" w:cs="仿宋"/>
        </w:rPr>
        <w:t>按照全面实施预算绩效管理的要求，结合本</w:t>
      </w:r>
      <w:r>
        <w:rPr>
          <w:rFonts w:hint="eastAsia" w:ascii="仿宋" w:hAnsi="仿宋" w:eastAsia="仿宋" w:cs="仿宋"/>
          <w:lang w:val="en-US" w:eastAsia="zh-CN"/>
        </w:rPr>
        <w:t>单位</w:t>
      </w:r>
      <w:r>
        <w:rPr>
          <w:rFonts w:hint="eastAsia" w:ascii="仿宋" w:hAnsi="仿宋" w:eastAsia="仿宋" w:cs="仿宋"/>
        </w:rPr>
        <w:t>职能和重点工作，202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eastAsia="zh-CN"/>
        </w:rPr>
        <w:t>将</w:t>
      </w:r>
      <w:r>
        <w:rPr>
          <w:rFonts w:hint="eastAsia" w:ascii="仿宋" w:hAnsi="仿宋" w:eastAsia="仿宋" w:cs="仿宋"/>
          <w:szCs w:val="32"/>
          <w:lang w:val="en-US" w:eastAsia="zh-CN"/>
        </w:rPr>
        <w:t>0</w:t>
      </w:r>
      <w:r>
        <w:rPr>
          <w:rFonts w:hint="eastAsia" w:ascii="仿宋" w:hAnsi="仿宋" w:eastAsia="仿宋" w:cs="仿宋"/>
        </w:rPr>
        <w:t>个项目支出的绩效目标和指标向社会公开，涉及金额</w:t>
      </w:r>
      <w:r>
        <w:rPr>
          <w:rFonts w:hint="eastAsia" w:ascii="仿宋" w:hAnsi="仿宋" w:eastAsia="仿宋" w:cs="仿宋"/>
          <w:szCs w:val="32"/>
          <w:lang w:val="en-US" w:eastAsia="zh-CN"/>
        </w:rPr>
        <w:t>0</w:t>
      </w:r>
      <w:r>
        <w:rPr>
          <w:rFonts w:hint="eastAsia" w:ascii="仿宋" w:hAnsi="仿宋" w:eastAsia="仿宋" w:cs="仿宋"/>
        </w:rPr>
        <w:t>万元。</w:t>
      </w:r>
    </w:p>
    <w:p>
      <w:pPr>
        <w:ind w:firstLine="645"/>
        <w:rPr>
          <w:rFonts w:eastAsia="楷体"/>
          <w:szCs w:val="32"/>
        </w:rPr>
      </w:pPr>
    </w:p>
    <w:p>
      <w:pPr>
        <w:spacing w:line="540" w:lineRule="exact"/>
        <w:rPr>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rFonts w:hint="eastAsia" w:ascii="仿宋" w:hAnsi="仿宋" w:eastAsia="仿宋" w:cs="仿宋"/>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rFonts w:hint="eastAsia" w:ascii="仿宋" w:hAnsi="仿宋" w:eastAsia="仿宋" w:cs="仿宋"/>
          <w:szCs w:val="32"/>
        </w:rPr>
        <w:t>指省级财政通过当年政府性基金预算拨付的资金。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rFonts w:hint="eastAsia" w:ascii="仿宋" w:hAnsi="仿宋" w:eastAsia="仿宋" w:cs="仿宋"/>
          <w:szCs w:val="32"/>
        </w:rPr>
        <w:t>指省级财政通过当年国有资本经营预算拨付的资金。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ascii="仿宋" w:hAnsi="仿宋" w:eastAsia="仿宋" w:cs="仿宋"/>
          <w:szCs w:val="32"/>
        </w:rPr>
        <w:t>指</w:t>
      </w:r>
      <w:r>
        <w:rPr>
          <w:rFonts w:hint="eastAsia" w:ascii="仿宋" w:hAnsi="仿宋" w:eastAsia="仿宋" w:cs="仿宋"/>
          <w:szCs w:val="32"/>
          <w:lang w:eastAsia="zh-CN"/>
        </w:rPr>
        <w:t>缴入财政专户</w:t>
      </w:r>
      <w:r>
        <w:rPr>
          <w:rFonts w:hint="eastAsia" w:ascii="仿宋" w:hAnsi="仿宋" w:eastAsia="仿宋" w:cs="仿宋"/>
          <w:szCs w:val="32"/>
        </w:rPr>
        <w:t>并实行财政专</w:t>
      </w:r>
      <w:r>
        <w:rPr>
          <w:rFonts w:hint="eastAsia" w:ascii="仿宋" w:hAnsi="仿宋" w:eastAsia="仿宋" w:cs="仿宋"/>
          <w:szCs w:val="32"/>
          <w:lang w:eastAsia="zh-CN"/>
        </w:rPr>
        <w:t>项</w:t>
      </w:r>
      <w:r>
        <w:rPr>
          <w:rFonts w:hint="eastAsia" w:ascii="仿宋" w:hAnsi="仿宋" w:eastAsia="仿宋" w:cs="仿宋"/>
          <w:szCs w:val="32"/>
        </w:rPr>
        <w:t>管理的资金收入。</w:t>
      </w:r>
    </w:p>
    <w:p>
      <w:pPr>
        <w:ind w:firstLine="640"/>
        <w:rPr>
          <w:szCs w:val="32"/>
        </w:rPr>
      </w:pPr>
      <w:r>
        <w:rPr>
          <w:rFonts w:hint="eastAsia" w:eastAsia="楷体"/>
          <w:szCs w:val="32"/>
        </w:rPr>
        <w:t>（五）</w:t>
      </w:r>
      <w:r>
        <w:rPr>
          <w:rFonts w:eastAsia="楷体"/>
          <w:szCs w:val="32"/>
        </w:rPr>
        <w:t>事业收入：</w:t>
      </w:r>
      <w:r>
        <w:rPr>
          <w:rFonts w:hint="eastAsia" w:ascii="仿宋" w:hAnsi="仿宋" w:eastAsia="仿宋" w:cs="仿宋"/>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ascii="仿宋" w:hAnsi="仿宋" w:eastAsia="仿宋" w:cs="仿宋"/>
          <w:szCs w:val="32"/>
        </w:rPr>
        <w:t>指预算单位从主管</w:t>
      </w:r>
      <w:r>
        <w:rPr>
          <w:rFonts w:hint="eastAsia" w:ascii="仿宋" w:hAnsi="仿宋" w:eastAsia="仿宋" w:cs="仿宋"/>
          <w:szCs w:val="32"/>
          <w:lang w:val="en-US" w:eastAsia="zh-CN"/>
        </w:rPr>
        <w:t>部门</w:t>
      </w:r>
      <w:r>
        <w:rPr>
          <w:rFonts w:hint="eastAsia" w:ascii="仿宋" w:hAnsi="仿宋" w:eastAsia="仿宋" w:cs="仿宋"/>
          <w:szCs w:val="32"/>
        </w:rPr>
        <w:t>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仿宋" w:hAnsi="仿宋" w:eastAsia="仿宋" w:cs="仿宋"/>
          <w:szCs w:val="32"/>
        </w:rPr>
        <w:t>指本单位所属下级单位（包含独立核算和非独立核算的，相关支出纳入和未纳入</w:t>
      </w:r>
      <w:r>
        <w:rPr>
          <w:rFonts w:hint="eastAsia" w:ascii="仿宋" w:hAnsi="仿宋" w:eastAsia="仿宋" w:cs="仿宋"/>
          <w:szCs w:val="32"/>
          <w:lang w:val="en-US" w:eastAsia="zh-CN"/>
        </w:rPr>
        <w:t>单位</w:t>
      </w:r>
      <w:r>
        <w:rPr>
          <w:rFonts w:hint="eastAsia" w:ascii="仿宋" w:hAnsi="仿宋" w:eastAsia="仿宋" w:cs="仿宋"/>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rFonts w:hint="eastAsia" w:ascii="仿宋" w:hAnsi="仿宋" w:eastAsia="仿宋" w:cs="仿宋"/>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rFonts w:hint="eastAsia" w:ascii="仿宋" w:hAnsi="仿宋" w:eastAsia="仿宋" w:cs="仿宋"/>
          <w:szCs w:val="32"/>
        </w:rPr>
        <w:t>指除上述</w:t>
      </w:r>
      <w:r>
        <w:rPr>
          <w:rFonts w:hint="eastAsia" w:ascii="仿宋" w:hAnsi="仿宋" w:eastAsia="仿宋" w:cs="仿宋"/>
          <w:szCs w:val="32"/>
          <w:lang w:eastAsia="zh-CN"/>
        </w:rPr>
        <w:t>收入</w:t>
      </w:r>
      <w:r>
        <w:rPr>
          <w:rFonts w:hint="eastAsia" w:ascii="仿宋" w:hAnsi="仿宋" w:eastAsia="仿宋" w:cs="仿宋"/>
          <w:szCs w:val="32"/>
        </w:rPr>
        <w:t>以外的</w:t>
      </w:r>
      <w:r>
        <w:rPr>
          <w:rFonts w:hint="eastAsia" w:ascii="仿宋" w:hAnsi="仿宋" w:eastAsia="仿宋" w:cs="仿宋"/>
          <w:szCs w:val="32"/>
          <w:lang w:eastAsia="zh-CN"/>
        </w:rPr>
        <w:t>各项</w:t>
      </w:r>
      <w:r>
        <w:rPr>
          <w:rFonts w:hint="eastAsia" w:ascii="仿宋" w:hAnsi="仿宋" w:eastAsia="仿宋" w:cs="仿宋"/>
          <w:szCs w:val="32"/>
        </w:rPr>
        <w:t>收入</w:t>
      </w:r>
      <w:r>
        <w:rPr>
          <w:rFonts w:hint="eastAsia" w:ascii="仿宋" w:hAnsi="仿宋" w:eastAsia="仿宋" w:cs="仿宋"/>
          <w:szCs w:val="32"/>
          <w:lang w:eastAsia="zh-CN"/>
        </w:rPr>
        <w:t>，</w:t>
      </w:r>
      <w:r>
        <w:rPr>
          <w:rFonts w:hint="eastAsia" w:ascii="仿宋" w:hAnsi="仿宋" w:eastAsia="仿宋" w:cs="仿宋"/>
          <w:szCs w:val="32"/>
          <w:lang w:val="en-US" w:eastAsia="zh-CN"/>
        </w:rPr>
        <w:t>主要</w:t>
      </w:r>
      <w:r>
        <w:rPr>
          <w:rFonts w:hint="eastAsia" w:ascii="仿宋" w:hAnsi="仿宋" w:eastAsia="仿宋" w:cs="仿宋"/>
          <w:szCs w:val="32"/>
          <w:lang w:eastAsia="zh-CN"/>
        </w:rPr>
        <w:t>包括非本级财政拨款、事业单位的投资收益等收入。</w:t>
      </w:r>
    </w:p>
    <w:p>
      <w:pPr>
        <w:ind w:firstLine="640"/>
        <w:rPr>
          <w:szCs w:val="32"/>
        </w:rPr>
      </w:pPr>
      <w:r>
        <w:rPr>
          <w:rFonts w:eastAsia="楷体"/>
          <w:szCs w:val="32"/>
        </w:rPr>
        <w:t>（十）上年结转：</w:t>
      </w:r>
      <w:r>
        <w:rPr>
          <w:rFonts w:hint="eastAsia" w:ascii="仿宋" w:hAnsi="仿宋" w:eastAsia="仿宋" w:cs="仿宋"/>
          <w:szCs w:val="32"/>
        </w:rPr>
        <w:t>指以前年度尚未完成、结转到本年仍按原规定用途继续使用的资金。</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一</w:t>
      </w:r>
      <w:r>
        <w:rPr>
          <w:rFonts w:eastAsia="楷体"/>
          <w:szCs w:val="32"/>
        </w:rPr>
        <w:t>）结转下年：</w:t>
      </w:r>
      <w:r>
        <w:rPr>
          <w:rFonts w:hint="eastAsia" w:ascii="仿宋" w:hAnsi="仿宋" w:eastAsia="仿宋" w:cs="仿宋"/>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rFonts w:hint="eastAsia" w:ascii="仿宋" w:hAnsi="仿宋" w:eastAsia="仿宋" w:cs="仿宋"/>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rFonts w:hint="eastAsia" w:ascii="仿宋" w:hAnsi="仿宋" w:eastAsia="仿宋" w:cs="仿宋"/>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rFonts w:hint="eastAsia" w:ascii="仿宋" w:hAnsi="仿宋" w:eastAsia="仿宋" w:cs="仿宋"/>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rFonts w:hint="eastAsia" w:ascii="仿宋" w:hAnsi="仿宋" w:eastAsia="仿宋" w:cs="仿宋"/>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rFonts w:hint="eastAsia" w:ascii="仿宋" w:hAnsi="仿宋" w:eastAsia="仿宋" w:cs="仿宋"/>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rFonts w:hint="eastAsia" w:ascii="仿宋" w:hAnsi="仿宋" w:eastAsia="仿宋" w:cs="仿宋"/>
          <w:szCs w:val="32"/>
        </w:rPr>
        <w:t>纳入财政预决算管理的“三公”经费，是指</w:t>
      </w:r>
      <w:r>
        <w:rPr>
          <w:rFonts w:hint="eastAsia" w:ascii="仿宋" w:hAnsi="仿宋" w:eastAsia="仿宋" w:cs="仿宋"/>
          <w:szCs w:val="32"/>
          <w:lang w:val="en-US" w:eastAsia="zh-CN"/>
        </w:rPr>
        <w:t>单位</w:t>
      </w:r>
      <w:r>
        <w:rPr>
          <w:rFonts w:hint="eastAsia" w:ascii="仿宋" w:hAnsi="仿宋" w:eastAsia="仿宋" w:cs="仿宋"/>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rFonts w:hint="eastAsia" w:ascii="仿宋" w:hAnsi="仿宋" w:eastAsia="仿宋" w:cs="仿宋"/>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ascii="仿宋" w:hAnsi="仿宋" w:eastAsia="仿宋" w:cs="仿宋"/>
          <w:szCs w:val="32"/>
        </w:rPr>
        <w:t>项目支出绩效目标是指</w:t>
      </w:r>
      <w:r>
        <w:rPr>
          <w:rFonts w:hint="eastAsia" w:ascii="仿宋" w:hAnsi="仿宋" w:eastAsia="仿宋" w:cs="仿宋"/>
          <w:szCs w:val="32"/>
          <w:lang w:val="en-US" w:eastAsia="zh-CN"/>
        </w:rPr>
        <w:t>单位</w:t>
      </w:r>
      <w:r>
        <w:rPr>
          <w:rFonts w:hint="eastAsia" w:ascii="仿宋" w:hAnsi="仿宋" w:eastAsia="仿宋" w:cs="仿宋"/>
          <w:szCs w:val="32"/>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5A30CE-E465-429C-8AB8-8D935166E4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8D2C1F4-8C21-4AFA-AC75-8A7E42A6F588}"/>
  </w:font>
  <w:font w:name="仿宋_GB2312">
    <w:panose1 w:val="02010609030101010101"/>
    <w:charset w:val="86"/>
    <w:family w:val="modern"/>
    <w:pitch w:val="default"/>
    <w:sig w:usb0="00000001" w:usb1="080E0000" w:usb2="00000000" w:usb3="00000000" w:csb0="00040000" w:csb1="00000000"/>
    <w:embedRegular r:id="rId3" w:fontKey="{B132585D-D05D-45E4-950E-9CB3C7E6E78C}"/>
  </w:font>
  <w:font w:name="华文细黑">
    <w:panose1 w:val="02010600040101010101"/>
    <w:charset w:val="86"/>
    <w:family w:val="auto"/>
    <w:pitch w:val="default"/>
    <w:sig w:usb0="00000287" w:usb1="080F0000" w:usb2="00000000" w:usb3="00000000" w:csb0="0004009F" w:csb1="DFD70000"/>
    <w:embedRegular r:id="rId4" w:fontKey="{979679FB-9748-47E8-AA6F-8D945340F0DE}"/>
  </w:font>
  <w:font w:name="方正小标宋简体">
    <w:panose1 w:val="02000000000000000000"/>
    <w:charset w:val="86"/>
    <w:family w:val="auto"/>
    <w:pitch w:val="default"/>
    <w:sig w:usb0="00000001" w:usb1="080E0000" w:usb2="00000000" w:usb3="00000000" w:csb0="00040000" w:csb1="00000000"/>
    <w:embedRegular r:id="rId5" w:fontKey="{667D485C-536A-42A2-B82C-7A1B638ADF76}"/>
  </w:font>
  <w:font w:name="仿宋">
    <w:panose1 w:val="02010609060101010101"/>
    <w:charset w:val="86"/>
    <w:family w:val="modern"/>
    <w:pitch w:val="default"/>
    <w:sig w:usb0="800002BF" w:usb1="38CF7CFA" w:usb2="00000016" w:usb3="00000000" w:csb0="00040001" w:csb1="00000000"/>
    <w:embedRegular r:id="rId6" w:fontKey="{B12C8008-4528-433E-9D74-D891343A9862}"/>
  </w:font>
  <w:font w:name="楷体_GB2312">
    <w:panose1 w:val="02010609030101010101"/>
    <w:charset w:val="86"/>
    <w:family w:val="modern"/>
    <w:pitch w:val="default"/>
    <w:sig w:usb0="00000001" w:usb1="080E0000" w:usb2="00000000" w:usb3="00000000" w:csb0="00040000" w:csb1="00000000"/>
    <w:embedRegular r:id="rId7" w:fontKey="{A023D937-4AF7-4E50-B75D-C416875A7992}"/>
  </w:font>
  <w:font w:name="楷体">
    <w:panose1 w:val="02010609060101010101"/>
    <w:charset w:val="86"/>
    <w:family w:val="modern"/>
    <w:pitch w:val="default"/>
    <w:sig w:usb0="800002BF" w:usb1="38CF7CFA" w:usb2="00000016" w:usb3="00000000" w:csb0="00040001" w:csb1="00000000"/>
    <w:embedRegular r:id="rId8" w:fontKey="{F6308763-A692-404D-A861-67EF91195E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OWJkOTExN2UxZjBmMjczY2YzYzI0YzQwYzc0NGY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A17DE7"/>
    <w:rsid w:val="01B7145A"/>
    <w:rsid w:val="02033000"/>
    <w:rsid w:val="020E6D2C"/>
    <w:rsid w:val="02C44267"/>
    <w:rsid w:val="02E9000B"/>
    <w:rsid w:val="030E48E0"/>
    <w:rsid w:val="031D7D4B"/>
    <w:rsid w:val="037F2004"/>
    <w:rsid w:val="03B7035E"/>
    <w:rsid w:val="03EC461B"/>
    <w:rsid w:val="0486486A"/>
    <w:rsid w:val="04954460"/>
    <w:rsid w:val="04B30C95"/>
    <w:rsid w:val="04B818D1"/>
    <w:rsid w:val="04E86A89"/>
    <w:rsid w:val="04FC007E"/>
    <w:rsid w:val="050D06DA"/>
    <w:rsid w:val="052102F4"/>
    <w:rsid w:val="05310B72"/>
    <w:rsid w:val="05452235"/>
    <w:rsid w:val="054E51F4"/>
    <w:rsid w:val="05513E94"/>
    <w:rsid w:val="05600E1D"/>
    <w:rsid w:val="056F5A6D"/>
    <w:rsid w:val="059B3770"/>
    <w:rsid w:val="05F9301F"/>
    <w:rsid w:val="06383B48"/>
    <w:rsid w:val="063949A0"/>
    <w:rsid w:val="066E5E88"/>
    <w:rsid w:val="069552CB"/>
    <w:rsid w:val="06BD5BC7"/>
    <w:rsid w:val="06F008FF"/>
    <w:rsid w:val="06F86E33"/>
    <w:rsid w:val="07852DBD"/>
    <w:rsid w:val="079E5032"/>
    <w:rsid w:val="0858227F"/>
    <w:rsid w:val="086329D2"/>
    <w:rsid w:val="08AE00F1"/>
    <w:rsid w:val="08C47915"/>
    <w:rsid w:val="08D631A4"/>
    <w:rsid w:val="09015F14"/>
    <w:rsid w:val="091C5C63"/>
    <w:rsid w:val="09421190"/>
    <w:rsid w:val="094B1DE4"/>
    <w:rsid w:val="0955056D"/>
    <w:rsid w:val="09A0082A"/>
    <w:rsid w:val="0A00435B"/>
    <w:rsid w:val="0AA7304A"/>
    <w:rsid w:val="0AAA1697"/>
    <w:rsid w:val="0ABA06FE"/>
    <w:rsid w:val="0B49202F"/>
    <w:rsid w:val="0B5F5ADA"/>
    <w:rsid w:val="0BD065D0"/>
    <w:rsid w:val="0C2A5C84"/>
    <w:rsid w:val="0C4F64D9"/>
    <w:rsid w:val="0C5165ED"/>
    <w:rsid w:val="0C583939"/>
    <w:rsid w:val="0C6D1BAE"/>
    <w:rsid w:val="0D2A2435"/>
    <w:rsid w:val="0D330BC5"/>
    <w:rsid w:val="0DA001B0"/>
    <w:rsid w:val="0DD423A8"/>
    <w:rsid w:val="0DEB170B"/>
    <w:rsid w:val="0E4C7841"/>
    <w:rsid w:val="0E97506F"/>
    <w:rsid w:val="0EEA1757"/>
    <w:rsid w:val="0F1B7B63"/>
    <w:rsid w:val="0F3E0406"/>
    <w:rsid w:val="0F4B5E65"/>
    <w:rsid w:val="0F980230"/>
    <w:rsid w:val="0FA22533"/>
    <w:rsid w:val="0FD62F63"/>
    <w:rsid w:val="0FDE2A27"/>
    <w:rsid w:val="1008458B"/>
    <w:rsid w:val="10AE7F82"/>
    <w:rsid w:val="10C93B35"/>
    <w:rsid w:val="11177619"/>
    <w:rsid w:val="112605C8"/>
    <w:rsid w:val="114A0BD3"/>
    <w:rsid w:val="119C142F"/>
    <w:rsid w:val="11A6707B"/>
    <w:rsid w:val="11B35B2F"/>
    <w:rsid w:val="125A3098"/>
    <w:rsid w:val="12E711B7"/>
    <w:rsid w:val="136D62BD"/>
    <w:rsid w:val="136E4388"/>
    <w:rsid w:val="13F21722"/>
    <w:rsid w:val="1441443C"/>
    <w:rsid w:val="14773434"/>
    <w:rsid w:val="14C12787"/>
    <w:rsid w:val="14CF38C9"/>
    <w:rsid w:val="14D47131"/>
    <w:rsid w:val="15593E10"/>
    <w:rsid w:val="159F7E25"/>
    <w:rsid w:val="15F848D0"/>
    <w:rsid w:val="16021A7C"/>
    <w:rsid w:val="160E1FA5"/>
    <w:rsid w:val="160F2600"/>
    <w:rsid w:val="1656081A"/>
    <w:rsid w:val="165B7DDA"/>
    <w:rsid w:val="16646293"/>
    <w:rsid w:val="16C829AB"/>
    <w:rsid w:val="16DD34F5"/>
    <w:rsid w:val="17283764"/>
    <w:rsid w:val="17765BCA"/>
    <w:rsid w:val="17A027D8"/>
    <w:rsid w:val="17CC2625"/>
    <w:rsid w:val="18634390"/>
    <w:rsid w:val="18ED07C2"/>
    <w:rsid w:val="19132BE0"/>
    <w:rsid w:val="191F4716"/>
    <w:rsid w:val="19467ED2"/>
    <w:rsid w:val="19510D51"/>
    <w:rsid w:val="1954649C"/>
    <w:rsid w:val="198D5B01"/>
    <w:rsid w:val="19FE07AD"/>
    <w:rsid w:val="1A817DF8"/>
    <w:rsid w:val="1A8A6135"/>
    <w:rsid w:val="1ADC594E"/>
    <w:rsid w:val="1AEB5252"/>
    <w:rsid w:val="1B8A03E4"/>
    <w:rsid w:val="1B9C1459"/>
    <w:rsid w:val="1C057BD0"/>
    <w:rsid w:val="1C0C0F5F"/>
    <w:rsid w:val="1C852172"/>
    <w:rsid w:val="1CA40C0C"/>
    <w:rsid w:val="1CFF4A32"/>
    <w:rsid w:val="1D145CB5"/>
    <w:rsid w:val="1D833200"/>
    <w:rsid w:val="1E14234D"/>
    <w:rsid w:val="1E3A3FD0"/>
    <w:rsid w:val="1EB55C07"/>
    <w:rsid w:val="1EBD0C36"/>
    <w:rsid w:val="1EE461C3"/>
    <w:rsid w:val="1F2111C5"/>
    <w:rsid w:val="1F351A10"/>
    <w:rsid w:val="1F4570D0"/>
    <w:rsid w:val="1F857EA5"/>
    <w:rsid w:val="1F861028"/>
    <w:rsid w:val="1FED47E9"/>
    <w:rsid w:val="206816AC"/>
    <w:rsid w:val="20A0611A"/>
    <w:rsid w:val="20B65FAF"/>
    <w:rsid w:val="20DF405A"/>
    <w:rsid w:val="20EC135F"/>
    <w:rsid w:val="20F841A8"/>
    <w:rsid w:val="21134335"/>
    <w:rsid w:val="226A4C31"/>
    <w:rsid w:val="226E581D"/>
    <w:rsid w:val="22A4003E"/>
    <w:rsid w:val="23135C25"/>
    <w:rsid w:val="23490CEA"/>
    <w:rsid w:val="235F406A"/>
    <w:rsid w:val="235F70F5"/>
    <w:rsid w:val="23EC61F6"/>
    <w:rsid w:val="244C543C"/>
    <w:rsid w:val="24624768"/>
    <w:rsid w:val="24AD50DB"/>
    <w:rsid w:val="258E2EC9"/>
    <w:rsid w:val="259B5BC5"/>
    <w:rsid w:val="25F62C4E"/>
    <w:rsid w:val="26571970"/>
    <w:rsid w:val="26643D6C"/>
    <w:rsid w:val="2695475C"/>
    <w:rsid w:val="26FE109D"/>
    <w:rsid w:val="27073E1E"/>
    <w:rsid w:val="27B04AB3"/>
    <w:rsid w:val="282C3BA1"/>
    <w:rsid w:val="28432ABC"/>
    <w:rsid w:val="288B76AF"/>
    <w:rsid w:val="28A63332"/>
    <w:rsid w:val="28C96E8E"/>
    <w:rsid w:val="299F1664"/>
    <w:rsid w:val="29C45F24"/>
    <w:rsid w:val="29DA269C"/>
    <w:rsid w:val="2AB54EB7"/>
    <w:rsid w:val="2B200583"/>
    <w:rsid w:val="2C491D5B"/>
    <w:rsid w:val="2C49336F"/>
    <w:rsid w:val="2C626979"/>
    <w:rsid w:val="2D5B1D46"/>
    <w:rsid w:val="2D6C5D01"/>
    <w:rsid w:val="2D9038E4"/>
    <w:rsid w:val="2DA76D39"/>
    <w:rsid w:val="2DF8796C"/>
    <w:rsid w:val="2E36630F"/>
    <w:rsid w:val="2EB22F18"/>
    <w:rsid w:val="2EE12108"/>
    <w:rsid w:val="2EED35E3"/>
    <w:rsid w:val="2EFF2BA5"/>
    <w:rsid w:val="2F0B5068"/>
    <w:rsid w:val="2F250383"/>
    <w:rsid w:val="2F63610B"/>
    <w:rsid w:val="2FBC646B"/>
    <w:rsid w:val="300965A3"/>
    <w:rsid w:val="3029612C"/>
    <w:rsid w:val="30730D6E"/>
    <w:rsid w:val="308B20C9"/>
    <w:rsid w:val="30B8125D"/>
    <w:rsid w:val="30B91A70"/>
    <w:rsid w:val="30D81900"/>
    <w:rsid w:val="30F84C22"/>
    <w:rsid w:val="310C6AA2"/>
    <w:rsid w:val="31230DCD"/>
    <w:rsid w:val="315076E8"/>
    <w:rsid w:val="31793674"/>
    <w:rsid w:val="31894469"/>
    <w:rsid w:val="31C83722"/>
    <w:rsid w:val="32332703"/>
    <w:rsid w:val="3291620A"/>
    <w:rsid w:val="32CE2FBA"/>
    <w:rsid w:val="32CF2C5D"/>
    <w:rsid w:val="32EE2C61"/>
    <w:rsid w:val="32F143F0"/>
    <w:rsid w:val="335402B5"/>
    <w:rsid w:val="338C06DA"/>
    <w:rsid w:val="339466B2"/>
    <w:rsid w:val="33CA3782"/>
    <w:rsid w:val="33D26ADA"/>
    <w:rsid w:val="34264730"/>
    <w:rsid w:val="34555AF5"/>
    <w:rsid w:val="347A51A8"/>
    <w:rsid w:val="34D10B40"/>
    <w:rsid w:val="34FF687B"/>
    <w:rsid w:val="354C4987"/>
    <w:rsid w:val="35616772"/>
    <w:rsid w:val="35EA1663"/>
    <w:rsid w:val="364C598E"/>
    <w:rsid w:val="366652B8"/>
    <w:rsid w:val="368A3622"/>
    <w:rsid w:val="368A369C"/>
    <w:rsid w:val="36A04C6E"/>
    <w:rsid w:val="36B424C7"/>
    <w:rsid w:val="36B543E5"/>
    <w:rsid w:val="36CC2B0F"/>
    <w:rsid w:val="36FC762F"/>
    <w:rsid w:val="3724764D"/>
    <w:rsid w:val="37D3697D"/>
    <w:rsid w:val="3838492F"/>
    <w:rsid w:val="383A009B"/>
    <w:rsid w:val="387C0DC3"/>
    <w:rsid w:val="3887374F"/>
    <w:rsid w:val="38CB0ABC"/>
    <w:rsid w:val="39041A07"/>
    <w:rsid w:val="39043B77"/>
    <w:rsid w:val="39225A70"/>
    <w:rsid w:val="3937317C"/>
    <w:rsid w:val="39670895"/>
    <w:rsid w:val="397B4EE2"/>
    <w:rsid w:val="39A22AAB"/>
    <w:rsid w:val="3A06128C"/>
    <w:rsid w:val="3A387943"/>
    <w:rsid w:val="3A657F9A"/>
    <w:rsid w:val="3A9113D4"/>
    <w:rsid w:val="3ABB2076"/>
    <w:rsid w:val="3AC54F32"/>
    <w:rsid w:val="3AE72E6B"/>
    <w:rsid w:val="3B144A0A"/>
    <w:rsid w:val="3B254018"/>
    <w:rsid w:val="3B5257F8"/>
    <w:rsid w:val="3B7F4E52"/>
    <w:rsid w:val="3BC92948"/>
    <w:rsid w:val="3BE370D4"/>
    <w:rsid w:val="3BEB24E7"/>
    <w:rsid w:val="3C145EE2"/>
    <w:rsid w:val="3C1A026D"/>
    <w:rsid w:val="3C29381E"/>
    <w:rsid w:val="3C410359"/>
    <w:rsid w:val="3C711E1D"/>
    <w:rsid w:val="3C7F463D"/>
    <w:rsid w:val="3C9B215F"/>
    <w:rsid w:val="3CAE3960"/>
    <w:rsid w:val="3CB66F99"/>
    <w:rsid w:val="3CD44059"/>
    <w:rsid w:val="3CEF6494"/>
    <w:rsid w:val="3D365BF6"/>
    <w:rsid w:val="3D7F7007"/>
    <w:rsid w:val="3D8C7CFA"/>
    <w:rsid w:val="3DA74B34"/>
    <w:rsid w:val="3DB008AA"/>
    <w:rsid w:val="3DF23324"/>
    <w:rsid w:val="3E1A0F20"/>
    <w:rsid w:val="3EA14040"/>
    <w:rsid w:val="3EE8108D"/>
    <w:rsid w:val="3F8201A3"/>
    <w:rsid w:val="3F874C1D"/>
    <w:rsid w:val="3FF658FE"/>
    <w:rsid w:val="40155D85"/>
    <w:rsid w:val="402675EA"/>
    <w:rsid w:val="404448BC"/>
    <w:rsid w:val="40B80EFF"/>
    <w:rsid w:val="41263FC1"/>
    <w:rsid w:val="41502125"/>
    <w:rsid w:val="41A35364"/>
    <w:rsid w:val="41AF3FB7"/>
    <w:rsid w:val="41C31686"/>
    <w:rsid w:val="41C837BC"/>
    <w:rsid w:val="421643AC"/>
    <w:rsid w:val="42334BE8"/>
    <w:rsid w:val="42982B4E"/>
    <w:rsid w:val="429F5D0C"/>
    <w:rsid w:val="42D83665"/>
    <w:rsid w:val="434A6B47"/>
    <w:rsid w:val="436B1E42"/>
    <w:rsid w:val="44307631"/>
    <w:rsid w:val="44CC08B0"/>
    <w:rsid w:val="44F16B6C"/>
    <w:rsid w:val="44FF0DB1"/>
    <w:rsid w:val="456D114B"/>
    <w:rsid w:val="45D24718"/>
    <w:rsid w:val="45EB670F"/>
    <w:rsid w:val="46454EEA"/>
    <w:rsid w:val="46AB7C0D"/>
    <w:rsid w:val="46D44808"/>
    <w:rsid w:val="46DC584E"/>
    <w:rsid w:val="46ED776B"/>
    <w:rsid w:val="46F74436"/>
    <w:rsid w:val="47174AD8"/>
    <w:rsid w:val="479D2523"/>
    <w:rsid w:val="47CF49E6"/>
    <w:rsid w:val="47D26C51"/>
    <w:rsid w:val="48674ED2"/>
    <w:rsid w:val="487708E6"/>
    <w:rsid w:val="488E040A"/>
    <w:rsid w:val="48B540F2"/>
    <w:rsid w:val="49396F88"/>
    <w:rsid w:val="493F6F72"/>
    <w:rsid w:val="49645F71"/>
    <w:rsid w:val="499F5C68"/>
    <w:rsid w:val="4A52465C"/>
    <w:rsid w:val="4A5C2802"/>
    <w:rsid w:val="4A5C4AC6"/>
    <w:rsid w:val="4A662FBF"/>
    <w:rsid w:val="4A881849"/>
    <w:rsid w:val="4AA2290B"/>
    <w:rsid w:val="4AA80F99"/>
    <w:rsid w:val="4AC72371"/>
    <w:rsid w:val="4AF16062"/>
    <w:rsid w:val="4B0A4A82"/>
    <w:rsid w:val="4B0A57E5"/>
    <w:rsid w:val="4B646DDD"/>
    <w:rsid w:val="4B7F44F8"/>
    <w:rsid w:val="4BAC24C5"/>
    <w:rsid w:val="4BAF3531"/>
    <w:rsid w:val="4BB723E6"/>
    <w:rsid w:val="4BF52F0E"/>
    <w:rsid w:val="4BFA0656"/>
    <w:rsid w:val="4C213D03"/>
    <w:rsid w:val="4D3439E8"/>
    <w:rsid w:val="4D4E2809"/>
    <w:rsid w:val="4D730507"/>
    <w:rsid w:val="4D741DD3"/>
    <w:rsid w:val="4DA4699A"/>
    <w:rsid w:val="4DC93207"/>
    <w:rsid w:val="4DD059E1"/>
    <w:rsid w:val="4E010C4C"/>
    <w:rsid w:val="4E214B2B"/>
    <w:rsid w:val="4E375A60"/>
    <w:rsid w:val="4E40308D"/>
    <w:rsid w:val="4E8D5761"/>
    <w:rsid w:val="4ECF5C98"/>
    <w:rsid w:val="4EF54A85"/>
    <w:rsid w:val="4EF972C6"/>
    <w:rsid w:val="501B3C66"/>
    <w:rsid w:val="504B40C5"/>
    <w:rsid w:val="50987DC2"/>
    <w:rsid w:val="50A4703E"/>
    <w:rsid w:val="51087240"/>
    <w:rsid w:val="51282B99"/>
    <w:rsid w:val="5136104F"/>
    <w:rsid w:val="51465EDE"/>
    <w:rsid w:val="51B573C7"/>
    <w:rsid w:val="52071113"/>
    <w:rsid w:val="52085509"/>
    <w:rsid w:val="52097713"/>
    <w:rsid w:val="522774C4"/>
    <w:rsid w:val="522A7431"/>
    <w:rsid w:val="5233653E"/>
    <w:rsid w:val="524644C3"/>
    <w:rsid w:val="525A440D"/>
    <w:rsid w:val="525B67FD"/>
    <w:rsid w:val="52626449"/>
    <w:rsid w:val="531243A6"/>
    <w:rsid w:val="534F73A8"/>
    <w:rsid w:val="53A07C03"/>
    <w:rsid w:val="544E511A"/>
    <w:rsid w:val="54741940"/>
    <w:rsid w:val="54810E66"/>
    <w:rsid w:val="54C063E4"/>
    <w:rsid w:val="54C2556E"/>
    <w:rsid w:val="55144405"/>
    <w:rsid w:val="55322ADD"/>
    <w:rsid w:val="55480EEF"/>
    <w:rsid w:val="55BB6F76"/>
    <w:rsid w:val="55F10BEA"/>
    <w:rsid w:val="569B7F91"/>
    <w:rsid w:val="56AB6FEB"/>
    <w:rsid w:val="56D21BED"/>
    <w:rsid w:val="56F522BD"/>
    <w:rsid w:val="572651B2"/>
    <w:rsid w:val="575B2B42"/>
    <w:rsid w:val="57671164"/>
    <w:rsid w:val="57917F8F"/>
    <w:rsid w:val="57AE5C26"/>
    <w:rsid w:val="57DD75A9"/>
    <w:rsid w:val="5801059F"/>
    <w:rsid w:val="58256ABD"/>
    <w:rsid w:val="58A106A5"/>
    <w:rsid w:val="58B94E04"/>
    <w:rsid w:val="58C27FDB"/>
    <w:rsid w:val="59472AC7"/>
    <w:rsid w:val="59D514A6"/>
    <w:rsid w:val="59EC6E09"/>
    <w:rsid w:val="5AB343F7"/>
    <w:rsid w:val="5ABF50F2"/>
    <w:rsid w:val="5AF25D13"/>
    <w:rsid w:val="5AF76904"/>
    <w:rsid w:val="5B052E7A"/>
    <w:rsid w:val="5B3D7F7E"/>
    <w:rsid w:val="5B7C7777"/>
    <w:rsid w:val="5B824A72"/>
    <w:rsid w:val="5BEC6771"/>
    <w:rsid w:val="5CA506B9"/>
    <w:rsid w:val="5CF74CE4"/>
    <w:rsid w:val="5D5A7C63"/>
    <w:rsid w:val="5D610403"/>
    <w:rsid w:val="5DEC23C3"/>
    <w:rsid w:val="5E256F6F"/>
    <w:rsid w:val="5E3873B6"/>
    <w:rsid w:val="5F6235A9"/>
    <w:rsid w:val="5F6E1CDF"/>
    <w:rsid w:val="5FBE7D8F"/>
    <w:rsid w:val="5FCA6734"/>
    <w:rsid w:val="605E35A3"/>
    <w:rsid w:val="60936B26"/>
    <w:rsid w:val="60DC439E"/>
    <w:rsid w:val="61371BA7"/>
    <w:rsid w:val="614125C2"/>
    <w:rsid w:val="61AA1D1F"/>
    <w:rsid w:val="61BE5E24"/>
    <w:rsid w:val="624C5C52"/>
    <w:rsid w:val="632878B5"/>
    <w:rsid w:val="63B15B13"/>
    <w:rsid w:val="63B76FCF"/>
    <w:rsid w:val="63DF08E4"/>
    <w:rsid w:val="645E569D"/>
    <w:rsid w:val="648D7D30"/>
    <w:rsid w:val="648F5856"/>
    <w:rsid w:val="64B90B25"/>
    <w:rsid w:val="64C04AFD"/>
    <w:rsid w:val="65332685"/>
    <w:rsid w:val="653A1C66"/>
    <w:rsid w:val="655B219F"/>
    <w:rsid w:val="65A92947"/>
    <w:rsid w:val="65E9543A"/>
    <w:rsid w:val="66042274"/>
    <w:rsid w:val="661A7B69"/>
    <w:rsid w:val="662D3578"/>
    <w:rsid w:val="66410DD2"/>
    <w:rsid w:val="66434B4A"/>
    <w:rsid w:val="66455323"/>
    <w:rsid w:val="664909C1"/>
    <w:rsid w:val="66635AE4"/>
    <w:rsid w:val="66723681"/>
    <w:rsid w:val="66C63EB5"/>
    <w:rsid w:val="67592674"/>
    <w:rsid w:val="679461D3"/>
    <w:rsid w:val="67A96C2F"/>
    <w:rsid w:val="6858287E"/>
    <w:rsid w:val="68593A1E"/>
    <w:rsid w:val="687A05CB"/>
    <w:rsid w:val="687E630D"/>
    <w:rsid w:val="68C04D52"/>
    <w:rsid w:val="68D33DE9"/>
    <w:rsid w:val="69157114"/>
    <w:rsid w:val="691A443E"/>
    <w:rsid w:val="69AC6EAA"/>
    <w:rsid w:val="69E203A0"/>
    <w:rsid w:val="6A5B6D7D"/>
    <w:rsid w:val="6A765FBC"/>
    <w:rsid w:val="6A80735F"/>
    <w:rsid w:val="6AC17181"/>
    <w:rsid w:val="6ACC5E47"/>
    <w:rsid w:val="6AD43ED1"/>
    <w:rsid w:val="6B11024D"/>
    <w:rsid w:val="6B7D5B36"/>
    <w:rsid w:val="6B8A54C9"/>
    <w:rsid w:val="6C7041BF"/>
    <w:rsid w:val="6C834DAA"/>
    <w:rsid w:val="6C993CCE"/>
    <w:rsid w:val="6CF120A8"/>
    <w:rsid w:val="6CF44DF0"/>
    <w:rsid w:val="6D625E49"/>
    <w:rsid w:val="6D631F76"/>
    <w:rsid w:val="6D723F67"/>
    <w:rsid w:val="6D72413D"/>
    <w:rsid w:val="6D7E34E1"/>
    <w:rsid w:val="6DA93E2C"/>
    <w:rsid w:val="6DE10ACA"/>
    <w:rsid w:val="6DE359CC"/>
    <w:rsid w:val="6DE36C13"/>
    <w:rsid w:val="6E2C05BA"/>
    <w:rsid w:val="6E9F6FDD"/>
    <w:rsid w:val="6EAE7221"/>
    <w:rsid w:val="6EE91F8A"/>
    <w:rsid w:val="6F6D49E6"/>
    <w:rsid w:val="6FA26D85"/>
    <w:rsid w:val="6FB42615"/>
    <w:rsid w:val="6FF50B81"/>
    <w:rsid w:val="70330B9C"/>
    <w:rsid w:val="708741CD"/>
    <w:rsid w:val="709F5073"/>
    <w:rsid w:val="70FF3D63"/>
    <w:rsid w:val="71265794"/>
    <w:rsid w:val="714213DD"/>
    <w:rsid w:val="71777D9E"/>
    <w:rsid w:val="717F272E"/>
    <w:rsid w:val="721B2E1F"/>
    <w:rsid w:val="72783A23"/>
    <w:rsid w:val="728027C6"/>
    <w:rsid w:val="734030D3"/>
    <w:rsid w:val="73D62FA6"/>
    <w:rsid w:val="73FE7ACC"/>
    <w:rsid w:val="74556746"/>
    <w:rsid w:val="74743258"/>
    <w:rsid w:val="761B13C4"/>
    <w:rsid w:val="764B6A8A"/>
    <w:rsid w:val="765D3A06"/>
    <w:rsid w:val="76C17E06"/>
    <w:rsid w:val="76CA67BD"/>
    <w:rsid w:val="774E6400"/>
    <w:rsid w:val="775B0046"/>
    <w:rsid w:val="78047EB1"/>
    <w:rsid w:val="78411105"/>
    <w:rsid w:val="787B63C5"/>
    <w:rsid w:val="792410CB"/>
    <w:rsid w:val="792F71B0"/>
    <w:rsid w:val="79700BEF"/>
    <w:rsid w:val="798D552B"/>
    <w:rsid w:val="79AE4579"/>
    <w:rsid w:val="7A090695"/>
    <w:rsid w:val="7A1D5951"/>
    <w:rsid w:val="7A813A3B"/>
    <w:rsid w:val="7AE175F4"/>
    <w:rsid w:val="7B417685"/>
    <w:rsid w:val="7B5220F0"/>
    <w:rsid w:val="7B7B492E"/>
    <w:rsid w:val="7BA169C0"/>
    <w:rsid w:val="7BC55243"/>
    <w:rsid w:val="7C2F4A9A"/>
    <w:rsid w:val="7CAD595B"/>
    <w:rsid w:val="7CD9190C"/>
    <w:rsid w:val="7CF65D07"/>
    <w:rsid w:val="7D20753B"/>
    <w:rsid w:val="7D2975D1"/>
    <w:rsid w:val="7D2F3083"/>
    <w:rsid w:val="7D5275C7"/>
    <w:rsid w:val="7D906046"/>
    <w:rsid w:val="7DCC0CD6"/>
    <w:rsid w:val="7DED6109"/>
    <w:rsid w:val="7E235535"/>
    <w:rsid w:val="7E933537"/>
    <w:rsid w:val="7E956EBF"/>
    <w:rsid w:val="7F2C21C7"/>
    <w:rsid w:val="7F9A18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4764</Words>
  <Characters>5768</Characters>
  <Lines>71</Lines>
  <Paragraphs>20</Paragraphs>
  <TotalTime>1</TotalTime>
  <ScaleCrop>false</ScaleCrop>
  <LinksUpToDate>false</LinksUpToDate>
  <CharactersWithSpaces>6116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ʚ阳光温暖却也刺眼ɞ</cp:lastModifiedBy>
  <cp:lastPrinted>2024-01-23T03:39:00Z</cp:lastPrinted>
  <dcterms:modified xsi:type="dcterms:W3CDTF">2024-02-26T03:22:22Z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94EEABA2B6F74638A24F93CD124D9B2B_13</vt:lpwstr>
  </property>
</Properties>
</file>