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lang w:val="en-US" w:eastAsia="zh-CN"/>
        </w:rPr>
        <w:t>四平市统计局铁西区分局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hint="eastAsia" w:ascii="黑体" w:hAnsi="黑体" w:eastAsia="黑体" w:cs="黑体"/>
        </w:rPr>
      </w:pPr>
    </w:p>
    <w:p>
      <w:pPr>
        <w:rPr>
          <w:rFonts w:eastAsia="黑体"/>
        </w:rPr>
      </w:pPr>
      <w:r>
        <w:rPr>
          <w:rFonts w:hint="eastAsia" w:ascii="黑体" w:hAnsi="黑体" w:eastAsia="黑体" w:cs="黑体"/>
        </w:rPr>
        <w:t xml:space="preserve">第一部分  </w:t>
      </w:r>
      <w:r>
        <w:rPr>
          <w:rFonts w:hint="eastAsia" w:ascii="黑体" w:hAnsi="黑体" w:eastAsia="黑体" w:cs="黑体"/>
          <w:lang w:val="en-US" w:eastAsia="zh-CN"/>
        </w:rPr>
        <w:t>单位</w:t>
      </w:r>
      <w:r>
        <w:rPr>
          <w:rFonts w:hint="eastAsia" w:ascii="黑体" w:hAnsi="黑体" w:eastAsia="黑体" w:cs="黑体"/>
        </w:rPr>
        <w:t>概况</w:t>
      </w:r>
      <w:r>
        <w:rPr>
          <w:rFonts w:hint="eastAsia" w:ascii="黑体" w:hAnsi="黑体" w:eastAsia="黑体" w:cs="黑体"/>
        </w:rPr>
        <w:tab/>
      </w:r>
      <w:r>
        <w:rPr>
          <w:rFonts w:hint="eastAsia" w:ascii="黑体" w:hAnsi="黑体" w:eastAsia="黑体" w:cs="黑体"/>
        </w:rPr>
        <w:tab/>
      </w:r>
      <w:r>
        <w:rPr>
          <w:rFonts w:eastAsia="黑体"/>
        </w:rPr>
        <w:tab/>
      </w:r>
      <w:r>
        <w:rPr>
          <w:rFonts w:eastAsia="黑体"/>
        </w:rPr>
        <w:tab/>
      </w:r>
      <w:r>
        <w:rPr>
          <w:rFonts w:eastAsia="黑体"/>
        </w:rPr>
        <w:tab/>
      </w:r>
    </w:p>
    <w:p>
      <w:pPr>
        <w:ind w:left="320" w:leftChars="100" w:firstLine="320" w:firstLineChars="100"/>
        <w:rPr>
          <w:rFonts w:hint="eastAsia" w:ascii="仿宋" w:hAnsi="仿宋" w:eastAsia="仿宋" w:cs="仿宋"/>
        </w:rPr>
      </w:pPr>
      <w:r>
        <w:rPr>
          <w:rFonts w:hint="eastAsia" w:ascii="仿宋" w:hAnsi="仿宋" w:eastAsia="仿宋" w:cs="仿宋"/>
        </w:rPr>
        <w:t>一、主要职能</w:t>
      </w:r>
    </w:p>
    <w:p>
      <w:pPr>
        <w:ind w:left="320" w:leftChars="100" w:firstLine="320" w:firstLineChars="100"/>
      </w:pPr>
      <w:r>
        <w:rPr>
          <w:rFonts w:hint="eastAsia" w:ascii="仿宋" w:hAnsi="仿宋" w:eastAsia="仿宋" w:cs="仿宋"/>
        </w:rPr>
        <w:t>二、机构设置</w:t>
      </w:r>
    </w:p>
    <w:p>
      <w:pPr>
        <w:rPr>
          <w:rFonts w:eastAsia="黑体"/>
        </w:rPr>
      </w:pPr>
      <w:r>
        <w:rPr>
          <w:rFonts w:eastAsia="黑体"/>
        </w:rPr>
        <w:t>第二部分  预算表格</w:t>
      </w:r>
    </w:p>
    <w:p>
      <w:pPr>
        <w:ind w:left="320" w:leftChars="100" w:firstLine="320" w:firstLineChars="100"/>
        <w:rPr>
          <w:rFonts w:hint="eastAsia" w:ascii="仿宋" w:hAnsi="仿宋" w:eastAsia="仿宋" w:cs="仿宋"/>
        </w:rPr>
      </w:pPr>
      <w:r>
        <w:rPr>
          <w:rFonts w:hint="eastAsia" w:ascii="仿宋" w:hAnsi="仿宋" w:eastAsia="仿宋" w:cs="仿宋"/>
        </w:rPr>
        <w:t>一、收支</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二、收入</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三、支出</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四、财政拨款收支</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五、一般公共预算支出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六、一般公共预算基本支出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七、一般公共预算“三公”经费支出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八、政府性基金预算</w:t>
      </w:r>
      <w:r>
        <w:rPr>
          <w:rFonts w:hint="eastAsia" w:ascii="仿宋" w:hAnsi="仿宋" w:eastAsia="仿宋" w:cs="仿宋"/>
          <w:lang w:eastAsia="zh-CN"/>
        </w:rPr>
        <w:t>拨款</w:t>
      </w:r>
      <w:r>
        <w:rPr>
          <w:rFonts w:hint="eastAsia" w:ascii="仿宋" w:hAnsi="仿宋" w:eastAsia="仿宋" w:cs="仿宋"/>
        </w:rPr>
        <w:t>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九、国有资本经营预算支出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lang w:eastAsia="zh-CN"/>
        </w:rPr>
        <w:t>十、</w:t>
      </w:r>
      <w:r>
        <w:rPr>
          <w:rFonts w:hint="eastAsia" w:ascii="仿宋" w:hAnsi="仿宋" w:eastAsia="仿宋" w:cs="仿宋"/>
        </w:rPr>
        <w:t>项目支出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lang w:eastAsia="zh-CN"/>
        </w:rPr>
      </w:pPr>
      <w:r>
        <w:rPr>
          <w:rFonts w:hint="eastAsia" w:ascii="仿宋" w:hAnsi="仿宋" w:eastAsia="仿宋" w:cs="仿宋"/>
          <w:lang w:eastAsia="zh-CN"/>
        </w:rPr>
        <w:t>十一、财政拨款委托业务费支出预算表</w:t>
      </w:r>
    </w:p>
    <w:p>
      <w:pPr>
        <w:ind w:firstLine="640" w:firstLineChars="200"/>
        <w:rPr>
          <w:rFonts w:hint="eastAsia" w:ascii="仿宋" w:hAnsi="仿宋" w:eastAsia="仿宋" w:cs="仿宋"/>
        </w:rPr>
      </w:pPr>
      <w:r>
        <w:rPr>
          <w:rFonts w:hint="eastAsia" w:ascii="仿宋" w:hAnsi="仿宋" w:eastAsia="仿宋" w:cs="仿宋"/>
        </w:rPr>
        <w:t>十</w:t>
      </w:r>
      <w:r>
        <w:rPr>
          <w:rFonts w:hint="eastAsia" w:ascii="仿宋" w:hAnsi="仿宋" w:eastAsia="仿宋" w:cs="仿宋"/>
          <w:lang w:eastAsia="zh-CN"/>
        </w:rPr>
        <w:t>二</w:t>
      </w:r>
      <w:r>
        <w:rPr>
          <w:rFonts w:hint="eastAsia" w:ascii="仿宋" w:hAnsi="仿宋" w:eastAsia="仿宋" w:cs="仿宋"/>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hint="eastAsia" w:ascii="楷体" w:hAnsi="楷体" w:eastAsia="楷体" w:cs="楷体"/>
        </w:rPr>
      </w:pPr>
    </w:p>
    <w:p>
      <w:pPr>
        <w:numPr>
          <w:ilvl w:val="0"/>
          <w:numId w:val="0"/>
        </w:numPr>
        <w:ind w:firstLine="640" w:firstLineChars="200"/>
        <w:jc w:val="left"/>
        <w:rPr>
          <w:rFonts w:hint="eastAsia" w:ascii="楷体" w:hAnsi="楷体" w:eastAsia="楷体" w:cs="楷体"/>
          <w:lang w:eastAsia="zh-CN"/>
        </w:rPr>
      </w:pPr>
      <w:r>
        <w:rPr>
          <w:rFonts w:hint="eastAsia" w:ascii="楷体" w:hAnsi="楷体" w:eastAsia="楷体" w:cs="楷体"/>
          <w:kern w:val="2"/>
          <w:sz w:val="32"/>
          <w:lang w:val="en-US" w:eastAsia="zh-CN" w:bidi="ar-SA"/>
        </w:rPr>
        <w:t>一、</w:t>
      </w:r>
      <w:r>
        <w:rPr>
          <w:rFonts w:hint="eastAsia" w:ascii="楷体" w:hAnsi="楷体" w:eastAsia="楷体" w:cs="楷体"/>
        </w:rPr>
        <w:t>主要职能</w:t>
      </w:r>
    </w:p>
    <w:p>
      <w:pPr>
        <w:numPr>
          <w:ilvl w:val="0"/>
          <w:numId w:val="1"/>
        </w:numPr>
        <w:ind w:left="640" w:leftChars="0"/>
        <w:jc w:val="left"/>
        <w:rPr>
          <w:rFonts w:hint="eastAsia" w:ascii="仿宋" w:hAnsi="仿宋" w:eastAsia="仿宋" w:cs="仿宋"/>
          <w:lang w:eastAsia="zh-CN"/>
        </w:rPr>
      </w:pPr>
      <w:r>
        <w:rPr>
          <w:rFonts w:hint="eastAsia" w:ascii="仿宋" w:hAnsi="仿宋" w:eastAsia="仿宋" w:cs="仿宋"/>
          <w:lang w:eastAsia="zh-CN"/>
        </w:rPr>
        <w:t>贯彻执行国家、省、市统计局的各项工作方针，组</w:t>
      </w:r>
    </w:p>
    <w:p>
      <w:pPr>
        <w:numPr>
          <w:ilvl w:val="0"/>
          <w:numId w:val="0"/>
        </w:numPr>
        <w:jc w:val="left"/>
        <w:rPr>
          <w:rFonts w:hint="eastAsia" w:ascii="仿宋" w:hAnsi="仿宋" w:eastAsia="仿宋" w:cs="仿宋"/>
          <w:lang w:eastAsia="zh-CN"/>
        </w:rPr>
      </w:pPr>
      <w:r>
        <w:rPr>
          <w:rFonts w:hint="eastAsia" w:ascii="仿宋" w:hAnsi="仿宋" w:eastAsia="仿宋" w:cs="仿宋"/>
          <w:lang w:eastAsia="zh-CN"/>
        </w:rPr>
        <w:t>织领导和监督检查各乡、街，各部门及有关单位的统计和国民经济核算工作，监督检查统计法律、法规的实施。</w:t>
      </w:r>
    </w:p>
    <w:p>
      <w:pPr>
        <w:ind w:left="320" w:leftChars="100" w:firstLine="320" w:firstLineChars="100"/>
        <w:jc w:val="left"/>
        <w:rPr>
          <w:rFonts w:hint="eastAsia" w:ascii="仿宋" w:hAnsi="仿宋" w:eastAsia="仿宋" w:cs="仿宋"/>
          <w:lang w:eastAsia="zh-CN"/>
        </w:rPr>
      </w:pPr>
      <w:r>
        <w:rPr>
          <w:rFonts w:hint="eastAsia" w:ascii="仿宋" w:hAnsi="仿宋" w:eastAsia="仿宋" w:cs="仿宋"/>
          <w:lang w:eastAsia="zh-CN"/>
        </w:rPr>
        <w:t>（二）根据全国、全省、全市统一的基本统计制度，建立</w:t>
      </w:r>
    </w:p>
    <w:p>
      <w:pPr>
        <w:jc w:val="left"/>
        <w:rPr>
          <w:rFonts w:hint="eastAsia" w:ascii="仿宋" w:hAnsi="仿宋" w:eastAsia="仿宋" w:cs="仿宋"/>
          <w:lang w:eastAsia="zh-CN"/>
        </w:rPr>
      </w:pPr>
      <w:r>
        <w:rPr>
          <w:rFonts w:hint="eastAsia" w:ascii="仿宋" w:hAnsi="仿宋" w:eastAsia="仿宋" w:cs="仿宋"/>
          <w:lang w:val="en-US" w:eastAsia="zh-CN"/>
        </w:rPr>
        <w:t>健</w:t>
      </w:r>
      <w:r>
        <w:rPr>
          <w:rFonts w:hint="eastAsia" w:ascii="仿宋" w:hAnsi="仿宋" w:eastAsia="仿宋" w:cs="仿宋"/>
          <w:lang w:eastAsia="zh-CN"/>
        </w:rPr>
        <w:t>全全区的国民经济核算体系，统计调查项目。</w:t>
      </w:r>
    </w:p>
    <w:p>
      <w:pPr>
        <w:numPr>
          <w:ilvl w:val="0"/>
          <w:numId w:val="2"/>
        </w:numPr>
        <w:ind w:left="320" w:leftChars="100" w:firstLine="320" w:firstLineChars="100"/>
        <w:jc w:val="left"/>
        <w:rPr>
          <w:rFonts w:hint="eastAsia" w:ascii="仿宋" w:hAnsi="仿宋" w:eastAsia="仿宋" w:cs="仿宋"/>
          <w:lang w:eastAsia="zh-CN"/>
        </w:rPr>
      </w:pPr>
      <w:r>
        <w:rPr>
          <w:rFonts w:hint="eastAsia" w:ascii="仿宋" w:hAnsi="仿宋" w:eastAsia="仿宋" w:cs="仿宋"/>
          <w:lang w:eastAsia="zh-CN"/>
        </w:rPr>
        <w:t>代政府组织实施重大的国情、国力普查和重大的市</w:t>
      </w:r>
    </w:p>
    <w:p>
      <w:pPr>
        <w:numPr>
          <w:ilvl w:val="0"/>
          <w:numId w:val="0"/>
        </w:numPr>
        <w:jc w:val="left"/>
        <w:rPr>
          <w:rFonts w:hint="eastAsia" w:ascii="仿宋" w:hAnsi="仿宋" w:eastAsia="仿宋" w:cs="仿宋"/>
          <w:lang w:eastAsia="zh-CN"/>
        </w:rPr>
      </w:pPr>
      <w:r>
        <w:rPr>
          <w:rFonts w:hint="eastAsia" w:ascii="仿宋" w:hAnsi="仿宋" w:eastAsia="仿宋" w:cs="仿宋"/>
          <w:lang w:eastAsia="zh-CN"/>
        </w:rPr>
        <w:t>情、市力普查及区情、区力普查，统一组织各乡、街，各部门的社会经济统计调查。</w:t>
      </w:r>
    </w:p>
    <w:p>
      <w:pPr>
        <w:numPr>
          <w:ilvl w:val="0"/>
          <w:numId w:val="2"/>
        </w:numPr>
        <w:ind w:left="320" w:leftChars="100" w:firstLine="320" w:firstLineChars="100"/>
        <w:jc w:val="left"/>
        <w:rPr>
          <w:rFonts w:hint="eastAsia" w:ascii="仿宋" w:hAnsi="仿宋" w:eastAsia="仿宋" w:cs="仿宋"/>
          <w:lang w:eastAsia="zh-CN"/>
        </w:rPr>
      </w:pPr>
      <w:r>
        <w:rPr>
          <w:rFonts w:hint="eastAsia" w:ascii="仿宋" w:hAnsi="仿宋" w:eastAsia="仿宋" w:cs="仿宋"/>
          <w:lang w:eastAsia="zh-CN"/>
        </w:rPr>
        <w:t>统一核定、管理、公布全区性的基本统计资料，定</w:t>
      </w:r>
    </w:p>
    <w:p>
      <w:pPr>
        <w:numPr>
          <w:ilvl w:val="0"/>
          <w:numId w:val="0"/>
        </w:numPr>
        <w:jc w:val="left"/>
        <w:rPr>
          <w:rFonts w:hint="eastAsia" w:ascii="仿宋" w:hAnsi="仿宋" w:eastAsia="仿宋" w:cs="仿宋"/>
          <w:lang w:eastAsia="zh-CN"/>
        </w:rPr>
      </w:pPr>
      <w:r>
        <w:rPr>
          <w:rFonts w:hint="eastAsia" w:ascii="仿宋" w:hAnsi="仿宋" w:eastAsia="仿宋" w:cs="仿宋"/>
          <w:lang w:eastAsia="zh-CN"/>
        </w:rPr>
        <w:t>期向社会公众发布全区国民经济和社会发展状况的统计信息。</w:t>
      </w:r>
    </w:p>
    <w:p>
      <w:pPr>
        <w:ind w:left="320" w:leftChars="100" w:firstLine="320" w:firstLineChars="100"/>
        <w:jc w:val="left"/>
        <w:rPr>
          <w:rFonts w:hint="eastAsia" w:ascii="仿宋" w:hAnsi="仿宋" w:eastAsia="仿宋" w:cs="仿宋"/>
          <w:lang w:eastAsia="zh-CN"/>
        </w:rPr>
      </w:pPr>
      <w:r>
        <w:rPr>
          <w:rFonts w:hint="eastAsia" w:ascii="仿宋" w:hAnsi="仿宋" w:eastAsia="仿宋" w:cs="仿宋"/>
          <w:lang w:eastAsia="zh-CN"/>
        </w:rPr>
        <w:t>（五）承办区政府交办的其他事项。</w:t>
      </w:r>
    </w:p>
    <w:p>
      <w:pPr>
        <w:ind w:left="320" w:leftChars="100" w:firstLine="320" w:firstLineChars="100"/>
        <w:jc w:val="left"/>
        <w:rPr>
          <w:rFonts w:hint="eastAsia" w:ascii="楷体" w:hAnsi="楷体" w:eastAsia="楷体" w:cs="楷体"/>
          <w:lang w:eastAsia="zh-CN"/>
        </w:rPr>
      </w:pPr>
      <w:r>
        <w:rPr>
          <w:rFonts w:hint="eastAsia" w:ascii="楷体" w:hAnsi="楷体" w:eastAsia="楷体" w:cs="楷体"/>
          <w:lang w:eastAsia="zh-CN"/>
        </w:rPr>
        <w:t>二、机构设置</w:t>
      </w:r>
    </w:p>
    <w:p>
      <w:pPr>
        <w:ind w:left="320" w:leftChars="100" w:firstLine="320" w:firstLineChars="100"/>
        <w:jc w:val="left"/>
        <w:rPr>
          <w:rFonts w:hint="eastAsia" w:ascii="仿宋" w:hAnsi="仿宋" w:eastAsia="仿宋" w:cs="仿宋"/>
          <w:lang w:eastAsia="zh-CN"/>
        </w:rPr>
      </w:pPr>
      <w:r>
        <w:rPr>
          <w:rFonts w:hint="eastAsia" w:ascii="仿宋" w:hAnsi="仿宋" w:eastAsia="仿宋" w:cs="仿宋"/>
          <w:lang w:eastAsia="zh-CN"/>
        </w:rPr>
        <w:t>根据上述职责，四平市统计局铁西区分局设1个内设机构：</w:t>
      </w:r>
    </w:p>
    <w:p>
      <w:pPr>
        <w:jc w:val="left"/>
        <w:rPr>
          <w:rFonts w:hint="eastAsia" w:ascii="仿宋" w:hAnsi="仿宋" w:eastAsia="仿宋" w:cs="仿宋"/>
          <w:lang w:eastAsia="zh-CN"/>
        </w:rPr>
      </w:pPr>
      <w:r>
        <w:rPr>
          <w:rFonts w:hint="eastAsia" w:ascii="仿宋" w:hAnsi="仿宋" w:eastAsia="仿宋" w:cs="仿宋"/>
          <w:lang w:eastAsia="zh-CN"/>
        </w:rPr>
        <w:t>综合科，负责文秘、行政工作及区人大、政府、区政协、区纪检委和市局办公室部署的工作；负责日常的业务管理工作，统计业务培训、统计汇编和省、市统计专业处、科部署的工作；负责统计法律、法规、行政复议和省、市法规机构部署的工作。</w:t>
      </w:r>
    </w:p>
    <w:p>
      <w:pPr>
        <w:ind w:left="320" w:leftChars="100" w:firstLine="320" w:firstLineChars="100"/>
        <w:jc w:val="left"/>
        <w:rPr>
          <w:rFonts w:hint="eastAsia" w:ascii="仿宋" w:hAnsi="仿宋" w:eastAsia="仿宋" w:cs="仿宋"/>
          <w:lang w:eastAsia="zh-CN"/>
        </w:rPr>
      </w:pPr>
      <w:r>
        <w:rPr>
          <w:rFonts w:hint="eastAsia" w:ascii="仿宋" w:hAnsi="仿宋" w:eastAsia="仿宋" w:cs="仿宋"/>
          <w:lang w:val="en-US" w:eastAsia="zh-CN"/>
        </w:rPr>
        <w:t>本单位无下设预算单位。</w:t>
      </w:r>
    </w:p>
    <w:p>
      <w:pPr>
        <w:rPr>
          <w:rFonts w:hint="eastAsia" w:ascii="仿宋" w:hAnsi="仿宋" w:eastAsia="仿宋" w:cs="仿宋"/>
        </w:rPr>
      </w:pPr>
    </w:p>
    <w:p>
      <w:pPr>
        <w:jc w:val="center"/>
        <w:rPr>
          <w:rFonts w:eastAsia="黑体"/>
        </w:rPr>
      </w:pPr>
      <w:r>
        <w:rPr>
          <w:rFonts w:eastAsia="黑体"/>
        </w:rPr>
        <w:t>第二部分 预算表格</w:t>
      </w:r>
    </w:p>
    <w:tbl>
      <w:tblPr>
        <w:tblStyle w:val="10"/>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397"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支        出</w:t>
            </w:r>
          </w:p>
        </w:tc>
      </w:tr>
      <w:tr>
        <w:tblPrEx>
          <w:tblCellMar>
            <w:top w:w="0" w:type="dxa"/>
            <w:left w:w="108" w:type="dxa"/>
            <w:bottom w:w="0" w:type="dxa"/>
            <w:right w:w="108" w:type="dxa"/>
          </w:tblCellMar>
        </w:tblPrEx>
        <w:trPr>
          <w:trHeight w:val="397"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202</w:t>
            </w:r>
            <w:r>
              <w:rPr>
                <w:rFonts w:hint="eastAsia" w:ascii="宋体" w:hAnsi="宋体" w:eastAsia="宋体" w:cs="宋体"/>
                <w:kern w:val="0"/>
                <w:sz w:val="20"/>
                <w:lang w:val="en-US" w:eastAsia="zh-CN"/>
              </w:rPr>
              <w:t>4</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202</w:t>
            </w:r>
            <w:r>
              <w:rPr>
                <w:rFonts w:hint="eastAsia" w:ascii="宋体" w:hAnsi="宋体" w:eastAsia="宋体" w:cs="宋体"/>
                <w:kern w:val="0"/>
                <w:sz w:val="20"/>
                <w:lang w:val="en-US" w:eastAsia="zh-CN"/>
              </w:rPr>
              <w:t>4</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结转</w:t>
            </w:r>
          </w:p>
        </w:tc>
      </w:tr>
      <w:tr>
        <w:tblPrEx>
          <w:tblCellMar>
            <w:top w:w="0" w:type="dxa"/>
            <w:left w:w="108" w:type="dxa"/>
            <w:bottom w:w="0" w:type="dxa"/>
            <w:right w:w="108" w:type="dxa"/>
          </w:tblCellMar>
        </w:tblPrEx>
        <w:trPr>
          <w:trHeight w:val="397"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146.18</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144.74</w:t>
            </w: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1.44</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一、一般公共服务</w:t>
            </w:r>
            <w:r>
              <w:rPr>
                <w:rFonts w:hint="eastAsia" w:ascii="宋体" w:hAnsi="宋体" w:eastAsia="宋体" w:cs="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121.98</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120.54</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1.44</w:t>
            </w:r>
          </w:p>
        </w:tc>
      </w:tr>
      <w:tr>
        <w:tblPrEx>
          <w:tblCellMar>
            <w:top w:w="0" w:type="dxa"/>
            <w:left w:w="108" w:type="dxa"/>
            <w:bottom w:w="0" w:type="dxa"/>
            <w:right w:w="108" w:type="dxa"/>
          </w:tblCellMar>
        </w:tblPrEx>
        <w:trPr>
          <w:trHeight w:val="397"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一般公共预算</w:t>
            </w:r>
            <w:r>
              <w:rPr>
                <w:rFonts w:hint="eastAsia" w:ascii="宋体" w:hAnsi="宋体" w:eastAsia="宋体" w:cs="宋体"/>
                <w:sz w:val="20"/>
                <w:lang w:val="en-US" w:eastAsia="zh-CN"/>
              </w:rPr>
              <w:t xml:space="preserve">    </w:t>
            </w:r>
            <w:r>
              <w:rPr>
                <w:rFonts w:hint="eastAsia" w:ascii="宋体" w:hAnsi="宋体" w:eastAsia="宋体" w:cs="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val="en-US" w:eastAsia="zh-CN"/>
              </w:rPr>
              <w:t>146.18</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val="en-US" w:eastAsia="zh-CN"/>
              </w:rPr>
              <w:t>144.74</w:t>
            </w: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val="en-US" w:eastAsia="zh-CN"/>
              </w:rPr>
              <w:t>1.44</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sz w:val="20"/>
              </w:rPr>
              <w:t>二、</w:t>
            </w:r>
            <w:r>
              <w:rPr>
                <w:rFonts w:hint="eastAsia" w:ascii="宋体" w:hAnsi="宋体" w:eastAsia="宋体" w:cs="宋体"/>
                <w:color w:val="000000"/>
                <w:sz w:val="20"/>
                <w:lang w:val="en-US"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14.77</w:t>
            </w: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14.77</w:t>
            </w: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97"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政府性基金预算</w:t>
            </w:r>
            <w:r>
              <w:rPr>
                <w:rFonts w:hint="eastAsia" w:ascii="宋体" w:hAnsi="宋体" w:eastAsia="宋体" w:cs="宋体"/>
                <w:sz w:val="20"/>
                <w:lang w:val="en-US" w:eastAsia="zh-CN"/>
              </w:rPr>
              <w:t xml:space="preserve">   </w:t>
            </w:r>
            <w:r>
              <w:rPr>
                <w:rFonts w:hint="eastAsia" w:ascii="宋体" w:hAnsi="宋体" w:eastAsia="宋体" w:cs="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sz w:val="20"/>
              </w:rPr>
              <w:t>三、</w:t>
            </w:r>
            <w:r>
              <w:rPr>
                <w:rFonts w:hint="eastAsia" w:ascii="宋体" w:hAnsi="宋体" w:eastAsia="宋体" w:cs="宋体"/>
                <w:color w:val="000000"/>
                <w:sz w:val="20"/>
                <w:lang w:val="en-US"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2.80</w:t>
            </w: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2.80</w:t>
            </w: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97"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both"/>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6.63</w:t>
            </w: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6.63</w:t>
            </w: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97"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ascii="宋体" w:hAnsi="宋体" w:eastAsia="宋体" w:cs="宋体"/>
                <w:sz w:val="20"/>
              </w:rPr>
            </w:pPr>
            <w:r>
              <w:rPr>
                <w:rFonts w:hint="eastAsia" w:ascii="宋体" w:hAnsi="宋体" w:eastAsia="宋体" w:cs="宋体"/>
                <w:sz w:val="20"/>
              </w:rPr>
              <w:t>二、财政专户管理</w:t>
            </w:r>
            <w:r>
              <w:rPr>
                <w:rFonts w:hint="eastAsia" w:ascii="宋体" w:hAnsi="宋体" w:eastAsia="宋体" w:cs="宋体"/>
                <w:sz w:val="20"/>
                <w:lang w:val="en-US" w:eastAsia="zh-CN"/>
              </w:rPr>
              <w:t xml:space="preserve">  </w:t>
            </w:r>
            <w:r>
              <w:rPr>
                <w:rFonts w:hint="eastAsia" w:ascii="宋体" w:hAnsi="宋体" w:eastAsia="宋体" w:cs="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97"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sz w:val="20"/>
              </w:rPr>
            </w:pPr>
            <w:r>
              <w:rPr>
                <w:rFonts w:hint="eastAsia" w:ascii="宋体" w:hAnsi="宋体" w:eastAsia="宋体" w:cs="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97"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97"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0"/>
              </w:rPr>
            </w:pPr>
            <w:r>
              <w:rPr>
                <w:rFonts w:hint="eastAsia" w:ascii="宋体" w:hAnsi="宋体" w:eastAsia="宋体" w:cs="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97"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97"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97"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rPr>
            </w:pPr>
          </w:p>
        </w:tc>
      </w:tr>
      <w:tr>
        <w:tblPrEx>
          <w:tblCellMar>
            <w:top w:w="0" w:type="dxa"/>
            <w:left w:w="108" w:type="dxa"/>
            <w:bottom w:w="0" w:type="dxa"/>
            <w:right w:w="108" w:type="dxa"/>
          </w:tblCellMar>
        </w:tblPrEx>
        <w:trPr>
          <w:trHeight w:val="397"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本年收入</w:t>
            </w:r>
            <w:r>
              <w:rPr>
                <w:rFonts w:hint="eastAsia" w:ascii="宋体" w:hAnsi="宋体" w:eastAsia="宋体" w:cs="宋体"/>
                <w:b/>
                <w:bCs/>
                <w:kern w:val="0"/>
                <w:sz w:val="20"/>
                <w:lang w:val="en-US" w:eastAsia="zh-CN"/>
              </w:rPr>
              <w:t xml:space="preserve">         </w:t>
            </w:r>
            <w:r>
              <w:rPr>
                <w:rFonts w:hint="eastAsia" w:ascii="宋体" w:hAnsi="宋体" w:eastAsia="宋体" w:cs="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val="en-US" w:eastAsia="zh-CN"/>
              </w:rPr>
              <w:t>146.18</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val="en-US" w:eastAsia="zh-CN"/>
              </w:rPr>
              <w:t>144.74</w:t>
            </w: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val="en-US" w:eastAsia="zh-CN"/>
              </w:rPr>
              <w:t>1.44</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本年支出</w:t>
            </w:r>
            <w:r>
              <w:rPr>
                <w:rFonts w:hint="eastAsia" w:ascii="宋体" w:hAnsi="宋体" w:eastAsia="宋体" w:cs="宋体"/>
                <w:b/>
                <w:bCs/>
                <w:kern w:val="0"/>
                <w:sz w:val="20"/>
                <w:lang w:val="en-US" w:eastAsia="zh-CN"/>
              </w:rPr>
              <w:t xml:space="preserve">  </w:t>
            </w:r>
            <w:r>
              <w:rPr>
                <w:rFonts w:hint="eastAsia" w:ascii="宋体" w:hAnsi="宋体" w:eastAsia="宋体" w:cs="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kern w:val="0"/>
                <w:sz w:val="20"/>
                <w:lang w:val="en-US" w:eastAsia="zh-CN"/>
              </w:rPr>
              <w:t>146.18</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val="en-US" w:eastAsia="zh-CN"/>
              </w:rPr>
              <w:t>144.74</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val="en-US" w:eastAsia="zh-CN"/>
              </w:rPr>
              <w:t>1.44</w:t>
            </w:r>
          </w:p>
        </w:tc>
      </w:tr>
      <w:tr>
        <w:tblPrEx>
          <w:tblCellMar>
            <w:top w:w="0" w:type="dxa"/>
            <w:left w:w="108" w:type="dxa"/>
            <w:bottom w:w="0" w:type="dxa"/>
            <w:right w:w="108" w:type="dxa"/>
          </w:tblCellMar>
        </w:tblPrEx>
        <w:trPr>
          <w:trHeight w:val="397"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结转下年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97"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lang w:eastAsia="zh-CN"/>
              </w:rPr>
              <w:t>非财政拨款</w:t>
            </w:r>
            <w:r>
              <w:rPr>
                <w:rFonts w:hint="eastAsia" w:ascii="宋体" w:hAnsi="宋体" w:eastAsia="宋体" w:cs="宋体"/>
                <w:sz w:val="20"/>
                <w:lang w:val="en-US" w:eastAsia="zh-CN"/>
              </w:rPr>
              <w:t xml:space="preserve">      </w:t>
            </w:r>
            <w:r>
              <w:rPr>
                <w:rFonts w:hint="eastAsia" w:ascii="宋体" w:hAnsi="宋体" w:eastAsia="宋体" w:cs="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97"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val="en-US" w:eastAsia="zh-CN"/>
              </w:rPr>
              <w:t>146.18</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val="en-US" w:eastAsia="zh-CN"/>
              </w:rPr>
              <w:t>144.74</w:t>
            </w: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val="en-US" w:eastAsia="zh-CN"/>
              </w:rPr>
              <w:t>1.44</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val="en-US" w:eastAsia="zh-CN"/>
              </w:rPr>
              <w:t>146.18</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val="en-US" w:eastAsia="zh-CN"/>
              </w:rPr>
              <w:t>144.74</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val="en-US" w:eastAsia="zh-CN"/>
              </w:rPr>
              <w:t>1.44</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hint="eastAsia" w:hAnsi="楷体" w:eastAsia="楷体"/>
          <w:lang w:val="en-US" w:eastAsia="zh-CN"/>
        </w:rPr>
      </w:pPr>
      <w:r>
        <w:rPr>
          <w:rFonts w:hint="eastAsia" w:hAnsi="楷体" w:eastAsia="楷体"/>
          <w:lang w:val="en-US" w:eastAsia="zh-CN"/>
        </w:rPr>
        <w:t xml:space="preserve"> </w:t>
      </w:r>
    </w:p>
    <w:p>
      <w:pPr>
        <w:jc w:val="center"/>
        <w:rPr>
          <w:rFonts w:hint="eastAsia" w:hAnsi="楷体" w:eastAsia="楷体"/>
          <w:lang w:val="en-US" w:eastAsia="zh-CN"/>
        </w:rPr>
      </w:pPr>
    </w:p>
    <w:p>
      <w:pPr>
        <w:jc w:val="center"/>
        <w:rPr>
          <w:rFonts w:eastAsia="方正小标宋简体"/>
          <w:sz w:val="44"/>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10"/>
        <w:tblW w:w="9794" w:type="dxa"/>
        <w:jc w:val="center"/>
        <w:tblLayout w:type="fixed"/>
        <w:tblCellMar>
          <w:top w:w="0" w:type="dxa"/>
          <w:left w:w="108" w:type="dxa"/>
          <w:bottom w:w="0" w:type="dxa"/>
          <w:right w:w="108" w:type="dxa"/>
        </w:tblCellMar>
      </w:tblPr>
      <w:tblGrid>
        <w:gridCol w:w="1200"/>
        <w:gridCol w:w="825"/>
        <w:gridCol w:w="824"/>
        <w:gridCol w:w="871"/>
        <w:gridCol w:w="360"/>
        <w:gridCol w:w="375"/>
        <w:gridCol w:w="357"/>
        <w:gridCol w:w="415"/>
        <w:gridCol w:w="305"/>
        <w:gridCol w:w="317"/>
        <w:gridCol w:w="398"/>
        <w:gridCol w:w="293"/>
        <w:gridCol w:w="205"/>
        <w:gridCol w:w="433"/>
        <w:gridCol w:w="708"/>
        <w:gridCol w:w="236"/>
        <w:gridCol w:w="203"/>
        <w:gridCol w:w="390"/>
        <w:gridCol w:w="405"/>
        <w:gridCol w:w="420"/>
        <w:gridCol w:w="254"/>
      </w:tblGrid>
      <w:tr>
        <w:tblPrEx>
          <w:tblCellMar>
            <w:top w:w="0" w:type="dxa"/>
            <w:left w:w="108" w:type="dxa"/>
            <w:bottom w:w="0" w:type="dxa"/>
            <w:right w:w="108" w:type="dxa"/>
          </w:tblCellMar>
        </w:tblPrEx>
        <w:trPr>
          <w:trHeight w:val="335" w:hRule="atLeast"/>
          <w:jc w:val="center"/>
        </w:trPr>
        <w:tc>
          <w:tcPr>
            <w:tcW w:w="1200" w:type="dxa"/>
            <w:tcBorders>
              <w:bottom w:val="single" w:color="000000" w:sz="4" w:space="0"/>
            </w:tcBorders>
            <w:noWrap w:val="0"/>
            <w:vAlign w:val="top"/>
          </w:tcPr>
          <w:p>
            <w:pPr>
              <w:autoSpaceDN w:val="0"/>
              <w:jc w:val="left"/>
              <w:textAlignment w:val="center"/>
              <w:rPr>
                <w:rFonts w:eastAsia="华文细黑"/>
                <w:color w:val="000000"/>
                <w:sz w:val="20"/>
              </w:rPr>
            </w:pPr>
          </w:p>
        </w:tc>
        <w:tc>
          <w:tcPr>
            <w:tcW w:w="4332"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715" w:type="dxa"/>
            <w:gridSpan w:val="2"/>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1141" w:type="dxa"/>
            <w:gridSpan w:val="2"/>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672" w:type="dxa"/>
            <w:gridSpan w:val="5"/>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254" w:type="dxa"/>
          <w:trHeight w:val="517" w:hRule="atLeast"/>
          <w:jc w:val="center"/>
        </w:trPr>
        <w:tc>
          <w:tcPr>
            <w:tcW w:w="1200"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单位名称</w:t>
            </w:r>
          </w:p>
        </w:tc>
        <w:tc>
          <w:tcPr>
            <w:tcW w:w="825"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515" w:type="dxa"/>
            <w:gridSpan w:val="10"/>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3000"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254" w:type="dxa"/>
          <w:trHeight w:val="517" w:hRule="atLeast"/>
          <w:jc w:val="center"/>
        </w:trPr>
        <w:tc>
          <w:tcPr>
            <w:tcW w:w="1200"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25"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24"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606"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57"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728" w:type="dxa"/>
            <w:gridSpan w:val="5"/>
            <w:tcBorders>
              <w:top w:val="single" w:color="000000" w:sz="4" w:space="0"/>
              <w:left w:val="single" w:color="auto"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单位资金收入</w:t>
            </w:r>
          </w:p>
        </w:tc>
        <w:tc>
          <w:tcPr>
            <w:tcW w:w="638"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37"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825"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254" w:type="dxa"/>
          <w:trHeight w:val="2818" w:hRule="atLeast"/>
          <w:jc w:val="center"/>
        </w:trPr>
        <w:tc>
          <w:tcPr>
            <w:tcW w:w="1200"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25"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24"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71"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60"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57"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4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0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1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9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29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638"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0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39"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90"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0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254" w:type="dxa"/>
          <w:trHeight w:val="517" w:hRule="atLeast"/>
          <w:jc w:val="center"/>
        </w:trPr>
        <w:tc>
          <w:tcPr>
            <w:tcW w:w="1200" w:type="dxa"/>
            <w:tcBorders>
              <w:top w:val="single" w:color="000000" w:sz="4" w:space="0"/>
              <w:left w:val="single" w:color="000000" w:sz="4" w:space="0"/>
              <w:bottom w:val="single" w:color="000000" w:sz="4" w:space="0"/>
            </w:tcBorders>
            <w:shd w:val="solid" w:color="FFFFFF" w:fill="auto"/>
            <w:noWrap w:val="0"/>
            <w:vAlign w:val="center"/>
          </w:tcPr>
          <w:p>
            <w:pPr>
              <w:widowControl/>
              <w:jc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四平市统计局铁西区分局</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146.18</w:t>
            </w:r>
          </w:p>
        </w:tc>
        <w:tc>
          <w:tcPr>
            <w:tcW w:w="82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144.74</w:t>
            </w:r>
          </w:p>
        </w:tc>
        <w:tc>
          <w:tcPr>
            <w:tcW w:w="8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144.74</w:t>
            </w: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57"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2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63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1.44</w:t>
            </w:r>
          </w:p>
        </w:tc>
        <w:tc>
          <w:tcPr>
            <w:tcW w:w="7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1.44</w:t>
            </w:r>
          </w:p>
        </w:tc>
        <w:tc>
          <w:tcPr>
            <w:tcW w:w="43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r>
      <w:tr>
        <w:tblPrEx>
          <w:tblCellMar>
            <w:top w:w="0" w:type="dxa"/>
            <w:left w:w="108" w:type="dxa"/>
            <w:bottom w:w="0" w:type="dxa"/>
            <w:right w:w="108" w:type="dxa"/>
          </w:tblCellMar>
        </w:tblPrEx>
        <w:trPr>
          <w:gridAfter w:val="1"/>
          <w:wAfter w:w="254" w:type="dxa"/>
          <w:trHeight w:val="517" w:hRule="atLeast"/>
          <w:jc w:val="center"/>
        </w:trPr>
        <w:tc>
          <w:tcPr>
            <w:tcW w:w="1200"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2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57"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2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63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3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r>
      <w:tr>
        <w:tblPrEx>
          <w:tblCellMar>
            <w:top w:w="0" w:type="dxa"/>
            <w:left w:w="108" w:type="dxa"/>
            <w:bottom w:w="0" w:type="dxa"/>
            <w:right w:w="108" w:type="dxa"/>
          </w:tblCellMar>
        </w:tblPrEx>
        <w:trPr>
          <w:gridAfter w:val="1"/>
          <w:wAfter w:w="254" w:type="dxa"/>
          <w:trHeight w:val="517" w:hRule="atLeast"/>
          <w:jc w:val="center"/>
        </w:trPr>
        <w:tc>
          <w:tcPr>
            <w:tcW w:w="1200"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2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57"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2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63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3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r>
      <w:tr>
        <w:tblPrEx>
          <w:tblCellMar>
            <w:top w:w="0" w:type="dxa"/>
            <w:left w:w="108" w:type="dxa"/>
            <w:bottom w:w="0" w:type="dxa"/>
            <w:right w:w="108" w:type="dxa"/>
          </w:tblCellMar>
        </w:tblPrEx>
        <w:trPr>
          <w:gridAfter w:val="1"/>
          <w:wAfter w:w="254" w:type="dxa"/>
          <w:trHeight w:val="517" w:hRule="atLeast"/>
          <w:jc w:val="center"/>
        </w:trPr>
        <w:tc>
          <w:tcPr>
            <w:tcW w:w="1200"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2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57"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2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63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3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r>
      <w:tr>
        <w:tblPrEx>
          <w:tblCellMar>
            <w:top w:w="0" w:type="dxa"/>
            <w:left w:w="108" w:type="dxa"/>
            <w:bottom w:w="0" w:type="dxa"/>
            <w:right w:w="108" w:type="dxa"/>
          </w:tblCellMar>
        </w:tblPrEx>
        <w:trPr>
          <w:gridAfter w:val="1"/>
          <w:wAfter w:w="254" w:type="dxa"/>
          <w:trHeight w:val="530" w:hRule="atLeast"/>
          <w:jc w:val="center"/>
        </w:trPr>
        <w:tc>
          <w:tcPr>
            <w:tcW w:w="120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kern w:val="0"/>
                <w:sz w:val="20"/>
              </w:rPr>
              <w:t>合计</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14.18</w:t>
            </w:r>
          </w:p>
        </w:tc>
        <w:tc>
          <w:tcPr>
            <w:tcW w:w="82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144.74</w:t>
            </w:r>
          </w:p>
        </w:tc>
        <w:tc>
          <w:tcPr>
            <w:tcW w:w="8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144.74</w:t>
            </w: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57"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2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63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1.44</w:t>
            </w:r>
          </w:p>
        </w:tc>
        <w:tc>
          <w:tcPr>
            <w:tcW w:w="7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1.44</w:t>
            </w:r>
          </w:p>
        </w:tc>
        <w:tc>
          <w:tcPr>
            <w:tcW w:w="43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10"/>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7837"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10"/>
              <w:tblW w:w="9840" w:type="dxa"/>
              <w:tblInd w:w="445" w:type="dxa"/>
              <w:tblLayout w:type="fixed"/>
              <w:tblCellMar>
                <w:top w:w="15" w:type="dxa"/>
                <w:left w:w="15" w:type="dxa"/>
                <w:bottom w:w="15" w:type="dxa"/>
                <w:right w:w="15" w:type="dxa"/>
              </w:tblCellMar>
            </w:tblPr>
            <w:tblGrid>
              <w:gridCol w:w="2332"/>
              <w:gridCol w:w="1265"/>
              <w:gridCol w:w="1211"/>
              <w:gridCol w:w="1211"/>
              <w:gridCol w:w="1090"/>
              <w:gridCol w:w="1266"/>
              <w:gridCol w:w="30"/>
              <w:gridCol w:w="1297"/>
              <w:gridCol w:w="138"/>
            </w:tblGrid>
            <w:tr>
              <w:tblPrEx>
                <w:tblCellMar>
                  <w:top w:w="15" w:type="dxa"/>
                  <w:left w:w="15" w:type="dxa"/>
                  <w:bottom w:w="15" w:type="dxa"/>
                  <w:right w:w="15" w:type="dxa"/>
                </w:tblCellMar>
              </w:tblPrEx>
              <w:trPr>
                <w:gridAfter w:val="1"/>
                <w:wAfter w:w="138" w:type="dxa"/>
                <w:trHeight w:val="636" w:hRule="atLeast"/>
              </w:trPr>
              <w:tc>
                <w:tcPr>
                  <w:tcW w:w="6019" w:type="dxa"/>
                  <w:gridSpan w:val="4"/>
                  <w:tcBorders>
                    <w:bottom w:val="single" w:color="000000" w:sz="4" w:space="0"/>
                  </w:tcBorders>
                  <w:noWrap w:val="0"/>
                  <w:vAlign w:val="center"/>
                </w:tcPr>
                <w:p>
                  <w:pPr>
                    <w:widowControl/>
                    <w:jc w:val="left"/>
                    <w:rPr>
                      <w:rFonts w:eastAsia="华文细黑"/>
                      <w:color w:val="000000"/>
                      <w:kern w:val="0"/>
                      <w:sz w:val="20"/>
                    </w:rPr>
                  </w:pPr>
                </w:p>
              </w:tc>
              <w:tc>
                <w:tcPr>
                  <w:tcW w:w="1090"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2211" w:hRule="atLeast"/>
              </w:trPr>
              <w:tc>
                <w:tcPr>
                  <w:tcW w:w="2332"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1265"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总计</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支出</w:t>
                  </w:r>
                </w:p>
                <w:p>
                  <w:pPr>
                    <w:widowControl/>
                    <w:jc w:val="center"/>
                    <w:rPr>
                      <w:rFonts w:hint="eastAsia" w:ascii="宋体" w:hAnsi="宋体" w:eastAsia="宋体" w:cs="宋体"/>
                      <w:color w:val="000000"/>
                      <w:kern w:val="0"/>
                      <w:sz w:val="20"/>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                                                               支出</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事业单位</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对附属                                           单位补                                      助支出</w:t>
                  </w:r>
                </w:p>
              </w:tc>
            </w:tr>
            <w:tr>
              <w:tblPrEx>
                <w:tblCellMar>
                  <w:top w:w="15" w:type="dxa"/>
                  <w:left w:w="15" w:type="dxa"/>
                  <w:bottom w:w="15" w:type="dxa"/>
                  <w:right w:w="15" w:type="dxa"/>
                </w:tblCellMar>
              </w:tblPrEx>
              <w:trPr>
                <w:trHeight w:val="520"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一、一般公共服务</w:t>
                  </w:r>
                  <w:r>
                    <w:rPr>
                      <w:rFonts w:hint="eastAsia" w:ascii="宋体" w:hAnsi="宋体" w:eastAsia="宋体" w:cs="宋体"/>
                      <w:color w:val="000000"/>
                      <w:kern w:val="0"/>
                      <w:sz w:val="20"/>
                      <w:lang w:val="en-US" w:eastAsia="zh-CN"/>
                    </w:rPr>
                    <w:t>支出</w:t>
                  </w:r>
                </w:p>
              </w:tc>
              <w:tc>
                <w:tcPr>
                  <w:tcW w:w="12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121.98</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64.23</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57.75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92"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统计信息事务</w:t>
                  </w:r>
                </w:p>
              </w:tc>
              <w:tc>
                <w:tcPr>
                  <w:tcW w:w="12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52"/>
                    </w:tabs>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121.98</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64.23</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57.5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71"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ascii="宋体" w:hAnsi="宋体" w:eastAsia="宋体" w:cs="宋体"/>
                      <w:color w:val="000000"/>
                      <w:kern w:val="0"/>
                      <w:sz w:val="20"/>
                    </w:rPr>
                  </w:pPr>
                  <w:r>
                    <w:rPr>
                      <w:rFonts w:hint="eastAsia" w:ascii="宋体" w:hAnsi="宋体" w:eastAsia="宋体" w:cs="宋体"/>
                      <w:color w:val="000000"/>
                      <w:kern w:val="0"/>
                      <w:sz w:val="20"/>
                    </w:rPr>
                    <w:t>行政运行</w:t>
                  </w:r>
                </w:p>
              </w:tc>
              <w:tc>
                <w:tcPr>
                  <w:tcW w:w="12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64.23</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64.23</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38"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一般行政管理事务</w:t>
                  </w:r>
                </w:p>
              </w:tc>
              <w:tc>
                <w:tcPr>
                  <w:tcW w:w="12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bidi w:val="0"/>
                    <w:jc w:val="center"/>
                    <w:rPr>
                      <w:rFonts w:hint="eastAsia" w:ascii="宋体" w:hAnsi="宋体" w:eastAsia="宋体" w:cs="宋体"/>
                      <w:color w:val="000000"/>
                      <w:kern w:val="0"/>
                      <w:sz w:val="20"/>
                    </w:rPr>
                  </w:pPr>
                  <w:r>
                    <w:rPr>
                      <w:rFonts w:hint="eastAsia" w:ascii="宋体" w:hAnsi="宋体" w:eastAsia="宋体" w:cs="宋体"/>
                      <w:kern w:val="2"/>
                      <w:sz w:val="20"/>
                      <w:szCs w:val="20"/>
                      <w:lang w:val="en-US" w:eastAsia="zh-CN" w:bidi="ar-SA"/>
                    </w:rPr>
                    <w:t>16.17</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30"/>
                    </w:tabs>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16.17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14"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专项普查活动</w:t>
                  </w:r>
                </w:p>
              </w:tc>
              <w:tc>
                <w:tcPr>
                  <w:tcW w:w="12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41.58</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41.58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26"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二、</w:t>
                  </w:r>
                  <w:r>
                    <w:rPr>
                      <w:rFonts w:hint="eastAsia" w:ascii="宋体" w:hAnsi="宋体" w:eastAsia="宋体" w:cs="宋体"/>
                      <w:color w:val="000000"/>
                      <w:kern w:val="0"/>
                      <w:sz w:val="20"/>
                      <w:lang w:val="en-US" w:eastAsia="zh-CN"/>
                    </w:rPr>
                    <w:t>社会保障和就业支出</w:t>
                  </w:r>
                </w:p>
              </w:tc>
              <w:tc>
                <w:tcPr>
                  <w:tcW w:w="12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14.77</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14.77</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82"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pPr>
                    <w:widowControl/>
                    <w:ind w:firstLine="300" w:firstLineChars="150"/>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行政事业单位养老支出</w:t>
                  </w:r>
                </w:p>
              </w:tc>
              <w:tc>
                <w:tcPr>
                  <w:tcW w:w="12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14.77</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14.77</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82"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行政单位离退休</w:t>
                  </w:r>
                </w:p>
              </w:tc>
              <w:tc>
                <w:tcPr>
                  <w:tcW w:w="12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7.43</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bidi w:val="0"/>
                    <w:jc w:val="center"/>
                    <w:rPr>
                      <w:rFonts w:hint="eastAsia" w:ascii="宋体" w:hAnsi="宋体" w:eastAsia="宋体" w:cs="宋体"/>
                      <w:color w:val="000000"/>
                      <w:kern w:val="0"/>
                      <w:sz w:val="20"/>
                    </w:rPr>
                  </w:pPr>
                  <w:r>
                    <w:rPr>
                      <w:rFonts w:hint="eastAsia" w:ascii="宋体" w:hAnsi="宋体" w:eastAsia="宋体" w:cs="宋体"/>
                      <w:kern w:val="2"/>
                      <w:sz w:val="20"/>
                      <w:szCs w:val="20"/>
                      <w:lang w:val="en-US" w:eastAsia="zh-CN" w:bidi="ar-SA"/>
                    </w:rPr>
                    <w:t>7.43</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82"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机关事业单位基本养老保险缴费支出</w:t>
                  </w:r>
                </w:p>
              </w:tc>
              <w:tc>
                <w:tcPr>
                  <w:tcW w:w="12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7.34</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7.34</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82"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三、卫生健康支出</w:t>
                  </w:r>
                </w:p>
              </w:tc>
              <w:tc>
                <w:tcPr>
                  <w:tcW w:w="12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2.80</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2.80</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82"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行政事业单位医疗</w:t>
                  </w:r>
                </w:p>
              </w:tc>
              <w:tc>
                <w:tcPr>
                  <w:tcW w:w="12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18"/>
                    </w:tabs>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2.80</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2.80</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82"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行政单位医疗</w:t>
                  </w:r>
                </w:p>
              </w:tc>
              <w:tc>
                <w:tcPr>
                  <w:tcW w:w="12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96"/>
                    </w:tabs>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2.80</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2.80</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82"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四、住房保障支出</w:t>
                  </w:r>
                </w:p>
              </w:tc>
              <w:tc>
                <w:tcPr>
                  <w:tcW w:w="12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6.63</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6.63</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82"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住房改革支出</w:t>
                  </w:r>
                </w:p>
              </w:tc>
              <w:tc>
                <w:tcPr>
                  <w:tcW w:w="12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6.63</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6.63</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82"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住房公积金</w:t>
                  </w:r>
                </w:p>
              </w:tc>
              <w:tc>
                <w:tcPr>
                  <w:tcW w:w="12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6.63</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6.63</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75" w:hRule="atLeast"/>
              </w:trPr>
              <w:tc>
                <w:tcPr>
                  <w:tcW w:w="233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12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rPr>
                  </w:pPr>
                  <w:r>
                    <w:rPr>
                      <w:rFonts w:hint="eastAsia" w:ascii="宋体" w:hAnsi="宋体" w:eastAsia="宋体" w:cs="宋体"/>
                      <w:color w:val="000000"/>
                      <w:kern w:val="0"/>
                      <w:sz w:val="20"/>
                      <w:lang w:val="en-US" w:eastAsia="zh-CN"/>
                    </w:rPr>
                    <w:t>146.18</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rPr>
                  </w:pPr>
                  <w:r>
                    <w:rPr>
                      <w:rFonts w:hint="eastAsia" w:ascii="宋体" w:hAnsi="宋体" w:eastAsia="宋体" w:cs="宋体"/>
                      <w:color w:val="000000"/>
                      <w:kern w:val="0"/>
                      <w:sz w:val="20"/>
                      <w:lang w:val="en-US" w:eastAsia="zh-CN"/>
                    </w:rPr>
                    <w:t>88.43</w:t>
                  </w:r>
                </w:p>
              </w:tc>
              <w:tc>
                <w:tcPr>
                  <w:tcW w:w="121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57.75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bl>
          <w:p>
            <w:pPr>
              <w:widowControl/>
              <w:jc w:val="center"/>
              <w:rPr>
                <w:rFonts w:eastAsia="方正小标宋简体"/>
                <w:kern w:val="0"/>
                <w:sz w:val="44"/>
                <w:szCs w:val="44"/>
              </w:rPr>
            </w:pPr>
          </w:p>
        </w:tc>
      </w:tr>
    </w:tbl>
    <w:p/>
    <w:tbl>
      <w:tblPr>
        <w:tblStyle w:val="10"/>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10"/>
              <w:tblpPr w:leftFromText="180" w:rightFromText="180" w:vertAnchor="page" w:horzAnchor="page" w:tblpX="111" w:tblpY="651"/>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474"/>
              <w:gridCol w:w="10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jc w:val="left"/>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rPr>
                    <w:t>202</w:t>
                  </w:r>
                  <w:r>
                    <w:rPr>
                      <w:rFonts w:hint="eastAsia" w:ascii="宋体" w:hAnsi="宋体" w:eastAsia="宋体" w:cs="宋体"/>
                      <w:kern w:val="0"/>
                      <w:sz w:val="20"/>
                      <w:lang w:val="en-US" w:eastAsia="zh-CN"/>
                    </w:rPr>
                    <w:t>4</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r>
                    <w:rPr>
                      <w:rFonts w:hint="eastAsia" w:ascii="宋体" w:hAnsi="宋体" w:eastAsia="宋体" w:cs="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上年结转</w:t>
                  </w:r>
                </w:p>
              </w:tc>
              <w:tc>
                <w:tcPr>
                  <w:tcW w:w="147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04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lang w:eastAsia="zh-CN"/>
                    </w:rPr>
                  </w:pPr>
                  <w:r>
                    <w:rPr>
                      <w:rFonts w:hint="eastAsia" w:ascii="宋体" w:hAnsi="宋体" w:eastAsia="宋体" w:cs="宋体"/>
                      <w:kern w:val="0"/>
                      <w:sz w:val="20"/>
                    </w:rPr>
                    <w:t>202</w:t>
                  </w:r>
                  <w:r>
                    <w:rPr>
                      <w:rFonts w:hint="eastAsia" w:ascii="宋体" w:hAnsi="宋体" w:eastAsia="宋体" w:cs="宋体"/>
                      <w:kern w:val="0"/>
                      <w:sz w:val="20"/>
                      <w:lang w:val="en-US" w:eastAsia="zh-CN"/>
                    </w:rPr>
                    <w:t>4</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r>
                    <w:rPr>
                      <w:rFonts w:hint="eastAsia" w:ascii="宋体" w:hAnsi="宋体" w:eastAsia="宋体" w:cs="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lang w:val="en-US" w:eastAsia="zh-CN"/>
                    </w:rPr>
                    <w:t>146.18</w:t>
                  </w: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144.74</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1.44</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一、本年支出</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val="en-US" w:eastAsia="zh-CN"/>
                    </w:rPr>
                    <w:t>146.18</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val="en-US" w:eastAsia="zh-CN"/>
                    </w:rPr>
                    <w:t>144.74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2"/>
                    </w:rPr>
                  </w:pPr>
                  <w:r>
                    <w:rPr>
                      <w:rFonts w:hint="eastAsia" w:ascii="宋体" w:hAnsi="宋体" w:eastAsia="宋体" w:cs="宋体"/>
                      <w:kern w:val="0"/>
                      <w:sz w:val="20"/>
                      <w:lang w:val="en-US" w:eastAsia="zh-CN"/>
                    </w:rPr>
                    <w:t>1.44</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lang w:val="en-US" w:eastAsia="zh-CN"/>
                    </w:rPr>
                    <w:t>146.18</w:t>
                  </w: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lang w:val="en-US" w:eastAsia="zh-CN"/>
                    </w:rPr>
                    <w:t>144.74</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lang w:val="en-US" w:eastAsia="zh-CN"/>
                    </w:rPr>
                    <w:t>1.44</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eastAsia="zh-CN"/>
                    </w:rPr>
                    <w:t>（一）</w:t>
                  </w:r>
                  <w:r>
                    <w:rPr>
                      <w:rFonts w:hint="eastAsia" w:ascii="宋体" w:hAnsi="宋体" w:eastAsia="宋体" w:cs="宋体"/>
                      <w:color w:val="000000"/>
                      <w:kern w:val="0"/>
                      <w:sz w:val="20"/>
                    </w:rPr>
                    <w:t>一般公共服务</w:t>
                  </w:r>
                  <w:r>
                    <w:rPr>
                      <w:rFonts w:hint="eastAsia" w:ascii="宋体" w:hAnsi="宋体" w:eastAsia="宋体" w:cs="宋体"/>
                      <w:color w:val="000000"/>
                      <w:kern w:val="0"/>
                      <w:sz w:val="20"/>
                      <w:lang w:val="en-US" w:eastAsia="zh-CN"/>
                    </w:rPr>
                    <w:t>支出</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val="en-US" w:eastAsia="zh-CN"/>
                    </w:rPr>
                    <w:t>121.98</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120.54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1.44</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rPr>
                    <w:t>二</w:t>
                  </w: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社会保障和就业支出</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val="en-US" w:eastAsia="zh-CN"/>
                    </w:rPr>
                    <w:t>14.77</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14.77</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rPr>
                    <w:t>三</w:t>
                  </w: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卫生健康支出</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val="en-US" w:eastAsia="zh-CN"/>
                    </w:rPr>
                    <w:t>2.80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2.80</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autoSpaceDN w:val="0"/>
                    <w:jc w:val="both"/>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eastAsia="zh-CN"/>
                    </w:rPr>
                    <w:t>（</w:t>
                  </w:r>
                  <w:r>
                    <w:rPr>
                      <w:rFonts w:hint="eastAsia" w:ascii="宋体" w:hAnsi="宋体" w:eastAsia="宋体" w:cs="宋体"/>
                      <w:color w:val="000000"/>
                      <w:kern w:val="0"/>
                      <w:sz w:val="20"/>
                      <w:lang w:val="en-US" w:eastAsia="zh-CN"/>
                    </w:rPr>
                    <w:t>四</w:t>
                  </w:r>
                  <w:r>
                    <w:rPr>
                      <w:rFonts w:hint="eastAsia" w:ascii="宋体" w:hAnsi="宋体" w:eastAsia="宋体" w:cs="宋体"/>
                      <w:color w:val="000000"/>
                      <w:kern w:val="0"/>
                      <w:sz w:val="20"/>
                      <w:lang w:eastAsia="zh-CN"/>
                    </w:rPr>
                    <w:t>）</w:t>
                  </w:r>
                  <w:r>
                    <w:rPr>
                      <w:rFonts w:hint="eastAsia" w:ascii="宋体" w:hAnsi="宋体" w:eastAsia="宋体" w:cs="宋体"/>
                      <w:color w:val="000000"/>
                      <w:kern w:val="0"/>
                      <w:sz w:val="20"/>
                      <w:lang w:val="en-US" w:eastAsia="zh-CN"/>
                    </w:rPr>
                    <w:t>住房保障支出</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6.63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6.63</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kern w:val="0"/>
                      <w:sz w:val="20"/>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rPr>
                  </w:pPr>
                  <w:r>
                    <w:rPr>
                      <w:rFonts w:hint="eastAsia" w:ascii="宋体" w:hAnsi="宋体" w:eastAsia="宋体" w:cs="宋体"/>
                      <w:kern w:val="0"/>
                      <w:sz w:val="20"/>
                    </w:rPr>
                    <w:t>　</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0"/>
                    </w:rPr>
                  </w:pPr>
                  <w:r>
                    <w:rPr>
                      <w:rFonts w:hint="eastAsia" w:ascii="宋体" w:hAnsi="宋体" w:eastAsia="宋体" w:cs="宋体"/>
                      <w:kern w:val="0"/>
                      <w:sz w:val="20"/>
                      <w:lang w:eastAsia="zh-CN"/>
                    </w:rPr>
                    <w:t>二、</w:t>
                  </w:r>
                  <w:r>
                    <w:rPr>
                      <w:rFonts w:hint="eastAsia" w:ascii="宋体" w:hAnsi="宋体" w:eastAsia="宋体" w:cs="宋体"/>
                      <w:kern w:val="0"/>
                      <w:sz w:val="20"/>
                    </w:rPr>
                    <w:t>结转下年</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hint="eastAsia" w:ascii="宋体" w:hAnsi="宋体" w:eastAsia="宋体" w:cs="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hint="eastAsia" w:ascii="宋体" w:hAnsi="宋体" w:eastAsia="宋体" w:cs="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lang w:val="en-US" w:eastAsia="zh-CN"/>
                    </w:rPr>
                    <w:t>146.18</w:t>
                  </w: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lang w:val="en-US" w:eastAsia="zh-CN"/>
                    </w:rPr>
                    <w:t>144.74</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lang w:val="en-US" w:eastAsia="zh-CN"/>
                    </w:rPr>
                    <w:t>1.44</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支出总计</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lang w:val="en-US" w:eastAsia="zh-CN"/>
                    </w:rPr>
                    <w:t>146.18</w:t>
                  </w: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lang w:val="en-US" w:eastAsia="zh-CN"/>
                    </w:rPr>
                    <w:t>144.74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lang w:val="en-US" w:eastAsia="zh-CN"/>
                    </w:rPr>
                    <w:t>1.44</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10"/>
        <w:tblW w:w="0" w:type="auto"/>
        <w:jc w:val="center"/>
        <w:tblLayout w:type="fixed"/>
        <w:tblCellMar>
          <w:top w:w="0" w:type="dxa"/>
          <w:left w:w="108" w:type="dxa"/>
          <w:bottom w:w="0" w:type="dxa"/>
          <w:right w:w="108" w:type="dxa"/>
        </w:tblCellMar>
      </w:tblPr>
      <w:tblGrid>
        <w:gridCol w:w="10405"/>
      </w:tblGrid>
      <w:tr>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10"/>
              <w:tblW w:w="0" w:type="auto"/>
              <w:tblInd w:w="873"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454"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                                                               支出</w:t>
                  </w:r>
                </w:p>
              </w:tc>
            </w:tr>
            <w:tr>
              <w:tblPrEx>
                <w:tblCellMar>
                  <w:top w:w="15" w:type="dxa"/>
                  <w:left w:w="15" w:type="dxa"/>
                  <w:bottom w:w="15" w:type="dxa"/>
                  <w:right w:w="15" w:type="dxa"/>
                </w:tblCellMar>
              </w:tblPrEx>
              <w:trPr>
                <w:trHeight w:val="454"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ascii="宋体" w:hAnsi="宋体" w:eastAsia="宋体" w:cs="宋体"/>
                      <w:color w:val="000000"/>
                      <w:kern w:val="0"/>
                      <w:sz w:val="20"/>
                    </w:rPr>
                  </w:pPr>
                  <w:r>
                    <w:rPr>
                      <w:rFonts w:hint="eastAsia" w:ascii="宋体" w:hAnsi="宋体" w:eastAsia="宋体" w:cs="宋体"/>
                      <w:color w:val="000000"/>
                      <w:kern w:val="0"/>
                      <w:sz w:val="20"/>
                    </w:rPr>
                    <w:t>一、一般公共服务</w:t>
                  </w:r>
                  <w:r>
                    <w:rPr>
                      <w:rFonts w:hint="eastAsia" w:ascii="宋体" w:hAnsi="宋体" w:eastAsia="宋体" w:cs="宋体"/>
                      <w:color w:val="000000"/>
                      <w:kern w:val="0"/>
                      <w:sz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121.98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64.23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51.17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13.06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57.75</w:t>
                  </w: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121.98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64.23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51.17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13.06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57.75</w:t>
                  </w: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rPr>
                  </w:pPr>
                  <w:r>
                    <w:rPr>
                      <w:rFonts w:hint="eastAsia" w:ascii="宋体" w:hAnsi="宋体" w:eastAsia="宋体" w:cs="宋体"/>
                      <w:color w:val="000000"/>
                      <w:kern w:val="0"/>
                      <w:sz w:val="20"/>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64.23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64.23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51.17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13.06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16.17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16.17</w:t>
                  </w: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41.58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41.58</w:t>
                  </w: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14.77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14.77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14.77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行政单位养老支出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14.77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14.77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14.77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7.43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84"/>
                    </w:tabs>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7.43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52"/>
                    </w:tabs>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7.43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7.34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7.34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7.34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6.63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6.63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6.63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6.63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6.63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6.63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6.63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6.63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6.63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146.18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62"/>
                    </w:tabs>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88.43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574"/>
                    </w:tabs>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75.37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13.06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57.75</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rPr>
          <w:rFonts w:hAnsi="楷体" w:eastAsia="楷体"/>
        </w:rPr>
      </w:pPr>
    </w:p>
    <w:p>
      <w:pPr>
        <w:ind w:firstLine="640" w:firstLineChars="200"/>
        <w:rPr>
          <w:rFonts w:eastAsia="楷体"/>
        </w:rPr>
      </w:pPr>
      <w:r>
        <w:rPr>
          <w:rFonts w:hAnsi="楷体" w:eastAsia="楷体"/>
        </w:rPr>
        <w:br w:type="page"/>
      </w:r>
    </w:p>
    <w:tbl>
      <w:tblPr>
        <w:tblStyle w:val="10"/>
        <w:tblW w:w="0" w:type="auto"/>
        <w:jc w:val="center"/>
        <w:tblLayout w:type="fixed"/>
        <w:tblCellMar>
          <w:top w:w="0" w:type="dxa"/>
          <w:left w:w="108" w:type="dxa"/>
          <w:bottom w:w="0" w:type="dxa"/>
          <w:right w:w="108" w:type="dxa"/>
        </w:tblCellMar>
      </w:tblPr>
      <w:tblGrid>
        <w:gridCol w:w="3511"/>
        <w:gridCol w:w="1885"/>
        <w:gridCol w:w="1704"/>
        <w:gridCol w:w="1831"/>
      </w:tblGrid>
      <w:tr>
        <w:tblPrEx>
          <w:tblCellMar>
            <w:top w:w="0" w:type="dxa"/>
            <w:left w:w="108" w:type="dxa"/>
            <w:bottom w:w="0" w:type="dxa"/>
            <w:right w:w="108" w:type="dxa"/>
          </w:tblCellMar>
        </w:tblPrEx>
        <w:trPr>
          <w:trHeight w:val="971"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170" w:hRule="atLeast"/>
          <w:jc w:val="center"/>
        </w:trPr>
        <w:tc>
          <w:tcPr>
            <w:tcW w:w="3511"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1885"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eastAsia="zh-CN"/>
              </w:rPr>
              <w:t>部门预算支出</w:t>
            </w:r>
            <w:r>
              <w:rPr>
                <w:rFonts w:hint="eastAsia" w:ascii="宋体" w:hAnsi="宋体" w:eastAsia="宋体" w:cs="宋体"/>
                <w:kern w:val="0"/>
                <w:sz w:val="20"/>
                <w:szCs w:val="20"/>
              </w:rPr>
              <w:t>经济分类科目</w:t>
            </w:r>
          </w:p>
        </w:tc>
        <w:tc>
          <w:tcPr>
            <w:tcW w:w="1885"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rPr>
              <w:t>公用经费</w:t>
            </w: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一、工资福利支出</w:t>
            </w:r>
          </w:p>
        </w:tc>
        <w:tc>
          <w:tcPr>
            <w:tcW w:w="18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67.46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67.46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基本工资</w:t>
            </w:r>
          </w:p>
        </w:tc>
        <w:tc>
          <w:tcPr>
            <w:tcW w:w="18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22.65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22.65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津贴补贴</w:t>
            </w:r>
          </w:p>
        </w:tc>
        <w:tc>
          <w:tcPr>
            <w:tcW w:w="18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13.81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13.81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奖金</w:t>
            </w:r>
          </w:p>
        </w:tc>
        <w:tc>
          <w:tcPr>
            <w:tcW w:w="18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11.93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11.93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szCs w:val="20"/>
              </w:rPr>
            </w:pPr>
            <w:r>
              <w:rPr>
                <w:rFonts w:hint="eastAsia" w:ascii="宋体" w:hAnsi="宋体" w:eastAsia="宋体" w:cs="宋体"/>
                <w:color w:val="000000"/>
                <w:sz w:val="20"/>
                <w:szCs w:val="20"/>
                <w:lang w:val="en-US" w:eastAsia="zh-CN"/>
              </w:rPr>
              <w:t>机关事业单位基本养老保险</w:t>
            </w:r>
            <w:r>
              <w:rPr>
                <w:rFonts w:hint="eastAsia" w:ascii="宋体" w:hAnsi="宋体" w:eastAsia="宋体" w:cs="宋体"/>
                <w:color w:val="000000"/>
                <w:sz w:val="20"/>
                <w:szCs w:val="20"/>
              </w:rPr>
              <w:t>缴费</w:t>
            </w:r>
          </w:p>
        </w:tc>
        <w:tc>
          <w:tcPr>
            <w:tcW w:w="18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7.34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7.34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职工基本医疗保险缴费</w:t>
            </w:r>
          </w:p>
        </w:tc>
        <w:tc>
          <w:tcPr>
            <w:tcW w:w="18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2.73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2.73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szCs w:val="20"/>
              </w:rPr>
            </w:pPr>
            <w:r>
              <w:rPr>
                <w:rFonts w:hint="eastAsia" w:ascii="宋体" w:hAnsi="宋体" w:eastAsia="宋体" w:cs="宋体"/>
                <w:color w:val="000000"/>
                <w:sz w:val="20"/>
                <w:szCs w:val="20"/>
                <w:lang w:val="en-US" w:eastAsia="zh-CN"/>
              </w:rPr>
              <w:t>其他社会保障缴费</w:t>
            </w:r>
          </w:p>
        </w:tc>
        <w:tc>
          <w:tcPr>
            <w:tcW w:w="18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0.66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0.66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szCs w:val="20"/>
              </w:rPr>
            </w:pPr>
            <w:r>
              <w:rPr>
                <w:rFonts w:hint="eastAsia" w:ascii="宋体" w:hAnsi="宋体" w:eastAsia="宋体" w:cs="宋体"/>
                <w:color w:val="000000"/>
                <w:sz w:val="20"/>
                <w:szCs w:val="20"/>
                <w:lang w:val="en-US" w:eastAsia="zh-CN"/>
              </w:rPr>
              <w:t>住房公积金</w:t>
            </w:r>
          </w:p>
        </w:tc>
        <w:tc>
          <w:tcPr>
            <w:tcW w:w="18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6.63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6.63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lang w:val="en-US" w:eastAsia="zh-CN"/>
              </w:rPr>
              <w:t>医疗费</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0.88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0.88</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其他工资福利支出</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0.83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0.83</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二、商品和服务支出</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11.06</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11.06</w:t>
            </w: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办公费</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1.46</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1.46</w:t>
            </w: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kern w:val="0"/>
                <w:sz w:val="20"/>
                <w:szCs w:val="20"/>
                <w:lang w:val="en-US" w:eastAsia="zh-CN"/>
              </w:rPr>
              <w:t>印刷费</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0.30</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0.30</w:t>
            </w: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邮电费</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0.41</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0.41</w:t>
            </w: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差旅费</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1.30</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1.30</w:t>
            </w: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培训费</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0.25</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0.25</w:t>
            </w: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工会经费</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0.74</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0.74</w:t>
            </w: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福利费</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2.46</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2.46</w:t>
            </w: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其他交通费用</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3.48</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3.48</w:t>
            </w: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其他商品和服务支出</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0.66</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0.66</w:t>
            </w: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三、对个人和家庭的补助</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7.91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7.91</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退休费</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7.43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7.43</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其他对个人和家庭的补助</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0.48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0.48</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四、资本性支出</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2.00</w:t>
            </w: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办公设备购置</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2.00</w:t>
            </w:r>
          </w:p>
        </w:tc>
      </w:tr>
      <w:tr>
        <w:tblPrEx>
          <w:tblCellMar>
            <w:top w:w="0" w:type="dxa"/>
            <w:left w:w="108" w:type="dxa"/>
            <w:bottom w:w="0" w:type="dxa"/>
            <w:right w:w="108" w:type="dxa"/>
          </w:tblCellMar>
        </w:tblPrEx>
        <w:trPr>
          <w:trHeight w:val="397" w:hRule="atLeast"/>
          <w:jc w:val="center"/>
        </w:trPr>
        <w:tc>
          <w:tcPr>
            <w:tcW w:w="3511"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合计</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88.43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75.37</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sz w:val="20"/>
                <w:szCs w:val="20"/>
                <w:lang w:val="en-US" w:eastAsia="zh-CN"/>
              </w:rPr>
              <w:t>13.06</w:t>
            </w:r>
          </w:p>
        </w:tc>
      </w:tr>
    </w:tbl>
    <w:p>
      <w:pPr>
        <w:ind w:firstLine="636"/>
        <w:rPr>
          <w:rFonts w:eastAsia="楷体"/>
        </w:rPr>
      </w:pPr>
      <w:r>
        <w:rPr>
          <w:rFonts w:hAnsi="楷体" w:eastAsia="楷体"/>
        </w:rPr>
        <w:br w:type="page"/>
      </w:r>
    </w:p>
    <w:tbl>
      <w:tblPr>
        <w:tblStyle w:val="10"/>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    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202</w:t>
            </w:r>
            <w:r>
              <w:rPr>
                <w:rFonts w:hint="eastAsia" w:ascii="宋体" w:hAnsi="宋体" w:eastAsia="宋体" w:cs="宋体"/>
                <w:color w:val="000000"/>
                <w:kern w:val="0"/>
                <w:sz w:val="20"/>
                <w:lang w:val="en-US" w:eastAsia="zh-CN"/>
              </w:rPr>
              <w:t>4</w:t>
            </w:r>
            <w:r>
              <w:rPr>
                <w:rFonts w:hint="eastAsia" w:ascii="宋体" w:hAnsi="宋体" w:eastAsia="宋体" w:cs="宋体"/>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hint="eastAsia" w:ascii="宋体" w:hAnsi="宋体" w:eastAsia="宋体" w:cs="宋体"/>
                <w:color w:val="000000"/>
                <w:kern w:val="0"/>
                <w:sz w:val="20"/>
              </w:rPr>
            </w:pPr>
            <w:r>
              <w:rPr>
                <w:rFonts w:hint="eastAsia" w:ascii="宋体" w:hAnsi="宋体" w:eastAsia="宋体" w:cs="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ind w:firstLine="440" w:firstLineChars="200"/>
              <w:jc w:val="both"/>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说明：</w:t>
            </w:r>
          </w:p>
          <w:p>
            <w:pPr>
              <w:widowControl/>
              <w:numPr>
                <w:ilvl w:val="0"/>
                <w:numId w:val="0"/>
              </w:numPr>
              <w:ind w:firstLine="660" w:firstLineChars="300"/>
              <w:jc w:val="both"/>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bidi="ar-SA"/>
              </w:rPr>
              <w:t>1、</w:t>
            </w:r>
            <w:r>
              <w:rPr>
                <w:rFonts w:hint="eastAsia" w:ascii="仿宋" w:hAnsi="仿宋" w:eastAsia="仿宋" w:cs="仿宋"/>
                <w:color w:val="000000"/>
                <w:kern w:val="0"/>
                <w:sz w:val="22"/>
                <w:szCs w:val="22"/>
                <w:lang w:val="en-US" w:eastAsia="zh-CN"/>
              </w:rPr>
              <w:t>“2024年预算数”的单位范围包括单位本级1个预算单位。</w:t>
            </w:r>
          </w:p>
          <w:p>
            <w:pPr>
              <w:widowControl/>
              <w:numPr>
                <w:ilvl w:val="0"/>
                <w:numId w:val="0"/>
              </w:numPr>
              <w:ind w:firstLine="660" w:firstLineChars="300"/>
              <w:jc w:val="both"/>
              <w:rPr>
                <w:rFonts w:hint="default"/>
                <w:color w:val="000000"/>
                <w:kern w:val="0"/>
                <w:sz w:val="28"/>
                <w:szCs w:val="28"/>
                <w:lang w:val="en-US" w:eastAsia="zh-CN"/>
              </w:rPr>
            </w:pPr>
            <w:r>
              <w:rPr>
                <w:rFonts w:hint="eastAsia" w:ascii="仿宋" w:hAnsi="仿宋" w:eastAsia="仿宋" w:cs="仿宋"/>
                <w:color w:val="000000"/>
                <w:kern w:val="0"/>
                <w:sz w:val="22"/>
                <w:szCs w:val="22"/>
                <w:lang w:val="en-US" w:eastAsia="zh-CN" w:bidi="ar-SA"/>
              </w:rPr>
              <w:t>2、</w:t>
            </w:r>
            <w:r>
              <w:rPr>
                <w:rFonts w:hint="eastAsia" w:ascii="仿宋" w:hAnsi="仿宋" w:eastAsia="仿宋" w:cs="仿宋"/>
                <w:color w:val="000000"/>
                <w:kern w:val="0"/>
                <w:sz w:val="22"/>
                <w:szCs w:val="22"/>
                <w:lang w:val="en-US" w:eastAsia="zh-CN"/>
              </w:rPr>
              <w:t>“2024年预算数”的实有人员11人，其中在职人员5人，离退休人员6人。</w:t>
            </w:r>
          </w:p>
        </w:tc>
      </w:tr>
    </w:tbl>
    <w:p>
      <w:pPr>
        <w:rPr>
          <w:rFonts w:hAnsi="楷体" w:eastAsia="楷体"/>
        </w:rPr>
      </w:pPr>
    </w:p>
    <w:p>
      <w:pPr>
        <w:ind w:firstLine="640" w:firstLineChars="200"/>
        <w:rPr>
          <w:rFonts w:eastAsia="楷体"/>
          <w:kern w:val="0"/>
          <w:szCs w:val="32"/>
        </w:rPr>
      </w:pPr>
      <w:r>
        <w:rPr>
          <w:rFonts w:hint="eastAsia" w:hAnsi="楷体" w:eastAsia="楷体"/>
          <w:lang w:val="en-US" w:eastAsia="zh-CN"/>
        </w:rPr>
        <w:t xml:space="preserve"> </w:t>
      </w:r>
      <w:r>
        <w:rPr>
          <w:rFonts w:eastAsia="楷体"/>
          <w:kern w:val="0"/>
          <w:szCs w:val="32"/>
        </w:rPr>
        <w:t xml:space="preserve">    </w:t>
      </w:r>
    </w:p>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tbl>
      <w:tblPr>
        <w:tblStyle w:val="10"/>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p>
          <w:p>
            <w:pPr>
              <w:widowControl/>
              <w:jc w:val="both"/>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lang w:eastAsia="zh-CN"/>
        </w:rPr>
      </w:pPr>
      <w:r>
        <w:rPr>
          <w:rFonts w:hint="eastAsia" w:eastAsia="楷体"/>
          <w:kern w:val="0"/>
          <w:szCs w:val="32"/>
          <w:lang w:val="en-US" w:eastAsia="zh-CN"/>
        </w:rPr>
        <w:t xml:space="preserve"> </w:t>
      </w:r>
    </w:p>
    <w:tbl>
      <w:tblPr>
        <w:tblStyle w:val="10"/>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bl>
    <w:p>
      <w:pPr>
        <w:rPr>
          <w:rFonts w:eastAsia="楷体"/>
          <w:kern w:val="0"/>
          <w:szCs w:val="32"/>
        </w:rPr>
      </w:pPr>
    </w:p>
    <w:p>
      <w:pPr>
        <w:rPr>
          <w:rFonts w:hint="eastAsia" w:eastAsia="楷体"/>
          <w:kern w:val="0"/>
          <w:szCs w:val="32"/>
          <w:lang w:val="en-US" w:eastAsia="zh-CN"/>
        </w:rPr>
      </w:pPr>
      <w:r>
        <w:rPr>
          <w:rFonts w:hint="eastAsia" w:eastAsia="楷体"/>
          <w:kern w:val="0"/>
          <w:szCs w:val="32"/>
          <w:lang w:val="en-US" w:eastAsia="zh-CN"/>
        </w:rPr>
        <w:t xml:space="preserve"> </w:t>
      </w:r>
    </w:p>
    <w:p>
      <w:pPr>
        <w:rPr>
          <w:rFonts w:hint="eastAsia" w:eastAsia="楷体"/>
          <w:kern w:val="0"/>
          <w:szCs w:val="32"/>
          <w:lang w:val="en-US" w:eastAsia="zh-CN"/>
        </w:rPr>
      </w:pPr>
    </w:p>
    <w:p>
      <w:pPr>
        <w:rPr>
          <w:rFonts w:hint="eastAsia" w:eastAsia="楷体"/>
          <w:kern w:val="0"/>
          <w:szCs w:val="32"/>
          <w:lang w:val="en-US" w:eastAsia="zh-CN"/>
        </w:rPr>
      </w:pPr>
    </w:p>
    <w:p>
      <w:pPr>
        <w:rPr>
          <w:rFonts w:hint="eastAsia" w:eastAsia="楷体"/>
          <w:kern w:val="0"/>
          <w:szCs w:val="32"/>
          <w:lang w:val="en-US" w:eastAsia="zh-CN"/>
        </w:rPr>
      </w:pPr>
    </w:p>
    <w:p>
      <w:pPr>
        <w:rPr>
          <w:rFonts w:hint="eastAsia" w:eastAsia="楷体"/>
          <w:kern w:val="0"/>
          <w:szCs w:val="32"/>
          <w:lang w:val="en-US" w:eastAsia="zh-CN"/>
        </w:rPr>
      </w:pPr>
    </w:p>
    <w:p>
      <w:pPr>
        <w:rPr>
          <w:rFonts w:hint="eastAsia" w:eastAsia="楷体"/>
          <w:kern w:val="0"/>
          <w:szCs w:val="32"/>
          <w:lang w:val="en-US" w:eastAsia="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40"/>
        <w:gridCol w:w="177"/>
        <w:gridCol w:w="646"/>
        <w:gridCol w:w="1065"/>
        <w:gridCol w:w="945"/>
        <w:gridCol w:w="789"/>
        <w:gridCol w:w="410"/>
        <w:gridCol w:w="353"/>
        <w:gridCol w:w="337"/>
        <w:gridCol w:w="350"/>
        <w:gridCol w:w="328"/>
        <w:gridCol w:w="403"/>
        <w:gridCol w:w="393"/>
        <w:gridCol w:w="393"/>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2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017"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46"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06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4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239"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942"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22"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663"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1065" w:type="dxa"/>
            <w:vMerge w:val="restart"/>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w:t>
            </w:r>
            <w:bookmarkStart w:id="0" w:name="_GoBack"/>
            <w:bookmarkEnd w:id="0"/>
            <w:r>
              <w:rPr>
                <w:rFonts w:hint="eastAsia" w:ascii="宋体" w:hAnsi="宋体" w:eastAsia="宋体" w:cs="宋体"/>
                <w:color w:val="000000"/>
                <w:sz w:val="20"/>
                <w:szCs w:val="22"/>
                <w:lang w:eastAsia="zh-CN"/>
              </w:rPr>
              <w:t>位名称</w:t>
            </w:r>
          </w:p>
        </w:tc>
        <w:tc>
          <w:tcPr>
            <w:tcW w:w="945"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239" w:type="dxa"/>
            <w:gridSpan w:val="5"/>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1942" w:type="dxa"/>
            <w:gridSpan w:val="5"/>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22"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840"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23" w:type="dxa"/>
            <w:gridSpan w:val="2"/>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二级项目</w:t>
            </w:r>
          </w:p>
        </w:tc>
        <w:tc>
          <w:tcPr>
            <w:tcW w:w="1065"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945"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1552"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337" w:type="dxa"/>
            <w:vMerge w:val="restart"/>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50" w:type="dxa"/>
            <w:vMerge w:val="restart"/>
            <w:noWrap w:val="0"/>
            <w:textDirection w:val="tbLrV"/>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124"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818" w:type="dxa"/>
            <w:gridSpan w:val="2"/>
            <w:noWrap w:val="0"/>
            <w:vAlign w:val="center"/>
          </w:tcPr>
          <w:p>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822"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840"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823" w:type="dxa"/>
            <w:gridSpan w:val="2"/>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1065"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945"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89"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10"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53"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337"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350"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rPr>
            </w:pPr>
          </w:p>
        </w:tc>
        <w:tc>
          <w:tcPr>
            <w:tcW w:w="328"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03"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93"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93" w:type="dxa"/>
            <w:noWrap w:val="0"/>
            <w:textDirection w:val="tbRlV"/>
            <w:vAlign w:val="center"/>
          </w:tcPr>
          <w:p>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25" w:type="dxa"/>
            <w:noWrap w:val="0"/>
            <w:textDirection w:val="tbRlV"/>
            <w:vAlign w:val="center"/>
          </w:tcPr>
          <w:p>
            <w:pPr>
              <w:autoSpaceDN w:val="0"/>
              <w:ind w:left="113" w:right="113"/>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2"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专项业务支出</w:t>
            </w:r>
          </w:p>
        </w:tc>
        <w:tc>
          <w:tcPr>
            <w:tcW w:w="84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823" w:type="dxa"/>
            <w:gridSpan w:val="2"/>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106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94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57.75</w:t>
            </w:r>
          </w:p>
        </w:tc>
        <w:tc>
          <w:tcPr>
            <w:tcW w:w="789"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57.75</w:t>
            </w:r>
          </w:p>
        </w:tc>
        <w:tc>
          <w:tcPr>
            <w:tcW w:w="41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5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37"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5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28"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40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9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9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42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2"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84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专项普查活动</w:t>
            </w:r>
          </w:p>
        </w:tc>
        <w:tc>
          <w:tcPr>
            <w:tcW w:w="823" w:type="dxa"/>
            <w:gridSpan w:val="2"/>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106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94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41.58</w:t>
            </w:r>
          </w:p>
        </w:tc>
        <w:tc>
          <w:tcPr>
            <w:tcW w:w="789"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41.58</w:t>
            </w:r>
          </w:p>
        </w:tc>
        <w:tc>
          <w:tcPr>
            <w:tcW w:w="41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5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37"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5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28"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40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9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9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42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2"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84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823" w:type="dxa"/>
            <w:gridSpan w:val="2"/>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第五次全国经济普查</w:t>
            </w:r>
          </w:p>
        </w:tc>
        <w:tc>
          <w:tcPr>
            <w:tcW w:w="106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四平市统计局铁西区分局</w:t>
            </w:r>
          </w:p>
        </w:tc>
        <w:tc>
          <w:tcPr>
            <w:tcW w:w="94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41.58</w:t>
            </w:r>
          </w:p>
        </w:tc>
        <w:tc>
          <w:tcPr>
            <w:tcW w:w="789"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41.58</w:t>
            </w:r>
          </w:p>
        </w:tc>
        <w:tc>
          <w:tcPr>
            <w:tcW w:w="41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5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37"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5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28"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40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9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9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42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2"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84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专项统计业务</w:t>
            </w:r>
          </w:p>
        </w:tc>
        <w:tc>
          <w:tcPr>
            <w:tcW w:w="823" w:type="dxa"/>
            <w:gridSpan w:val="2"/>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106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94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16.17</w:t>
            </w:r>
          </w:p>
        </w:tc>
        <w:tc>
          <w:tcPr>
            <w:tcW w:w="789"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16.17</w:t>
            </w:r>
          </w:p>
        </w:tc>
        <w:tc>
          <w:tcPr>
            <w:tcW w:w="41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5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37"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5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28"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40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9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9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42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2"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84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lang w:val="en-US" w:eastAsia="zh-CN"/>
              </w:rPr>
            </w:pPr>
          </w:p>
        </w:tc>
        <w:tc>
          <w:tcPr>
            <w:tcW w:w="823" w:type="dxa"/>
            <w:gridSpan w:val="2"/>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统计调查经费</w:t>
            </w:r>
          </w:p>
        </w:tc>
        <w:tc>
          <w:tcPr>
            <w:tcW w:w="106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四平市统计局铁西区分局</w:t>
            </w:r>
          </w:p>
        </w:tc>
        <w:tc>
          <w:tcPr>
            <w:tcW w:w="94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16.17</w:t>
            </w:r>
          </w:p>
        </w:tc>
        <w:tc>
          <w:tcPr>
            <w:tcW w:w="789"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16.17</w:t>
            </w:r>
          </w:p>
        </w:tc>
        <w:tc>
          <w:tcPr>
            <w:tcW w:w="41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5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37"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5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28"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40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9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9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42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2"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合计</w:t>
            </w:r>
          </w:p>
        </w:tc>
        <w:tc>
          <w:tcPr>
            <w:tcW w:w="840" w:type="dxa"/>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宋体" w:hAnsi="宋体" w:eastAsia="宋体" w:cs="宋体"/>
                <w:color w:val="000000"/>
                <w:sz w:val="20"/>
                <w:szCs w:val="20"/>
              </w:rPr>
            </w:pPr>
          </w:p>
        </w:tc>
        <w:tc>
          <w:tcPr>
            <w:tcW w:w="823" w:type="dxa"/>
            <w:gridSpan w:val="2"/>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106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94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57.75</w:t>
            </w:r>
          </w:p>
        </w:tc>
        <w:tc>
          <w:tcPr>
            <w:tcW w:w="789"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57.75</w:t>
            </w:r>
          </w:p>
        </w:tc>
        <w:tc>
          <w:tcPr>
            <w:tcW w:w="41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5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37"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50"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28"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40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9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393"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c>
          <w:tcPr>
            <w:tcW w:w="425" w:type="dxa"/>
            <w:noWrap w:val="0"/>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kern w:val="0"/>
                <w:sz w:val="20"/>
                <w:szCs w:val="20"/>
              </w:rPr>
            </w:pPr>
          </w:p>
        </w:tc>
      </w:tr>
    </w:tbl>
    <w:tbl>
      <w:tblPr>
        <w:tblStyle w:val="11"/>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hAnsi="楷体" w:eastAsia="楷体"/>
                <w:szCs w:val="22"/>
                <w:lang w:val="en-US" w:eastAsia="zh-CN"/>
              </w:rPr>
            </w:pPr>
            <w:r>
              <w:rPr>
                <w:rFonts w:hint="eastAsia" w:hAnsi="楷体" w:eastAsia="楷体"/>
                <w:szCs w:val="22"/>
                <w:lang w:val="en-US" w:eastAsia="zh-CN"/>
              </w:rPr>
              <w:t xml:space="preserve"> </w:t>
            </w:r>
          </w:p>
          <w:p>
            <w:pPr>
              <w:spacing w:line="240" w:lineRule="auto"/>
              <w:jc w:val="center"/>
              <w:rPr>
                <w:rFonts w:hint="eastAsia" w:hAnsi="楷体" w:eastAsia="楷体"/>
                <w:szCs w:val="22"/>
                <w:lang w:val="en-US" w:eastAsia="zh-CN"/>
              </w:rPr>
            </w:pPr>
          </w:p>
          <w:p>
            <w:pPr>
              <w:spacing w:line="240" w:lineRule="auto"/>
              <w:jc w:val="center"/>
              <w:rPr>
                <w:rFonts w:hint="eastAsia" w:hAnsi="楷体" w:eastAsia="楷体"/>
                <w:szCs w:val="22"/>
                <w:lang w:val="en-US" w:eastAsia="zh-CN"/>
              </w:rPr>
            </w:pPr>
          </w:p>
          <w:p>
            <w:pPr>
              <w:spacing w:line="240" w:lineRule="auto"/>
              <w:jc w:val="center"/>
              <w:rPr>
                <w:rFonts w:hint="eastAsia" w:hAnsi="楷体" w:eastAsia="楷体"/>
                <w:szCs w:val="22"/>
                <w:lang w:val="en-US" w:eastAsia="zh-CN"/>
              </w:rPr>
            </w:pPr>
          </w:p>
          <w:p>
            <w:pPr>
              <w:spacing w:line="240" w:lineRule="auto"/>
              <w:jc w:val="center"/>
              <w:rPr>
                <w:rFonts w:hint="eastAsia" w:hAnsi="楷体" w:eastAsia="楷体"/>
                <w:szCs w:val="22"/>
                <w:lang w:val="en-US" w:eastAsia="zh-CN"/>
              </w:rPr>
            </w:pPr>
          </w:p>
          <w:p>
            <w:pPr>
              <w:spacing w:line="240" w:lineRule="auto"/>
              <w:jc w:val="center"/>
              <w:rPr>
                <w:rFonts w:hint="eastAsia" w:hAnsi="楷体" w:eastAsia="楷体"/>
                <w:szCs w:val="22"/>
                <w:lang w:val="en-US" w:eastAsia="zh-CN"/>
              </w:rPr>
            </w:pPr>
          </w:p>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eastAsia="zh-CN"/>
              </w:rPr>
              <w:t>部门</w:t>
            </w:r>
            <w:r>
              <w:rPr>
                <w:rFonts w:hint="eastAsia" w:ascii="宋体" w:hAnsi="宋体" w:eastAsia="宋体" w:cs="宋体"/>
                <w:color w:val="000000"/>
                <w:sz w:val="20"/>
                <w:szCs w:val="20"/>
                <w:lang w:val="en-US" w:eastAsia="zh-CN"/>
              </w:rPr>
              <w:t>/单位/</w:t>
            </w:r>
          </w:p>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eastAsia="zh-CN"/>
              </w:rPr>
              <w:t>委托事</w:t>
            </w:r>
            <w:r>
              <w:rPr>
                <w:rFonts w:hint="eastAsia" w:ascii="宋体" w:hAnsi="宋体" w:eastAsia="宋体" w:cs="宋体"/>
                <w:color w:val="000000"/>
                <w:sz w:val="20"/>
                <w:szCs w:val="20"/>
                <w:lang w:val="en-US" w:eastAsia="zh-CN"/>
              </w:rPr>
              <w:t xml:space="preserve">    </w:t>
            </w:r>
            <w:r>
              <w:rPr>
                <w:rFonts w:hint="eastAsia" w:ascii="宋体" w:hAnsi="宋体" w:eastAsia="宋体" w:cs="宋体"/>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是否政府购买服务</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府采购</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部门名称</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单位名称</w:t>
            </w:r>
            <w:r>
              <w:rPr>
                <w:rFonts w:hint="eastAsia" w:ascii="宋体" w:hAnsi="宋体" w:eastAsia="宋体" w:cs="宋体"/>
                <w:kern w:val="0"/>
                <w:sz w:val="20"/>
                <w:szCs w:val="20"/>
                <w:vertAlign w:val="baseline"/>
                <w:lang w:val="en-US" w:eastAsia="zh-CN"/>
              </w:rPr>
              <w:t>1</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项目名称</w:t>
            </w:r>
            <w:r>
              <w:rPr>
                <w:rFonts w:hint="eastAsia" w:ascii="宋体" w:hAnsi="宋体" w:eastAsia="宋体" w:cs="宋体"/>
                <w:kern w:val="0"/>
                <w:sz w:val="20"/>
                <w:szCs w:val="20"/>
                <w:vertAlign w:val="baseline"/>
                <w:lang w:val="en-US" w:eastAsia="zh-CN"/>
              </w:rPr>
              <w:t>1</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项目名称</w:t>
            </w:r>
            <w:r>
              <w:rPr>
                <w:rFonts w:hint="eastAsia" w:ascii="宋体" w:hAnsi="宋体" w:eastAsia="宋体" w:cs="宋体"/>
                <w:kern w:val="0"/>
                <w:sz w:val="20"/>
                <w:szCs w:val="20"/>
                <w:vertAlign w:val="baseline"/>
                <w:lang w:val="en-US" w:eastAsia="zh-CN"/>
              </w:rPr>
              <w:t>2</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单位名称</w:t>
            </w:r>
            <w:r>
              <w:rPr>
                <w:rFonts w:hint="eastAsia" w:ascii="宋体" w:hAnsi="宋体" w:eastAsia="宋体" w:cs="宋体"/>
                <w:kern w:val="0"/>
                <w:sz w:val="20"/>
                <w:szCs w:val="20"/>
                <w:vertAlign w:val="baseline"/>
                <w:lang w:val="en-US" w:eastAsia="zh-CN"/>
              </w:rPr>
              <w:t>2</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int="eastAsia" w:eastAsia="楷体"/>
          <w:kern w:val="0"/>
          <w:szCs w:val="32"/>
          <w:lang w:val="en-US" w:eastAsia="zh-CN"/>
        </w:rPr>
      </w:pPr>
      <w:r>
        <w:rPr>
          <w:rFonts w:hint="eastAsia" w:eastAsia="楷体"/>
          <w:kern w:val="0"/>
          <w:szCs w:val="32"/>
          <w:lang w:val="en-US" w:eastAsia="zh-CN"/>
        </w:rPr>
        <w:t xml:space="preserve"> </w:t>
      </w:r>
    </w:p>
    <w:p>
      <w:pPr>
        <w:ind w:firstLine="640" w:firstLineChars="200"/>
        <w:rPr>
          <w:rFonts w:hint="eastAsia" w:eastAsia="楷体"/>
          <w:kern w:val="0"/>
          <w:szCs w:val="32"/>
          <w:lang w:val="en-US" w:eastAsia="zh-CN"/>
        </w:rPr>
      </w:pPr>
    </w:p>
    <w:p>
      <w:pPr>
        <w:ind w:firstLine="640" w:firstLineChars="200"/>
        <w:rPr>
          <w:rFonts w:hint="eastAsia" w:eastAsia="楷体"/>
          <w:kern w:val="0"/>
          <w:szCs w:val="32"/>
          <w:lang w:val="en-US" w:eastAsia="zh-CN"/>
        </w:rPr>
      </w:pPr>
    </w:p>
    <w:tbl>
      <w:tblPr>
        <w:tblStyle w:val="11"/>
        <w:tblW w:w="9240"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705"/>
        <w:gridCol w:w="1007"/>
        <w:gridCol w:w="1575"/>
        <w:gridCol w:w="750"/>
        <w:gridCol w:w="855"/>
        <w:gridCol w:w="1065"/>
        <w:gridCol w:w="1200"/>
        <w:gridCol w:w="855"/>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240"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r>
              <w:rPr>
                <w:rFonts w:hint="eastAsia" w:asciiTheme="minorEastAsia" w:hAnsiTheme="minorEastAsia" w:eastAsiaTheme="minorEastAsia" w:cstheme="minorEastAsia"/>
                <w:kern w:val="0"/>
                <w:sz w:val="20"/>
                <w:szCs w:val="20"/>
                <w:vertAlign w:val="baseline"/>
                <w:lang w:val="en-US" w:eastAsia="zh-CN"/>
              </w:rPr>
              <w:t>单位名称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eastAsia="zh-CN"/>
              </w:rPr>
            </w:pPr>
            <w:r>
              <w:rPr>
                <w:rFonts w:hint="eastAsia" w:asciiTheme="minorEastAsia" w:hAnsiTheme="minorEastAsia" w:eastAsiaTheme="minorEastAsia" w:cstheme="minorEastAsia"/>
                <w:kern w:val="0"/>
                <w:sz w:val="20"/>
                <w:szCs w:val="20"/>
                <w:vertAlign w:val="baseline"/>
                <w:lang w:eastAsia="zh-CN"/>
              </w:rPr>
              <w:t>项目名称</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eastAsia="zh-CN"/>
              </w:rPr>
            </w:pPr>
            <w:r>
              <w:rPr>
                <w:rFonts w:hint="eastAsia" w:asciiTheme="minorEastAsia" w:hAnsiTheme="minorEastAsia" w:eastAsiaTheme="minorEastAsia" w:cstheme="minorEastAsia"/>
                <w:kern w:val="0"/>
                <w:sz w:val="20"/>
                <w:szCs w:val="20"/>
                <w:vertAlign w:val="baseline"/>
                <w:lang w:eastAsia="zh-CN"/>
              </w:rPr>
              <w:t>年度资</w:t>
            </w:r>
            <w:r>
              <w:rPr>
                <w:rFonts w:hint="eastAsia" w:asciiTheme="minorEastAsia" w:hAnsiTheme="minorEastAsia" w:eastAsiaTheme="minorEastAsia" w:cstheme="minorEastAsia"/>
                <w:kern w:val="0"/>
                <w:sz w:val="20"/>
                <w:szCs w:val="20"/>
                <w:vertAlign w:val="baseline"/>
                <w:lang w:val="en-US" w:eastAsia="zh-CN"/>
              </w:rPr>
              <w:t xml:space="preserve">  </w:t>
            </w:r>
            <w:r>
              <w:rPr>
                <w:rFonts w:hint="eastAsia" w:asciiTheme="minorEastAsia" w:hAnsiTheme="minorEastAsia" w:eastAsiaTheme="minorEastAsia" w:cstheme="minorEastAsia"/>
                <w:kern w:val="0"/>
                <w:sz w:val="20"/>
                <w:szCs w:val="20"/>
                <w:vertAlign w:val="baseline"/>
                <w:lang w:eastAsia="zh-CN"/>
              </w:rPr>
              <w:t>金总额</w:t>
            </w:r>
            <w:r>
              <w:rPr>
                <w:rFonts w:hint="eastAsia" w:asciiTheme="minorEastAsia" w:hAnsiTheme="minorEastAsia" w:eastAsiaTheme="minorEastAsia" w:cstheme="minorEastAsia"/>
                <w:kern w:val="0"/>
                <w:sz w:val="20"/>
                <w:szCs w:val="20"/>
                <w:vertAlign w:val="baseline"/>
                <w:lang w:val="en-US" w:eastAsia="zh-CN"/>
              </w:rPr>
              <w:t xml:space="preserve">   </w:t>
            </w:r>
            <w:r>
              <w:rPr>
                <w:rFonts w:hint="eastAsia" w:asciiTheme="minorEastAsia" w:hAnsiTheme="minorEastAsia" w:eastAsiaTheme="minorEastAsia" w:cstheme="minorEastAsia"/>
                <w:kern w:val="0"/>
                <w:sz w:val="20"/>
                <w:szCs w:val="20"/>
                <w:vertAlign w:val="baseline"/>
                <w:lang w:eastAsia="zh-CN"/>
              </w:rPr>
              <w:t>（万元）</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eastAsia="zh-CN"/>
              </w:rPr>
            </w:pPr>
            <w:r>
              <w:rPr>
                <w:rFonts w:hint="eastAsia" w:asciiTheme="minorEastAsia" w:hAnsiTheme="minorEastAsia" w:eastAsiaTheme="minorEastAsia" w:cstheme="minorEastAsia"/>
                <w:kern w:val="0"/>
                <w:sz w:val="20"/>
                <w:szCs w:val="20"/>
                <w:vertAlign w:val="baseline"/>
                <w:lang w:eastAsia="zh-CN"/>
              </w:rPr>
              <w:t>年度绩效目标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eastAsia="zh-CN"/>
              </w:rPr>
            </w:pPr>
            <w:r>
              <w:rPr>
                <w:rFonts w:hint="eastAsia" w:asciiTheme="minorEastAsia" w:hAnsiTheme="minorEastAsia" w:eastAsiaTheme="minorEastAsia" w:cstheme="minorEastAsia"/>
                <w:kern w:val="0"/>
                <w:sz w:val="20"/>
                <w:szCs w:val="20"/>
                <w:vertAlign w:val="baseline"/>
                <w:lang w:eastAsia="zh-CN"/>
              </w:rPr>
              <w:t>一级指标</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eastAsia="zh-CN"/>
              </w:rPr>
            </w:pPr>
            <w:r>
              <w:rPr>
                <w:rFonts w:hint="eastAsia" w:asciiTheme="minorEastAsia" w:hAnsiTheme="minorEastAsia" w:eastAsiaTheme="minorEastAsia" w:cstheme="minorEastAsia"/>
                <w:kern w:val="0"/>
                <w:sz w:val="20"/>
                <w:szCs w:val="20"/>
                <w:vertAlign w:val="baseline"/>
                <w:lang w:eastAsia="zh-CN"/>
              </w:rPr>
              <w:t>二级指标</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eastAsia="zh-CN"/>
              </w:rPr>
            </w:pPr>
            <w:r>
              <w:rPr>
                <w:rFonts w:hint="eastAsia" w:asciiTheme="minorEastAsia" w:hAnsiTheme="minorEastAsia" w:eastAsiaTheme="minorEastAsia" w:cstheme="minorEastAsia"/>
                <w:kern w:val="0"/>
                <w:sz w:val="20"/>
                <w:szCs w:val="20"/>
                <w:vertAlign w:val="baseline"/>
                <w:lang w:eastAsia="zh-CN"/>
              </w:rPr>
              <w:t>三级指标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eastAsia="zh-CN"/>
              </w:rPr>
            </w:pPr>
            <w:r>
              <w:rPr>
                <w:rFonts w:hint="eastAsia" w:asciiTheme="minorEastAsia" w:hAnsiTheme="minorEastAsia" w:eastAsiaTheme="minorEastAsia" w:cstheme="minorEastAsia"/>
                <w:kern w:val="0"/>
                <w:sz w:val="20"/>
                <w:szCs w:val="20"/>
                <w:vertAlign w:val="baseline"/>
                <w:lang w:eastAsia="zh-CN"/>
              </w:rPr>
              <w:t>指标解释</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eastAsia="zh-CN"/>
              </w:rPr>
            </w:pPr>
            <w:r>
              <w:rPr>
                <w:rFonts w:hint="eastAsia" w:asciiTheme="minorEastAsia" w:hAnsiTheme="minorEastAsia" w:eastAsiaTheme="minorEastAsia" w:cstheme="minorEastAsia"/>
                <w:kern w:val="0"/>
                <w:sz w:val="20"/>
                <w:szCs w:val="20"/>
                <w:vertAlign w:val="baseline"/>
                <w:lang w:eastAsia="zh-CN"/>
              </w:rPr>
              <w:t>指标值</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eastAsia="zh-CN"/>
              </w:rPr>
            </w:pPr>
            <w:r>
              <w:rPr>
                <w:rFonts w:hint="eastAsia" w:asciiTheme="minorEastAsia" w:hAnsiTheme="minorEastAsia" w:eastAsiaTheme="minorEastAsia" w:cstheme="minorEastAsia"/>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63" w:type="dxa"/>
            <w:vMerge w:val="restart"/>
            <w:tcBorders>
              <w:top w:val="single" w:color="000000" w:sz="4" w:space="0"/>
              <w:left w:val="single" w:color="000000" w:sz="4" w:space="0"/>
              <w:right w:val="single" w:color="000000" w:sz="4" w:space="0"/>
            </w:tcBorders>
            <w:noWrap w:val="0"/>
            <w:vAlign w:val="center"/>
          </w:tcPr>
          <w:p>
            <w:pPr>
              <w:spacing w:line="240" w:lineRule="auto"/>
              <w:jc w:val="left"/>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四平市统计局铁西区分局</w:t>
            </w:r>
          </w:p>
        </w:tc>
        <w:tc>
          <w:tcPr>
            <w:tcW w:w="70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第五次全国经济普查经费</w:t>
            </w:r>
          </w:p>
        </w:tc>
        <w:tc>
          <w:tcPr>
            <w:tcW w:w="1007" w:type="dxa"/>
            <w:vMerge w:val="restart"/>
            <w:tcBorders>
              <w:top w:val="single" w:color="000000" w:sz="4" w:space="0"/>
              <w:left w:val="single" w:color="000000" w:sz="4" w:space="0"/>
              <w:right w:val="single" w:color="000000" w:sz="4" w:space="0"/>
            </w:tcBorders>
            <w:noWrap w:val="0"/>
            <w:vAlign w:val="center"/>
          </w:tcPr>
          <w:p>
            <w:pPr>
              <w:tabs>
                <w:tab w:val="left" w:pos="332"/>
              </w:tabs>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41.58</w:t>
            </w:r>
          </w:p>
        </w:tc>
        <w:tc>
          <w:tcPr>
            <w:tcW w:w="1575" w:type="dxa"/>
            <w:vMerge w:val="restart"/>
            <w:tcBorders>
              <w:top w:val="single" w:color="000000" w:sz="4" w:space="0"/>
              <w:left w:val="single" w:color="000000" w:sz="4" w:space="0"/>
              <w:right w:val="single" w:color="000000" w:sz="4" w:space="0"/>
            </w:tcBorders>
            <w:noWrap w:val="0"/>
            <w:vAlign w:val="center"/>
          </w:tcPr>
          <w:p>
            <w:pPr>
              <w:spacing w:line="240" w:lineRule="auto"/>
              <w:jc w:val="left"/>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进行普查登记，普查表审核及数据处理，“两员”劳务费发放。</w:t>
            </w:r>
          </w:p>
          <w:p>
            <w:pPr>
              <w:spacing w:line="240" w:lineRule="auto"/>
              <w:jc w:val="center"/>
              <w:rPr>
                <w:rFonts w:hint="eastAsia" w:asciiTheme="minorEastAsia" w:hAnsiTheme="minorEastAsia" w:eastAsiaTheme="minorEastAsia" w:cstheme="minorEastAsia"/>
                <w:kern w:val="0"/>
                <w:sz w:val="16"/>
                <w:szCs w:val="16"/>
                <w:vertAlign w:val="baseline"/>
              </w:rPr>
            </w:pPr>
          </w:p>
          <w:p>
            <w:pPr>
              <w:spacing w:line="240" w:lineRule="auto"/>
              <w:jc w:val="center"/>
              <w:rPr>
                <w:rFonts w:hint="eastAsia" w:asciiTheme="minorEastAsia" w:hAnsiTheme="minorEastAsia" w:eastAsiaTheme="minorEastAsia" w:cstheme="minorEastAsia"/>
                <w:kern w:val="0"/>
                <w:sz w:val="16"/>
                <w:szCs w:val="16"/>
                <w:vertAlign w:val="baseline"/>
              </w:rPr>
            </w:pPr>
          </w:p>
        </w:tc>
        <w:tc>
          <w:tcPr>
            <w:tcW w:w="750"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成本指标</w:t>
            </w:r>
          </w:p>
        </w:tc>
        <w:tc>
          <w:tcPr>
            <w:tcW w:w="855"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经济成本指标</w:t>
            </w:r>
          </w:p>
        </w:tc>
        <w:tc>
          <w:tcPr>
            <w:tcW w:w="1065" w:type="dxa"/>
            <w:tcBorders>
              <w:top w:val="single" w:color="000000" w:sz="4" w:space="0"/>
              <w:left w:val="single" w:color="000000" w:sz="4" w:space="0"/>
              <w:right w:val="single" w:color="000000" w:sz="4" w:space="0"/>
            </w:tcBorders>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“两员”劳务费发放标准</w:t>
            </w:r>
          </w:p>
        </w:tc>
        <w:tc>
          <w:tcPr>
            <w:tcW w:w="1200" w:type="dxa"/>
            <w:tcBorders>
              <w:top w:val="single" w:color="000000" w:sz="4" w:space="0"/>
              <w:left w:val="single" w:color="000000" w:sz="4" w:space="0"/>
              <w:right w:val="single" w:color="000000" w:sz="4" w:space="0"/>
            </w:tcBorders>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rPr>
              <w:t>反映普查员及普查指导员劳务费发放是否符合上级文件</w:t>
            </w:r>
            <w:r>
              <w:rPr>
                <w:rFonts w:hint="eastAsia" w:asciiTheme="minorEastAsia" w:hAnsiTheme="minorEastAsia" w:eastAsiaTheme="minorEastAsia" w:cstheme="minorEastAsia"/>
                <w:kern w:val="0"/>
                <w:sz w:val="16"/>
                <w:szCs w:val="16"/>
                <w:vertAlign w:val="baseline"/>
                <w:lang w:eastAsia="zh-CN"/>
              </w:rPr>
              <w:t>。</w:t>
            </w:r>
          </w:p>
        </w:tc>
        <w:tc>
          <w:tcPr>
            <w:tcW w:w="855"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1篇</w:t>
            </w:r>
          </w:p>
        </w:tc>
        <w:tc>
          <w:tcPr>
            <w:tcW w:w="465"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63"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0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007"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57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50" w:type="dxa"/>
            <w:vMerge w:val="restart"/>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产出指标</w:t>
            </w:r>
          </w:p>
        </w:tc>
        <w:tc>
          <w:tcPr>
            <w:tcW w:w="85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数量指标</w:t>
            </w:r>
          </w:p>
        </w:tc>
        <w:tc>
          <w:tcPr>
            <w:tcW w:w="1065"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普查员、普查指导员补贴发放人数</w:t>
            </w:r>
          </w:p>
        </w:tc>
        <w:tc>
          <w:tcPr>
            <w:tcW w:w="1200"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反映普查员、普查指导员补贴发放人数。</w:t>
            </w:r>
          </w:p>
        </w:tc>
        <w:tc>
          <w:tcPr>
            <w:tcW w:w="85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≤480人</w:t>
            </w:r>
          </w:p>
        </w:tc>
        <w:tc>
          <w:tcPr>
            <w:tcW w:w="46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63"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0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007"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57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50" w:type="dxa"/>
            <w:vMerge w:val="continue"/>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85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质量指标</w:t>
            </w:r>
          </w:p>
        </w:tc>
        <w:tc>
          <w:tcPr>
            <w:tcW w:w="1065"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“两员”劳务费发放率</w:t>
            </w:r>
          </w:p>
        </w:tc>
        <w:tc>
          <w:tcPr>
            <w:tcW w:w="1200"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rPr>
              <w:t>反映普查员及普查指导员劳务费发放率</w:t>
            </w:r>
            <w:r>
              <w:rPr>
                <w:rFonts w:hint="eastAsia" w:asciiTheme="minorEastAsia" w:hAnsiTheme="minorEastAsia" w:eastAsiaTheme="minorEastAsia" w:cstheme="minorEastAsia"/>
                <w:kern w:val="0"/>
                <w:sz w:val="16"/>
                <w:szCs w:val="16"/>
                <w:vertAlign w:val="baseline"/>
                <w:lang w:eastAsia="zh-CN"/>
              </w:rPr>
              <w:t>。</w:t>
            </w:r>
          </w:p>
        </w:tc>
        <w:tc>
          <w:tcPr>
            <w:tcW w:w="85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≤100%</w:t>
            </w:r>
          </w:p>
        </w:tc>
        <w:tc>
          <w:tcPr>
            <w:tcW w:w="46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63"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0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007"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57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5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效益指标</w:t>
            </w:r>
          </w:p>
        </w:tc>
        <w:tc>
          <w:tcPr>
            <w:tcW w:w="85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社会效益指标</w:t>
            </w:r>
          </w:p>
        </w:tc>
        <w:tc>
          <w:tcPr>
            <w:tcW w:w="1065"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普查员、普查指导员补贴发放覆盖率</w:t>
            </w:r>
          </w:p>
        </w:tc>
        <w:tc>
          <w:tcPr>
            <w:tcW w:w="1200"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反映普查员、普查指导员补贴发放覆盖率情况。</w:t>
            </w:r>
          </w:p>
        </w:tc>
        <w:tc>
          <w:tcPr>
            <w:tcW w:w="85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≤100%</w:t>
            </w:r>
          </w:p>
        </w:tc>
        <w:tc>
          <w:tcPr>
            <w:tcW w:w="46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63"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05" w:type="dxa"/>
            <w:vMerge w:val="restart"/>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bidi="ar-SA"/>
              </w:rPr>
            </w:pPr>
            <w:r>
              <w:rPr>
                <w:rFonts w:hint="eastAsia" w:asciiTheme="minorEastAsia" w:hAnsiTheme="minorEastAsia" w:eastAsiaTheme="minorEastAsia" w:cstheme="minorEastAsia"/>
                <w:kern w:val="0"/>
                <w:sz w:val="16"/>
                <w:szCs w:val="16"/>
                <w:vertAlign w:val="baseline"/>
              </w:rPr>
              <w:t>统计调查经费</w:t>
            </w:r>
          </w:p>
        </w:tc>
        <w:tc>
          <w:tcPr>
            <w:tcW w:w="1007" w:type="dxa"/>
            <w:vMerge w:val="restart"/>
            <w:tcBorders>
              <w:left w:val="single" w:color="000000" w:sz="4" w:space="0"/>
              <w:right w:val="single" w:color="000000" w:sz="4" w:space="0"/>
            </w:tcBorders>
            <w:noWrap w:val="0"/>
            <w:vAlign w:val="center"/>
          </w:tcPr>
          <w:p>
            <w:pPr>
              <w:tabs>
                <w:tab w:val="left" w:pos="332"/>
              </w:tabs>
              <w:spacing w:line="240" w:lineRule="auto"/>
              <w:jc w:val="center"/>
              <w:rPr>
                <w:rFonts w:hint="eastAsia" w:asciiTheme="minorEastAsia" w:hAnsiTheme="minorEastAsia" w:eastAsiaTheme="minorEastAsia" w:cstheme="minorEastAsia"/>
                <w:kern w:val="0"/>
                <w:sz w:val="16"/>
                <w:szCs w:val="16"/>
                <w:vertAlign w:val="baseline"/>
                <w:lang w:val="en-US" w:eastAsia="zh-CN" w:bidi="ar-SA"/>
              </w:rPr>
            </w:pPr>
            <w:r>
              <w:rPr>
                <w:rFonts w:hint="eastAsia" w:asciiTheme="minorEastAsia" w:hAnsiTheme="minorEastAsia" w:eastAsiaTheme="minorEastAsia" w:cstheme="minorEastAsia"/>
                <w:kern w:val="0"/>
                <w:sz w:val="16"/>
                <w:szCs w:val="16"/>
                <w:vertAlign w:val="baseline"/>
                <w:lang w:val="en-US" w:eastAsia="zh-CN"/>
              </w:rPr>
              <w:t>16.17</w:t>
            </w:r>
          </w:p>
        </w:tc>
        <w:tc>
          <w:tcPr>
            <w:tcW w:w="1575" w:type="dxa"/>
            <w:vMerge w:val="restart"/>
            <w:tcBorders>
              <w:left w:val="single" w:color="000000" w:sz="4" w:space="0"/>
              <w:right w:val="single" w:color="000000" w:sz="4" w:space="0"/>
            </w:tcBorders>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目标1：贯彻执行国家统计法律、规章、制度和统计工作计划。组织领导和协调全区各部门完成统计工作。</w:t>
            </w:r>
          </w:p>
          <w:p>
            <w:pPr>
              <w:spacing w:line="240" w:lineRule="auto"/>
              <w:jc w:val="both"/>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目标2：组织实施本区各项统计工作规划、调查计划及调查方案。负责全区统计报表和统计资料的管理及核查工作。</w:t>
            </w:r>
          </w:p>
          <w:p>
            <w:pPr>
              <w:spacing w:line="240" w:lineRule="auto"/>
              <w:jc w:val="both"/>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目标3：根据国家统计法律、规章，组织指导全区统计法规的宣传普及工作，监督统计法规的贯彻实施工作，查处统计违法行为。</w:t>
            </w:r>
          </w:p>
          <w:p>
            <w:pPr>
              <w:spacing w:line="240" w:lineRule="auto"/>
              <w:jc w:val="both"/>
              <w:rPr>
                <w:rFonts w:hint="eastAsia" w:asciiTheme="minorEastAsia" w:hAnsiTheme="minorEastAsia" w:eastAsiaTheme="minorEastAsia" w:cstheme="minorEastAsia"/>
                <w:kern w:val="0"/>
                <w:sz w:val="16"/>
                <w:szCs w:val="16"/>
                <w:vertAlign w:val="baseline"/>
                <w:lang w:val="en-US" w:eastAsia="zh-CN" w:bidi="ar-SA"/>
              </w:rPr>
            </w:pPr>
            <w:r>
              <w:rPr>
                <w:rFonts w:hint="eastAsia" w:asciiTheme="minorEastAsia" w:hAnsiTheme="minorEastAsia" w:eastAsiaTheme="minorEastAsia" w:cstheme="minorEastAsia"/>
                <w:kern w:val="0"/>
                <w:sz w:val="16"/>
                <w:szCs w:val="16"/>
                <w:vertAlign w:val="baseline"/>
              </w:rPr>
              <w:t>目标4：组织指导全区各部门各专业统计教育、统计培训、统计科学研究和统计基础工作。</w:t>
            </w:r>
          </w:p>
        </w:tc>
        <w:tc>
          <w:tcPr>
            <w:tcW w:w="75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成本指标</w:t>
            </w:r>
          </w:p>
        </w:tc>
        <w:tc>
          <w:tcPr>
            <w:tcW w:w="85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bidi="ar-SA"/>
              </w:rPr>
            </w:pPr>
            <w:r>
              <w:rPr>
                <w:rFonts w:hint="eastAsia" w:asciiTheme="minorEastAsia" w:hAnsiTheme="minorEastAsia" w:eastAsiaTheme="minorEastAsia" w:cstheme="minorEastAsia"/>
                <w:kern w:val="0"/>
                <w:sz w:val="16"/>
                <w:szCs w:val="16"/>
                <w:vertAlign w:val="baseline"/>
                <w:lang w:eastAsia="zh-CN"/>
              </w:rPr>
              <w:t>经济成本指标</w:t>
            </w:r>
          </w:p>
        </w:tc>
        <w:tc>
          <w:tcPr>
            <w:tcW w:w="1065"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lang w:val="en-US" w:eastAsia="zh-CN" w:bidi="ar-SA"/>
              </w:rPr>
            </w:pPr>
            <w:r>
              <w:rPr>
                <w:rFonts w:hint="eastAsia" w:asciiTheme="minorEastAsia" w:hAnsiTheme="minorEastAsia" w:eastAsiaTheme="minorEastAsia" w:cstheme="minorEastAsia"/>
                <w:kern w:val="0"/>
                <w:sz w:val="16"/>
                <w:szCs w:val="16"/>
                <w:vertAlign w:val="baseline"/>
              </w:rPr>
              <w:t>统计年鉴印刷成本费用</w:t>
            </w:r>
          </w:p>
        </w:tc>
        <w:tc>
          <w:tcPr>
            <w:tcW w:w="1200"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lang w:val="en-US" w:eastAsia="zh-CN" w:bidi="ar-SA"/>
              </w:rPr>
            </w:pPr>
            <w:r>
              <w:rPr>
                <w:rFonts w:hint="eastAsia" w:asciiTheme="minorEastAsia" w:hAnsiTheme="minorEastAsia" w:eastAsiaTheme="minorEastAsia" w:cstheme="minorEastAsia"/>
                <w:kern w:val="0"/>
                <w:sz w:val="16"/>
                <w:szCs w:val="16"/>
                <w:vertAlign w:val="baseline"/>
              </w:rPr>
              <w:t>编印202</w:t>
            </w:r>
            <w:r>
              <w:rPr>
                <w:rFonts w:hint="eastAsia" w:asciiTheme="minorEastAsia" w:hAnsiTheme="minorEastAsia" w:eastAsiaTheme="minorEastAsia" w:cstheme="minorEastAsia"/>
                <w:kern w:val="0"/>
                <w:sz w:val="16"/>
                <w:szCs w:val="16"/>
                <w:vertAlign w:val="baseline"/>
                <w:lang w:val="en-US" w:eastAsia="zh-CN"/>
              </w:rPr>
              <w:t>3</w:t>
            </w:r>
            <w:r>
              <w:rPr>
                <w:rFonts w:hint="eastAsia" w:asciiTheme="minorEastAsia" w:hAnsiTheme="minorEastAsia" w:eastAsiaTheme="minorEastAsia" w:cstheme="minorEastAsia"/>
                <w:kern w:val="0"/>
                <w:sz w:val="16"/>
                <w:szCs w:val="16"/>
                <w:vertAlign w:val="baseline"/>
              </w:rPr>
              <w:t>年度统计年鉴印刷成本费用</w:t>
            </w:r>
            <w:r>
              <w:rPr>
                <w:rFonts w:hint="eastAsia" w:asciiTheme="minorEastAsia" w:hAnsiTheme="minorEastAsia" w:eastAsiaTheme="minorEastAsia" w:cstheme="minorEastAsia"/>
                <w:kern w:val="0"/>
                <w:sz w:val="16"/>
                <w:szCs w:val="16"/>
                <w:vertAlign w:val="baseline"/>
                <w:lang w:eastAsia="zh-CN"/>
              </w:rPr>
              <w:t>。</w:t>
            </w:r>
          </w:p>
        </w:tc>
        <w:tc>
          <w:tcPr>
            <w:tcW w:w="85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bidi="ar-SA"/>
              </w:rPr>
            </w:pPr>
            <w:r>
              <w:rPr>
                <w:rFonts w:hint="eastAsia" w:asciiTheme="minorEastAsia" w:hAnsiTheme="minorEastAsia" w:eastAsiaTheme="minorEastAsia" w:cstheme="minorEastAsia"/>
                <w:kern w:val="0"/>
                <w:sz w:val="16"/>
                <w:szCs w:val="16"/>
                <w:vertAlign w:val="baseline"/>
                <w:lang w:val="en-US" w:eastAsia="zh-CN"/>
              </w:rPr>
              <w:t>≤</w:t>
            </w:r>
            <w:r>
              <w:rPr>
                <w:rFonts w:hint="eastAsia" w:asciiTheme="minorEastAsia" w:hAnsiTheme="minorEastAsia" w:eastAsiaTheme="minorEastAsia" w:cstheme="minorEastAsia"/>
                <w:kern w:val="0"/>
                <w:sz w:val="16"/>
                <w:szCs w:val="16"/>
                <w:vertAlign w:val="baseline"/>
              </w:rPr>
              <w:t>200元</w:t>
            </w:r>
          </w:p>
        </w:tc>
        <w:tc>
          <w:tcPr>
            <w:tcW w:w="46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bidi="ar-SA"/>
              </w:rPr>
            </w:pPr>
            <w:r>
              <w:rPr>
                <w:rFonts w:hint="eastAsia" w:asciiTheme="minorEastAsia" w:hAnsiTheme="minorEastAsia" w:eastAsiaTheme="minorEastAsia" w:cstheme="minorEastAsia"/>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63"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0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007"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57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50" w:type="dxa"/>
            <w:vMerge w:val="restart"/>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产出指标</w:t>
            </w:r>
          </w:p>
        </w:tc>
        <w:tc>
          <w:tcPr>
            <w:tcW w:w="85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数量指标</w:t>
            </w:r>
          </w:p>
        </w:tc>
        <w:tc>
          <w:tcPr>
            <w:tcW w:w="1065"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统计分析报告篇数</w:t>
            </w:r>
          </w:p>
        </w:tc>
        <w:tc>
          <w:tcPr>
            <w:tcW w:w="1200"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反</w:t>
            </w:r>
            <w:r>
              <w:rPr>
                <w:rFonts w:hint="eastAsia" w:asciiTheme="minorEastAsia" w:hAnsiTheme="minorEastAsia" w:eastAsiaTheme="minorEastAsia" w:cstheme="minorEastAsia"/>
                <w:kern w:val="0"/>
                <w:sz w:val="16"/>
                <w:szCs w:val="16"/>
                <w:vertAlign w:val="baseline"/>
                <w:lang w:val="en-US" w:eastAsia="zh-CN"/>
              </w:rPr>
              <w:t>映</w:t>
            </w:r>
            <w:r>
              <w:rPr>
                <w:rFonts w:hint="eastAsia" w:asciiTheme="minorEastAsia" w:hAnsiTheme="minorEastAsia" w:eastAsiaTheme="minorEastAsia" w:cstheme="minorEastAsia"/>
                <w:kern w:val="0"/>
                <w:sz w:val="16"/>
                <w:szCs w:val="16"/>
                <w:vertAlign w:val="baseline"/>
              </w:rPr>
              <w:t>统计分析报告篇数情况</w:t>
            </w:r>
            <w:r>
              <w:rPr>
                <w:rFonts w:hint="eastAsia" w:asciiTheme="minorEastAsia" w:hAnsiTheme="minorEastAsia" w:eastAsiaTheme="minorEastAsia" w:cstheme="minorEastAsia"/>
                <w:kern w:val="0"/>
                <w:sz w:val="16"/>
                <w:szCs w:val="16"/>
                <w:vertAlign w:val="baseline"/>
                <w:lang w:eastAsia="zh-CN"/>
              </w:rPr>
              <w:t>。</w:t>
            </w:r>
          </w:p>
        </w:tc>
        <w:tc>
          <w:tcPr>
            <w:tcW w:w="85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≥5篇</w:t>
            </w:r>
          </w:p>
        </w:tc>
        <w:tc>
          <w:tcPr>
            <w:tcW w:w="46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63"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0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007"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57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50" w:type="dxa"/>
            <w:vMerge w:val="continue"/>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p>
        </w:tc>
        <w:tc>
          <w:tcPr>
            <w:tcW w:w="85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val="en-US" w:eastAsia="zh-CN"/>
              </w:rPr>
              <w:t>数量</w:t>
            </w:r>
            <w:r>
              <w:rPr>
                <w:rFonts w:hint="eastAsia" w:asciiTheme="minorEastAsia" w:hAnsiTheme="minorEastAsia" w:eastAsiaTheme="minorEastAsia" w:cstheme="minorEastAsia"/>
                <w:kern w:val="0"/>
                <w:sz w:val="16"/>
                <w:szCs w:val="16"/>
                <w:vertAlign w:val="baseline"/>
                <w:lang w:eastAsia="zh-CN"/>
              </w:rPr>
              <w:t>指标</w:t>
            </w:r>
          </w:p>
        </w:tc>
        <w:tc>
          <w:tcPr>
            <w:tcW w:w="1065"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统计培训人次</w:t>
            </w:r>
          </w:p>
        </w:tc>
        <w:tc>
          <w:tcPr>
            <w:tcW w:w="1200"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反</w:t>
            </w:r>
            <w:r>
              <w:rPr>
                <w:rFonts w:hint="eastAsia" w:asciiTheme="minorEastAsia" w:hAnsiTheme="minorEastAsia" w:eastAsiaTheme="minorEastAsia" w:cstheme="minorEastAsia"/>
                <w:kern w:val="0"/>
                <w:sz w:val="16"/>
                <w:szCs w:val="16"/>
                <w:vertAlign w:val="baseline"/>
                <w:lang w:val="en-US" w:eastAsia="zh-CN"/>
              </w:rPr>
              <w:t>映</w:t>
            </w:r>
            <w:r>
              <w:rPr>
                <w:rFonts w:hint="eastAsia" w:asciiTheme="minorEastAsia" w:hAnsiTheme="minorEastAsia" w:eastAsiaTheme="minorEastAsia" w:cstheme="minorEastAsia"/>
                <w:kern w:val="0"/>
                <w:sz w:val="16"/>
                <w:szCs w:val="16"/>
                <w:vertAlign w:val="baseline"/>
              </w:rPr>
              <w:t>统计培训人次情况</w:t>
            </w:r>
            <w:r>
              <w:rPr>
                <w:rFonts w:hint="eastAsia" w:asciiTheme="minorEastAsia" w:hAnsiTheme="minorEastAsia" w:eastAsiaTheme="minorEastAsia" w:cstheme="minorEastAsia"/>
                <w:kern w:val="0"/>
                <w:sz w:val="16"/>
                <w:szCs w:val="16"/>
                <w:vertAlign w:val="baseline"/>
                <w:lang w:eastAsia="zh-CN"/>
              </w:rPr>
              <w:t>。</w:t>
            </w:r>
          </w:p>
        </w:tc>
        <w:tc>
          <w:tcPr>
            <w:tcW w:w="85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≥150人</w:t>
            </w:r>
          </w:p>
        </w:tc>
        <w:tc>
          <w:tcPr>
            <w:tcW w:w="46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763"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0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007"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57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50" w:type="dxa"/>
            <w:vMerge w:val="continue"/>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p>
        </w:tc>
        <w:tc>
          <w:tcPr>
            <w:tcW w:w="85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时效指标</w:t>
            </w:r>
          </w:p>
        </w:tc>
        <w:tc>
          <w:tcPr>
            <w:tcW w:w="1065"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统计公报撰写完成时间</w:t>
            </w:r>
          </w:p>
        </w:tc>
        <w:tc>
          <w:tcPr>
            <w:tcW w:w="1200"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撰</w:t>
            </w:r>
            <w:r>
              <w:rPr>
                <w:rFonts w:hint="eastAsia" w:asciiTheme="minorEastAsia" w:hAnsiTheme="minorEastAsia" w:eastAsiaTheme="minorEastAsia" w:cstheme="minorEastAsia"/>
                <w:kern w:val="0"/>
                <w:sz w:val="16"/>
                <w:szCs w:val="16"/>
                <w:vertAlign w:val="baseline"/>
                <w:lang w:val="en-US" w:eastAsia="zh-CN"/>
              </w:rPr>
              <w:t>写</w:t>
            </w:r>
            <w:r>
              <w:rPr>
                <w:rFonts w:hint="eastAsia" w:asciiTheme="minorEastAsia" w:hAnsiTheme="minorEastAsia" w:eastAsiaTheme="minorEastAsia" w:cstheme="minorEastAsia"/>
                <w:kern w:val="0"/>
                <w:sz w:val="16"/>
                <w:szCs w:val="16"/>
                <w:vertAlign w:val="baseline"/>
              </w:rPr>
              <w:t>2023年度统计公报完成时间</w:t>
            </w:r>
            <w:r>
              <w:rPr>
                <w:rFonts w:hint="eastAsia" w:asciiTheme="minorEastAsia" w:hAnsiTheme="minorEastAsia" w:eastAsiaTheme="minorEastAsia" w:cstheme="minorEastAsia"/>
                <w:kern w:val="0"/>
                <w:sz w:val="16"/>
                <w:szCs w:val="16"/>
                <w:vertAlign w:val="baseline"/>
                <w:lang w:eastAsia="zh-CN"/>
              </w:rPr>
              <w:t>。</w:t>
            </w:r>
          </w:p>
        </w:tc>
        <w:tc>
          <w:tcPr>
            <w:tcW w:w="85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7月31日前</w:t>
            </w:r>
          </w:p>
        </w:tc>
        <w:tc>
          <w:tcPr>
            <w:tcW w:w="46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63"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0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007"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157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50"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效益指标</w:t>
            </w:r>
          </w:p>
        </w:tc>
        <w:tc>
          <w:tcPr>
            <w:tcW w:w="85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bidi="ar-SA"/>
              </w:rPr>
            </w:pPr>
            <w:r>
              <w:rPr>
                <w:rFonts w:hint="eastAsia" w:asciiTheme="minorEastAsia" w:hAnsiTheme="minorEastAsia" w:eastAsiaTheme="minorEastAsia" w:cstheme="minorEastAsia"/>
                <w:kern w:val="0"/>
                <w:sz w:val="16"/>
                <w:szCs w:val="16"/>
                <w:vertAlign w:val="baseline"/>
                <w:lang w:eastAsia="zh-CN"/>
              </w:rPr>
              <w:t>社会效益指标</w:t>
            </w:r>
          </w:p>
        </w:tc>
        <w:tc>
          <w:tcPr>
            <w:tcW w:w="1065"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lang w:val="en-US" w:eastAsia="zh-CN" w:bidi="ar-SA"/>
              </w:rPr>
            </w:pPr>
            <w:r>
              <w:rPr>
                <w:rFonts w:hint="eastAsia" w:asciiTheme="minorEastAsia" w:hAnsiTheme="minorEastAsia" w:eastAsiaTheme="minorEastAsia" w:cstheme="minorEastAsia"/>
                <w:kern w:val="0"/>
                <w:sz w:val="16"/>
                <w:szCs w:val="16"/>
                <w:vertAlign w:val="baseline"/>
              </w:rPr>
              <w:t>向社会公众提供统计公报</w:t>
            </w:r>
          </w:p>
        </w:tc>
        <w:tc>
          <w:tcPr>
            <w:tcW w:w="1200" w:type="dxa"/>
            <w:noWrap w:val="0"/>
            <w:vAlign w:val="center"/>
          </w:tcPr>
          <w:p>
            <w:pPr>
              <w:spacing w:line="240" w:lineRule="auto"/>
              <w:jc w:val="both"/>
              <w:rPr>
                <w:rFonts w:hint="eastAsia" w:asciiTheme="minorEastAsia" w:hAnsiTheme="minorEastAsia" w:eastAsiaTheme="minorEastAsia" w:cstheme="minorEastAsia"/>
                <w:kern w:val="0"/>
                <w:sz w:val="16"/>
                <w:szCs w:val="16"/>
                <w:vertAlign w:val="baseline"/>
                <w:lang w:val="en-US" w:eastAsia="zh-CN" w:bidi="ar-SA"/>
              </w:rPr>
            </w:pPr>
            <w:r>
              <w:rPr>
                <w:rFonts w:hint="eastAsia" w:asciiTheme="minorEastAsia" w:hAnsiTheme="minorEastAsia" w:eastAsiaTheme="minorEastAsia" w:cstheme="minorEastAsia"/>
                <w:kern w:val="0"/>
                <w:sz w:val="16"/>
                <w:szCs w:val="16"/>
                <w:vertAlign w:val="baseline"/>
              </w:rPr>
              <w:t>向社会公众提供统计公报篇数</w:t>
            </w:r>
            <w:r>
              <w:rPr>
                <w:rFonts w:hint="eastAsia" w:asciiTheme="minorEastAsia" w:hAnsiTheme="minorEastAsia" w:eastAsiaTheme="minorEastAsia" w:cstheme="minorEastAsia"/>
                <w:kern w:val="0"/>
                <w:sz w:val="16"/>
                <w:szCs w:val="16"/>
                <w:vertAlign w:val="baseline"/>
                <w:lang w:eastAsia="zh-CN"/>
              </w:rPr>
              <w:t>。</w:t>
            </w:r>
          </w:p>
        </w:tc>
        <w:tc>
          <w:tcPr>
            <w:tcW w:w="85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bidi="ar-SA"/>
              </w:rPr>
            </w:pPr>
            <w:r>
              <w:rPr>
                <w:rFonts w:hint="eastAsia" w:asciiTheme="minorEastAsia" w:hAnsiTheme="minorEastAsia" w:eastAsiaTheme="minorEastAsia" w:cstheme="minorEastAsia"/>
                <w:kern w:val="0"/>
                <w:sz w:val="16"/>
                <w:szCs w:val="16"/>
                <w:vertAlign w:val="baseline"/>
              </w:rPr>
              <w:t>1篇</w:t>
            </w:r>
          </w:p>
        </w:tc>
        <w:tc>
          <w:tcPr>
            <w:tcW w:w="465" w:type="dxa"/>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bidi="ar-SA"/>
              </w:rPr>
            </w:pPr>
            <w:r>
              <w:rPr>
                <w:rFonts w:hint="eastAsia" w:asciiTheme="minorEastAsia" w:hAnsiTheme="minorEastAsia" w:eastAsiaTheme="minorEastAsia" w:cstheme="minorEastAsia"/>
                <w:kern w:val="0"/>
                <w:sz w:val="16"/>
                <w:szCs w:val="16"/>
                <w:vertAlign w:val="baseline"/>
                <w:lang w:val="en-US" w:eastAsia="zh-CN"/>
              </w:rPr>
              <w:t>30</w:t>
            </w:r>
          </w:p>
        </w:tc>
      </w:tr>
    </w:tbl>
    <w:p>
      <w:pPr>
        <w:spacing w:line="240" w:lineRule="auto"/>
        <w:ind w:firstLine="0" w:firstLineChars="0"/>
        <w:rPr>
          <w:rFonts w:eastAsia="黑体"/>
        </w:rPr>
      </w:pPr>
      <w:r>
        <w:rPr>
          <w:rFonts w:hint="eastAsia" w:ascii="楷体" w:hAnsi="楷体" w:eastAsia="楷体" w:cs="楷体"/>
          <w:kern w:val="0"/>
          <w:sz w:val="16"/>
          <w:szCs w:val="16"/>
          <w:lang w:val="en-US" w:eastAsia="zh-CN"/>
        </w:rPr>
        <w:t xml:space="preserve"> </w:t>
      </w:r>
      <w:r>
        <w:rPr>
          <w:rFonts w:hint="eastAsia" w:eastAsia="楷体"/>
          <w:kern w:val="0"/>
          <w:sz w:val="16"/>
          <w:szCs w:val="16"/>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hint="eastAsia" w:ascii="黑体" w:hAnsi="黑体" w:eastAsia="黑体" w:cs="黑体"/>
          <w:szCs w:val="32"/>
        </w:rPr>
        <w:t>一、202</w:t>
      </w:r>
      <w:r>
        <w:rPr>
          <w:rFonts w:hint="eastAsia" w:ascii="黑体" w:hAnsi="黑体" w:eastAsia="黑体" w:cs="黑体"/>
          <w:szCs w:val="32"/>
          <w:lang w:val="en-US" w:eastAsia="zh-CN"/>
        </w:rPr>
        <w:t>4</w:t>
      </w:r>
      <w:r>
        <w:rPr>
          <w:rFonts w:hint="eastAsia" w:ascii="黑体" w:hAnsi="黑体" w:eastAsia="黑体" w:cs="黑体"/>
          <w:szCs w:val="32"/>
        </w:rPr>
        <w:t>年</w:t>
      </w:r>
      <w:r>
        <w:rPr>
          <w:rFonts w:eastAsia="黑体"/>
          <w:szCs w:val="32"/>
        </w:rPr>
        <w:t>收支预算总体情况</w:t>
      </w:r>
    </w:p>
    <w:p>
      <w:pPr>
        <w:ind w:firstLine="640" w:firstLineChars="200"/>
        <w:rPr>
          <w:rFonts w:hint="eastAsia" w:ascii="仿宋" w:hAnsi="仿宋" w:eastAsia="仿宋" w:cs="仿宋"/>
          <w:szCs w:val="32"/>
        </w:rPr>
      </w:pPr>
      <w:r>
        <w:rPr>
          <w:rFonts w:hint="eastAsia" w:ascii="仿宋" w:hAnsi="仿宋" w:eastAsia="仿宋" w:cs="仿宋"/>
          <w:szCs w:val="32"/>
        </w:rPr>
        <w:t>按照综合预算的原则，所有收入和支出全部纳入</w:t>
      </w:r>
      <w:r>
        <w:rPr>
          <w:rFonts w:hint="eastAsia" w:ascii="仿宋" w:hAnsi="仿宋" w:eastAsia="仿宋" w:cs="仿宋"/>
          <w:szCs w:val="32"/>
          <w:lang w:val="en-US" w:eastAsia="zh-CN"/>
        </w:rPr>
        <w:t>单位</w:t>
      </w:r>
      <w:r>
        <w:rPr>
          <w:rFonts w:hint="eastAsia" w:ascii="仿宋" w:hAnsi="仿宋" w:eastAsia="仿宋" w:cs="仿宋"/>
          <w:szCs w:val="32"/>
        </w:rPr>
        <w:t>预算管理。收入包括：一般公共预算拨款收入、上年结转结余</w:t>
      </w:r>
      <w:r>
        <w:rPr>
          <w:rFonts w:hint="eastAsia" w:ascii="仿宋" w:hAnsi="仿宋" w:eastAsia="仿宋" w:cs="仿宋"/>
          <w:szCs w:val="32"/>
          <w:lang w:eastAsia="zh-CN"/>
        </w:rPr>
        <w:t>。</w:t>
      </w:r>
      <w:r>
        <w:rPr>
          <w:rFonts w:hint="eastAsia" w:ascii="仿宋" w:hAnsi="仿宋" w:eastAsia="仿宋" w:cs="仿宋"/>
          <w:szCs w:val="32"/>
        </w:rPr>
        <w:t>支出包括：一般公共服务支出、社会保障和就业支出、</w:t>
      </w:r>
      <w:r>
        <w:rPr>
          <w:rFonts w:hint="eastAsia" w:ascii="仿宋" w:hAnsi="仿宋" w:eastAsia="仿宋" w:cs="仿宋"/>
          <w:szCs w:val="32"/>
          <w:lang w:val="en-US" w:eastAsia="zh-CN"/>
        </w:rPr>
        <w:t>卫生健康</w:t>
      </w:r>
      <w:r>
        <w:rPr>
          <w:rFonts w:hint="eastAsia" w:ascii="仿宋" w:hAnsi="仿宋" w:eastAsia="仿宋" w:cs="仿宋"/>
          <w:szCs w:val="32"/>
        </w:rPr>
        <w:t>支出、住房保障支出。202</w:t>
      </w:r>
      <w:r>
        <w:rPr>
          <w:rFonts w:hint="eastAsia" w:ascii="仿宋" w:hAnsi="仿宋" w:eastAsia="仿宋" w:cs="仿宋"/>
          <w:szCs w:val="32"/>
          <w:lang w:val="en-US" w:eastAsia="zh-CN"/>
        </w:rPr>
        <w:t>4</w:t>
      </w:r>
      <w:r>
        <w:rPr>
          <w:rFonts w:hint="eastAsia" w:ascii="仿宋" w:hAnsi="仿宋" w:eastAsia="仿宋" w:cs="仿宋"/>
          <w:szCs w:val="32"/>
        </w:rPr>
        <w:t>年收支总预算</w:t>
      </w:r>
      <w:r>
        <w:rPr>
          <w:rFonts w:hint="eastAsia" w:ascii="仿宋" w:hAnsi="仿宋" w:eastAsia="仿宋" w:cs="仿宋"/>
          <w:szCs w:val="32"/>
          <w:lang w:val="en-US" w:eastAsia="zh-CN"/>
        </w:rPr>
        <w:t>146.18</w:t>
      </w:r>
      <w:r>
        <w:rPr>
          <w:rFonts w:hint="eastAsia" w:ascii="仿宋" w:hAnsi="仿宋" w:eastAsia="仿宋" w:cs="仿宋"/>
          <w:szCs w:val="32"/>
        </w:rPr>
        <w:t>万元</w:t>
      </w:r>
      <w:r>
        <w:rPr>
          <w:rFonts w:hint="eastAsia" w:ascii="仿宋" w:hAnsi="仿宋" w:eastAsia="仿宋" w:cs="仿宋"/>
          <w:szCs w:val="32"/>
          <w:lang w:eastAsia="zh-CN"/>
        </w:rPr>
        <w:t>，其中：本年预算</w:t>
      </w:r>
      <w:r>
        <w:rPr>
          <w:rFonts w:hint="eastAsia" w:ascii="仿宋" w:hAnsi="仿宋" w:eastAsia="仿宋" w:cs="仿宋"/>
          <w:szCs w:val="32"/>
          <w:lang w:val="en-US" w:eastAsia="zh-CN"/>
        </w:rPr>
        <w:t>144.74</w:t>
      </w:r>
      <w:r>
        <w:rPr>
          <w:rFonts w:hint="eastAsia" w:ascii="仿宋" w:hAnsi="仿宋" w:eastAsia="仿宋" w:cs="仿宋"/>
          <w:szCs w:val="32"/>
          <w:lang w:eastAsia="zh-CN"/>
        </w:rPr>
        <w:t>万元；上年结转</w:t>
      </w:r>
      <w:r>
        <w:rPr>
          <w:rFonts w:hint="eastAsia" w:ascii="仿宋" w:hAnsi="仿宋" w:eastAsia="仿宋" w:cs="仿宋"/>
          <w:szCs w:val="32"/>
          <w:lang w:val="en-US" w:eastAsia="zh-CN"/>
        </w:rPr>
        <w:t>1.44</w:t>
      </w:r>
      <w:r>
        <w:rPr>
          <w:rFonts w:hint="eastAsia" w:ascii="仿宋" w:hAnsi="仿宋" w:eastAsia="仿宋" w:cs="仿宋"/>
          <w:szCs w:val="32"/>
          <w:lang w:eastAsia="zh-CN"/>
        </w:rPr>
        <w:t>万元。</w:t>
      </w:r>
      <w:r>
        <w:rPr>
          <w:rFonts w:hint="eastAsia" w:ascii="仿宋" w:hAnsi="仿宋" w:eastAsia="仿宋" w:cs="仿宋"/>
          <w:szCs w:val="32"/>
          <w:lang w:val="en-US" w:eastAsia="zh-CN"/>
        </w:rPr>
        <w:t>2024年本年预算</w:t>
      </w:r>
      <w:r>
        <w:rPr>
          <w:rFonts w:hint="eastAsia" w:ascii="仿宋" w:hAnsi="仿宋" w:eastAsia="仿宋" w:cs="仿宋"/>
          <w:szCs w:val="32"/>
        </w:rPr>
        <w:t>比202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eastAsia="zh-CN"/>
        </w:rPr>
        <w:t>当年</w:t>
      </w:r>
      <w:r>
        <w:rPr>
          <w:rFonts w:hint="eastAsia" w:ascii="仿宋" w:hAnsi="仿宋" w:eastAsia="仿宋" w:cs="仿宋"/>
          <w:szCs w:val="32"/>
        </w:rPr>
        <w:t>预算增加</w:t>
      </w:r>
      <w:r>
        <w:rPr>
          <w:rFonts w:hint="eastAsia" w:ascii="仿宋" w:hAnsi="仿宋" w:eastAsia="仿宋" w:cs="仿宋"/>
          <w:szCs w:val="32"/>
          <w:lang w:val="en-US" w:eastAsia="zh-CN"/>
        </w:rPr>
        <w:t>64.87</w:t>
      </w:r>
      <w:r>
        <w:rPr>
          <w:rFonts w:hint="eastAsia" w:ascii="仿宋" w:hAnsi="仿宋" w:eastAsia="仿宋" w:cs="仿宋"/>
          <w:szCs w:val="32"/>
        </w:rPr>
        <w:t>万元，主要原因是</w:t>
      </w:r>
      <w:r>
        <w:rPr>
          <w:rFonts w:hint="eastAsia" w:ascii="仿宋" w:hAnsi="仿宋" w:eastAsia="仿宋" w:cs="仿宋"/>
          <w:szCs w:val="32"/>
        </w:rPr>
        <w:softHyphen/>
      </w:r>
      <w:r>
        <w:rPr>
          <w:rFonts w:hint="eastAsia" w:ascii="仿宋" w:hAnsi="仿宋" w:eastAsia="仿宋" w:cs="仿宋"/>
          <w:szCs w:val="32"/>
        </w:rPr>
        <w:softHyphen/>
      </w:r>
      <w:r>
        <w:rPr>
          <w:rFonts w:hint="eastAsia" w:ascii="仿宋" w:hAnsi="仿宋" w:eastAsia="仿宋" w:cs="仿宋"/>
          <w:szCs w:val="32"/>
        </w:rPr>
        <w:softHyphen/>
      </w:r>
      <w:r>
        <w:rPr>
          <w:rFonts w:hint="eastAsia" w:ascii="仿宋" w:hAnsi="仿宋" w:eastAsia="仿宋" w:cs="仿宋"/>
          <w:szCs w:val="32"/>
          <w:lang w:val="en-US" w:eastAsia="zh-CN"/>
        </w:rPr>
        <w:t>增加第五次全国经济普查经费、在职新增1人相应的基本支出增加</w:t>
      </w:r>
      <w:r>
        <w:rPr>
          <w:rFonts w:hint="eastAsia" w:ascii="仿宋" w:hAnsi="仿宋" w:eastAsia="仿宋" w:cs="仿宋"/>
          <w:szCs w:val="32"/>
        </w:rPr>
        <w:t>。</w:t>
      </w:r>
    </w:p>
    <w:p>
      <w:pPr>
        <w:ind w:firstLine="640" w:firstLineChars="200"/>
        <w:rPr>
          <w:rFonts w:hint="eastAsia" w:ascii="黑体" w:hAnsi="黑体" w:eastAsia="黑体" w:cs="黑体"/>
          <w:szCs w:val="32"/>
        </w:rPr>
      </w:pPr>
      <w:r>
        <w:rPr>
          <w:rFonts w:hint="eastAsia" w:ascii="黑体" w:hAnsi="黑体" w:eastAsia="黑体" w:cs="黑体"/>
          <w:szCs w:val="32"/>
        </w:rPr>
        <w:t>二、202</w:t>
      </w:r>
      <w:r>
        <w:rPr>
          <w:rFonts w:hint="eastAsia" w:ascii="黑体" w:hAnsi="黑体" w:eastAsia="黑体" w:cs="黑体"/>
          <w:szCs w:val="32"/>
          <w:lang w:val="en-US" w:eastAsia="zh-CN"/>
        </w:rPr>
        <w:t>4</w:t>
      </w:r>
      <w:r>
        <w:rPr>
          <w:rFonts w:hint="eastAsia" w:ascii="黑体" w:hAnsi="黑体" w:eastAsia="黑体" w:cs="黑体"/>
          <w:szCs w:val="32"/>
        </w:rPr>
        <w:t>年收入预算情况</w:t>
      </w:r>
    </w:p>
    <w:p>
      <w:pPr>
        <w:ind w:firstLine="640" w:firstLineChars="200"/>
        <w:rPr>
          <w:rFonts w:hint="eastAsia" w:ascii="仿宋" w:hAnsi="仿宋" w:eastAsia="仿宋" w:cs="仿宋"/>
          <w:szCs w:val="30"/>
          <w:lang w:val="en-US" w:eastAsia="zh-CN"/>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年收入预算</w:t>
      </w:r>
      <w:r>
        <w:rPr>
          <w:rFonts w:hint="eastAsia" w:ascii="仿宋" w:hAnsi="仿宋" w:eastAsia="仿宋" w:cs="仿宋"/>
          <w:szCs w:val="32"/>
          <w:lang w:val="en-US" w:eastAsia="zh-CN"/>
        </w:rPr>
        <w:t>146.18</w:t>
      </w:r>
      <w:r>
        <w:rPr>
          <w:rFonts w:hint="eastAsia" w:ascii="仿宋" w:hAnsi="仿宋" w:eastAsia="仿宋" w:cs="仿宋"/>
          <w:szCs w:val="32"/>
        </w:rPr>
        <w:t>万元，其中：本年收入</w:t>
      </w:r>
      <w:r>
        <w:rPr>
          <w:rFonts w:hint="eastAsia" w:ascii="仿宋" w:hAnsi="仿宋" w:eastAsia="仿宋" w:cs="仿宋"/>
          <w:szCs w:val="32"/>
          <w:lang w:val="en-US" w:eastAsia="zh-CN"/>
        </w:rPr>
        <w:t>144.74</w:t>
      </w:r>
      <w:r>
        <w:rPr>
          <w:rFonts w:hint="eastAsia" w:ascii="仿宋" w:hAnsi="仿宋" w:eastAsia="仿宋" w:cs="仿宋"/>
          <w:szCs w:val="32"/>
        </w:rPr>
        <w:t>万元，占</w:t>
      </w:r>
      <w:r>
        <w:rPr>
          <w:rFonts w:hint="eastAsia" w:ascii="仿宋" w:hAnsi="仿宋" w:eastAsia="仿宋" w:cs="仿宋"/>
          <w:szCs w:val="32"/>
          <w:lang w:val="en-US" w:eastAsia="zh-CN"/>
        </w:rPr>
        <w:t>99.02</w:t>
      </w:r>
      <w:r>
        <w:rPr>
          <w:rFonts w:hint="eastAsia" w:ascii="仿宋" w:hAnsi="仿宋" w:eastAsia="仿宋" w:cs="仿宋"/>
          <w:szCs w:val="32"/>
        </w:rPr>
        <w:t>%；上年结转</w:t>
      </w:r>
      <w:r>
        <w:rPr>
          <w:rFonts w:hint="eastAsia" w:ascii="仿宋" w:hAnsi="仿宋" w:eastAsia="仿宋" w:cs="仿宋"/>
          <w:szCs w:val="32"/>
          <w:lang w:eastAsia="zh-CN"/>
        </w:rPr>
        <w:t>结余</w:t>
      </w:r>
      <w:r>
        <w:rPr>
          <w:rFonts w:hint="eastAsia" w:ascii="仿宋" w:hAnsi="仿宋" w:eastAsia="仿宋" w:cs="仿宋"/>
          <w:szCs w:val="32"/>
          <w:lang w:val="en-US" w:eastAsia="zh-CN"/>
        </w:rPr>
        <w:t>1.44</w:t>
      </w:r>
      <w:r>
        <w:rPr>
          <w:rFonts w:hint="eastAsia" w:ascii="仿宋" w:hAnsi="仿宋" w:eastAsia="仿宋" w:cs="仿宋"/>
          <w:szCs w:val="32"/>
        </w:rPr>
        <w:t>万元，占</w:t>
      </w:r>
      <w:r>
        <w:rPr>
          <w:rFonts w:hint="eastAsia" w:ascii="仿宋" w:hAnsi="仿宋" w:eastAsia="仿宋" w:cs="仿宋"/>
          <w:szCs w:val="32"/>
          <w:lang w:val="en-US" w:eastAsia="zh-CN"/>
        </w:rPr>
        <w:t>0.98</w:t>
      </w:r>
      <w:r>
        <w:rPr>
          <w:rFonts w:hint="eastAsia" w:ascii="仿宋" w:hAnsi="仿宋" w:eastAsia="仿宋" w:cs="仿宋"/>
          <w:szCs w:val="32"/>
        </w:rPr>
        <w:t>%。本年收入中，一般公共预算拨款收入</w:t>
      </w:r>
      <w:r>
        <w:rPr>
          <w:rFonts w:hint="eastAsia" w:ascii="仿宋" w:hAnsi="仿宋" w:eastAsia="仿宋" w:cs="仿宋"/>
          <w:szCs w:val="32"/>
          <w:lang w:val="en-US" w:eastAsia="zh-CN"/>
        </w:rPr>
        <w:t>146.18</w:t>
      </w:r>
      <w:r>
        <w:rPr>
          <w:rFonts w:hint="eastAsia" w:ascii="仿宋" w:hAnsi="仿宋" w:eastAsia="仿宋" w:cs="仿宋"/>
          <w:szCs w:val="32"/>
        </w:rPr>
        <w:t>万元，占</w:t>
      </w:r>
      <w:r>
        <w:rPr>
          <w:rFonts w:hint="eastAsia" w:ascii="仿宋" w:hAnsi="仿宋" w:eastAsia="仿宋" w:cs="仿宋"/>
          <w:szCs w:val="32"/>
          <w:lang w:val="en-US" w:eastAsia="zh-CN"/>
        </w:rPr>
        <w:t>100</w:t>
      </w:r>
      <w:r>
        <w:rPr>
          <w:rFonts w:hint="eastAsia" w:ascii="仿宋" w:hAnsi="仿宋" w:eastAsia="仿宋" w:cs="仿宋"/>
          <w:szCs w:val="32"/>
        </w:rPr>
        <w:t>%</w:t>
      </w:r>
      <w:r>
        <w:rPr>
          <w:rFonts w:hint="eastAsia" w:ascii="仿宋" w:hAnsi="仿宋" w:eastAsia="仿宋" w:cs="仿宋"/>
          <w:szCs w:val="32"/>
          <w:lang w:eastAsia="zh-CN"/>
        </w:rPr>
        <w:t>。</w:t>
      </w:r>
      <w:r>
        <w:rPr>
          <w:rFonts w:hint="eastAsia" w:ascii="仿宋" w:hAnsi="仿宋" w:eastAsia="仿宋" w:cs="仿宋"/>
          <w:szCs w:val="32"/>
        </w:rPr>
        <w:t>上年结转中，一般公共预算拨款结转</w:t>
      </w:r>
      <w:r>
        <w:rPr>
          <w:rFonts w:hint="eastAsia" w:ascii="仿宋" w:hAnsi="仿宋" w:eastAsia="仿宋" w:cs="仿宋"/>
          <w:szCs w:val="32"/>
          <w:lang w:val="en-US" w:eastAsia="zh-CN"/>
        </w:rPr>
        <w:t>1.44</w:t>
      </w:r>
      <w:r>
        <w:rPr>
          <w:rFonts w:hint="eastAsia" w:ascii="仿宋" w:hAnsi="仿宋" w:eastAsia="仿宋" w:cs="仿宋"/>
          <w:szCs w:val="32"/>
        </w:rPr>
        <w:t>万元，占</w:t>
      </w:r>
      <w:r>
        <w:rPr>
          <w:rFonts w:hint="eastAsia" w:ascii="仿宋" w:hAnsi="仿宋" w:eastAsia="仿宋" w:cs="仿宋"/>
          <w:szCs w:val="32"/>
          <w:lang w:val="en-US" w:eastAsia="zh-CN"/>
        </w:rPr>
        <w:t>100</w:t>
      </w:r>
      <w:r>
        <w:rPr>
          <w:rFonts w:hint="eastAsia" w:ascii="仿宋" w:hAnsi="仿宋" w:eastAsia="仿宋" w:cs="仿宋"/>
          <w:szCs w:val="32"/>
        </w:rPr>
        <w:t>%</w:t>
      </w:r>
      <w:r>
        <w:rPr>
          <w:rFonts w:hint="eastAsia" w:ascii="仿宋" w:hAnsi="仿宋" w:eastAsia="仿宋" w:cs="仿宋"/>
          <w:szCs w:val="32"/>
          <w:lang w:eastAsia="zh-CN"/>
        </w:rPr>
        <w:t>。</w:t>
      </w:r>
    </w:p>
    <w:p>
      <w:pPr>
        <w:ind w:firstLine="640" w:firstLineChars="200"/>
        <w:rPr>
          <w:rFonts w:eastAsia="黑体"/>
          <w:szCs w:val="32"/>
        </w:rPr>
      </w:pPr>
      <w:r>
        <w:rPr>
          <w:rFonts w:hint="eastAsia" w:ascii="黑体" w:hAnsi="黑体" w:eastAsia="黑体" w:cs="黑体"/>
          <w:szCs w:val="32"/>
        </w:rPr>
        <w:t>三、202</w:t>
      </w:r>
      <w:r>
        <w:rPr>
          <w:rFonts w:hint="eastAsia" w:ascii="黑体" w:hAnsi="黑体" w:eastAsia="黑体" w:cs="黑体"/>
          <w:szCs w:val="32"/>
          <w:lang w:val="en-US" w:eastAsia="zh-CN"/>
        </w:rPr>
        <w:t>4</w:t>
      </w:r>
      <w:r>
        <w:rPr>
          <w:rFonts w:hint="eastAsia" w:ascii="黑体" w:hAnsi="黑体" w:eastAsia="黑体" w:cs="黑体"/>
          <w:szCs w:val="32"/>
        </w:rPr>
        <w:t>年支出预算情况</w:t>
      </w:r>
    </w:p>
    <w:p>
      <w:pPr>
        <w:ind w:firstLine="640" w:firstLineChars="200"/>
        <w:rPr>
          <w:rFonts w:hint="eastAsia" w:ascii="仿宋" w:hAnsi="仿宋" w:eastAsia="仿宋" w:cs="仿宋"/>
          <w:szCs w:val="32"/>
          <w:lang w:eastAsia="zh-CN"/>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年支出预算</w:t>
      </w:r>
      <w:r>
        <w:rPr>
          <w:rFonts w:hint="eastAsia" w:ascii="仿宋" w:hAnsi="仿宋" w:eastAsia="仿宋" w:cs="仿宋"/>
          <w:szCs w:val="32"/>
          <w:lang w:val="en-US" w:eastAsia="zh-CN"/>
        </w:rPr>
        <w:t>146.18</w:t>
      </w:r>
      <w:r>
        <w:rPr>
          <w:rFonts w:hint="eastAsia" w:ascii="仿宋" w:hAnsi="仿宋" w:eastAsia="仿宋" w:cs="仿宋"/>
          <w:szCs w:val="32"/>
        </w:rPr>
        <w:t>万元，其中：基本支出</w:t>
      </w:r>
      <w:r>
        <w:rPr>
          <w:rFonts w:hint="eastAsia" w:ascii="仿宋" w:hAnsi="仿宋" w:eastAsia="仿宋" w:cs="仿宋"/>
          <w:szCs w:val="32"/>
          <w:lang w:val="en-US" w:eastAsia="zh-CN"/>
        </w:rPr>
        <w:t>88.43</w:t>
      </w:r>
      <w:r>
        <w:rPr>
          <w:rFonts w:hint="eastAsia" w:ascii="仿宋" w:hAnsi="仿宋" w:eastAsia="仿宋" w:cs="仿宋"/>
          <w:szCs w:val="32"/>
        </w:rPr>
        <w:t>万元，占</w:t>
      </w:r>
      <w:r>
        <w:rPr>
          <w:rFonts w:hint="eastAsia" w:ascii="仿宋" w:hAnsi="仿宋" w:eastAsia="仿宋" w:cs="仿宋"/>
          <w:szCs w:val="32"/>
          <w:lang w:val="en-US" w:eastAsia="zh-CN"/>
        </w:rPr>
        <w:t>60.49</w:t>
      </w:r>
      <w:r>
        <w:rPr>
          <w:rFonts w:hint="eastAsia" w:ascii="仿宋" w:hAnsi="仿宋" w:eastAsia="仿宋" w:cs="仿宋"/>
          <w:szCs w:val="32"/>
        </w:rPr>
        <w:t>%；项目支出</w:t>
      </w:r>
      <w:r>
        <w:rPr>
          <w:rFonts w:hint="eastAsia" w:ascii="仿宋" w:hAnsi="仿宋" w:eastAsia="仿宋" w:cs="仿宋"/>
          <w:szCs w:val="32"/>
          <w:lang w:val="en-US" w:eastAsia="zh-CN"/>
        </w:rPr>
        <w:t>57.75</w:t>
      </w:r>
      <w:r>
        <w:rPr>
          <w:rFonts w:hint="eastAsia" w:ascii="仿宋" w:hAnsi="仿宋" w:eastAsia="仿宋" w:cs="仿宋"/>
          <w:szCs w:val="32"/>
        </w:rPr>
        <w:t>万元，占</w:t>
      </w:r>
      <w:r>
        <w:rPr>
          <w:rFonts w:hint="eastAsia" w:ascii="仿宋" w:hAnsi="仿宋" w:eastAsia="仿宋" w:cs="仿宋"/>
          <w:szCs w:val="32"/>
          <w:lang w:val="en-US" w:eastAsia="zh-CN"/>
        </w:rPr>
        <w:t>39.51</w:t>
      </w:r>
      <w:r>
        <w:rPr>
          <w:rFonts w:hint="eastAsia" w:ascii="仿宋" w:hAnsi="仿宋" w:eastAsia="仿宋" w:cs="仿宋"/>
          <w:szCs w:val="32"/>
        </w:rPr>
        <w:t>%</w:t>
      </w:r>
      <w:r>
        <w:rPr>
          <w:rFonts w:hint="eastAsia" w:ascii="仿宋" w:hAnsi="仿宋" w:eastAsia="仿宋" w:cs="仿宋"/>
          <w:szCs w:val="32"/>
          <w:lang w:eastAsia="zh-CN"/>
        </w:rPr>
        <w:t>。</w:t>
      </w:r>
    </w:p>
    <w:p>
      <w:pPr>
        <w:ind w:firstLine="640" w:firstLineChars="200"/>
        <w:rPr>
          <w:rFonts w:hint="eastAsia" w:ascii="黑体" w:hAnsi="黑体" w:eastAsia="黑体" w:cs="黑体"/>
          <w:szCs w:val="32"/>
        </w:rPr>
      </w:pPr>
      <w:r>
        <w:rPr>
          <w:rFonts w:hint="eastAsia" w:ascii="黑体" w:hAnsi="黑体" w:eastAsia="黑体" w:cs="黑体"/>
          <w:szCs w:val="32"/>
        </w:rPr>
        <w:t>四、202</w:t>
      </w:r>
      <w:r>
        <w:rPr>
          <w:rFonts w:hint="eastAsia" w:ascii="黑体" w:hAnsi="黑体" w:eastAsia="黑体" w:cs="黑体"/>
          <w:szCs w:val="32"/>
          <w:lang w:val="en-US" w:eastAsia="zh-CN"/>
        </w:rPr>
        <w:t>4</w:t>
      </w:r>
      <w:r>
        <w:rPr>
          <w:rFonts w:hint="eastAsia" w:ascii="黑体" w:hAnsi="黑体" w:eastAsia="黑体" w:cs="黑体"/>
          <w:szCs w:val="32"/>
        </w:rPr>
        <w:t>年财政拨款收支预算情况</w:t>
      </w:r>
    </w:p>
    <w:p>
      <w:pPr>
        <w:ind w:firstLine="640" w:firstLineChars="20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年财政拨款收支总预算</w:t>
      </w:r>
      <w:r>
        <w:rPr>
          <w:rFonts w:hint="eastAsia" w:ascii="仿宋" w:hAnsi="仿宋" w:eastAsia="仿宋" w:cs="仿宋"/>
          <w:szCs w:val="32"/>
          <w:lang w:val="en-US" w:eastAsia="zh-CN"/>
        </w:rPr>
        <w:t>146.18</w:t>
      </w:r>
      <w:r>
        <w:rPr>
          <w:rFonts w:hint="eastAsia" w:ascii="仿宋" w:hAnsi="仿宋" w:eastAsia="仿宋" w:cs="仿宋"/>
          <w:szCs w:val="32"/>
        </w:rPr>
        <w:t>万元，其中：本年</w:t>
      </w:r>
      <w:r>
        <w:rPr>
          <w:rFonts w:hint="eastAsia" w:ascii="仿宋" w:hAnsi="仿宋" w:eastAsia="仿宋" w:cs="仿宋"/>
          <w:szCs w:val="32"/>
          <w:lang w:eastAsia="zh-CN"/>
        </w:rPr>
        <w:t>预算</w:t>
      </w:r>
      <w:r>
        <w:rPr>
          <w:rFonts w:hint="eastAsia" w:ascii="仿宋" w:hAnsi="仿宋" w:eastAsia="仿宋" w:cs="仿宋"/>
          <w:szCs w:val="32"/>
          <w:lang w:val="en-US" w:eastAsia="zh-CN"/>
        </w:rPr>
        <w:t>144.74</w:t>
      </w:r>
      <w:r>
        <w:rPr>
          <w:rFonts w:hint="eastAsia" w:ascii="仿宋" w:hAnsi="仿宋" w:eastAsia="仿宋" w:cs="仿宋"/>
          <w:szCs w:val="32"/>
        </w:rPr>
        <w:t>万元，上年结转</w:t>
      </w:r>
      <w:r>
        <w:rPr>
          <w:rFonts w:hint="eastAsia" w:ascii="仿宋" w:hAnsi="仿宋" w:eastAsia="仿宋" w:cs="仿宋"/>
          <w:szCs w:val="32"/>
          <w:lang w:val="en-US" w:eastAsia="zh-CN"/>
        </w:rPr>
        <w:t>1.44</w:t>
      </w:r>
      <w:r>
        <w:rPr>
          <w:rFonts w:hint="eastAsia" w:ascii="仿宋" w:hAnsi="仿宋" w:eastAsia="仿宋" w:cs="仿宋"/>
          <w:szCs w:val="32"/>
        </w:rPr>
        <w:t>万元。支出包括：</w:t>
      </w:r>
      <w:r>
        <w:rPr>
          <w:rFonts w:hint="eastAsia" w:ascii="仿宋" w:hAnsi="仿宋" w:eastAsia="仿宋" w:cs="仿宋"/>
          <w:kern w:val="0"/>
          <w:szCs w:val="32"/>
        </w:rPr>
        <w:t>一般公共服务支出</w:t>
      </w:r>
      <w:r>
        <w:rPr>
          <w:rFonts w:hint="eastAsia" w:ascii="仿宋" w:hAnsi="仿宋" w:eastAsia="仿宋" w:cs="仿宋"/>
          <w:kern w:val="0"/>
          <w:szCs w:val="32"/>
          <w:lang w:val="en-US" w:eastAsia="zh-CN"/>
        </w:rPr>
        <w:t>121.98</w:t>
      </w:r>
      <w:r>
        <w:rPr>
          <w:rFonts w:hint="eastAsia" w:ascii="仿宋" w:hAnsi="仿宋" w:eastAsia="仿宋" w:cs="仿宋"/>
          <w:szCs w:val="32"/>
        </w:rPr>
        <w:t>万元，</w:t>
      </w:r>
      <w:r>
        <w:rPr>
          <w:rFonts w:hint="eastAsia" w:ascii="仿宋" w:hAnsi="仿宋" w:eastAsia="仿宋" w:cs="仿宋"/>
          <w:kern w:val="0"/>
          <w:szCs w:val="32"/>
        </w:rPr>
        <w:t>社会保障和就业支出</w:t>
      </w:r>
      <w:r>
        <w:rPr>
          <w:rFonts w:hint="eastAsia" w:ascii="仿宋" w:hAnsi="仿宋" w:eastAsia="仿宋" w:cs="仿宋"/>
          <w:szCs w:val="32"/>
          <w:lang w:val="en-US" w:eastAsia="zh-CN"/>
        </w:rPr>
        <w:t>14.77</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kern w:val="0"/>
          <w:szCs w:val="32"/>
        </w:rPr>
        <w:t>卫生健康支出</w:t>
      </w:r>
      <w:r>
        <w:rPr>
          <w:rFonts w:hint="eastAsia" w:ascii="仿宋" w:hAnsi="仿宋" w:eastAsia="仿宋" w:cs="仿宋"/>
          <w:szCs w:val="32"/>
          <w:lang w:val="en-US" w:eastAsia="zh-CN"/>
        </w:rPr>
        <w:t>2.8</w:t>
      </w:r>
      <w:r>
        <w:rPr>
          <w:rFonts w:hint="eastAsia" w:ascii="仿宋" w:hAnsi="仿宋" w:eastAsia="仿宋" w:cs="仿宋"/>
          <w:szCs w:val="32"/>
        </w:rPr>
        <w:t>万元，</w:t>
      </w:r>
      <w:r>
        <w:rPr>
          <w:rFonts w:hint="eastAsia" w:ascii="仿宋" w:hAnsi="仿宋" w:eastAsia="仿宋" w:cs="仿宋"/>
          <w:kern w:val="0"/>
          <w:szCs w:val="32"/>
        </w:rPr>
        <w:t>住房保障支出</w:t>
      </w:r>
      <w:r>
        <w:rPr>
          <w:rFonts w:hint="eastAsia" w:ascii="仿宋" w:hAnsi="仿宋" w:eastAsia="仿宋" w:cs="仿宋"/>
          <w:szCs w:val="32"/>
          <w:lang w:val="en-US" w:eastAsia="zh-CN"/>
        </w:rPr>
        <w:t>6.63</w:t>
      </w:r>
      <w:r>
        <w:rPr>
          <w:rFonts w:hint="eastAsia" w:ascii="仿宋" w:hAnsi="仿宋" w:eastAsia="仿宋" w:cs="仿宋"/>
          <w:szCs w:val="32"/>
        </w:rPr>
        <w:t>万元。</w:t>
      </w:r>
    </w:p>
    <w:p>
      <w:pPr>
        <w:ind w:firstLine="640" w:firstLineChars="200"/>
        <w:rPr>
          <w:rFonts w:eastAsia="黑体"/>
          <w:szCs w:val="30"/>
        </w:rPr>
      </w:pPr>
      <w:r>
        <w:rPr>
          <w:rFonts w:hint="eastAsia" w:ascii="黑体" w:hAnsi="黑体" w:eastAsia="黑体" w:cs="黑体"/>
          <w:szCs w:val="32"/>
        </w:rPr>
        <w:t>五、202</w:t>
      </w:r>
      <w:r>
        <w:rPr>
          <w:rFonts w:hint="eastAsia" w:ascii="黑体" w:hAnsi="黑体" w:eastAsia="黑体" w:cs="黑体"/>
          <w:szCs w:val="32"/>
          <w:lang w:val="en-US" w:eastAsia="zh-CN"/>
        </w:rPr>
        <w:t>4</w:t>
      </w:r>
      <w:r>
        <w:rPr>
          <w:rFonts w:hint="eastAsia" w:ascii="黑体" w:hAnsi="黑体" w:eastAsia="黑体" w:cs="黑体"/>
          <w:szCs w:val="32"/>
        </w:rPr>
        <w:t>年一般公共预算支出情况</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年一般公共预算拨款</w:t>
      </w:r>
      <w:r>
        <w:rPr>
          <w:rFonts w:hint="eastAsia" w:ascii="仿宋" w:hAnsi="仿宋" w:eastAsia="仿宋" w:cs="仿宋"/>
          <w:szCs w:val="32"/>
          <w:lang w:val="en-US" w:eastAsia="zh-CN"/>
        </w:rPr>
        <w:t>146.18</w:t>
      </w:r>
      <w:r>
        <w:rPr>
          <w:rFonts w:hint="eastAsia" w:ascii="仿宋" w:hAnsi="仿宋" w:eastAsia="仿宋" w:cs="仿宋"/>
          <w:szCs w:val="32"/>
        </w:rPr>
        <w:t>万元，其中：基本支出</w:t>
      </w:r>
      <w:r>
        <w:rPr>
          <w:rFonts w:hint="eastAsia" w:ascii="仿宋" w:hAnsi="仿宋" w:eastAsia="仿宋" w:cs="仿宋"/>
          <w:szCs w:val="32"/>
          <w:lang w:val="en-US" w:eastAsia="zh-CN"/>
        </w:rPr>
        <w:t>88.43</w:t>
      </w:r>
      <w:r>
        <w:rPr>
          <w:rFonts w:hint="eastAsia" w:ascii="仿宋" w:hAnsi="仿宋" w:eastAsia="仿宋" w:cs="仿宋"/>
          <w:szCs w:val="32"/>
        </w:rPr>
        <w:t>万元，占</w:t>
      </w:r>
      <w:r>
        <w:rPr>
          <w:rFonts w:hint="eastAsia" w:ascii="仿宋" w:hAnsi="仿宋" w:eastAsia="仿宋" w:cs="仿宋"/>
          <w:szCs w:val="32"/>
          <w:lang w:val="en-US" w:eastAsia="zh-CN"/>
        </w:rPr>
        <w:t>60.49</w:t>
      </w:r>
      <w:r>
        <w:rPr>
          <w:rFonts w:hint="eastAsia" w:ascii="仿宋" w:hAnsi="仿宋" w:eastAsia="仿宋" w:cs="仿宋"/>
          <w:szCs w:val="32"/>
        </w:rPr>
        <w:t>%；项目支出</w:t>
      </w:r>
      <w:r>
        <w:rPr>
          <w:rFonts w:hint="eastAsia" w:ascii="仿宋" w:hAnsi="仿宋" w:eastAsia="仿宋" w:cs="仿宋"/>
          <w:szCs w:val="32"/>
          <w:lang w:val="en-US" w:eastAsia="zh-CN"/>
        </w:rPr>
        <w:t>57.75</w:t>
      </w:r>
      <w:r>
        <w:rPr>
          <w:rFonts w:hint="eastAsia" w:ascii="仿宋" w:hAnsi="仿宋" w:eastAsia="仿宋" w:cs="仿宋"/>
          <w:szCs w:val="32"/>
        </w:rPr>
        <w:t>万元，占</w:t>
      </w:r>
      <w:r>
        <w:rPr>
          <w:rFonts w:hint="eastAsia" w:ascii="仿宋" w:hAnsi="仿宋" w:eastAsia="仿宋" w:cs="仿宋"/>
          <w:szCs w:val="32"/>
          <w:lang w:val="en-US" w:eastAsia="zh-CN"/>
        </w:rPr>
        <w:t>39.51</w:t>
      </w:r>
      <w:r>
        <w:rPr>
          <w:rFonts w:hint="eastAsia" w:ascii="仿宋" w:hAnsi="仿宋" w:eastAsia="仿宋" w:cs="仿宋"/>
          <w:szCs w:val="32"/>
        </w:rPr>
        <w:t>%。基本支出中，人员经费</w:t>
      </w:r>
      <w:r>
        <w:rPr>
          <w:rFonts w:hint="eastAsia" w:ascii="仿宋" w:hAnsi="仿宋" w:eastAsia="仿宋" w:cs="仿宋"/>
          <w:szCs w:val="32"/>
          <w:lang w:val="en-US" w:eastAsia="zh-CN"/>
        </w:rPr>
        <w:t>75.37</w:t>
      </w:r>
      <w:r>
        <w:rPr>
          <w:rFonts w:hint="eastAsia" w:ascii="仿宋" w:hAnsi="仿宋" w:eastAsia="仿宋" w:cs="仿宋"/>
          <w:szCs w:val="32"/>
        </w:rPr>
        <w:t>万元，占</w:t>
      </w:r>
      <w:r>
        <w:rPr>
          <w:rFonts w:hint="eastAsia" w:ascii="仿宋" w:hAnsi="仿宋" w:eastAsia="仿宋" w:cs="仿宋"/>
          <w:szCs w:val="32"/>
          <w:lang w:val="en-US" w:eastAsia="zh-CN"/>
        </w:rPr>
        <w:t>51.56</w:t>
      </w:r>
      <w:r>
        <w:rPr>
          <w:rFonts w:hint="eastAsia" w:ascii="仿宋" w:hAnsi="仿宋" w:eastAsia="仿宋" w:cs="仿宋"/>
          <w:szCs w:val="32"/>
        </w:rPr>
        <w:t>%；公用经费</w:t>
      </w:r>
      <w:r>
        <w:rPr>
          <w:rFonts w:hint="eastAsia" w:ascii="仿宋" w:hAnsi="仿宋" w:eastAsia="仿宋" w:cs="仿宋"/>
          <w:szCs w:val="32"/>
          <w:lang w:val="en-US" w:eastAsia="zh-CN"/>
        </w:rPr>
        <w:t>13.06</w:t>
      </w:r>
      <w:r>
        <w:rPr>
          <w:rFonts w:hint="eastAsia" w:ascii="仿宋" w:hAnsi="仿宋" w:eastAsia="仿宋" w:cs="仿宋"/>
          <w:szCs w:val="32"/>
        </w:rPr>
        <w:t>万元，占</w:t>
      </w:r>
      <w:r>
        <w:rPr>
          <w:rFonts w:hint="eastAsia" w:ascii="仿宋" w:hAnsi="仿宋" w:eastAsia="仿宋" w:cs="仿宋"/>
          <w:szCs w:val="32"/>
          <w:lang w:val="en-US" w:eastAsia="zh-CN"/>
        </w:rPr>
        <w:t>8.93</w:t>
      </w:r>
      <w:r>
        <w:rPr>
          <w:rFonts w:hint="eastAsia" w:ascii="仿宋" w:hAnsi="仿宋" w:eastAsia="仿宋" w:cs="仿宋"/>
          <w:szCs w:val="32"/>
        </w:rPr>
        <w:t>%。</w:t>
      </w:r>
    </w:p>
    <w:p>
      <w:pPr>
        <w:spacing w:line="520" w:lineRule="exact"/>
        <w:ind w:firstLine="640" w:firstLineChars="200"/>
        <w:rPr>
          <w:rFonts w:hint="eastAsia" w:ascii="仿宋" w:hAnsi="仿宋" w:eastAsia="仿宋" w:cs="仿宋"/>
          <w:szCs w:val="32"/>
          <w:lang w:val="en-US" w:eastAsia="zh-CN"/>
        </w:rPr>
      </w:pPr>
      <w:r>
        <w:rPr>
          <w:rFonts w:hint="eastAsia" w:ascii="仿宋" w:hAnsi="仿宋" w:eastAsia="仿宋" w:cs="仿宋"/>
          <w:szCs w:val="32"/>
        </w:rPr>
        <w:t>一般公共服务（类）支出</w:t>
      </w:r>
      <w:r>
        <w:rPr>
          <w:rFonts w:hint="eastAsia" w:ascii="仿宋" w:hAnsi="仿宋" w:eastAsia="仿宋" w:cs="仿宋"/>
          <w:szCs w:val="32"/>
          <w:lang w:val="en-US" w:eastAsia="zh-CN"/>
        </w:rPr>
        <w:t>121.98</w:t>
      </w:r>
      <w:r>
        <w:rPr>
          <w:rFonts w:hint="eastAsia" w:ascii="仿宋" w:hAnsi="仿宋" w:eastAsia="仿宋" w:cs="仿宋"/>
          <w:szCs w:val="32"/>
        </w:rPr>
        <w:t>万元，占</w:t>
      </w:r>
      <w:r>
        <w:rPr>
          <w:rFonts w:hint="eastAsia" w:ascii="仿宋" w:hAnsi="仿宋" w:eastAsia="仿宋" w:cs="仿宋"/>
          <w:szCs w:val="32"/>
          <w:lang w:val="en-US" w:eastAsia="zh-CN"/>
        </w:rPr>
        <w:t>83.45</w:t>
      </w:r>
      <w:r>
        <w:rPr>
          <w:rFonts w:hint="eastAsia" w:ascii="仿宋" w:hAnsi="仿宋" w:eastAsia="仿宋" w:cs="仿宋"/>
          <w:szCs w:val="32"/>
        </w:rPr>
        <w:t>%，主要用于职工工资及福利支出、维持机关机构正常运行、完成年度统计工作任务。</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t>社会保障和就业（类）支出</w:t>
      </w:r>
      <w:r>
        <w:rPr>
          <w:rFonts w:hint="eastAsia" w:ascii="仿宋" w:hAnsi="仿宋" w:eastAsia="仿宋" w:cs="仿宋"/>
          <w:szCs w:val="32"/>
          <w:lang w:val="en-US" w:eastAsia="zh-CN"/>
        </w:rPr>
        <w:t>14.77</w:t>
      </w:r>
      <w:r>
        <w:rPr>
          <w:rFonts w:hint="eastAsia" w:ascii="仿宋" w:hAnsi="仿宋" w:eastAsia="仿宋" w:cs="仿宋"/>
          <w:szCs w:val="32"/>
        </w:rPr>
        <w:t>万元，占</w:t>
      </w:r>
      <w:r>
        <w:rPr>
          <w:rFonts w:hint="eastAsia" w:ascii="仿宋" w:hAnsi="仿宋" w:eastAsia="仿宋" w:cs="仿宋"/>
          <w:szCs w:val="32"/>
          <w:lang w:val="en-US" w:eastAsia="zh-CN"/>
        </w:rPr>
        <w:t>10.1</w:t>
      </w:r>
      <w:r>
        <w:rPr>
          <w:rFonts w:hint="eastAsia" w:ascii="仿宋" w:hAnsi="仿宋" w:eastAsia="仿宋" w:cs="仿宋"/>
          <w:szCs w:val="32"/>
        </w:rPr>
        <w:t>%，主要用于机关单位基本养老保险缴费。</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lang w:val="en-US" w:eastAsia="zh-CN"/>
        </w:rPr>
        <w:t>卫生健康支出</w:t>
      </w:r>
      <w:r>
        <w:rPr>
          <w:rFonts w:hint="eastAsia" w:ascii="仿宋" w:hAnsi="仿宋" w:eastAsia="仿宋" w:cs="仿宋"/>
          <w:szCs w:val="32"/>
        </w:rPr>
        <w:t>（类）支出</w:t>
      </w:r>
      <w:r>
        <w:rPr>
          <w:rFonts w:hint="eastAsia" w:ascii="仿宋" w:hAnsi="仿宋" w:eastAsia="仿宋" w:cs="仿宋"/>
          <w:szCs w:val="32"/>
          <w:lang w:val="en-US" w:eastAsia="zh-CN"/>
        </w:rPr>
        <w:t>2.8</w:t>
      </w:r>
      <w:r>
        <w:rPr>
          <w:rFonts w:hint="eastAsia" w:ascii="仿宋" w:hAnsi="仿宋" w:eastAsia="仿宋" w:cs="仿宋"/>
          <w:szCs w:val="32"/>
        </w:rPr>
        <w:t>万元，占</w:t>
      </w:r>
      <w:r>
        <w:rPr>
          <w:rFonts w:hint="eastAsia" w:ascii="仿宋" w:hAnsi="仿宋" w:eastAsia="仿宋" w:cs="仿宋"/>
          <w:szCs w:val="32"/>
          <w:lang w:val="en-US" w:eastAsia="zh-CN"/>
        </w:rPr>
        <w:t>1.92</w:t>
      </w:r>
      <w:r>
        <w:rPr>
          <w:rFonts w:hint="eastAsia" w:ascii="仿宋" w:hAnsi="仿宋" w:eastAsia="仿宋" w:cs="仿宋"/>
          <w:szCs w:val="32"/>
        </w:rPr>
        <w:t>%，主要用于</w:t>
      </w:r>
      <w:r>
        <w:rPr>
          <w:rFonts w:hint="eastAsia" w:ascii="仿宋" w:hAnsi="仿宋" w:eastAsia="仿宋" w:cs="仿宋"/>
          <w:szCs w:val="32"/>
          <w:lang w:val="en-US" w:eastAsia="zh-CN"/>
        </w:rPr>
        <w:t>职工基本医疗缴费</w:t>
      </w:r>
      <w:r>
        <w:rPr>
          <w:rFonts w:hint="eastAsia" w:ascii="仿宋" w:hAnsi="仿宋" w:eastAsia="仿宋" w:cs="仿宋"/>
          <w:szCs w:val="32"/>
        </w:rPr>
        <w:t>。</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t>住房保障（类）支出</w:t>
      </w:r>
      <w:r>
        <w:rPr>
          <w:rFonts w:hint="eastAsia" w:ascii="仿宋" w:hAnsi="仿宋" w:eastAsia="仿宋" w:cs="仿宋"/>
          <w:szCs w:val="32"/>
          <w:lang w:val="en-US" w:eastAsia="zh-CN"/>
        </w:rPr>
        <w:t>6.63</w:t>
      </w:r>
      <w:r>
        <w:rPr>
          <w:rFonts w:hint="eastAsia" w:ascii="仿宋" w:hAnsi="仿宋" w:eastAsia="仿宋" w:cs="仿宋"/>
          <w:szCs w:val="32"/>
        </w:rPr>
        <w:t>万元，占</w:t>
      </w:r>
      <w:r>
        <w:rPr>
          <w:rFonts w:hint="eastAsia" w:ascii="仿宋" w:hAnsi="仿宋" w:eastAsia="仿宋" w:cs="仿宋"/>
          <w:szCs w:val="32"/>
          <w:lang w:val="en-US" w:eastAsia="zh-CN"/>
        </w:rPr>
        <w:t>4.53</w:t>
      </w:r>
      <w:r>
        <w:rPr>
          <w:rFonts w:hint="eastAsia" w:ascii="仿宋" w:hAnsi="仿宋" w:eastAsia="仿宋" w:cs="仿宋"/>
          <w:szCs w:val="32"/>
        </w:rPr>
        <w:t>%，主要用于</w:t>
      </w:r>
      <w:r>
        <w:rPr>
          <w:rFonts w:hint="eastAsia" w:ascii="仿宋" w:hAnsi="仿宋" w:eastAsia="仿宋" w:cs="仿宋"/>
          <w:szCs w:val="32"/>
          <w:lang w:val="en-US" w:eastAsia="zh-CN"/>
        </w:rPr>
        <w:t>缴纳职工住房公积金</w:t>
      </w:r>
      <w:r>
        <w:rPr>
          <w:rFonts w:hint="eastAsia" w:ascii="仿宋" w:hAnsi="仿宋" w:eastAsia="仿宋" w:cs="仿宋"/>
          <w:szCs w:val="32"/>
        </w:rPr>
        <w:t>。</w:t>
      </w:r>
    </w:p>
    <w:p>
      <w:pPr>
        <w:ind w:firstLine="640" w:firstLineChars="200"/>
        <w:rPr>
          <w:rFonts w:hint="eastAsia" w:ascii="黑体" w:hAnsi="黑体" w:eastAsia="黑体" w:cs="黑体"/>
          <w:szCs w:val="32"/>
        </w:rPr>
      </w:pPr>
      <w:r>
        <w:rPr>
          <w:rFonts w:hint="eastAsia" w:ascii="黑体" w:hAnsi="黑体" w:eastAsia="黑体" w:cs="黑体"/>
          <w:szCs w:val="32"/>
        </w:rPr>
        <w:t>六、202</w:t>
      </w:r>
      <w:r>
        <w:rPr>
          <w:rFonts w:hint="eastAsia" w:ascii="黑体" w:hAnsi="黑体" w:eastAsia="黑体" w:cs="黑体"/>
          <w:szCs w:val="32"/>
          <w:lang w:val="en-US" w:eastAsia="zh-CN"/>
        </w:rPr>
        <w:t>4</w:t>
      </w:r>
      <w:r>
        <w:rPr>
          <w:rFonts w:hint="eastAsia" w:ascii="黑体" w:hAnsi="黑体" w:eastAsia="黑体" w:cs="黑体"/>
          <w:szCs w:val="32"/>
        </w:rPr>
        <w:t>年一般公共预算基本支出情况</w:t>
      </w:r>
    </w:p>
    <w:p>
      <w:pPr>
        <w:ind w:firstLine="640" w:firstLineChars="200"/>
        <w:rPr>
          <w:rFonts w:hint="eastAsia" w:ascii="仿宋" w:hAnsi="仿宋" w:eastAsia="仿宋" w:cs="仿宋"/>
          <w:kern w:val="0"/>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年一般公共预算基本支出</w:t>
      </w:r>
      <w:r>
        <w:rPr>
          <w:rFonts w:hint="eastAsia" w:ascii="仿宋" w:hAnsi="仿宋" w:eastAsia="仿宋" w:cs="仿宋"/>
          <w:szCs w:val="32"/>
          <w:lang w:val="en-US" w:eastAsia="zh-CN"/>
        </w:rPr>
        <w:t>88.43</w:t>
      </w:r>
      <w:r>
        <w:rPr>
          <w:rFonts w:hint="eastAsia" w:ascii="仿宋" w:hAnsi="仿宋" w:eastAsia="仿宋" w:cs="仿宋"/>
          <w:szCs w:val="32"/>
        </w:rPr>
        <w:t>万元，其中：人员经费</w:t>
      </w:r>
      <w:r>
        <w:rPr>
          <w:rFonts w:hint="eastAsia" w:ascii="仿宋" w:hAnsi="仿宋" w:eastAsia="仿宋" w:cs="仿宋"/>
          <w:szCs w:val="32"/>
          <w:lang w:val="en-US" w:eastAsia="zh-CN"/>
        </w:rPr>
        <w:t>75.37</w:t>
      </w:r>
      <w:r>
        <w:rPr>
          <w:rFonts w:hint="eastAsia" w:ascii="仿宋" w:hAnsi="仿宋" w:eastAsia="仿宋" w:cs="仿宋"/>
          <w:szCs w:val="32"/>
        </w:rPr>
        <w:t>万元，主要包括：</w:t>
      </w:r>
      <w:r>
        <w:rPr>
          <w:rFonts w:hint="eastAsia" w:ascii="仿宋" w:hAnsi="仿宋" w:eastAsia="仿宋" w:cs="仿宋"/>
          <w:kern w:val="0"/>
          <w:szCs w:val="32"/>
        </w:rPr>
        <w:t>基本工资、津贴补贴</w:t>
      </w:r>
      <w:r>
        <w:rPr>
          <w:rFonts w:hint="eastAsia" w:ascii="仿宋" w:hAnsi="仿宋" w:eastAsia="仿宋" w:cs="仿宋"/>
          <w:szCs w:val="32"/>
        </w:rPr>
        <w:t>、</w:t>
      </w:r>
      <w:r>
        <w:rPr>
          <w:rFonts w:hint="eastAsia" w:ascii="仿宋" w:hAnsi="仿宋" w:eastAsia="仿宋" w:cs="仿宋"/>
          <w:kern w:val="0"/>
          <w:szCs w:val="32"/>
        </w:rPr>
        <w:t>奖金</w:t>
      </w:r>
      <w:r>
        <w:rPr>
          <w:rFonts w:hint="eastAsia" w:ascii="仿宋" w:hAnsi="仿宋" w:eastAsia="仿宋" w:cs="仿宋"/>
          <w:szCs w:val="32"/>
        </w:rPr>
        <w:t>、</w:t>
      </w:r>
      <w:r>
        <w:rPr>
          <w:rFonts w:hint="eastAsia" w:ascii="仿宋" w:hAnsi="仿宋" w:eastAsia="仿宋" w:cs="仿宋"/>
          <w:kern w:val="0"/>
          <w:szCs w:val="32"/>
        </w:rPr>
        <w:t>社会保障缴费</w:t>
      </w:r>
      <w:r>
        <w:rPr>
          <w:rFonts w:hint="eastAsia" w:ascii="仿宋" w:hAnsi="仿宋" w:eastAsia="仿宋" w:cs="仿宋"/>
          <w:szCs w:val="32"/>
        </w:rPr>
        <w:t>、</w:t>
      </w:r>
      <w:r>
        <w:rPr>
          <w:rFonts w:hint="eastAsia" w:ascii="仿宋" w:hAnsi="仿宋" w:eastAsia="仿宋" w:cs="仿宋"/>
          <w:szCs w:val="32"/>
          <w:lang w:val="en-US" w:eastAsia="zh-CN"/>
        </w:rPr>
        <w:t>职工基本医疗缴费、其他社会保障缴费、住房公积金、医疗费、</w:t>
      </w:r>
      <w:r>
        <w:rPr>
          <w:rFonts w:hint="eastAsia" w:ascii="仿宋" w:hAnsi="仿宋" w:eastAsia="仿宋" w:cs="仿宋"/>
          <w:kern w:val="0"/>
          <w:szCs w:val="32"/>
        </w:rPr>
        <w:t>其他工资福利支出</w:t>
      </w:r>
      <w:r>
        <w:rPr>
          <w:rFonts w:hint="eastAsia" w:ascii="仿宋" w:hAnsi="仿宋" w:eastAsia="仿宋" w:cs="仿宋"/>
          <w:szCs w:val="32"/>
        </w:rPr>
        <w:t>、</w:t>
      </w:r>
      <w:r>
        <w:rPr>
          <w:rFonts w:hint="eastAsia" w:ascii="仿宋" w:hAnsi="仿宋" w:eastAsia="仿宋" w:cs="仿宋"/>
          <w:kern w:val="0"/>
          <w:szCs w:val="32"/>
        </w:rPr>
        <w:t>退休费</w:t>
      </w:r>
      <w:r>
        <w:rPr>
          <w:rFonts w:hint="eastAsia" w:ascii="仿宋" w:hAnsi="仿宋" w:eastAsia="仿宋" w:cs="仿宋"/>
          <w:szCs w:val="32"/>
        </w:rPr>
        <w:t>、</w:t>
      </w:r>
      <w:r>
        <w:rPr>
          <w:rFonts w:hint="eastAsia" w:ascii="仿宋" w:hAnsi="仿宋" w:eastAsia="仿宋" w:cs="仿宋"/>
          <w:kern w:val="0"/>
          <w:szCs w:val="32"/>
        </w:rPr>
        <w:t>其他对个人和家庭的补助支出。</w:t>
      </w:r>
    </w:p>
    <w:p>
      <w:pPr>
        <w:ind w:firstLine="640" w:firstLineChars="200"/>
        <w:rPr>
          <w:rFonts w:hint="eastAsia" w:ascii="仿宋" w:hAnsi="仿宋" w:eastAsia="仿宋" w:cs="仿宋"/>
          <w:szCs w:val="32"/>
        </w:rPr>
      </w:pPr>
      <w:r>
        <w:rPr>
          <w:rFonts w:hint="eastAsia" w:ascii="仿宋" w:hAnsi="仿宋" w:eastAsia="仿宋" w:cs="仿宋"/>
          <w:kern w:val="0"/>
          <w:szCs w:val="32"/>
        </w:rPr>
        <w:t>公用经费</w:t>
      </w:r>
      <w:r>
        <w:rPr>
          <w:rFonts w:hint="eastAsia" w:ascii="仿宋" w:hAnsi="仿宋" w:eastAsia="仿宋" w:cs="仿宋"/>
          <w:szCs w:val="32"/>
          <w:lang w:val="en-US" w:eastAsia="zh-CN"/>
        </w:rPr>
        <w:t>13.06</w:t>
      </w:r>
      <w:r>
        <w:rPr>
          <w:rFonts w:hint="eastAsia" w:ascii="仿宋" w:hAnsi="仿宋" w:eastAsia="仿宋" w:cs="仿宋"/>
          <w:szCs w:val="32"/>
        </w:rPr>
        <w:t>万元，主要包括：</w:t>
      </w:r>
      <w:r>
        <w:rPr>
          <w:rFonts w:hint="eastAsia" w:ascii="仿宋" w:hAnsi="仿宋" w:eastAsia="仿宋" w:cs="仿宋"/>
          <w:kern w:val="0"/>
          <w:szCs w:val="32"/>
        </w:rPr>
        <w:t>办公费</w:t>
      </w:r>
      <w:r>
        <w:rPr>
          <w:rFonts w:hint="eastAsia" w:ascii="仿宋" w:hAnsi="仿宋" w:eastAsia="仿宋" w:cs="仿宋"/>
          <w:szCs w:val="32"/>
        </w:rPr>
        <w:t>、</w:t>
      </w:r>
      <w:r>
        <w:rPr>
          <w:rFonts w:hint="eastAsia" w:ascii="仿宋" w:hAnsi="仿宋" w:eastAsia="仿宋" w:cs="仿宋"/>
          <w:kern w:val="0"/>
          <w:szCs w:val="32"/>
        </w:rPr>
        <w:t>印刷费</w:t>
      </w:r>
      <w:r>
        <w:rPr>
          <w:rFonts w:hint="eastAsia" w:ascii="仿宋" w:hAnsi="仿宋" w:eastAsia="仿宋" w:cs="仿宋"/>
          <w:szCs w:val="32"/>
        </w:rPr>
        <w:t>、</w:t>
      </w:r>
      <w:r>
        <w:rPr>
          <w:rFonts w:hint="eastAsia" w:ascii="仿宋" w:hAnsi="仿宋" w:eastAsia="仿宋" w:cs="仿宋"/>
          <w:kern w:val="0"/>
          <w:szCs w:val="32"/>
        </w:rPr>
        <w:t>邮电费</w:t>
      </w:r>
      <w:r>
        <w:rPr>
          <w:rFonts w:hint="eastAsia" w:ascii="仿宋" w:hAnsi="仿宋" w:eastAsia="仿宋" w:cs="仿宋"/>
          <w:szCs w:val="32"/>
        </w:rPr>
        <w:t>、</w:t>
      </w:r>
      <w:r>
        <w:rPr>
          <w:rFonts w:hint="eastAsia" w:ascii="仿宋" w:hAnsi="仿宋" w:eastAsia="仿宋" w:cs="仿宋"/>
          <w:kern w:val="0"/>
          <w:szCs w:val="32"/>
          <w:lang w:val="en-US" w:eastAsia="zh-CN"/>
        </w:rPr>
        <w:t xml:space="preserve"> </w:t>
      </w:r>
      <w:r>
        <w:rPr>
          <w:rFonts w:hint="eastAsia" w:ascii="仿宋" w:hAnsi="仿宋" w:eastAsia="仿宋" w:cs="仿宋"/>
          <w:kern w:val="0"/>
          <w:szCs w:val="32"/>
        </w:rPr>
        <w:t>差旅费</w:t>
      </w:r>
      <w:r>
        <w:rPr>
          <w:rFonts w:hint="eastAsia" w:ascii="仿宋" w:hAnsi="仿宋" w:eastAsia="仿宋" w:cs="仿宋"/>
          <w:kern w:val="0"/>
          <w:szCs w:val="32"/>
          <w:lang w:eastAsia="zh-CN"/>
        </w:rPr>
        <w:t>、</w:t>
      </w:r>
      <w:r>
        <w:rPr>
          <w:rFonts w:hint="eastAsia" w:ascii="仿宋" w:hAnsi="仿宋" w:eastAsia="仿宋" w:cs="仿宋"/>
          <w:kern w:val="0"/>
          <w:szCs w:val="32"/>
        </w:rPr>
        <w:t>培训费</w:t>
      </w:r>
      <w:r>
        <w:rPr>
          <w:rFonts w:hint="eastAsia" w:ascii="仿宋" w:hAnsi="仿宋" w:eastAsia="仿宋" w:cs="仿宋"/>
          <w:szCs w:val="32"/>
        </w:rPr>
        <w:t>、</w:t>
      </w:r>
      <w:r>
        <w:rPr>
          <w:rFonts w:hint="eastAsia" w:ascii="仿宋" w:hAnsi="仿宋" w:eastAsia="仿宋" w:cs="仿宋"/>
          <w:kern w:val="0"/>
          <w:szCs w:val="32"/>
        </w:rPr>
        <w:t>工会经费、福利费</w:t>
      </w:r>
      <w:r>
        <w:rPr>
          <w:rFonts w:hint="eastAsia" w:ascii="仿宋" w:hAnsi="仿宋" w:eastAsia="仿宋" w:cs="仿宋"/>
          <w:szCs w:val="32"/>
        </w:rPr>
        <w:t>、</w:t>
      </w:r>
      <w:r>
        <w:rPr>
          <w:rFonts w:hint="eastAsia" w:ascii="仿宋" w:hAnsi="仿宋" w:eastAsia="仿宋" w:cs="仿宋"/>
          <w:kern w:val="0"/>
          <w:szCs w:val="32"/>
        </w:rPr>
        <w:t>其他交通</w:t>
      </w:r>
      <w:r>
        <w:rPr>
          <w:rFonts w:hint="eastAsia" w:ascii="仿宋" w:hAnsi="仿宋" w:eastAsia="仿宋" w:cs="仿宋"/>
          <w:kern w:val="0"/>
          <w:szCs w:val="32"/>
          <w:lang w:val="en-US" w:eastAsia="zh-CN"/>
        </w:rPr>
        <w:t>费用</w:t>
      </w:r>
      <w:r>
        <w:rPr>
          <w:rFonts w:hint="eastAsia" w:ascii="仿宋" w:hAnsi="仿宋" w:eastAsia="仿宋" w:cs="仿宋"/>
          <w:szCs w:val="32"/>
        </w:rPr>
        <w:t>、</w:t>
      </w:r>
      <w:r>
        <w:rPr>
          <w:rFonts w:hint="eastAsia" w:ascii="仿宋" w:hAnsi="仿宋" w:eastAsia="仿宋" w:cs="仿宋"/>
          <w:kern w:val="0"/>
          <w:szCs w:val="32"/>
        </w:rPr>
        <w:t>其他商品和服务支出</w:t>
      </w:r>
      <w:r>
        <w:rPr>
          <w:rFonts w:hint="eastAsia" w:ascii="仿宋" w:hAnsi="仿宋" w:eastAsia="仿宋" w:cs="仿宋"/>
          <w:kern w:val="0"/>
          <w:szCs w:val="32"/>
          <w:lang w:eastAsia="zh-CN"/>
        </w:rPr>
        <w:t>、办公设备购置</w:t>
      </w:r>
      <w:r>
        <w:rPr>
          <w:rFonts w:hint="eastAsia" w:ascii="仿宋" w:hAnsi="仿宋" w:eastAsia="仿宋" w:cs="仿宋"/>
          <w:kern w:val="0"/>
          <w:szCs w:val="32"/>
        </w:rPr>
        <w:t>。</w:t>
      </w:r>
    </w:p>
    <w:p>
      <w:pPr>
        <w:ind w:firstLine="640" w:firstLineChars="200"/>
        <w:rPr>
          <w:rFonts w:eastAsia="黑体"/>
          <w:szCs w:val="30"/>
        </w:rPr>
      </w:pPr>
      <w:r>
        <w:rPr>
          <w:rFonts w:hint="eastAsia" w:ascii="黑体" w:hAnsi="黑体" w:eastAsia="黑体" w:cs="黑体"/>
          <w:szCs w:val="32"/>
        </w:rPr>
        <w:t>七、202</w:t>
      </w:r>
      <w:r>
        <w:rPr>
          <w:rFonts w:hint="eastAsia" w:ascii="黑体" w:hAnsi="黑体" w:eastAsia="黑体" w:cs="黑体"/>
          <w:szCs w:val="32"/>
          <w:lang w:val="en-US" w:eastAsia="zh-CN"/>
        </w:rPr>
        <w:t>4</w:t>
      </w:r>
      <w:r>
        <w:rPr>
          <w:rFonts w:hint="eastAsia" w:ascii="黑体" w:hAnsi="黑体" w:eastAsia="黑体" w:cs="黑体"/>
          <w:szCs w:val="32"/>
        </w:rPr>
        <w:t>年一般公共预算财政拨款“三公”经费情况</w:t>
      </w:r>
    </w:p>
    <w:p>
      <w:pPr>
        <w:ind w:firstLine="640" w:firstLineChars="20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年“三公”经费预算数为</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lang w:val="en-US" w:eastAsia="zh-CN"/>
        </w:rPr>
        <w:t>2024年本年预算数</w:t>
      </w:r>
      <w:r>
        <w:rPr>
          <w:rFonts w:hint="eastAsia" w:ascii="仿宋" w:hAnsi="仿宋" w:eastAsia="仿宋" w:cs="仿宋"/>
          <w:szCs w:val="32"/>
        </w:rPr>
        <w:t>比202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eastAsia="zh-CN"/>
        </w:rPr>
        <w:t>当年</w:t>
      </w:r>
      <w:r>
        <w:rPr>
          <w:rFonts w:hint="eastAsia" w:ascii="仿宋" w:hAnsi="仿宋" w:eastAsia="仿宋" w:cs="仿宋"/>
          <w:szCs w:val="32"/>
        </w:rPr>
        <w:t>预算数</w:t>
      </w:r>
      <w:r>
        <w:rPr>
          <w:rFonts w:hint="eastAsia" w:ascii="仿宋" w:hAnsi="仿宋" w:eastAsia="仿宋" w:cs="仿宋"/>
          <w:szCs w:val="32"/>
          <w:lang w:val="en-US" w:eastAsia="zh-CN"/>
        </w:rPr>
        <w:t>持平</w:t>
      </w:r>
      <w:r>
        <w:rPr>
          <w:rFonts w:hint="eastAsia" w:ascii="仿宋" w:hAnsi="仿宋" w:eastAsia="仿宋" w:cs="仿宋"/>
          <w:szCs w:val="32"/>
        </w:rPr>
        <w:t>。其中：</w:t>
      </w:r>
    </w:p>
    <w:p>
      <w:pPr>
        <w:ind w:firstLine="640" w:firstLineChars="200"/>
        <w:jc w:val="both"/>
        <w:rPr>
          <w:rFonts w:hint="eastAsia" w:ascii="仿宋" w:hAnsi="仿宋" w:eastAsia="仿宋" w:cs="仿宋"/>
          <w:szCs w:val="32"/>
          <w:lang w:val="en-US" w:eastAsia="zh-CN"/>
        </w:rPr>
      </w:pPr>
      <w:r>
        <w:rPr>
          <w:rFonts w:hint="eastAsia" w:ascii="仿宋" w:hAnsi="仿宋" w:eastAsia="仿宋" w:cs="仿宋"/>
          <w:szCs w:val="32"/>
        </w:rPr>
        <w:t>1.因公出国（境）费</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lang w:val="en-US" w:eastAsia="zh-CN"/>
        </w:rPr>
        <w:t>2024年本年预算数</w:t>
      </w:r>
      <w:r>
        <w:rPr>
          <w:rFonts w:hint="eastAsia" w:ascii="仿宋" w:hAnsi="仿宋" w:eastAsia="仿宋" w:cs="仿宋"/>
          <w:szCs w:val="32"/>
        </w:rPr>
        <w:t>比202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eastAsia="zh-CN"/>
        </w:rPr>
        <w:t>当年</w:t>
      </w:r>
      <w:r>
        <w:rPr>
          <w:rFonts w:hint="eastAsia" w:ascii="仿宋" w:hAnsi="仿宋" w:eastAsia="仿宋" w:cs="仿宋"/>
          <w:szCs w:val="32"/>
        </w:rPr>
        <w:t>预算数</w:t>
      </w:r>
      <w:r>
        <w:rPr>
          <w:rFonts w:hint="eastAsia" w:ascii="仿宋" w:hAnsi="仿宋" w:eastAsia="仿宋" w:cs="仿宋"/>
          <w:szCs w:val="32"/>
          <w:lang w:val="en-US" w:eastAsia="zh-CN"/>
        </w:rPr>
        <w:t>持平</w:t>
      </w:r>
      <w:r>
        <w:rPr>
          <w:rFonts w:hint="eastAsia" w:ascii="仿宋" w:hAnsi="仿宋" w:eastAsia="仿宋" w:cs="仿宋"/>
          <w:szCs w:val="32"/>
        </w:rPr>
        <w:t>，主要原因是</w:t>
      </w:r>
      <w:r>
        <w:rPr>
          <w:rFonts w:hint="eastAsia" w:ascii="仿宋" w:hAnsi="仿宋" w:eastAsia="仿宋" w:cs="仿宋"/>
          <w:szCs w:val="32"/>
          <w:lang w:val="en-US" w:eastAsia="zh-CN"/>
        </w:rPr>
        <w:t>本年无</w:t>
      </w:r>
      <w:r>
        <w:rPr>
          <w:rFonts w:hint="eastAsia" w:ascii="仿宋" w:hAnsi="仿宋" w:eastAsia="仿宋" w:cs="仿宋"/>
          <w:szCs w:val="32"/>
        </w:rPr>
        <w:t>因公出国（境）</w:t>
      </w:r>
      <w:r>
        <w:rPr>
          <w:rFonts w:hint="eastAsia" w:ascii="仿宋" w:hAnsi="仿宋" w:eastAsia="仿宋" w:cs="仿宋"/>
          <w:szCs w:val="32"/>
          <w:lang w:val="en-US" w:eastAsia="zh-CN"/>
        </w:rPr>
        <w:t>安排</w:t>
      </w:r>
      <w:r>
        <w:rPr>
          <w:rFonts w:hint="eastAsia" w:ascii="仿宋" w:hAnsi="仿宋" w:eastAsia="仿宋" w:cs="仿宋"/>
          <w:szCs w:val="32"/>
          <w:lang w:eastAsia="zh-CN"/>
        </w:rPr>
        <w:t>。</w:t>
      </w:r>
    </w:p>
    <w:p>
      <w:pPr>
        <w:ind w:firstLine="640" w:firstLineChars="200"/>
        <w:rPr>
          <w:rFonts w:hint="eastAsia" w:ascii="仿宋" w:hAnsi="仿宋" w:eastAsia="仿宋" w:cs="仿宋"/>
          <w:szCs w:val="32"/>
          <w:lang w:val="en-US" w:eastAsia="zh-CN"/>
        </w:rPr>
      </w:pPr>
      <w:r>
        <w:rPr>
          <w:rFonts w:hint="eastAsia" w:ascii="仿宋" w:hAnsi="仿宋" w:eastAsia="仿宋" w:cs="仿宋"/>
          <w:szCs w:val="32"/>
        </w:rPr>
        <w:t>2.公务接待费</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lang w:val="en-US" w:eastAsia="zh-CN"/>
        </w:rPr>
        <w:t>2024年本年预算数</w:t>
      </w:r>
      <w:r>
        <w:rPr>
          <w:rFonts w:hint="eastAsia" w:ascii="仿宋" w:hAnsi="仿宋" w:eastAsia="仿宋" w:cs="仿宋"/>
          <w:szCs w:val="32"/>
        </w:rPr>
        <w:t>比202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eastAsia="zh-CN"/>
        </w:rPr>
        <w:t>当年</w:t>
      </w:r>
      <w:r>
        <w:rPr>
          <w:rFonts w:hint="eastAsia" w:ascii="仿宋" w:hAnsi="仿宋" w:eastAsia="仿宋" w:cs="仿宋"/>
          <w:szCs w:val="32"/>
        </w:rPr>
        <w:t>预算数</w:t>
      </w:r>
      <w:r>
        <w:rPr>
          <w:rFonts w:hint="eastAsia" w:ascii="仿宋" w:hAnsi="仿宋" w:eastAsia="仿宋" w:cs="仿宋"/>
          <w:szCs w:val="32"/>
          <w:lang w:val="en-US" w:eastAsia="zh-CN"/>
        </w:rPr>
        <w:t>持平</w:t>
      </w:r>
      <w:r>
        <w:rPr>
          <w:rFonts w:hint="eastAsia" w:ascii="仿宋" w:hAnsi="仿宋" w:eastAsia="仿宋" w:cs="仿宋"/>
          <w:szCs w:val="32"/>
        </w:rPr>
        <w:t>，主要原因是</w:t>
      </w:r>
      <w:r>
        <w:rPr>
          <w:rFonts w:hint="eastAsia" w:ascii="仿宋" w:hAnsi="仿宋" w:eastAsia="仿宋" w:cs="仿宋"/>
          <w:szCs w:val="32"/>
          <w:lang w:val="en-US" w:eastAsia="zh-CN"/>
        </w:rPr>
        <w:t>坚持过紧日子的思想，本单位本年度未安排公务接待。</w:t>
      </w:r>
    </w:p>
    <w:p>
      <w:pPr>
        <w:ind w:firstLine="640" w:firstLineChars="200"/>
        <w:jc w:val="both"/>
        <w:rPr>
          <w:rFonts w:eastAsia="楷体"/>
          <w:szCs w:val="32"/>
        </w:rPr>
      </w:pPr>
      <w:r>
        <w:rPr>
          <w:rFonts w:hint="eastAsia" w:ascii="仿宋" w:hAnsi="仿宋" w:eastAsia="仿宋" w:cs="仿宋"/>
          <w:szCs w:val="32"/>
        </w:rPr>
        <w:t>3.公务用车购置及运行费</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lang w:val="en-US" w:eastAsia="zh-CN"/>
        </w:rPr>
        <w:t>2024年本年预算数</w:t>
      </w:r>
      <w:r>
        <w:rPr>
          <w:rFonts w:hint="eastAsia" w:ascii="仿宋" w:hAnsi="仿宋" w:eastAsia="仿宋" w:cs="仿宋"/>
          <w:szCs w:val="32"/>
        </w:rPr>
        <w:t>比202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eastAsia="zh-CN"/>
        </w:rPr>
        <w:t>当年</w:t>
      </w:r>
      <w:r>
        <w:rPr>
          <w:rFonts w:hint="eastAsia" w:ascii="仿宋" w:hAnsi="仿宋" w:eastAsia="仿宋" w:cs="仿宋"/>
          <w:szCs w:val="32"/>
        </w:rPr>
        <w:t>预算数</w:t>
      </w:r>
      <w:r>
        <w:rPr>
          <w:rFonts w:hint="eastAsia" w:ascii="仿宋" w:hAnsi="仿宋" w:eastAsia="仿宋" w:cs="仿宋"/>
          <w:szCs w:val="32"/>
          <w:lang w:val="en-US" w:eastAsia="zh-CN"/>
        </w:rPr>
        <w:t>持平</w:t>
      </w:r>
      <w:r>
        <w:rPr>
          <w:rFonts w:hint="eastAsia" w:ascii="仿宋" w:hAnsi="仿宋" w:eastAsia="仿宋" w:cs="仿宋"/>
          <w:szCs w:val="32"/>
        </w:rPr>
        <w:t>。公务用车运行维护费</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val="en-US" w:eastAsia="zh-CN"/>
        </w:rPr>
        <w:t>，2024年本年预算数</w:t>
      </w:r>
      <w:r>
        <w:rPr>
          <w:rFonts w:hint="eastAsia" w:ascii="仿宋" w:hAnsi="仿宋" w:eastAsia="仿宋" w:cs="仿宋"/>
          <w:szCs w:val="32"/>
        </w:rPr>
        <w:t>比202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eastAsia="zh-CN"/>
        </w:rPr>
        <w:t>当年</w:t>
      </w:r>
      <w:r>
        <w:rPr>
          <w:rFonts w:hint="eastAsia" w:ascii="仿宋" w:hAnsi="仿宋" w:eastAsia="仿宋" w:cs="仿宋"/>
          <w:szCs w:val="32"/>
        </w:rPr>
        <w:t>预算数</w:t>
      </w:r>
      <w:r>
        <w:rPr>
          <w:rFonts w:hint="eastAsia" w:ascii="仿宋" w:hAnsi="仿宋" w:eastAsia="仿宋" w:cs="仿宋"/>
          <w:szCs w:val="32"/>
          <w:lang w:val="en-US" w:eastAsia="zh-CN"/>
        </w:rPr>
        <w:t>持平</w:t>
      </w:r>
      <w:r>
        <w:rPr>
          <w:rFonts w:hint="eastAsia" w:ascii="仿宋" w:hAnsi="仿宋" w:eastAsia="仿宋" w:cs="仿宋"/>
          <w:szCs w:val="32"/>
        </w:rPr>
        <w:t>，主要原因是</w:t>
      </w:r>
      <w:r>
        <w:rPr>
          <w:rFonts w:hint="eastAsia" w:ascii="仿宋" w:hAnsi="仿宋" w:eastAsia="仿宋" w:cs="仿宋"/>
          <w:szCs w:val="32"/>
          <w:lang w:val="en-US" w:eastAsia="zh-CN"/>
        </w:rPr>
        <w:t>本单位无公务用车</w:t>
      </w:r>
      <w:r>
        <w:rPr>
          <w:rFonts w:hint="eastAsia" w:ascii="仿宋" w:hAnsi="仿宋" w:eastAsia="仿宋" w:cs="仿宋"/>
          <w:szCs w:val="32"/>
        </w:rPr>
        <w:t>；公务用车购置费</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lang w:val="en-US" w:eastAsia="zh-CN"/>
        </w:rPr>
        <w:t>2024年当年预算数</w:t>
      </w:r>
      <w:r>
        <w:rPr>
          <w:rFonts w:hint="eastAsia" w:ascii="仿宋" w:hAnsi="仿宋" w:eastAsia="仿宋" w:cs="仿宋"/>
          <w:szCs w:val="32"/>
        </w:rPr>
        <w:t>比202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eastAsia="zh-CN"/>
        </w:rPr>
        <w:t>当年</w:t>
      </w:r>
      <w:r>
        <w:rPr>
          <w:rFonts w:hint="eastAsia" w:ascii="仿宋" w:hAnsi="仿宋" w:eastAsia="仿宋" w:cs="仿宋"/>
          <w:szCs w:val="32"/>
        </w:rPr>
        <w:t>预算数</w:t>
      </w:r>
      <w:r>
        <w:rPr>
          <w:rFonts w:hint="eastAsia" w:ascii="仿宋" w:hAnsi="仿宋" w:eastAsia="仿宋" w:cs="仿宋"/>
          <w:szCs w:val="32"/>
          <w:lang w:val="en-US" w:eastAsia="zh-CN"/>
        </w:rPr>
        <w:t>持平</w:t>
      </w:r>
      <w:r>
        <w:rPr>
          <w:rFonts w:hint="eastAsia" w:ascii="仿宋" w:hAnsi="仿宋" w:eastAsia="仿宋" w:cs="仿宋"/>
          <w:szCs w:val="32"/>
        </w:rPr>
        <w:t>万元，主要原因是</w:t>
      </w:r>
      <w:r>
        <w:rPr>
          <w:rFonts w:hint="eastAsia" w:ascii="仿宋" w:hAnsi="仿宋" w:eastAsia="仿宋" w:cs="仿宋"/>
          <w:szCs w:val="32"/>
          <w:lang w:val="en-US" w:eastAsia="zh-CN"/>
        </w:rPr>
        <w:t>无购置公务用车安排</w:t>
      </w:r>
      <w:r>
        <w:rPr>
          <w:rFonts w:hint="eastAsia" w:ascii="仿宋" w:hAnsi="仿宋" w:eastAsia="仿宋" w:cs="仿宋"/>
          <w:szCs w:val="32"/>
        </w:rPr>
        <w:t>。</w:t>
      </w:r>
      <w:r>
        <w:rPr>
          <w:rFonts w:hint="eastAsia" w:ascii="仿宋" w:hAnsi="仿宋" w:eastAsia="仿宋" w:cs="仿宋"/>
          <w:szCs w:val="32"/>
          <w:lang w:val="en-US" w:eastAsia="zh-CN"/>
        </w:rPr>
        <w:t xml:space="preserve">      </w:t>
      </w:r>
      <w:r>
        <w:rPr>
          <w:rFonts w:hint="eastAsia"/>
          <w:szCs w:val="32"/>
          <w:lang w:val="en-US" w:eastAsia="zh-CN"/>
        </w:rPr>
        <w:t xml:space="preserve">   </w:t>
      </w:r>
    </w:p>
    <w:p>
      <w:pPr>
        <w:ind w:firstLine="640" w:firstLineChars="200"/>
        <w:rPr>
          <w:rFonts w:eastAsia="黑体"/>
          <w:szCs w:val="32"/>
        </w:rPr>
      </w:pPr>
      <w:r>
        <w:rPr>
          <w:rFonts w:hint="eastAsia" w:ascii="黑体" w:hAnsi="黑体" w:eastAsia="黑体" w:cs="黑体"/>
          <w:szCs w:val="32"/>
        </w:rPr>
        <w:t>八、202</w:t>
      </w:r>
      <w:r>
        <w:rPr>
          <w:rFonts w:hint="eastAsia" w:ascii="黑体" w:hAnsi="黑体" w:eastAsia="黑体" w:cs="黑体"/>
          <w:szCs w:val="32"/>
          <w:lang w:val="en-US" w:eastAsia="zh-CN"/>
        </w:rPr>
        <w:t>4</w:t>
      </w:r>
      <w:r>
        <w:rPr>
          <w:rFonts w:hint="eastAsia" w:ascii="黑体" w:hAnsi="黑体" w:eastAsia="黑体" w:cs="黑体"/>
          <w:szCs w:val="32"/>
        </w:rPr>
        <w:t>年政府性基金预算支出情况</w:t>
      </w:r>
    </w:p>
    <w:p>
      <w:pPr>
        <w:ind w:firstLine="640"/>
        <w:rPr>
          <w:rFonts w:hint="eastAsia" w:eastAsia="楷体"/>
          <w:szCs w:val="32"/>
          <w:lang w:eastAsia="zh-CN"/>
        </w:rPr>
      </w:pPr>
      <w:r>
        <w:rPr>
          <w:rFonts w:hint="eastAsia" w:ascii="仿宋" w:hAnsi="仿宋" w:eastAsia="仿宋" w:cs="仿宋"/>
          <w:szCs w:val="32"/>
          <w:lang w:val="en-US" w:eastAsia="zh-CN"/>
        </w:rPr>
        <w:t>本单位无政府性基金拨款</w:t>
      </w:r>
      <w:r>
        <w:rPr>
          <w:rFonts w:hint="eastAsia"/>
          <w:szCs w:val="32"/>
          <w:lang w:val="en-US" w:eastAsia="zh-CN"/>
        </w:rPr>
        <w:t xml:space="preserve">。  </w:t>
      </w:r>
    </w:p>
    <w:p>
      <w:pPr>
        <w:ind w:firstLine="640" w:firstLineChars="200"/>
        <w:rPr>
          <w:rFonts w:eastAsia="黑体"/>
          <w:szCs w:val="32"/>
        </w:rPr>
      </w:pPr>
      <w:r>
        <w:rPr>
          <w:rFonts w:hint="eastAsia" w:ascii="黑体" w:hAnsi="黑体" w:eastAsia="黑体" w:cs="黑体"/>
          <w:szCs w:val="32"/>
        </w:rPr>
        <w:t>九、202</w:t>
      </w:r>
      <w:r>
        <w:rPr>
          <w:rFonts w:hint="eastAsia" w:ascii="黑体" w:hAnsi="黑体" w:eastAsia="黑体" w:cs="黑体"/>
          <w:szCs w:val="32"/>
          <w:lang w:val="en-US" w:eastAsia="zh-CN"/>
        </w:rPr>
        <w:t>4</w:t>
      </w:r>
      <w:r>
        <w:rPr>
          <w:rFonts w:hint="eastAsia" w:ascii="黑体" w:hAnsi="黑体" w:eastAsia="黑体" w:cs="黑体"/>
          <w:szCs w:val="32"/>
        </w:rPr>
        <w:t>年国有资本经营预算支出情况</w:t>
      </w:r>
    </w:p>
    <w:p>
      <w:pPr>
        <w:ind w:firstLine="640"/>
        <w:rPr>
          <w:rFonts w:hint="eastAsia" w:eastAsia="楷体"/>
          <w:szCs w:val="32"/>
          <w:lang w:eastAsia="zh-CN"/>
        </w:rPr>
      </w:pPr>
      <w:r>
        <w:rPr>
          <w:rFonts w:hint="eastAsia" w:ascii="仿宋" w:hAnsi="仿宋" w:eastAsia="仿宋" w:cs="仿宋"/>
          <w:szCs w:val="32"/>
          <w:lang w:val="en-US" w:eastAsia="zh-CN"/>
        </w:rPr>
        <w:t>本单位无国有资本经营预算支出。</w:t>
      </w:r>
    </w:p>
    <w:p>
      <w:pPr>
        <w:ind w:firstLine="640" w:firstLineChars="200"/>
        <w:rPr>
          <w:rFonts w:hint="eastAsia" w:ascii="黑体" w:hAnsi="黑体" w:eastAsia="黑体" w:cs="黑体"/>
          <w:szCs w:val="32"/>
        </w:rPr>
      </w:pPr>
      <w:r>
        <w:rPr>
          <w:rFonts w:hint="eastAsia" w:ascii="黑体" w:hAnsi="黑体" w:eastAsia="黑体" w:cs="黑体"/>
          <w:szCs w:val="32"/>
        </w:rPr>
        <w:t>十、其他重要事项的说明情况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w:t>
      </w:r>
      <w:r>
        <w:rPr>
          <w:rFonts w:hint="eastAsia" w:ascii="仿宋" w:hAnsi="仿宋" w:eastAsia="仿宋" w:cs="仿宋"/>
          <w:szCs w:val="32"/>
          <w:lang w:val="en-US" w:eastAsia="zh-CN"/>
        </w:rPr>
        <w:t>四平市统计局铁西区分局</w:t>
      </w:r>
      <w:r>
        <w:rPr>
          <w:rFonts w:hint="eastAsia" w:ascii="仿宋" w:hAnsi="仿宋" w:eastAsia="仿宋" w:cs="仿宋"/>
          <w:szCs w:val="32"/>
        </w:rPr>
        <w:t>机关运行经费财政拨款预算</w:t>
      </w:r>
      <w:r>
        <w:rPr>
          <w:rFonts w:hint="eastAsia" w:ascii="仿宋" w:hAnsi="仿宋" w:eastAsia="仿宋" w:cs="仿宋"/>
          <w:szCs w:val="32"/>
          <w:lang w:val="en-US" w:eastAsia="zh-CN"/>
        </w:rPr>
        <w:t>13.06</w:t>
      </w:r>
      <w:r>
        <w:rPr>
          <w:rFonts w:hint="eastAsia" w:ascii="仿宋" w:hAnsi="仿宋" w:eastAsia="仿宋" w:cs="仿宋"/>
          <w:szCs w:val="32"/>
        </w:rPr>
        <w:t>万元，比202</w:t>
      </w:r>
      <w:r>
        <w:rPr>
          <w:rFonts w:hint="eastAsia" w:ascii="仿宋" w:hAnsi="仿宋" w:eastAsia="仿宋" w:cs="仿宋"/>
          <w:szCs w:val="32"/>
          <w:lang w:val="en-US" w:eastAsia="zh-CN"/>
        </w:rPr>
        <w:t>3</w:t>
      </w:r>
      <w:r>
        <w:rPr>
          <w:rFonts w:hint="eastAsia" w:ascii="仿宋" w:hAnsi="仿宋" w:eastAsia="仿宋" w:cs="仿宋"/>
          <w:szCs w:val="32"/>
        </w:rPr>
        <w:t>年预算增加</w:t>
      </w:r>
      <w:r>
        <w:rPr>
          <w:rFonts w:hint="eastAsia" w:ascii="仿宋" w:hAnsi="仿宋" w:eastAsia="仿宋" w:cs="仿宋"/>
          <w:szCs w:val="32"/>
          <w:lang w:val="en-US" w:eastAsia="zh-CN"/>
        </w:rPr>
        <w:t>1.61</w:t>
      </w:r>
      <w:r>
        <w:rPr>
          <w:rFonts w:hint="eastAsia" w:ascii="仿宋" w:hAnsi="仿宋" w:eastAsia="仿宋" w:cs="仿宋"/>
          <w:szCs w:val="32"/>
        </w:rPr>
        <w:t>万元，增长</w:t>
      </w:r>
      <w:r>
        <w:rPr>
          <w:rFonts w:hint="eastAsia" w:ascii="仿宋" w:hAnsi="仿宋" w:eastAsia="仿宋" w:cs="仿宋"/>
          <w:szCs w:val="32"/>
          <w:lang w:val="en-US" w:eastAsia="zh-CN"/>
        </w:rPr>
        <w:t>14.06</w:t>
      </w:r>
      <w:r>
        <w:rPr>
          <w:rFonts w:hint="eastAsia" w:ascii="仿宋" w:hAnsi="仿宋" w:eastAsia="仿宋" w:cs="仿宋"/>
          <w:szCs w:val="32"/>
        </w:rPr>
        <w:t>%，主要原因是</w:t>
      </w:r>
      <w:r>
        <w:rPr>
          <w:rFonts w:hint="eastAsia" w:ascii="仿宋" w:hAnsi="仿宋" w:eastAsia="仿宋" w:cs="仿宋"/>
          <w:szCs w:val="32"/>
          <w:lang w:val="en-US" w:eastAsia="zh-CN"/>
        </w:rPr>
        <w:t>本年新调入1人，职工人数增加机关运行费用有所增加</w:t>
      </w:r>
      <w:r>
        <w:rPr>
          <w:rFonts w:hint="eastAsia" w:ascii="仿宋" w:hAnsi="仿宋" w:eastAsia="仿宋" w:cs="仿宋"/>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rFonts w:hint="eastAsia"/>
          <w:szCs w:val="32"/>
          <w:lang w:val="en-US" w:eastAsia="zh-CN"/>
        </w:rPr>
      </w:pPr>
      <w:r>
        <w:rPr>
          <w:szCs w:val="32"/>
        </w:rPr>
        <w:t>20</w:t>
      </w:r>
      <w:r>
        <w:rPr>
          <w:rFonts w:hint="eastAsia"/>
          <w:szCs w:val="32"/>
        </w:rPr>
        <w:t>2</w:t>
      </w:r>
      <w:r>
        <w:rPr>
          <w:rFonts w:hint="eastAsia"/>
          <w:szCs w:val="32"/>
          <w:lang w:val="en-US" w:eastAsia="zh-CN"/>
        </w:rPr>
        <w:t>4</w:t>
      </w:r>
      <w:r>
        <w:rPr>
          <w:szCs w:val="32"/>
        </w:rPr>
        <w:t>年</w:t>
      </w:r>
      <w:r>
        <w:rPr>
          <w:rFonts w:hint="eastAsia"/>
          <w:szCs w:val="32"/>
          <w:lang w:val="en-US" w:eastAsia="zh-CN"/>
        </w:rPr>
        <w:t>本单位无</w:t>
      </w:r>
      <w:r>
        <w:rPr>
          <w:szCs w:val="32"/>
        </w:rPr>
        <w:t>政府采购预算</w:t>
      </w:r>
      <w:r>
        <w:rPr>
          <w:rFonts w:hint="eastAsia"/>
          <w:szCs w:val="32"/>
          <w:lang w:val="en-US" w:eastAsia="zh-CN"/>
        </w:rPr>
        <w:t xml:space="preserve">拨款。 </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ascii="仿宋" w:hAnsi="仿宋" w:eastAsia="仿宋" w:cs="仿宋"/>
          <w:szCs w:val="32"/>
        </w:rPr>
      </w:pPr>
      <w:r>
        <w:rPr>
          <w:rFonts w:hint="eastAsia" w:ascii="仿宋" w:hAnsi="仿宋" w:eastAsia="仿宋" w:cs="仿宋"/>
          <w:szCs w:val="32"/>
        </w:rPr>
        <w:t>截至202</w:t>
      </w:r>
      <w:r>
        <w:rPr>
          <w:rFonts w:hint="eastAsia" w:ascii="仿宋" w:hAnsi="仿宋" w:eastAsia="仿宋" w:cs="仿宋"/>
          <w:szCs w:val="32"/>
          <w:lang w:val="en-US" w:eastAsia="zh-CN"/>
        </w:rPr>
        <w:t>3</w:t>
      </w:r>
      <w:r>
        <w:rPr>
          <w:rFonts w:hint="eastAsia" w:ascii="仿宋" w:hAnsi="仿宋" w:eastAsia="仿宋" w:cs="仿宋"/>
          <w:szCs w:val="32"/>
        </w:rPr>
        <w:t>年8月底</w:t>
      </w:r>
      <w:r>
        <w:rPr>
          <w:rFonts w:hint="eastAsia" w:ascii="仿宋" w:hAnsi="仿宋" w:eastAsia="仿宋" w:cs="仿宋"/>
          <w:szCs w:val="32"/>
          <w:lang w:eastAsia="zh-CN"/>
        </w:rPr>
        <w:t>，</w:t>
      </w:r>
      <w:r>
        <w:rPr>
          <w:rFonts w:hint="eastAsia" w:ascii="仿宋" w:hAnsi="仿宋" w:eastAsia="仿宋" w:cs="仿宋"/>
          <w:szCs w:val="32"/>
          <w:lang w:val="en-US" w:eastAsia="zh-CN"/>
        </w:rPr>
        <w:t>本</w:t>
      </w:r>
      <w:r>
        <w:rPr>
          <w:rFonts w:hint="eastAsia" w:ascii="仿宋" w:hAnsi="仿宋" w:eastAsia="仿宋" w:cs="仿宋"/>
          <w:szCs w:val="32"/>
        </w:rPr>
        <w:t>单位共有车辆</w:t>
      </w:r>
      <w:r>
        <w:rPr>
          <w:rFonts w:hint="eastAsia" w:ascii="仿宋" w:hAnsi="仿宋" w:eastAsia="仿宋" w:cs="仿宋"/>
          <w:szCs w:val="32"/>
          <w:lang w:val="en-US" w:eastAsia="zh-CN"/>
        </w:rPr>
        <w:t>0</w:t>
      </w:r>
      <w:r>
        <w:rPr>
          <w:rFonts w:hint="eastAsia" w:ascii="仿宋" w:hAnsi="仿宋" w:eastAsia="仿宋" w:cs="仿宋"/>
          <w:szCs w:val="32"/>
        </w:rPr>
        <w:t>辆，土地</w:t>
      </w:r>
      <w:r>
        <w:rPr>
          <w:rFonts w:hint="eastAsia" w:ascii="仿宋" w:hAnsi="仿宋" w:eastAsia="仿宋" w:cs="仿宋"/>
          <w:szCs w:val="32"/>
          <w:lang w:val="en-US" w:eastAsia="zh-CN"/>
        </w:rPr>
        <w:t>0</w:t>
      </w:r>
      <w:r>
        <w:rPr>
          <w:rFonts w:hint="eastAsia" w:ascii="仿宋" w:hAnsi="仿宋" w:eastAsia="仿宋" w:cs="仿宋"/>
          <w:szCs w:val="32"/>
        </w:rPr>
        <w:t>平方米，房屋</w:t>
      </w:r>
      <w:r>
        <w:rPr>
          <w:rFonts w:hint="eastAsia" w:ascii="仿宋" w:hAnsi="仿宋" w:eastAsia="仿宋" w:cs="仿宋"/>
          <w:szCs w:val="32"/>
          <w:lang w:val="en-US" w:eastAsia="zh-CN"/>
        </w:rPr>
        <w:t>0</w:t>
      </w:r>
      <w:r>
        <w:rPr>
          <w:rFonts w:hint="eastAsia" w:ascii="仿宋" w:hAnsi="仿宋" w:eastAsia="仿宋" w:cs="仿宋"/>
          <w:szCs w:val="32"/>
        </w:rPr>
        <w:t>平方米，单价50万元以上设备</w:t>
      </w:r>
      <w:r>
        <w:rPr>
          <w:rFonts w:hint="eastAsia" w:ascii="仿宋" w:hAnsi="仿宋" w:eastAsia="仿宋" w:cs="仿宋"/>
          <w:szCs w:val="32"/>
          <w:lang w:val="en-US" w:eastAsia="zh-CN"/>
        </w:rPr>
        <w:t>0</w:t>
      </w:r>
      <w:r>
        <w:rPr>
          <w:rFonts w:hint="eastAsia" w:ascii="仿宋" w:hAnsi="仿宋" w:eastAsia="仿宋" w:cs="仿宋"/>
          <w:szCs w:val="32"/>
        </w:rPr>
        <w:t>台/套。</w:t>
      </w:r>
    </w:p>
    <w:p>
      <w:pPr>
        <w:spacing w:line="540" w:lineRule="exact"/>
        <w:ind w:firstLine="640" w:firstLineChars="20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w:t>
      </w:r>
      <w:r>
        <w:rPr>
          <w:rFonts w:hint="eastAsia" w:ascii="仿宋" w:hAnsi="仿宋" w:eastAsia="仿宋" w:cs="仿宋"/>
          <w:szCs w:val="32"/>
          <w:lang w:val="en-US" w:eastAsia="zh-CN"/>
        </w:rPr>
        <w:t>单位</w:t>
      </w:r>
      <w:r>
        <w:rPr>
          <w:rFonts w:hint="eastAsia" w:ascii="仿宋" w:hAnsi="仿宋" w:eastAsia="仿宋" w:cs="仿宋"/>
          <w:szCs w:val="32"/>
        </w:rPr>
        <w:t>预算安排购置车辆</w:t>
      </w:r>
      <w:r>
        <w:rPr>
          <w:rFonts w:hint="eastAsia" w:ascii="仿宋" w:hAnsi="仿宋" w:eastAsia="仿宋" w:cs="仿宋"/>
          <w:szCs w:val="32"/>
          <w:lang w:val="en-US" w:eastAsia="zh-CN"/>
        </w:rPr>
        <w:t>0</w:t>
      </w:r>
      <w:r>
        <w:rPr>
          <w:rFonts w:hint="eastAsia" w:ascii="仿宋" w:hAnsi="仿宋" w:eastAsia="仿宋" w:cs="仿宋"/>
          <w:szCs w:val="32"/>
        </w:rPr>
        <w:t>辆，安排购置土地</w:t>
      </w:r>
      <w:r>
        <w:rPr>
          <w:rFonts w:hint="eastAsia" w:ascii="仿宋" w:hAnsi="仿宋" w:eastAsia="仿宋" w:cs="仿宋"/>
          <w:szCs w:val="32"/>
          <w:lang w:val="en-US" w:eastAsia="zh-CN"/>
        </w:rPr>
        <w:t>0</w:t>
      </w:r>
      <w:r>
        <w:rPr>
          <w:rFonts w:hint="eastAsia" w:ascii="仿宋" w:hAnsi="仿宋" w:eastAsia="仿宋" w:cs="仿宋"/>
          <w:szCs w:val="32"/>
        </w:rPr>
        <w:t>平方米，安排购置房屋</w:t>
      </w:r>
      <w:r>
        <w:rPr>
          <w:rFonts w:hint="eastAsia" w:ascii="仿宋" w:hAnsi="仿宋" w:eastAsia="仿宋" w:cs="仿宋"/>
          <w:szCs w:val="32"/>
          <w:lang w:val="en-US" w:eastAsia="zh-CN"/>
        </w:rPr>
        <w:t>0</w:t>
      </w:r>
      <w:r>
        <w:rPr>
          <w:rFonts w:hint="eastAsia" w:ascii="仿宋" w:hAnsi="仿宋" w:eastAsia="仿宋" w:cs="仿宋"/>
          <w:szCs w:val="32"/>
        </w:rPr>
        <w:t>平方米，计划新增单价50万元以上设备</w:t>
      </w:r>
      <w:r>
        <w:rPr>
          <w:rFonts w:hint="eastAsia" w:ascii="仿宋" w:hAnsi="仿宋" w:eastAsia="仿宋" w:cs="仿宋"/>
          <w:szCs w:val="32"/>
          <w:lang w:val="en-US" w:eastAsia="zh-CN"/>
        </w:rPr>
        <w:t>0</w:t>
      </w:r>
      <w:r>
        <w:rPr>
          <w:rFonts w:hint="eastAsia" w:ascii="仿宋" w:hAnsi="仿宋" w:eastAsia="仿宋" w:cs="仿宋"/>
          <w:szCs w:val="32"/>
        </w:rPr>
        <w:t>台/套。</w:t>
      </w:r>
    </w:p>
    <w:p>
      <w:pPr>
        <w:numPr>
          <w:ilvl w:val="0"/>
          <w:numId w:val="0"/>
        </w:numPr>
        <w:spacing w:line="540" w:lineRule="exact"/>
        <w:ind w:firstLine="640" w:firstLineChars="200"/>
        <w:rPr>
          <w:rFonts w:hint="eastAsia" w:eastAsia="楷体"/>
          <w:szCs w:val="32"/>
        </w:rPr>
      </w:pPr>
      <w:r>
        <w:rPr>
          <w:rFonts w:hint="eastAsia" w:ascii="Times New Roman" w:hAnsi="Times New Roman" w:eastAsia="楷体" w:cs="Times New Roman"/>
          <w:kern w:val="2"/>
          <w:sz w:val="32"/>
          <w:szCs w:val="32"/>
          <w:lang w:val="en-US" w:eastAsia="zh-CN" w:bidi="ar-SA"/>
        </w:rPr>
        <w:t>（四）</w:t>
      </w:r>
      <w:r>
        <w:rPr>
          <w:rFonts w:hint="eastAsia" w:eastAsia="楷体"/>
          <w:szCs w:val="32"/>
        </w:rPr>
        <w:t>项目支出情况说明</w:t>
      </w:r>
    </w:p>
    <w:p>
      <w:pPr>
        <w:spacing w:line="540" w:lineRule="exact"/>
        <w:ind w:firstLine="640" w:firstLineChars="200"/>
        <w:rPr>
          <w:rFonts w:hint="eastAsia" w:ascii="仿宋" w:hAnsi="仿宋" w:eastAsia="仿宋" w:cs="仿宋"/>
        </w:rPr>
      </w:pP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单位</w:t>
      </w:r>
      <w:r>
        <w:rPr>
          <w:rFonts w:hint="eastAsia" w:ascii="仿宋" w:hAnsi="仿宋" w:eastAsia="仿宋" w:cs="仿宋"/>
        </w:rPr>
        <w:t>项目支出</w:t>
      </w:r>
      <w:r>
        <w:rPr>
          <w:rFonts w:hint="eastAsia" w:ascii="仿宋" w:hAnsi="仿宋" w:eastAsia="仿宋" w:cs="仿宋"/>
          <w:szCs w:val="32"/>
          <w:lang w:val="en-US" w:eastAsia="zh-CN"/>
        </w:rPr>
        <w:t>57.75</w:t>
      </w:r>
      <w:r>
        <w:rPr>
          <w:rFonts w:hint="eastAsia" w:ascii="仿宋" w:hAnsi="仿宋" w:eastAsia="仿宋" w:cs="仿宋"/>
          <w:szCs w:val="32"/>
        </w:rPr>
        <w:t>万元，其中：一级项目</w:t>
      </w:r>
      <w:r>
        <w:rPr>
          <w:rFonts w:hint="eastAsia" w:ascii="仿宋" w:hAnsi="仿宋" w:eastAsia="仿宋" w:cs="仿宋"/>
          <w:szCs w:val="32"/>
          <w:lang w:val="en-US" w:eastAsia="zh-CN"/>
        </w:rPr>
        <w:t>2</w:t>
      </w:r>
      <w:r>
        <w:rPr>
          <w:rFonts w:hint="eastAsia" w:ascii="仿宋" w:hAnsi="仿宋" w:eastAsia="仿宋" w:cs="仿宋"/>
          <w:szCs w:val="32"/>
        </w:rPr>
        <w:t>个，二级项目</w:t>
      </w:r>
      <w:r>
        <w:rPr>
          <w:rFonts w:hint="eastAsia" w:ascii="仿宋" w:hAnsi="仿宋" w:eastAsia="仿宋" w:cs="仿宋"/>
          <w:szCs w:val="32"/>
          <w:lang w:val="en-US" w:eastAsia="zh-CN"/>
        </w:rPr>
        <w:t>2</w:t>
      </w:r>
      <w:r>
        <w:rPr>
          <w:rFonts w:hint="eastAsia" w:ascii="仿宋" w:hAnsi="仿宋" w:eastAsia="仿宋" w:cs="仿宋"/>
          <w:szCs w:val="32"/>
        </w:rPr>
        <w:t>个；使用本年拨款</w:t>
      </w:r>
      <w:r>
        <w:rPr>
          <w:rFonts w:hint="eastAsia" w:ascii="仿宋" w:hAnsi="仿宋" w:eastAsia="仿宋" w:cs="仿宋"/>
          <w:szCs w:val="32"/>
          <w:lang w:val="en-US" w:eastAsia="zh-CN"/>
        </w:rPr>
        <w:t>57.75</w:t>
      </w:r>
      <w:r>
        <w:rPr>
          <w:rFonts w:hint="eastAsia" w:ascii="仿宋" w:hAnsi="仿宋" w:eastAsia="仿宋" w:cs="仿宋"/>
          <w:szCs w:val="32"/>
        </w:rPr>
        <w:t>万元，财政拨款结转</w:t>
      </w:r>
      <w:r>
        <w:rPr>
          <w:rFonts w:hint="eastAsia" w:ascii="仿宋" w:hAnsi="仿宋" w:eastAsia="仿宋" w:cs="仿宋"/>
          <w:szCs w:val="32"/>
          <w:lang w:val="en-US" w:eastAsia="zh-CN"/>
        </w:rPr>
        <w:t>0</w:t>
      </w:r>
      <w:r>
        <w:rPr>
          <w:rFonts w:hint="eastAsia" w:ascii="仿宋" w:hAnsi="仿宋" w:eastAsia="仿宋" w:cs="仿宋"/>
          <w:szCs w:val="32"/>
        </w:rPr>
        <w:t>万元。</w:t>
      </w:r>
    </w:p>
    <w:p>
      <w:pPr>
        <w:spacing w:line="540" w:lineRule="exact"/>
        <w:ind w:firstLine="640" w:firstLineChars="200"/>
        <w:rPr>
          <w:rFonts w:hint="eastAsia" w:ascii="仿宋" w:hAnsi="仿宋" w:eastAsia="仿宋" w:cs="仿宋"/>
          <w:szCs w:val="32"/>
        </w:rPr>
      </w:pPr>
      <w:r>
        <w:rPr>
          <w:rFonts w:hint="eastAsia" w:ascii="仿宋" w:hAnsi="仿宋" w:eastAsia="仿宋" w:cs="仿宋"/>
          <w:szCs w:val="32"/>
        </w:rPr>
        <w:t>（五）项目支出绩效目标情况说明</w:t>
      </w:r>
    </w:p>
    <w:p>
      <w:pPr>
        <w:ind w:firstLine="645"/>
        <w:rPr>
          <w:rFonts w:hint="eastAsia" w:ascii="仿宋" w:hAnsi="仿宋" w:eastAsia="仿宋" w:cs="仿宋"/>
          <w:szCs w:val="32"/>
        </w:rPr>
      </w:pPr>
      <w:r>
        <w:rPr>
          <w:rFonts w:hint="eastAsia" w:ascii="仿宋" w:hAnsi="仿宋" w:eastAsia="仿宋" w:cs="仿宋"/>
        </w:rPr>
        <w:t>按照全面实施预算绩效管理的要求，结合本</w:t>
      </w:r>
      <w:r>
        <w:rPr>
          <w:rFonts w:hint="eastAsia" w:ascii="仿宋" w:hAnsi="仿宋" w:eastAsia="仿宋" w:cs="仿宋"/>
          <w:lang w:val="en-US" w:eastAsia="zh-CN"/>
        </w:rPr>
        <w:t>单位</w:t>
      </w:r>
      <w:r>
        <w:rPr>
          <w:rFonts w:hint="eastAsia" w:ascii="仿宋" w:hAnsi="仿宋" w:eastAsia="仿宋" w:cs="仿宋"/>
        </w:rPr>
        <w:t>职能和重点工作，202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eastAsia="zh-CN"/>
        </w:rPr>
        <w:t>将</w:t>
      </w:r>
      <w:r>
        <w:rPr>
          <w:rFonts w:hint="eastAsia" w:ascii="仿宋" w:hAnsi="仿宋" w:eastAsia="仿宋" w:cs="仿宋"/>
          <w:szCs w:val="32"/>
          <w:lang w:val="en-US" w:eastAsia="zh-CN"/>
        </w:rPr>
        <w:t>2</w:t>
      </w:r>
      <w:r>
        <w:rPr>
          <w:rFonts w:hint="eastAsia" w:ascii="仿宋" w:hAnsi="仿宋" w:eastAsia="仿宋" w:cs="仿宋"/>
        </w:rPr>
        <w:t>个项目支出的绩效目标和指标向社会公开，涉及金额</w:t>
      </w:r>
      <w:r>
        <w:rPr>
          <w:rFonts w:hint="eastAsia" w:ascii="仿宋" w:hAnsi="仿宋" w:eastAsia="仿宋" w:cs="仿宋"/>
          <w:szCs w:val="32"/>
          <w:lang w:val="en-US" w:eastAsia="zh-CN"/>
        </w:rPr>
        <w:t>57.75</w:t>
      </w:r>
      <w:r>
        <w:rPr>
          <w:rFonts w:hint="eastAsia" w:ascii="仿宋" w:hAnsi="仿宋" w:eastAsia="仿宋" w:cs="仿宋"/>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rPr>
          <w:rFonts w:eastAsia="楷体"/>
          <w:szCs w:val="32"/>
        </w:rPr>
      </w:pPr>
    </w:p>
    <w:p>
      <w:pPr>
        <w:spacing w:line="540" w:lineRule="exact"/>
        <w:ind w:firstLine="640" w:firstLineChars="200"/>
        <w:rPr>
          <w:rFonts w:eastAsia="楷体"/>
          <w:szCs w:val="32"/>
        </w:rPr>
      </w:pPr>
    </w:p>
    <w:p>
      <w:pPr>
        <w:spacing w:line="540" w:lineRule="exact"/>
        <w:jc w:val="both"/>
        <w:rPr>
          <w:rFonts w:eastAsia="黑体"/>
        </w:rPr>
      </w:pPr>
    </w:p>
    <w:p>
      <w:pPr>
        <w:spacing w:line="540" w:lineRule="exact"/>
        <w:ind w:firstLine="640" w:firstLineChars="200"/>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rFonts w:hint="eastAsia" w:ascii="仿宋" w:hAnsi="仿宋" w:eastAsia="仿宋" w:cs="仿宋"/>
          <w:szCs w:val="32"/>
        </w:rPr>
      </w:pPr>
      <w:r>
        <w:rPr>
          <w:rFonts w:eastAsia="楷体"/>
          <w:szCs w:val="32"/>
        </w:rPr>
        <w:t>（一）一般公共预算拨款收入：</w:t>
      </w:r>
      <w:r>
        <w:rPr>
          <w:rFonts w:hint="eastAsia" w:ascii="仿宋" w:hAnsi="仿宋" w:eastAsia="仿宋" w:cs="仿宋"/>
          <w:szCs w:val="32"/>
        </w:rPr>
        <w:t>指省级财政通过当年一般公共预算拨付的资金。</w:t>
      </w:r>
    </w:p>
    <w:p>
      <w:pPr>
        <w:ind w:firstLine="640" w:firstLineChars="200"/>
        <w:rPr>
          <w:rFonts w:hint="eastAsia" w:ascii="仿宋" w:hAnsi="仿宋" w:eastAsia="仿宋" w:cs="仿宋"/>
          <w:szCs w:val="32"/>
        </w:rPr>
      </w:pPr>
      <w:r>
        <w:rPr>
          <w:rFonts w:eastAsia="楷体"/>
          <w:szCs w:val="32"/>
        </w:rPr>
        <w:t>（二）</w:t>
      </w:r>
      <w:r>
        <w:rPr>
          <w:rFonts w:hint="eastAsia" w:eastAsia="楷体"/>
          <w:szCs w:val="32"/>
        </w:rPr>
        <w:t>政府性基金预算拨款收入：</w:t>
      </w:r>
      <w:r>
        <w:rPr>
          <w:rFonts w:hint="eastAsia" w:ascii="仿宋" w:hAnsi="仿宋" w:eastAsia="仿宋" w:cs="仿宋"/>
          <w:szCs w:val="32"/>
        </w:rPr>
        <w:t>指省级财政通过当年政府性基金预算拨付的资金。</w:t>
      </w:r>
    </w:p>
    <w:p>
      <w:pPr>
        <w:ind w:firstLine="640" w:firstLineChars="200"/>
        <w:rPr>
          <w:rFonts w:hint="eastAsia" w:ascii="仿宋" w:hAnsi="仿宋" w:eastAsia="仿宋" w:cs="仿宋"/>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rFonts w:hint="eastAsia" w:ascii="仿宋" w:hAnsi="仿宋" w:eastAsia="仿宋" w:cs="仿宋"/>
          <w:szCs w:val="32"/>
        </w:rPr>
        <w:t>指省级财政通过当年国有资本经营预算拨付的资金。</w:t>
      </w:r>
    </w:p>
    <w:p>
      <w:pPr>
        <w:ind w:firstLine="640"/>
        <w:rPr>
          <w:rFonts w:hint="eastAsia" w:ascii="仿宋" w:hAnsi="仿宋" w:eastAsia="仿宋" w:cs="仿宋"/>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ascii="仿宋" w:hAnsi="仿宋" w:eastAsia="仿宋" w:cs="仿宋"/>
          <w:szCs w:val="32"/>
        </w:rPr>
        <w:t>指</w:t>
      </w:r>
      <w:r>
        <w:rPr>
          <w:rFonts w:hint="eastAsia" w:ascii="仿宋" w:hAnsi="仿宋" w:eastAsia="仿宋" w:cs="仿宋"/>
          <w:szCs w:val="32"/>
          <w:lang w:eastAsia="zh-CN"/>
        </w:rPr>
        <w:t>缴入财政专户</w:t>
      </w:r>
      <w:r>
        <w:rPr>
          <w:rFonts w:hint="eastAsia" w:ascii="仿宋" w:hAnsi="仿宋" w:eastAsia="仿宋" w:cs="仿宋"/>
          <w:szCs w:val="32"/>
        </w:rPr>
        <w:t>并实行财政专</w:t>
      </w:r>
      <w:r>
        <w:rPr>
          <w:rFonts w:hint="eastAsia" w:ascii="仿宋" w:hAnsi="仿宋" w:eastAsia="仿宋" w:cs="仿宋"/>
          <w:szCs w:val="32"/>
          <w:lang w:eastAsia="zh-CN"/>
        </w:rPr>
        <w:t>项</w:t>
      </w:r>
      <w:r>
        <w:rPr>
          <w:rFonts w:hint="eastAsia" w:ascii="仿宋" w:hAnsi="仿宋" w:eastAsia="仿宋" w:cs="仿宋"/>
          <w:szCs w:val="32"/>
        </w:rPr>
        <w:t>管理的资金收入。</w:t>
      </w:r>
    </w:p>
    <w:p>
      <w:pPr>
        <w:ind w:firstLine="640"/>
        <w:rPr>
          <w:rFonts w:hint="eastAsia" w:ascii="仿宋" w:hAnsi="仿宋" w:eastAsia="仿宋" w:cs="仿宋"/>
          <w:szCs w:val="32"/>
        </w:rPr>
      </w:pPr>
      <w:r>
        <w:rPr>
          <w:rFonts w:hint="eastAsia" w:eastAsia="楷体"/>
          <w:szCs w:val="32"/>
        </w:rPr>
        <w:t>（五）</w:t>
      </w:r>
      <w:r>
        <w:rPr>
          <w:rFonts w:eastAsia="楷体"/>
          <w:szCs w:val="32"/>
        </w:rPr>
        <w:t>事业收入：</w:t>
      </w:r>
      <w:r>
        <w:rPr>
          <w:rFonts w:hint="eastAsia" w:ascii="仿宋" w:hAnsi="仿宋" w:eastAsia="仿宋" w:cs="仿宋"/>
          <w:szCs w:val="32"/>
        </w:rPr>
        <w:t>指事业单位开展专业业务活动及辅助活动所取得的收入。</w:t>
      </w:r>
    </w:p>
    <w:p>
      <w:pPr>
        <w:ind w:firstLine="640"/>
        <w:rPr>
          <w:rFonts w:hint="eastAsia" w:ascii="仿宋" w:hAnsi="仿宋" w:eastAsia="仿宋" w:cs="仿宋"/>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ascii="仿宋" w:hAnsi="仿宋" w:eastAsia="仿宋" w:cs="仿宋"/>
          <w:szCs w:val="32"/>
        </w:rPr>
        <w:t>指预算单位从主管部门或上级单位取得的非财政拨款补助收入。</w:t>
      </w:r>
    </w:p>
    <w:p>
      <w:pPr>
        <w:ind w:firstLine="640"/>
        <w:rPr>
          <w:rFonts w:hint="eastAsia" w:ascii="仿宋" w:hAnsi="仿宋" w:eastAsia="仿宋" w:cs="仿宋"/>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仿宋" w:hAnsi="仿宋" w:eastAsia="仿宋" w:cs="仿宋"/>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rFonts w:hint="eastAsia" w:ascii="仿宋" w:hAnsi="仿宋" w:eastAsia="仿宋" w:cs="仿宋"/>
          <w:szCs w:val="32"/>
        </w:rPr>
      </w:pPr>
      <w:r>
        <w:rPr>
          <w:rFonts w:eastAsia="楷体"/>
          <w:szCs w:val="32"/>
        </w:rPr>
        <w:t>（</w:t>
      </w:r>
      <w:r>
        <w:rPr>
          <w:rFonts w:hint="eastAsia" w:eastAsia="楷体"/>
          <w:szCs w:val="32"/>
        </w:rPr>
        <w:t>八</w:t>
      </w:r>
      <w:r>
        <w:rPr>
          <w:rFonts w:eastAsia="楷体"/>
          <w:szCs w:val="32"/>
        </w:rPr>
        <w:t>）事业单位经营收入：</w:t>
      </w:r>
      <w:r>
        <w:rPr>
          <w:rFonts w:hint="eastAsia" w:ascii="仿宋" w:hAnsi="仿宋" w:eastAsia="仿宋" w:cs="仿宋"/>
          <w:szCs w:val="32"/>
        </w:rPr>
        <w:t>指事业单位在专业业务活动及其辅助活动之外开展非独立核算经营活动取得的收入。</w:t>
      </w:r>
    </w:p>
    <w:p>
      <w:pPr>
        <w:ind w:firstLine="640"/>
        <w:rPr>
          <w:rFonts w:hint="eastAsia" w:ascii="仿宋" w:hAnsi="仿宋" w:eastAsia="仿宋" w:cs="仿宋"/>
          <w:szCs w:val="32"/>
          <w:lang w:eastAsia="zh-CN"/>
        </w:rPr>
      </w:pPr>
      <w:r>
        <w:rPr>
          <w:rFonts w:eastAsia="楷体"/>
          <w:szCs w:val="32"/>
        </w:rPr>
        <w:t>（</w:t>
      </w:r>
      <w:r>
        <w:rPr>
          <w:rFonts w:hint="eastAsia" w:eastAsia="楷体"/>
          <w:szCs w:val="32"/>
        </w:rPr>
        <w:t>九</w:t>
      </w:r>
      <w:r>
        <w:rPr>
          <w:rFonts w:eastAsia="楷体"/>
          <w:szCs w:val="32"/>
        </w:rPr>
        <w:t>）其他收入：</w:t>
      </w:r>
      <w:r>
        <w:rPr>
          <w:rFonts w:hint="eastAsia" w:ascii="仿宋" w:hAnsi="仿宋" w:eastAsia="仿宋" w:cs="仿宋"/>
          <w:szCs w:val="32"/>
        </w:rPr>
        <w:t>指除上述</w:t>
      </w:r>
      <w:r>
        <w:rPr>
          <w:rFonts w:hint="eastAsia" w:ascii="仿宋" w:hAnsi="仿宋" w:eastAsia="仿宋" w:cs="仿宋"/>
          <w:szCs w:val="32"/>
          <w:lang w:eastAsia="zh-CN"/>
        </w:rPr>
        <w:t>收入</w:t>
      </w:r>
      <w:r>
        <w:rPr>
          <w:rFonts w:hint="eastAsia" w:ascii="仿宋" w:hAnsi="仿宋" w:eastAsia="仿宋" w:cs="仿宋"/>
          <w:szCs w:val="32"/>
        </w:rPr>
        <w:t>以外的</w:t>
      </w:r>
      <w:r>
        <w:rPr>
          <w:rFonts w:hint="eastAsia" w:ascii="仿宋" w:hAnsi="仿宋" w:eastAsia="仿宋" w:cs="仿宋"/>
          <w:szCs w:val="32"/>
          <w:lang w:eastAsia="zh-CN"/>
        </w:rPr>
        <w:t>各项</w:t>
      </w:r>
      <w:r>
        <w:rPr>
          <w:rFonts w:hint="eastAsia" w:ascii="仿宋" w:hAnsi="仿宋" w:eastAsia="仿宋" w:cs="仿宋"/>
          <w:szCs w:val="32"/>
        </w:rPr>
        <w:t>收入</w:t>
      </w:r>
      <w:r>
        <w:rPr>
          <w:rFonts w:hint="eastAsia" w:ascii="仿宋" w:hAnsi="仿宋" w:eastAsia="仿宋" w:cs="仿宋"/>
          <w:szCs w:val="32"/>
          <w:lang w:eastAsia="zh-CN"/>
        </w:rPr>
        <w:t>，</w:t>
      </w:r>
      <w:r>
        <w:rPr>
          <w:rFonts w:hint="eastAsia" w:ascii="仿宋" w:hAnsi="仿宋" w:eastAsia="仿宋" w:cs="仿宋"/>
          <w:szCs w:val="32"/>
          <w:lang w:val="en-US" w:eastAsia="zh-CN"/>
        </w:rPr>
        <w:t>主</w:t>
      </w:r>
      <w:r>
        <w:rPr>
          <w:rFonts w:hint="eastAsia" w:ascii="仿宋" w:hAnsi="仿宋" w:eastAsia="仿宋" w:cs="仿宋"/>
          <w:szCs w:val="32"/>
          <w:lang w:eastAsia="zh-CN"/>
        </w:rPr>
        <w:t>要包括非本级财政拨款、事业单位的投资收益等收入。</w:t>
      </w:r>
    </w:p>
    <w:p>
      <w:pPr>
        <w:ind w:firstLine="640"/>
        <w:rPr>
          <w:rFonts w:hint="eastAsia" w:ascii="仿宋" w:hAnsi="仿宋" w:eastAsia="仿宋" w:cs="仿宋"/>
          <w:szCs w:val="32"/>
        </w:rPr>
      </w:pPr>
      <w:r>
        <w:rPr>
          <w:rFonts w:eastAsia="楷体"/>
          <w:szCs w:val="32"/>
        </w:rPr>
        <w:t>（十）上年结转：</w:t>
      </w:r>
      <w:r>
        <w:rPr>
          <w:rFonts w:hint="eastAsia" w:ascii="仿宋" w:hAnsi="仿宋" w:eastAsia="仿宋" w:cs="仿宋"/>
          <w:szCs w:val="32"/>
        </w:rPr>
        <w:t>指以前年度尚未完成、结转到本年仍按原规定用途继续使用的资金。</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一</w:t>
      </w:r>
      <w:r>
        <w:rPr>
          <w:rFonts w:eastAsia="楷体"/>
          <w:szCs w:val="32"/>
        </w:rPr>
        <w:t>）结转下年：</w:t>
      </w:r>
      <w:r>
        <w:rPr>
          <w:rFonts w:hint="eastAsia" w:ascii="仿宋" w:hAnsi="仿宋" w:eastAsia="仿宋" w:cs="仿宋"/>
          <w:szCs w:val="32"/>
        </w:rPr>
        <w:t>指以前年度预算安排、因客观条件发生变化无法按原计划实施，需延迟到以后年度按原规定用途继续使用的资金。</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二</w:t>
      </w:r>
      <w:r>
        <w:rPr>
          <w:rFonts w:eastAsia="楷体"/>
          <w:szCs w:val="32"/>
        </w:rPr>
        <w:t>）基本支出：</w:t>
      </w:r>
      <w:r>
        <w:rPr>
          <w:rFonts w:hint="eastAsia" w:ascii="仿宋" w:hAnsi="仿宋" w:eastAsia="仿宋" w:cs="仿宋"/>
          <w:szCs w:val="32"/>
        </w:rPr>
        <w:t>指为保障机构正常运转、完成日常工作任务而发生的人员支出和公用支出。</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三</w:t>
      </w:r>
      <w:r>
        <w:rPr>
          <w:rFonts w:eastAsia="楷体"/>
          <w:szCs w:val="32"/>
        </w:rPr>
        <w:t>）项目支出：</w:t>
      </w:r>
      <w:r>
        <w:rPr>
          <w:rFonts w:hint="eastAsia" w:ascii="仿宋" w:hAnsi="仿宋" w:eastAsia="仿宋" w:cs="仿宋"/>
          <w:szCs w:val="32"/>
        </w:rPr>
        <w:t>指在基本支出之外为完成特定行政任务和事业发展目标所发生的支出。</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四</w:t>
      </w:r>
      <w:r>
        <w:rPr>
          <w:rFonts w:eastAsia="楷体"/>
          <w:szCs w:val="32"/>
        </w:rPr>
        <w:t>）上缴上级支出：</w:t>
      </w:r>
      <w:r>
        <w:rPr>
          <w:rFonts w:hint="eastAsia" w:ascii="仿宋" w:hAnsi="仿宋" w:eastAsia="仿宋" w:cs="仿宋"/>
          <w:szCs w:val="32"/>
        </w:rPr>
        <w:t>指附属单位上缴上级的支出。</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五</w:t>
      </w:r>
      <w:r>
        <w:rPr>
          <w:rFonts w:eastAsia="楷体"/>
          <w:szCs w:val="32"/>
        </w:rPr>
        <w:t>）事业单位经营支出：</w:t>
      </w:r>
      <w:r>
        <w:rPr>
          <w:rFonts w:hint="eastAsia" w:ascii="仿宋" w:hAnsi="仿宋" w:eastAsia="仿宋" w:cs="仿宋"/>
          <w:szCs w:val="32"/>
        </w:rPr>
        <w:t>指事业单位在专业业务活动及其辅助活动之外开展非独立核算经营活动发生的支出。</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六</w:t>
      </w:r>
      <w:r>
        <w:rPr>
          <w:rFonts w:eastAsia="楷体"/>
          <w:szCs w:val="32"/>
        </w:rPr>
        <w:t>）对附属单位补助支出：</w:t>
      </w:r>
      <w:r>
        <w:rPr>
          <w:rFonts w:hint="eastAsia" w:ascii="仿宋" w:hAnsi="仿宋" w:eastAsia="仿宋" w:cs="仿宋"/>
          <w:szCs w:val="32"/>
        </w:rPr>
        <w:t>指对附属单位补助发生的支出。</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七</w:t>
      </w:r>
      <w:r>
        <w:rPr>
          <w:rFonts w:eastAsia="楷体"/>
          <w:szCs w:val="32"/>
        </w:rPr>
        <w:t>）“三公”经费：</w:t>
      </w:r>
      <w:r>
        <w:rPr>
          <w:rFonts w:hint="eastAsia" w:ascii="仿宋" w:hAnsi="仿宋" w:eastAsia="仿宋" w:cs="仿宋"/>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八</w:t>
      </w:r>
      <w:r>
        <w:rPr>
          <w:rFonts w:eastAsia="楷体"/>
          <w:szCs w:val="32"/>
        </w:rPr>
        <w:t>）机关运行经费：</w:t>
      </w:r>
      <w:r>
        <w:rPr>
          <w:rFonts w:hint="eastAsia" w:ascii="仿宋" w:hAnsi="仿宋" w:eastAsia="仿宋" w:cs="仿宋"/>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 w:hAnsi="仿宋" w:eastAsia="仿宋" w:cs="仿宋"/>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ascii="仿宋" w:hAnsi="仿宋" w:eastAsia="仿宋" w:cs="仿宋"/>
        </w:rPr>
        <w:t>项目支出绩效目标是指</w:t>
      </w:r>
      <w:r>
        <w:rPr>
          <w:rFonts w:hint="eastAsia" w:ascii="仿宋" w:hAnsi="仿宋" w:eastAsia="仿宋" w:cs="仿宋"/>
          <w:lang w:val="en-US" w:eastAsia="zh-CN"/>
        </w:rPr>
        <w:t>单位</w:t>
      </w:r>
      <w:r>
        <w:rPr>
          <w:rFonts w:hint="eastAsia" w:ascii="仿宋" w:hAnsi="仿宋" w:eastAsia="仿宋" w:cs="仿宋"/>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658BFF-846C-41C4-A822-9D024834BA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F5820D5-1104-487A-A13F-151A8A194ED0}"/>
  </w:font>
  <w:font w:name="仿宋_GB2312">
    <w:panose1 w:val="02010609030101010101"/>
    <w:charset w:val="86"/>
    <w:family w:val="modern"/>
    <w:pitch w:val="default"/>
    <w:sig w:usb0="00000001" w:usb1="080E0000" w:usb2="00000000" w:usb3="00000000" w:csb0="00040000" w:csb1="00000000"/>
    <w:embedRegular r:id="rId3" w:fontKey="{F3DD68C7-0B2B-4447-9AAF-7D5770EBEBBB}"/>
  </w:font>
  <w:font w:name="华文细黑">
    <w:altName w:val="微软雅黑"/>
    <w:panose1 w:val="02010600040101010101"/>
    <w:charset w:val="86"/>
    <w:family w:val="auto"/>
    <w:pitch w:val="default"/>
    <w:sig w:usb0="00000000" w:usb1="00000000" w:usb2="00000000" w:usb3="00000000" w:csb0="0004009F" w:csb1="DFD70000"/>
    <w:embedRegular r:id="rId4" w:fontKey="{C824D940-9285-448F-AC8F-B544DC8CCF8A}"/>
  </w:font>
  <w:font w:name="方正小标宋简体">
    <w:panose1 w:val="02000000000000000000"/>
    <w:charset w:val="86"/>
    <w:family w:val="auto"/>
    <w:pitch w:val="default"/>
    <w:sig w:usb0="00000001" w:usb1="080E0000" w:usb2="00000000" w:usb3="00000000" w:csb0="00040000" w:csb1="00000000"/>
    <w:embedRegular r:id="rId5" w:fontKey="{11447987-B339-42AA-B595-92DC8AB9202E}"/>
  </w:font>
  <w:font w:name="仿宋">
    <w:panose1 w:val="02010609060101010101"/>
    <w:charset w:val="86"/>
    <w:family w:val="modern"/>
    <w:pitch w:val="default"/>
    <w:sig w:usb0="800002BF" w:usb1="38CF7CFA" w:usb2="00000016" w:usb3="00000000" w:csb0="00040001" w:csb1="00000000"/>
    <w:embedRegular r:id="rId6" w:fontKey="{3BB6EAFB-0AAB-47CA-B512-F129A168B892}"/>
  </w:font>
  <w:font w:name="楷体">
    <w:panose1 w:val="02010609060101010101"/>
    <w:charset w:val="86"/>
    <w:family w:val="modern"/>
    <w:pitch w:val="default"/>
    <w:sig w:usb0="800002BF" w:usb1="38CF7CFA" w:usb2="00000016" w:usb3="00000000" w:csb0="00040001" w:csb1="00000000"/>
    <w:embedRegular r:id="rId7" w:fontKey="{C0507346-4650-483A-808C-2EC3592A731E}"/>
  </w:font>
  <w:font w:name="楷体_GB2312">
    <w:panose1 w:val="02010609030101010101"/>
    <w:charset w:val="86"/>
    <w:family w:val="modern"/>
    <w:pitch w:val="default"/>
    <w:sig w:usb0="00000001" w:usb1="080E0000" w:usb2="00000000" w:usb3="00000000" w:csb0="00040000" w:csb1="00000000"/>
    <w:embedRegular r:id="rId8" w:fontKey="{C3D410E6-640E-49D6-905F-62D8F1756F9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3"/>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fldChar w:fldCharType="begin"/>
    </w:r>
    <w:r>
      <w:rPr>
        <w:rStyle w:val="13"/>
      </w:rPr>
      <w:instrText xml:space="preserve">PAGE  </w:instrText>
    </w:r>
    <w:r>
      <w:fldChar w:fldCharType="separate"/>
    </w:r>
    <w:r>
      <w:rPr>
        <w:rStyle w:val="13"/>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3"/>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22DB3"/>
    <w:multiLevelType w:val="singleLevel"/>
    <w:tmpl w:val="86A22DB3"/>
    <w:lvl w:ilvl="0" w:tentative="0">
      <w:start w:val="3"/>
      <w:numFmt w:val="chineseCounting"/>
      <w:suff w:val="nothing"/>
      <w:lvlText w:val="（%1）"/>
      <w:lvlJc w:val="left"/>
      <w:rPr>
        <w:rFonts w:hint="eastAsia"/>
      </w:rPr>
    </w:lvl>
  </w:abstractNum>
  <w:abstractNum w:abstractNumId="1">
    <w:nsid w:val="B411BF3D"/>
    <w:multiLevelType w:val="singleLevel"/>
    <w:tmpl w:val="B411BF3D"/>
    <w:lvl w:ilvl="0" w:tentative="0">
      <w:start w:val="1"/>
      <w:numFmt w:val="chineseCounting"/>
      <w:suff w:val="nothing"/>
      <w:lvlText w:val="（%1）"/>
      <w:lvlJc w:val="left"/>
      <w:rPr>
        <w:rFonts w:hint="eastAsia" w:ascii="仿宋" w:hAnsi="仿宋" w:eastAsia="仿宋" w:cs="仿宋"/>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OWJkOTExN2UxZjBmMjczY2YzYzI0YzQwYzc0NGY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47DE1"/>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54027"/>
    <w:rsid w:val="00F7193F"/>
    <w:rsid w:val="00F8523B"/>
    <w:rsid w:val="00FF7928"/>
    <w:rsid w:val="01265BCF"/>
    <w:rsid w:val="019B69D8"/>
    <w:rsid w:val="01B7145A"/>
    <w:rsid w:val="02033000"/>
    <w:rsid w:val="020E6D2C"/>
    <w:rsid w:val="021F0B51"/>
    <w:rsid w:val="026E6F9B"/>
    <w:rsid w:val="02C44267"/>
    <w:rsid w:val="031D7D4B"/>
    <w:rsid w:val="03687628"/>
    <w:rsid w:val="037F2004"/>
    <w:rsid w:val="038F4FE4"/>
    <w:rsid w:val="03E70DB3"/>
    <w:rsid w:val="04253689"/>
    <w:rsid w:val="045A09FE"/>
    <w:rsid w:val="045A3428"/>
    <w:rsid w:val="0486486A"/>
    <w:rsid w:val="04954460"/>
    <w:rsid w:val="04B818D1"/>
    <w:rsid w:val="050D06DA"/>
    <w:rsid w:val="05310B72"/>
    <w:rsid w:val="05513E94"/>
    <w:rsid w:val="056F5854"/>
    <w:rsid w:val="056F5A6D"/>
    <w:rsid w:val="059B3770"/>
    <w:rsid w:val="061D7D49"/>
    <w:rsid w:val="06317000"/>
    <w:rsid w:val="063949A0"/>
    <w:rsid w:val="06BD5BC7"/>
    <w:rsid w:val="06F008FF"/>
    <w:rsid w:val="079E5032"/>
    <w:rsid w:val="08362C00"/>
    <w:rsid w:val="09015F14"/>
    <w:rsid w:val="09047D11"/>
    <w:rsid w:val="091C5C63"/>
    <w:rsid w:val="09421190"/>
    <w:rsid w:val="098350DA"/>
    <w:rsid w:val="09A0082A"/>
    <w:rsid w:val="09DD28E5"/>
    <w:rsid w:val="0A00435B"/>
    <w:rsid w:val="0AAA1697"/>
    <w:rsid w:val="0ABA06FE"/>
    <w:rsid w:val="0B49202F"/>
    <w:rsid w:val="0B4F3FD7"/>
    <w:rsid w:val="0B5F5ADA"/>
    <w:rsid w:val="0C2A5C84"/>
    <w:rsid w:val="0C4F64D9"/>
    <w:rsid w:val="0C583939"/>
    <w:rsid w:val="0C6D1BAE"/>
    <w:rsid w:val="0D2A2435"/>
    <w:rsid w:val="0DA001B0"/>
    <w:rsid w:val="0DB52802"/>
    <w:rsid w:val="0DDA308D"/>
    <w:rsid w:val="0DEB170B"/>
    <w:rsid w:val="0E286250"/>
    <w:rsid w:val="0E4C7841"/>
    <w:rsid w:val="0E97506F"/>
    <w:rsid w:val="0F0A004B"/>
    <w:rsid w:val="0F3E0406"/>
    <w:rsid w:val="0F980230"/>
    <w:rsid w:val="0FD62F63"/>
    <w:rsid w:val="0FDE2A27"/>
    <w:rsid w:val="100131FC"/>
    <w:rsid w:val="105C7CC6"/>
    <w:rsid w:val="108F25B6"/>
    <w:rsid w:val="10AE7F82"/>
    <w:rsid w:val="10C93B35"/>
    <w:rsid w:val="11177619"/>
    <w:rsid w:val="112605C8"/>
    <w:rsid w:val="115B693C"/>
    <w:rsid w:val="11691059"/>
    <w:rsid w:val="118C2F9A"/>
    <w:rsid w:val="11A6707B"/>
    <w:rsid w:val="11B35B2F"/>
    <w:rsid w:val="12E711B7"/>
    <w:rsid w:val="136D62BD"/>
    <w:rsid w:val="136E4388"/>
    <w:rsid w:val="13F21722"/>
    <w:rsid w:val="1441443C"/>
    <w:rsid w:val="1494463F"/>
    <w:rsid w:val="149457D3"/>
    <w:rsid w:val="14C12787"/>
    <w:rsid w:val="14E153AA"/>
    <w:rsid w:val="15593E10"/>
    <w:rsid w:val="156B5449"/>
    <w:rsid w:val="159F7E25"/>
    <w:rsid w:val="15F1161D"/>
    <w:rsid w:val="15F848D0"/>
    <w:rsid w:val="160E1FA5"/>
    <w:rsid w:val="160F2600"/>
    <w:rsid w:val="161377E5"/>
    <w:rsid w:val="16783AEC"/>
    <w:rsid w:val="16C829AB"/>
    <w:rsid w:val="16DD34F5"/>
    <w:rsid w:val="16F3282B"/>
    <w:rsid w:val="1706617A"/>
    <w:rsid w:val="172F4AF3"/>
    <w:rsid w:val="173B2D95"/>
    <w:rsid w:val="17765BCA"/>
    <w:rsid w:val="178B0B60"/>
    <w:rsid w:val="17A027D8"/>
    <w:rsid w:val="17CC2625"/>
    <w:rsid w:val="17DA5F1D"/>
    <w:rsid w:val="17FC181D"/>
    <w:rsid w:val="18300B23"/>
    <w:rsid w:val="184F61CB"/>
    <w:rsid w:val="18656ACD"/>
    <w:rsid w:val="19132BE0"/>
    <w:rsid w:val="191F4716"/>
    <w:rsid w:val="191F7B5A"/>
    <w:rsid w:val="192229AF"/>
    <w:rsid w:val="1954649C"/>
    <w:rsid w:val="1A817DF8"/>
    <w:rsid w:val="1A8A6135"/>
    <w:rsid w:val="1ABE146C"/>
    <w:rsid w:val="1ADC594E"/>
    <w:rsid w:val="1AEB5252"/>
    <w:rsid w:val="1B6B0D59"/>
    <w:rsid w:val="1B817DA7"/>
    <w:rsid w:val="1B8A03E4"/>
    <w:rsid w:val="1B8C2514"/>
    <w:rsid w:val="1B9C1459"/>
    <w:rsid w:val="1C852172"/>
    <w:rsid w:val="1CA40C0C"/>
    <w:rsid w:val="1CFF214E"/>
    <w:rsid w:val="1CFF4A32"/>
    <w:rsid w:val="1D28001A"/>
    <w:rsid w:val="1D5801D4"/>
    <w:rsid w:val="1D833200"/>
    <w:rsid w:val="1E3A3FD0"/>
    <w:rsid w:val="1E935967"/>
    <w:rsid w:val="1EA740CC"/>
    <w:rsid w:val="1EB55C07"/>
    <w:rsid w:val="1F351A10"/>
    <w:rsid w:val="1F857EA5"/>
    <w:rsid w:val="1FED47E9"/>
    <w:rsid w:val="206816AC"/>
    <w:rsid w:val="21134335"/>
    <w:rsid w:val="216E7FC6"/>
    <w:rsid w:val="21993A30"/>
    <w:rsid w:val="21C106D4"/>
    <w:rsid w:val="224D36C3"/>
    <w:rsid w:val="226E581D"/>
    <w:rsid w:val="22764811"/>
    <w:rsid w:val="22A30143"/>
    <w:rsid w:val="22A4003E"/>
    <w:rsid w:val="22CD081E"/>
    <w:rsid w:val="23135C25"/>
    <w:rsid w:val="23B339CD"/>
    <w:rsid w:val="23EC61F6"/>
    <w:rsid w:val="24084702"/>
    <w:rsid w:val="24281929"/>
    <w:rsid w:val="244C543C"/>
    <w:rsid w:val="24624768"/>
    <w:rsid w:val="24E72569"/>
    <w:rsid w:val="259B5BC5"/>
    <w:rsid w:val="25DC4DA4"/>
    <w:rsid w:val="25F62C4E"/>
    <w:rsid w:val="26643D6C"/>
    <w:rsid w:val="26FE109D"/>
    <w:rsid w:val="27073E1E"/>
    <w:rsid w:val="27B04AB3"/>
    <w:rsid w:val="27B05B28"/>
    <w:rsid w:val="282C3BA1"/>
    <w:rsid w:val="28A63332"/>
    <w:rsid w:val="28C96E8E"/>
    <w:rsid w:val="29121B7F"/>
    <w:rsid w:val="29AC3D81"/>
    <w:rsid w:val="29C45F24"/>
    <w:rsid w:val="29D92EB9"/>
    <w:rsid w:val="2A5115D6"/>
    <w:rsid w:val="2B2900D2"/>
    <w:rsid w:val="2BCB63A1"/>
    <w:rsid w:val="2C071F73"/>
    <w:rsid w:val="2CC46D50"/>
    <w:rsid w:val="2D151C3D"/>
    <w:rsid w:val="2D7626DC"/>
    <w:rsid w:val="2D8D3DCE"/>
    <w:rsid w:val="2D9038E4"/>
    <w:rsid w:val="2DDB1678"/>
    <w:rsid w:val="2DF8796C"/>
    <w:rsid w:val="2E12184A"/>
    <w:rsid w:val="2EB22F18"/>
    <w:rsid w:val="2EE12108"/>
    <w:rsid w:val="2EE713B8"/>
    <w:rsid w:val="2EED35E3"/>
    <w:rsid w:val="2F087C3F"/>
    <w:rsid w:val="2F0B5068"/>
    <w:rsid w:val="2F250383"/>
    <w:rsid w:val="2F63610B"/>
    <w:rsid w:val="2F753DEB"/>
    <w:rsid w:val="2FBC646B"/>
    <w:rsid w:val="300965A3"/>
    <w:rsid w:val="300E150D"/>
    <w:rsid w:val="30730D6E"/>
    <w:rsid w:val="308B20C9"/>
    <w:rsid w:val="30B91A70"/>
    <w:rsid w:val="30F84C22"/>
    <w:rsid w:val="30FA3FE7"/>
    <w:rsid w:val="310C6AA2"/>
    <w:rsid w:val="316845A7"/>
    <w:rsid w:val="31793674"/>
    <w:rsid w:val="31894469"/>
    <w:rsid w:val="32332703"/>
    <w:rsid w:val="323D1A1A"/>
    <w:rsid w:val="32CF2C5D"/>
    <w:rsid w:val="32EE2C61"/>
    <w:rsid w:val="335402B5"/>
    <w:rsid w:val="338D077F"/>
    <w:rsid w:val="339466B2"/>
    <w:rsid w:val="34101324"/>
    <w:rsid w:val="34555AF5"/>
    <w:rsid w:val="34FF687B"/>
    <w:rsid w:val="354C4987"/>
    <w:rsid w:val="35616772"/>
    <w:rsid w:val="35731BF7"/>
    <w:rsid w:val="359A6977"/>
    <w:rsid w:val="35EA1663"/>
    <w:rsid w:val="36054F45"/>
    <w:rsid w:val="364C598E"/>
    <w:rsid w:val="368A3622"/>
    <w:rsid w:val="36B543E5"/>
    <w:rsid w:val="36CC2B0F"/>
    <w:rsid w:val="36FC762F"/>
    <w:rsid w:val="37FE4E1F"/>
    <w:rsid w:val="380A4A95"/>
    <w:rsid w:val="3838492F"/>
    <w:rsid w:val="383A009B"/>
    <w:rsid w:val="3887374F"/>
    <w:rsid w:val="38C51F33"/>
    <w:rsid w:val="38CB0ABC"/>
    <w:rsid w:val="39041A07"/>
    <w:rsid w:val="39043B77"/>
    <w:rsid w:val="39670895"/>
    <w:rsid w:val="397B4EE2"/>
    <w:rsid w:val="39A712F4"/>
    <w:rsid w:val="3A387943"/>
    <w:rsid w:val="3A657F9A"/>
    <w:rsid w:val="3A9113D4"/>
    <w:rsid w:val="3AC54F32"/>
    <w:rsid w:val="3B144A0A"/>
    <w:rsid w:val="3B254018"/>
    <w:rsid w:val="3B5257F8"/>
    <w:rsid w:val="3BC92948"/>
    <w:rsid w:val="3BE370D4"/>
    <w:rsid w:val="3C1A026D"/>
    <w:rsid w:val="3C29381E"/>
    <w:rsid w:val="3C711E1D"/>
    <w:rsid w:val="3C7F463D"/>
    <w:rsid w:val="3C86605C"/>
    <w:rsid w:val="3CAE3960"/>
    <w:rsid w:val="3CEF6494"/>
    <w:rsid w:val="3D365BF6"/>
    <w:rsid w:val="3D7F7007"/>
    <w:rsid w:val="3D883E24"/>
    <w:rsid w:val="3DB008AA"/>
    <w:rsid w:val="3DF064DB"/>
    <w:rsid w:val="3DF23324"/>
    <w:rsid w:val="3EA14040"/>
    <w:rsid w:val="3EC17937"/>
    <w:rsid w:val="3EE8108D"/>
    <w:rsid w:val="3F067638"/>
    <w:rsid w:val="3F7A7E3B"/>
    <w:rsid w:val="3F8201A3"/>
    <w:rsid w:val="3F982986"/>
    <w:rsid w:val="3FF81676"/>
    <w:rsid w:val="402675EA"/>
    <w:rsid w:val="40B80EFF"/>
    <w:rsid w:val="415B520C"/>
    <w:rsid w:val="41A35364"/>
    <w:rsid w:val="41C31686"/>
    <w:rsid w:val="41C837BC"/>
    <w:rsid w:val="421643AC"/>
    <w:rsid w:val="422B7AE1"/>
    <w:rsid w:val="42982B4E"/>
    <w:rsid w:val="429F5D0C"/>
    <w:rsid w:val="42D83665"/>
    <w:rsid w:val="434A6B47"/>
    <w:rsid w:val="436B1E42"/>
    <w:rsid w:val="44D34460"/>
    <w:rsid w:val="456D114B"/>
    <w:rsid w:val="45EB670F"/>
    <w:rsid w:val="46AB7C0D"/>
    <w:rsid w:val="46D44808"/>
    <w:rsid w:val="46D81292"/>
    <w:rsid w:val="46ED776B"/>
    <w:rsid w:val="47634C7E"/>
    <w:rsid w:val="479D2523"/>
    <w:rsid w:val="47CF49E6"/>
    <w:rsid w:val="48674ED2"/>
    <w:rsid w:val="487708E6"/>
    <w:rsid w:val="48B540F2"/>
    <w:rsid w:val="490C59BB"/>
    <w:rsid w:val="493F6F72"/>
    <w:rsid w:val="49645F71"/>
    <w:rsid w:val="499F5C68"/>
    <w:rsid w:val="4A52465C"/>
    <w:rsid w:val="4A5C4AC6"/>
    <w:rsid w:val="4A662FBF"/>
    <w:rsid w:val="4AEB42B2"/>
    <w:rsid w:val="4AF16062"/>
    <w:rsid w:val="4B0A57E5"/>
    <w:rsid w:val="4B646DDD"/>
    <w:rsid w:val="4B7F44F8"/>
    <w:rsid w:val="4BAC24C5"/>
    <w:rsid w:val="4BFA0656"/>
    <w:rsid w:val="4C18757F"/>
    <w:rsid w:val="4C202478"/>
    <w:rsid w:val="4D3439E8"/>
    <w:rsid w:val="4D4E2809"/>
    <w:rsid w:val="4D730507"/>
    <w:rsid w:val="4D741DD3"/>
    <w:rsid w:val="4DA21EF6"/>
    <w:rsid w:val="4DC93207"/>
    <w:rsid w:val="4E010C4C"/>
    <w:rsid w:val="4E214B2B"/>
    <w:rsid w:val="4E2D4BE1"/>
    <w:rsid w:val="4E3D6747"/>
    <w:rsid w:val="4E546541"/>
    <w:rsid w:val="4E6A7ED2"/>
    <w:rsid w:val="4E8D5761"/>
    <w:rsid w:val="4EF54A85"/>
    <w:rsid w:val="4EF972C6"/>
    <w:rsid w:val="4F271630"/>
    <w:rsid w:val="4F5772A5"/>
    <w:rsid w:val="4FAB04B3"/>
    <w:rsid w:val="501B3C66"/>
    <w:rsid w:val="504B40C5"/>
    <w:rsid w:val="50987DC2"/>
    <w:rsid w:val="50A4703E"/>
    <w:rsid w:val="51282B99"/>
    <w:rsid w:val="5136104F"/>
    <w:rsid w:val="51465EDE"/>
    <w:rsid w:val="517B3C4F"/>
    <w:rsid w:val="519830D8"/>
    <w:rsid w:val="51C73C50"/>
    <w:rsid w:val="52071113"/>
    <w:rsid w:val="52085509"/>
    <w:rsid w:val="522774C4"/>
    <w:rsid w:val="522825B3"/>
    <w:rsid w:val="522A7431"/>
    <w:rsid w:val="525A440D"/>
    <w:rsid w:val="52626449"/>
    <w:rsid w:val="52B14033"/>
    <w:rsid w:val="52FA4256"/>
    <w:rsid w:val="532A5DCB"/>
    <w:rsid w:val="536C4BD3"/>
    <w:rsid w:val="53740406"/>
    <w:rsid w:val="544E511A"/>
    <w:rsid w:val="54741940"/>
    <w:rsid w:val="54810E66"/>
    <w:rsid w:val="54893697"/>
    <w:rsid w:val="54C063E4"/>
    <w:rsid w:val="54C2556E"/>
    <w:rsid w:val="54D10B7E"/>
    <w:rsid w:val="553B3FF0"/>
    <w:rsid w:val="55480EEF"/>
    <w:rsid w:val="559F1AA1"/>
    <w:rsid w:val="55A23456"/>
    <w:rsid w:val="56156687"/>
    <w:rsid w:val="569B7F91"/>
    <w:rsid w:val="56D21BED"/>
    <w:rsid w:val="56E85B49"/>
    <w:rsid w:val="572651B2"/>
    <w:rsid w:val="57AE5C26"/>
    <w:rsid w:val="57DD75A9"/>
    <w:rsid w:val="5801059F"/>
    <w:rsid w:val="58256ABD"/>
    <w:rsid w:val="58311772"/>
    <w:rsid w:val="58BD7A53"/>
    <w:rsid w:val="58C27FDB"/>
    <w:rsid w:val="59472AC7"/>
    <w:rsid w:val="59B77A55"/>
    <w:rsid w:val="59D514A6"/>
    <w:rsid w:val="59EC6E09"/>
    <w:rsid w:val="5AB343F7"/>
    <w:rsid w:val="5ABF50F2"/>
    <w:rsid w:val="5AEC3F3B"/>
    <w:rsid w:val="5AEE5E98"/>
    <w:rsid w:val="5AF25D13"/>
    <w:rsid w:val="5AF76904"/>
    <w:rsid w:val="5B052E7A"/>
    <w:rsid w:val="5B3D7F7E"/>
    <w:rsid w:val="5B7C7777"/>
    <w:rsid w:val="5BEC6771"/>
    <w:rsid w:val="5C25172C"/>
    <w:rsid w:val="5CA506B9"/>
    <w:rsid w:val="5CE534E4"/>
    <w:rsid w:val="5CF74CE4"/>
    <w:rsid w:val="5D517A74"/>
    <w:rsid w:val="5D5A7C63"/>
    <w:rsid w:val="5E256F6F"/>
    <w:rsid w:val="5E584494"/>
    <w:rsid w:val="5E8343A9"/>
    <w:rsid w:val="5EBD52DE"/>
    <w:rsid w:val="5ED748D9"/>
    <w:rsid w:val="5EE869F7"/>
    <w:rsid w:val="5F6235A9"/>
    <w:rsid w:val="6045600A"/>
    <w:rsid w:val="60DC439E"/>
    <w:rsid w:val="613F30C6"/>
    <w:rsid w:val="614125C2"/>
    <w:rsid w:val="6162299C"/>
    <w:rsid w:val="61AA1D1F"/>
    <w:rsid w:val="61BC4533"/>
    <w:rsid w:val="61BD7BD2"/>
    <w:rsid w:val="61E84C4F"/>
    <w:rsid w:val="624C5C52"/>
    <w:rsid w:val="6276697D"/>
    <w:rsid w:val="6289001C"/>
    <w:rsid w:val="630D1651"/>
    <w:rsid w:val="63DF08E4"/>
    <w:rsid w:val="641066DF"/>
    <w:rsid w:val="64153CF6"/>
    <w:rsid w:val="642B5714"/>
    <w:rsid w:val="645962D8"/>
    <w:rsid w:val="64C04AFD"/>
    <w:rsid w:val="655B219F"/>
    <w:rsid w:val="661A7B69"/>
    <w:rsid w:val="66285F62"/>
    <w:rsid w:val="66455323"/>
    <w:rsid w:val="664909C1"/>
    <w:rsid w:val="66635AE4"/>
    <w:rsid w:val="667747F4"/>
    <w:rsid w:val="66C63EB5"/>
    <w:rsid w:val="672D584D"/>
    <w:rsid w:val="67592674"/>
    <w:rsid w:val="679461D3"/>
    <w:rsid w:val="67AE2497"/>
    <w:rsid w:val="6858287E"/>
    <w:rsid w:val="68593A1E"/>
    <w:rsid w:val="68877308"/>
    <w:rsid w:val="68AC393F"/>
    <w:rsid w:val="68C04D52"/>
    <w:rsid w:val="68D33DE9"/>
    <w:rsid w:val="69157114"/>
    <w:rsid w:val="691A443E"/>
    <w:rsid w:val="69944F9A"/>
    <w:rsid w:val="69E203A0"/>
    <w:rsid w:val="6A192B64"/>
    <w:rsid w:val="6A5B6D7D"/>
    <w:rsid w:val="6A765FBC"/>
    <w:rsid w:val="6A80735F"/>
    <w:rsid w:val="6A8C3B62"/>
    <w:rsid w:val="6AC17181"/>
    <w:rsid w:val="6ACC5E47"/>
    <w:rsid w:val="6AD43ED1"/>
    <w:rsid w:val="6B11024D"/>
    <w:rsid w:val="6B5C5DCB"/>
    <w:rsid w:val="6B7D5B36"/>
    <w:rsid w:val="6B8F519C"/>
    <w:rsid w:val="6BAB4210"/>
    <w:rsid w:val="6C834DAA"/>
    <w:rsid w:val="6C993CCE"/>
    <w:rsid w:val="6CF120A8"/>
    <w:rsid w:val="6D292DC4"/>
    <w:rsid w:val="6D72413D"/>
    <w:rsid w:val="6DDA2FBC"/>
    <w:rsid w:val="6EDC0332"/>
    <w:rsid w:val="6F5544EF"/>
    <w:rsid w:val="6FF50B81"/>
    <w:rsid w:val="70247225"/>
    <w:rsid w:val="70330B9C"/>
    <w:rsid w:val="709C4BE4"/>
    <w:rsid w:val="714213DD"/>
    <w:rsid w:val="717F272E"/>
    <w:rsid w:val="71B7463E"/>
    <w:rsid w:val="72783A23"/>
    <w:rsid w:val="728027C6"/>
    <w:rsid w:val="73104006"/>
    <w:rsid w:val="73B13A3B"/>
    <w:rsid w:val="73D62FA6"/>
    <w:rsid w:val="73EC4A73"/>
    <w:rsid w:val="73FE7ACC"/>
    <w:rsid w:val="74556746"/>
    <w:rsid w:val="74743258"/>
    <w:rsid w:val="748B11DA"/>
    <w:rsid w:val="74B80DF9"/>
    <w:rsid w:val="75D94B83"/>
    <w:rsid w:val="75E8493F"/>
    <w:rsid w:val="761B13C4"/>
    <w:rsid w:val="762F3CA5"/>
    <w:rsid w:val="764B6A8A"/>
    <w:rsid w:val="76C17E06"/>
    <w:rsid w:val="76CA67BD"/>
    <w:rsid w:val="773E20F1"/>
    <w:rsid w:val="774E6400"/>
    <w:rsid w:val="775B0046"/>
    <w:rsid w:val="784C1A5E"/>
    <w:rsid w:val="786A79AB"/>
    <w:rsid w:val="787715CC"/>
    <w:rsid w:val="78862FB0"/>
    <w:rsid w:val="78C90605"/>
    <w:rsid w:val="78E21FA1"/>
    <w:rsid w:val="78F603BB"/>
    <w:rsid w:val="79700BEF"/>
    <w:rsid w:val="798D552B"/>
    <w:rsid w:val="7A090695"/>
    <w:rsid w:val="7A1D5951"/>
    <w:rsid w:val="7AE175F4"/>
    <w:rsid w:val="7AE64082"/>
    <w:rsid w:val="7B096151"/>
    <w:rsid w:val="7B417685"/>
    <w:rsid w:val="7B5220F0"/>
    <w:rsid w:val="7BA169C0"/>
    <w:rsid w:val="7BC55243"/>
    <w:rsid w:val="7C2F4A9A"/>
    <w:rsid w:val="7C322B65"/>
    <w:rsid w:val="7CAD595B"/>
    <w:rsid w:val="7CF65D07"/>
    <w:rsid w:val="7D2975D1"/>
    <w:rsid w:val="7D2A2168"/>
    <w:rsid w:val="7D2F3083"/>
    <w:rsid w:val="7D906046"/>
    <w:rsid w:val="7DCB56F9"/>
    <w:rsid w:val="7DCC0CD6"/>
    <w:rsid w:val="7E6B0C8A"/>
    <w:rsid w:val="7F7B4EFD"/>
    <w:rsid w:val="7F8968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2">
    <w:name w:val="Default Paragraph Font"/>
    <w:qFormat/>
    <w:uiPriority w:val="0"/>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8"/>
    <w:autoRedefine/>
    <w:qFormat/>
    <w:uiPriority w:val="0"/>
    <w:rPr>
      <w:sz w:val="18"/>
      <w:szCs w:val="18"/>
    </w:rPr>
  </w:style>
  <w:style w:type="paragraph" w:styleId="6">
    <w:name w:val="footer"/>
    <w:basedOn w:val="1"/>
    <w:link w:val="17"/>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autoRedefine/>
    <w:qFormat/>
    <w:uiPriority w:val="0"/>
    <w:pPr>
      <w:spacing w:after="120"/>
      <w:ind w:left="420" w:leftChars="200"/>
    </w:pPr>
    <w:rPr>
      <w:sz w:val="16"/>
      <w:szCs w:val="16"/>
    </w:rPr>
  </w:style>
  <w:style w:type="paragraph" w:styleId="9">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1">
    <w:name w:val="Table Grid"/>
    <w:basedOn w:val="10"/>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basedOn w:val="12"/>
    <w:autoRedefine/>
    <w:qFormat/>
    <w:uiPriority w:val="0"/>
  </w:style>
  <w:style w:type="character" w:customStyle="1" w:styleId="14">
    <w:name w:val="font61"/>
    <w:autoRedefine/>
    <w:qFormat/>
    <w:uiPriority w:val="0"/>
    <w:rPr>
      <w:rFonts w:hint="eastAsia" w:ascii="宋体" w:hAnsi="宋体" w:eastAsia="宋体" w:cs="宋体"/>
      <w:color w:val="000000"/>
      <w:sz w:val="24"/>
      <w:szCs w:val="24"/>
      <w:u w:val="none"/>
    </w:rPr>
  </w:style>
  <w:style w:type="character" w:customStyle="1" w:styleId="15">
    <w:name w:val="font41"/>
    <w:autoRedefine/>
    <w:qFormat/>
    <w:uiPriority w:val="0"/>
    <w:rPr>
      <w:rFonts w:hint="default" w:ascii="华文细黑" w:hAnsi="华文细黑" w:eastAsia="华文细黑" w:cs="华文细黑"/>
      <w:color w:val="000000"/>
      <w:sz w:val="20"/>
      <w:szCs w:val="20"/>
      <w:u w:val="none"/>
    </w:rPr>
  </w:style>
  <w:style w:type="character" w:customStyle="1" w:styleId="16">
    <w:name w:val="font11"/>
    <w:autoRedefine/>
    <w:qFormat/>
    <w:uiPriority w:val="0"/>
    <w:rPr>
      <w:rFonts w:hint="default" w:ascii="Arial" w:hAnsi="Arial" w:cs="Arial"/>
      <w:color w:val="000000"/>
      <w:sz w:val="24"/>
      <w:szCs w:val="24"/>
      <w:u w:val="none"/>
    </w:rPr>
  </w:style>
  <w:style w:type="character" w:customStyle="1" w:styleId="17">
    <w:name w:val="页脚 字符"/>
    <w:link w:val="6"/>
    <w:autoRedefine/>
    <w:qFormat/>
    <w:uiPriority w:val="0"/>
    <w:rPr>
      <w:rFonts w:eastAsia="仿宋_GB2312"/>
      <w:kern w:val="2"/>
      <w:sz w:val="18"/>
    </w:rPr>
  </w:style>
  <w:style w:type="character" w:customStyle="1" w:styleId="18">
    <w:name w:val="批注框文本 字符"/>
    <w:link w:val="5"/>
    <w:autoRedefine/>
    <w:qFormat/>
    <w:uiPriority w:val="0"/>
    <w:rPr>
      <w:rFonts w:eastAsia="仿宋_GB2312"/>
      <w:kern w:val="2"/>
      <w:sz w:val="18"/>
      <w:szCs w:val="18"/>
    </w:rPr>
  </w:style>
  <w:style w:type="character" w:customStyle="1" w:styleId="19">
    <w:name w:val="font21"/>
    <w:qFormat/>
    <w:uiPriority w:val="0"/>
    <w:rPr>
      <w:rFonts w:hint="default" w:ascii="Arial" w:hAnsi="Arial" w:cs="Arial"/>
      <w:color w:val="000000"/>
      <w:sz w:val="20"/>
      <w:szCs w:val="20"/>
      <w:u w:val="none"/>
    </w:rPr>
  </w:style>
  <w:style w:type="character" w:customStyle="1" w:styleId="20">
    <w:name w:val="font01"/>
    <w:autoRedefine/>
    <w:qFormat/>
    <w:uiPriority w:val="0"/>
    <w:rPr>
      <w:rFonts w:hint="default" w:ascii="Times New Roman" w:hAnsi="Times New Roman" w:cs="Times New Roman"/>
      <w:color w:val="000000"/>
      <w:sz w:val="24"/>
      <w:szCs w:val="24"/>
      <w:u w:val="none"/>
    </w:rPr>
  </w:style>
  <w:style w:type="paragraph" w:customStyle="1" w:styleId="21">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7">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8">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30">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3">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2">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7">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8">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p0"/>
    <w:basedOn w:val="1"/>
    <w:autoRedefine/>
    <w:qFormat/>
    <w:uiPriority w:val="0"/>
    <w:pPr>
      <w:widowControl/>
    </w:pPr>
    <w:rPr>
      <w:rFonts w:eastAsia="宋体"/>
      <w:kern w:val="0"/>
      <w:szCs w:val="32"/>
    </w:rPr>
  </w:style>
  <w:style w:type="paragraph" w:customStyle="1" w:styleId="50">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7">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9">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0">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2">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正文文本 21"/>
    <w:basedOn w:val="1"/>
    <w:autoRedefine/>
    <w:qFormat/>
    <w:uiPriority w:val="0"/>
    <w:pPr>
      <w:adjustRightInd w:val="0"/>
      <w:ind w:firstLine="630"/>
      <w:jc w:val="left"/>
      <w:textAlignment w:val="baseline"/>
    </w:pPr>
    <w:rPr>
      <w:rFonts w:eastAsia="黑体"/>
    </w:rPr>
  </w:style>
  <w:style w:type="paragraph" w:customStyle="1" w:styleId="64">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5">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0">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5">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7">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9">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Char"/>
    <w:basedOn w:val="1"/>
    <w:autoRedefine/>
    <w:qFormat/>
    <w:uiPriority w:val="0"/>
    <w:rPr>
      <w:rFonts w:eastAsia="宋体"/>
      <w:sz w:val="21"/>
      <w:szCs w:val="21"/>
    </w:rPr>
  </w:style>
  <w:style w:type="paragraph" w:customStyle="1" w:styleId="81">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3">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5819</Words>
  <Characters>6998</Characters>
  <Lines>71</Lines>
  <Paragraphs>20</Paragraphs>
  <TotalTime>15</TotalTime>
  <ScaleCrop>false</ScaleCrop>
  <LinksUpToDate>false</LinksUpToDate>
  <CharactersWithSpaces>7541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ʚ阳光温暖却也刺眼ɞ</cp:lastModifiedBy>
  <cp:lastPrinted>2024-02-23T02:46:00Z</cp:lastPrinted>
  <dcterms:modified xsi:type="dcterms:W3CDTF">2024-02-26T03:34:06Z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28BDCC94AAD94F8A93ED12FD5B9511DC_13</vt:lpwstr>
  </property>
</Properties>
</file>