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val="en-US" w:eastAsia="zh-CN"/>
        </w:rPr>
        <w:t>四平市统计局铁东区分局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rPr>
          <w:rFonts w:hint="eastAsia" w:ascii="仿宋" w:hAnsi="仿宋" w:eastAsia="仿宋" w:cs="仿宋"/>
        </w:rPr>
      </w:pPr>
      <w:r>
        <w:rPr>
          <w:rFonts w:hint="eastAsia" w:ascii="仿宋" w:hAnsi="仿宋" w:eastAsia="仿宋" w:cs="仿宋"/>
        </w:rPr>
        <w:t>一、主要职能</w:t>
      </w:r>
    </w:p>
    <w:p>
      <w:pPr>
        <w:ind w:left="320" w:leftChars="100" w:firstLine="320" w:firstLineChars="100"/>
        <w:rPr>
          <w:rFonts w:hint="eastAsia" w:ascii="仿宋" w:hAnsi="仿宋" w:eastAsia="仿宋" w:cs="仿宋"/>
        </w:rPr>
      </w:pPr>
      <w:r>
        <w:rPr>
          <w:rFonts w:hint="eastAsia" w:ascii="仿宋" w:hAnsi="仿宋" w:eastAsia="仿宋" w:cs="仿宋"/>
        </w:rPr>
        <w:t>二、机构设置</w:t>
      </w:r>
    </w:p>
    <w:p>
      <w:pPr>
        <w:rPr>
          <w:rFonts w:eastAsia="黑体"/>
        </w:rPr>
      </w:pPr>
      <w:r>
        <w:rPr>
          <w:rFonts w:eastAsia="黑体"/>
        </w:rPr>
        <w:t>第二部分  预算表格</w:t>
      </w:r>
    </w:p>
    <w:p>
      <w:pPr>
        <w:ind w:left="320" w:leftChars="100" w:firstLine="320" w:firstLineChars="100"/>
        <w:rPr>
          <w:rFonts w:hint="eastAsia" w:ascii="仿宋" w:hAnsi="仿宋" w:eastAsia="仿宋" w:cs="仿宋"/>
        </w:rPr>
      </w:pPr>
      <w:r>
        <w:rPr>
          <w:rFonts w:hint="eastAsia" w:ascii="仿宋" w:hAnsi="仿宋" w:eastAsia="仿宋" w:cs="仿宋"/>
        </w:rPr>
        <w:t>一、收支</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二、收入</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三、支出</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四、财政拨款收支</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五、一般公共预算</w:t>
      </w:r>
      <w:r>
        <w:rPr>
          <w:rFonts w:hint="eastAsia" w:ascii="仿宋" w:hAnsi="仿宋" w:eastAsia="仿宋" w:cs="仿宋"/>
          <w:lang w:eastAsia="zh-CN"/>
        </w:rPr>
        <w:t>拨款</w:t>
      </w:r>
      <w:r>
        <w:rPr>
          <w:rFonts w:hint="eastAsia" w:ascii="仿宋" w:hAnsi="仿宋" w:eastAsia="仿宋" w:cs="仿宋"/>
        </w:rPr>
        <w:t>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六、一般公共预算基本支出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七、一般公共预算“三公”经费支出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八、政府性基金预算</w:t>
      </w:r>
      <w:r>
        <w:rPr>
          <w:rFonts w:hint="eastAsia" w:ascii="仿宋" w:hAnsi="仿宋" w:eastAsia="仿宋" w:cs="仿宋"/>
          <w:lang w:eastAsia="zh-CN"/>
        </w:rPr>
        <w:t>拨款</w:t>
      </w:r>
      <w:r>
        <w:rPr>
          <w:rFonts w:hint="eastAsia" w:ascii="仿宋" w:hAnsi="仿宋" w:eastAsia="仿宋" w:cs="仿宋"/>
        </w:rPr>
        <w:t>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九、国有资本经营预算支出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lang w:eastAsia="zh-CN"/>
        </w:rPr>
        <w:t>十、</w:t>
      </w:r>
      <w:r>
        <w:rPr>
          <w:rFonts w:hint="eastAsia" w:ascii="仿宋" w:hAnsi="仿宋" w:eastAsia="仿宋" w:cs="仿宋"/>
        </w:rPr>
        <w:t>项目支出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lang w:eastAsia="zh-CN"/>
        </w:rPr>
      </w:pPr>
      <w:r>
        <w:rPr>
          <w:rFonts w:hint="eastAsia" w:ascii="仿宋" w:hAnsi="仿宋" w:eastAsia="仿宋" w:cs="仿宋"/>
          <w:lang w:eastAsia="zh-CN"/>
        </w:rPr>
        <w:t>十一、财政拨款委托业务费支出预算表</w:t>
      </w:r>
    </w:p>
    <w:p>
      <w:pPr>
        <w:ind w:firstLine="640" w:firstLineChars="200"/>
        <w:rPr>
          <w:rFonts w:hint="eastAsia" w:ascii="仿宋" w:hAnsi="仿宋" w:eastAsia="仿宋" w:cs="仿宋"/>
        </w:rPr>
      </w:pPr>
      <w:r>
        <w:rPr>
          <w:rFonts w:hint="eastAsia" w:ascii="仿宋" w:hAnsi="仿宋" w:eastAsia="仿宋" w:cs="仿宋"/>
        </w:rPr>
        <w:t>十</w:t>
      </w:r>
      <w:r>
        <w:rPr>
          <w:rFonts w:hint="eastAsia" w:ascii="仿宋" w:hAnsi="仿宋" w:eastAsia="仿宋" w:cs="仿宋"/>
          <w:lang w:eastAsia="zh-CN"/>
        </w:rPr>
        <w:t>二</w:t>
      </w:r>
      <w:r>
        <w:rPr>
          <w:rFonts w:hint="eastAsia" w:ascii="仿宋" w:hAnsi="仿宋" w:eastAsia="仿宋" w:cs="仿宋"/>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hint="eastAsia" w:ascii="楷体" w:hAnsi="楷体" w:eastAsia="楷体" w:cs="楷体"/>
        </w:rPr>
        <w:t>一、主要职能</w:t>
      </w:r>
    </w:p>
    <w:p>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（一）贯彻执行国家、省、市统计局的各项工作方针，组织领导和监督检查各乡、镇、街各单位及有关单位的统计和国民经济核算工作，监督检查统计法律、法规的实施。</w:t>
      </w:r>
    </w:p>
    <w:p>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（二）代政府组织实施重大的国情、国力普查，统一组织各乡、镇、街各单位的社会经济统计调查。</w:t>
      </w:r>
    </w:p>
    <w:p>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（三）统一核定、管理、公布全区性的基本统计资料，定期向社会公众发布全区国民经济和社会发展状况的统计信息。</w:t>
      </w:r>
    </w:p>
    <w:p>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（四）建立、完善和管理全区统计信息自动化系统和全区统计数据库体系。</w:t>
      </w:r>
    </w:p>
    <w:p>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（五）组织全区统计干部培训，组织指导全区统计科学研究、统计宣传。</w:t>
      </w:r>
    </w:p>
    <w:p>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（六）承办区政府交办的其他事项。</w:t>
      </w:r>
    </w:p>
    <w:p>
      <w:pPr>
        <w:ind w:firstLine="640" w:firstLineChars="200"/>
        <w:rPr>
          <w:rFonts w:hint="eastAsia" w:ascii="黑体" w:hAnsi="黑体" w:eastAsia="黑体" w:cs="黑体"/>
        </w:rPr>
      </w:pPr>
      <w:r>
        <w:rPr>
          <w:rFonts w:hint="eastAsia" w:ascii="楷体" w:hAnsi="楷体" w:eastAsia="楷体" w:cs="楷体"/>
        </w:rPr>
        <w:t>二、机构设置</w:t>
      </w:r>
    </w:p>
    <w:p>
      <w:pPr>
        <w:pStyle w:val="48"/>
        <w:ind w:firstLine="640" w:firstLineChars="200"/>
        <w:rPr>
          <w:rFonts w:hint="eastAsia" w:ascii="仿宋" w:hAnsi="仿宋" w:eastAsia="仿宋" w:cs="仿宋"/>
        </w:rPr>
      </w:pPr>
      <w:r>
        <w:rPr>
          <w:rFonts w:hint="eastAsia" w:ascii="仿宋" w:hAnsi="仿宋" w:eastAsia="仿宋" w:cs="仿宋"/>
        </w:rPr>
        <w:t>根据上述职责，铁东区分局内设1个机构，综合科。</w:t>
      </w:r>
    </w:p>
    <w:p>
      <w:pPr>
        <w:pStyle w:val="48"/>
        <w:ind w:firstLine="640" w:firstLineChars="200"/>
        <w:rPr>
          <w:rFonts w:hint="eastAsia" w:ascii="仿宋" w:hAnsi="仿宋" w:eastAsia="仿宋" w:cs="仿宋"/>
        </w:rPr>
      </w:pPr>
      <w:r>
        <w:rPr>
          <w:rFonts w:hint="eastAsia" w:ascii="仿宋" w:hAnsi="仿宋" w:eastAsia="仿宋" w:cs="仿宋"/>
        </w:rPr>
        <w:t>负责文秘、行政工作及区人大、政府、区政协、区纪检委和四平市统计局办公室部署的工作；负责日常的业务管理工作，统计业务培训，统计汇编和省、市统计专业处、科部署的工作；负责统计法律、法规、行政复议和省、市法规机构部署的工作；负责国家部署的周期性普查任务和专项调查及省、市普查机构部署的普查任务。</w:t>
      </w:r>
    </w:p>
    <w:p>
      <w:pPr>
        <w:pStyle w:val="48"/>
        <w:ind w:firstLine="640" w:firstLineChars="200"/>
        <w:rPr>
          <w:rFonts w:hint="eastAsia" w:ascii="仿宋" w:hAnsi="仿宋" w:eastAsia="仿宋" w:cs="仿宋"/>
        </w:rPr>
      </w:pPr>
      <w:r>
        <w:rPr>
          <w:rFonts w:hint="eastAsia" w:ascii="仿宋" w:hAnsi="仿宋" w:eastAsia="仿宋" w:cs="仿宋"/>
        </w:rPr>
        <w:t>本单位无下设预算单位。</w:t>
      </w: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支        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本年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上年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本</w:t>
            </w:r>
            <w:r>
              <w:rPr>
                <w:rFonts w:hint="eastAsia" w:ascii="宋体" w:hAnsi="宋体" w:eastAsia="宋体" w:cs="宋体"/>
                <w:kern w:val="0"/>
                <w:sz w:val="20"/>
                <w:szCs w:val="20"/>
              </w:rPr>
              <w:t>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上年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一、财政拨款收入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104.09</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100.71</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3.38</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一、一般公共服务</w:t>
            </w:r>
            <w:r>
              <w:rPr>
                <w:rFonts w:hint="eastAsia" w:ascii="宋体" w:hAnsi="宋体" w:eastAsia="宋体" w:cs="宋体"/>
                <w:color w:val="000000"/>
                <w:kern w:val="0"/>
                <w:sz w:val="20"/>
                <w:szCs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88.96</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85.84</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3.12</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一般公共预算</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104.09</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100.71</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3.38</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二、社会保障和就业支出　</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10.94</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10.68</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0.26</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政府性基金预算</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三、卫生健康支出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1.19</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1.19</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四、</w:t>
            </w:r>
            <w:r>
              <w:rPr>
                <w:rFonts w:hint="eastAsia" w:ascii="宋体" w:hAnsi="宋体" w:eastAsia="宋体" w:cs="宋体"/>
                <w:color w:val="000000"/>
                <w:kern w:val="0"/>
                <w:sz w:val="20"/>
                <w:szCs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二、财政专户管理</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0"/>
                <w:szCs w:val="20"/>
              </w:rPr>
            </w:pPr>
            <w:r>
              <w:rPr>
                <w:rFonts w:hint="eastAsia" w:ascii="宋体" w:hAnsi="宋体" w:eastAsia="宋体" w:cs="宋体"/>
                <w:sz w:val="20"/>
                <w:szCs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本年收入</w:t>
            </w:r>
            <w:r>
              <w:rPr>
                <w:rFonts w:hint="eastAsia" w:ascii="宋体" w:hAnsi="宋体" w:eastAsia="宋体" w:cs="宋体"/>
                <w:b/>
                <w:bCs/>
                <w:kern w:val="0"/>
                <w:sz w:val="20"/>
                <w:szCs w:val="20"/>
                <w:lang w:val="en-US" w:eastAsia="zh-CN"/>
              </w:rPr>
              <w:t xml:space="preserve">         </w:t>
            </w:r>
            <w:r>
              <w:rPr>
                <w:rFonts w:hint="eastAsia" w:ascii="宋体" w:hAnsi="宋体" w:eastAsia="宋体" w:cs="宋体"/>
                <w:b/>
                <w:bCs/>
                <w:kern w:val="0"/>
                <w:sz w:val="20"/>
                <w:szCs w:val="20"/>
              </w:rPr>
              <w:t>合计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104.09</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100.71</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3.38</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本年支出</w:t>
            </w:r>
            <w:r>
              <w:rPr>
                <w:rFonts w:hint="eastAsia" w:ascii="宋体" w:hAnsi="宋体" w:eastAsia="宋体" w:cs="宋体"/>
                <w:b/>
                <w:bCs/>
                <w:kern w:val="0"/>
                <w:sz w:val="20"/>
                <w:szCs w:val="20"/>
                <w:lang w:val="en-US" w:eastAsia="zh-CN"/>
              </w:rPr>
              <w:t xml:space="preserve">  </w:t>
            </w:r>
            <w:r>
              <w:rPr>
                <w:rFonts w:hint="eastAsia" w:ascii="宋体" w:hAnsi="宋体" w:eastAsia="宋体" w:cs="宋体"/>
                <w:b/>
                <w:bCs/>
                <w:kern w:val="0"/>
                <w:sz w:val="20"/>
                <w:szCs w:val="20"/>
              </w:rPr>
              <w:t>合计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kern w:val="0"/>
                <w:sz w:val="20"/>
                <w:szCs w:val="20"/>
              </w:rPr>
            </w:pPr>
            <w:r>
              <w:rPr>
                <w:rFonts w:hint="eastAsia" w:ascii="宋体" w:hAnsi="宋体" w:eastAsia="宋体" w:cs="宋体"/>
                <w:i w:val="0"/>
                <w:iCs w:val="0"/>
                <w:color w:val="000000"/>
                <w:kern w:val="0"/>
                <w:sz w:val="20"/>
                <w:szCs w:val="20"/>
                <w:u w:val="none"/>
                <w:lang w:val="en-US" w:eastAsia="zh-CN" w:bidi="ar"/>
              </w:rPr>
              <w:t>104.09</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100.71</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3.38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结转下年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lang w:eastAsia="zh-CN"/>
              </w:rPr>
              <w:t>非财政拨款</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b/>
                <w:bCs/>
                <w:kern w:val="0"/>
                <w:sz w:val="20"/>
                <w:szCs w:val="20"/>
              </w:rPr>
              <w:t>收入总计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104.09</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100.71</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3.38</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b/>
                <w:bCs/>
                <w:kern w:val="0"/>
                <w:sz w:val="20"/>
                <w:szCs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104.09</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100.71</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3.38</w:t>
            </w:r>
          </w:p>
        </w:tc>
      </w:tr>
    </w:tbl>
    <w:p>
      <w:pPr>
        <w:ind w:firstLine="400" w:firstLineChars="200"/>
        <w:rPr>
          <w:rFonts w:hint="eastAsia" w:asciiTheme="minorEastAsia" w:hAnsiTheme="minorEastAsia" w:eastAsiaTheme="minorEastAsia" w:cstheme="minorEastAsia"/>
          <w:strike/>
          <w:sz w:val="20"/>
          <w:szCs w:val="20"/>
        </w:rPr>
      </w:pPr>
    </w:p>
    <w:p>
      <w:pPr>
        <w:ind w:firstLine="400" w:firstLineChars="200"/>
        <w:rPr>
          <w:rFonts w:hint="eastAsia" w:asciiTheme="minorEastAsia" w:hAnsiTheme="minorEastAsia" w:eastAsiaTheme="minorEastAsia" w:cstheme="minorEastAsia"/>
          <w:sz w:val="20"/>
          <w:szCs w:val="20"/>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836" w:type="dxa"/>
        <w:jc w:val="center"/>
        <w:tblLayout w:type="fixed"/>
        <w:tblCellMar>
          <w:top w:w="0" w:type="dxa"/>
          <w:left w:w="108" w:type="dxa"/>
          <w:bottom w:w="0" w:type="dxa"/>
          <w:right w:w="108" w:type="dxa"/>
        </w:tblCellMar>
      </w:tblPr>
      <w:tblGrid>
        <w:gridCol w:w="1133"/>
        <w:gridCol w:w="168"/>
        <w:gridCol w:w="715"/>
        <w:gridCol w:w="870"/>
        <w:gridCol w:w="840"/>
        <w:gridCol w:w="409"/>
        <w:gridCol w:w="288"/>
        <w:gridCol w:w="365"/>
        <w:gridCol w:w="365"/>
        <w:gridCol w:w="339"/>
        <w:gridCol w:w="364"/>
        <w:gridCol w:w="390"/>
        <w:gridCol w:w="284"/>
        <w:gridCol w:w="121"/>
        <w:gridCol w:w="398"/>
        <w:gridCol w:w="262"/>
        <w:gridCol w:w="653"/>
        <w:gridCol w:w="337"/>
        <w:gridCol w:w="91"/>
        <w:gridCol w:w="539"/>
        <w:gridCol w:w="496"/>
        <w:gridCol w:w="409"/>
      </w:tblGrid>
      <w:tr>
        <w:tblPrEx>
          <w:tblCellMar>
            <w:top w:w="0" w:type="dxa"/>
            <w:left w:w="108" w:type="dxa"/>
            <w:bottom w:w="0" w:type="dxa"/>
            <w:right w:w="108" w:type="dxa"/>
          </w:tblCellMar>
        </w:tblPrEx>
        <w:trPr>
          <w:trHeight w:val="349" w:hRule="atLeast"/>
          <w:jc w:val="center"/>
        </w:trPr>
        <w:tc>
          <w:tcPr>
            <w:tcW w:w="1301" w:type="dxa"/>
            <w:gridSpan w:val="2"/>
            <w:tcBorders>
              <w:bottom w:val="single" w:color="000000" w:sz="4" w:space="0"/>
            </w:tcBorders>
            <w:noWrap w:val="0"/>
            <w:vAlign w:val="top"/>
          </w:tcPr>
          <w:p>
            <w:pPr>
              <w:autoSpaceDN w:val="0"/>
              <w:jc w:val="left"/>
              <w:textAlignment w:val="center"/>
              <w:rPr>
                <w:rFonts w:eastAsia="华文细黑"/>
                <w:color w:val="000000"/>
                <w:sz w:val="20"/>
              </w:rPr>
            </w:pPr>
          </w:p>
        </w:tc>
        <w:tc>
          <w:tcPr>
            <w:tcW w:w="4191"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1038" w:type="dxa"/>
            <w:gridSpan w:val="3"/>
            <w:noWrap w:val="0"/>
            <w:vAlign w:val="center"/>
          </w:tcPr>
          <w:p>
            <w:pPr>
              <w:autoSpaceDN w:val="0"/>
              <w:jc w:val="left"/>
              <w:textAlignment w:val="center"/>
              <w:rPr>
                <w:rFonts w:eastAsia="华文细黑"/>
                <w:color w:val="000000"/>
                <w:sz w:val="20"/>
              </w:rPr>
            </w:pPr>
          </w:p>
        </w:tc>
        <w:tc>
          <w:tcPr>
            <w:tcW w:w="519" w:type="dxa"/>
            <w:gridSpan w:val="2"/>
            <w:noWrap w:val="0"/>
            <w:vAlign w:val="center"/>
          </w:tcPr>
          <w:p>
            <w:pPr>
              <w:autoSpaceDN w:val="0"/>
              <w:jc w:val="left"/>
              <w:textAlignment w:val="center"/>
              <w:rPr>
                <w:rFonts w:eastAsia="华文细黑"/>
                <w:color w:val="000000"/>
                <w:sz w:val="20"/>
              </w:rPr>
            </w:pPr>
          </w:p>
        </w:tc>
        <w:tc>
          <w:tcPr>
            <w:tcW w:w="915" w:type="dxa"/>
            <w:gridSpan w:val="2"/>
            <w:noWrap w:val="0"/>
            <w:vAlign w:val="center"/>
          </w:tcPr>
          <w:p>
            <w:pPr>
              <w:autoSpaceDN w:val="0"/>
              <w:jc w:val="left"/>
              <w:textAlignment w:val="center"/>
              <w:rPr>
                <w:rFonts w:eastAsia="华文细黑"/>
                <w:color w:val="000000"/>
                <w:sz w:val="20"/>
              </w:rPr>
            </w:pPr>
          </w:p>
        </w:tc>
        <w:tc>
          <w:tcPr>
            <w:tcW w:w="337" w:type="dxa"/>
            <w:noWrap w:val="0"/>
            <w:vAlign w:val="bottom"/>
          </w:tcPr>
          <w:p>
            <w:pPr>
              <w:autoSpaceDN w:val="0"/>
              <w:jc w:val="right"/>
              <w:textAlignment w:val="bottom"/>
              <w:rPr>
                <w:rFonts w:eastAsia="宋体"/>
                <w:color w:val="000000"/>
                <w:sz w:val="20"/>
              </w:rPr>
            </w:pPr>
          </w:p>
        </w:tc>
        <w:tc>
          <w:tcPr>
            <w:tcW w:w="1535" w:type="dxa"/>
            <w:gridSpan w:val="4"/>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59" w:hRule="atLeast"/>
          <w:jc w:val="center"/>
        </w:trPr>
        <w:tc>
          <w:tcPr>
            <w:tcW w:w="1133"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单位名称</w:t>
            </w:r>
          </w:p>
        </w:tc>
        <w:tc>
          <w:tcPr>
            <w:tcW w:w="883" w:type="dxa"/>
            <w:gridSpan w:val="2"/>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总计</w:t>
            </w:r>
          </w:p>
        </w:tc>
        <w:tc>
          <w:tcPr>
            <w:tcW w:w="4635" w:type="dxa"/>
            <w:gridSpan w:val="11"/>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本年预算</w:t>
            </w:r>
          </w:p>
        </w:tc>
        <w:tc>
          <w:tcPr>
            <w:tcW w:w="3185"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上年结转结余</w:t>
            </w:r>
          </w:p>
        </w:tc>
      </w:tr>
      <w:tr>
        <w:tblPrEx>
          <w:tblCellMar>
            <w:top w:w="0" w:type="dxa"/>
            <w:left w:w="108" w:type="dxa"/>
            <w:bottom w:w="0" w:type="dxa"/>
            <w:right w:w="108" w:type="dxa"/>
          </w:tblCellMar>
        </w:tblPrEx>
        <w:trPr>
          <w:trHeight w:val="832" w:hRule="atLeast"/>
          <w:jc w:val="center"/>
        </w:trPr>
        <w:tc>
          <w:tcPr>
            <w:tcW w:w="1133"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szCs w:val="20"/>
                <w:lang w:eastAsia="zh-CN"/>
              </w:rPr>
            </w:pPr>
          </w:p>
        </w:tc>
        <w:tc>
          <w:tcPr>
            <w:tcW w:w="883" w:type="dxa"/>
            <w:gridSpan w:val="2"/>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szCs w:val="20"/>
                <w:lang w:eastAsia="zh-CN"/>
              </w:rPr>
            </w:pPr>
          </w:p>
        </w:tc>
        <w:tc>
          <w:tcPr>
            <w:tcW w:w="870"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合计</w:t>
            </w:r>
          </w:p>
        </w:tc>
        <w:tc>
          <w:tcPr>
            <w:tcW w:w="1537"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财政拨款收入</w:t>
            </w:r>
          </w:p>
        </w:tc>
        <w:tc>
          <w:tcPr>
            <w:tcW w:w="365"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财政专户管理资金收入</w:t>
            </w:r>
          </w:p>
        </w:tc>
        <w:tc>
          <w:tcPr>
            <w:tcW w:w="1863" w:type="dxa"/>
            <w:gridSpan w:val="6"/>
            <w:tcBorders>
              <w:top w:val="single" w:color="000000" w:sz="4" w:space="0"/>
              <w:left w:val="single" w:color="auto"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单位资金收入</w:t>
            </w:r>
          </w:p>
        </w:tc>
        <w:tc>
          <w:tcPr>
            <w:tcW w:w="660"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合计</w:t>
            </w:r>
          </w:p>
        </w:tc>
        <w:tc>
          <w:tcPr>
            <w:tcW w:w="1620"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财政拨款结转</w:t>
            </w:r>
          </w:p>
        </w:tc>
        <w:tc>
          <w:tcPr>
            <w:tcW w:w="905"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非财政拨款结转结余</w:t>
            </w:r>
          </w:p>
        </w:tc>
      </w:tr>
      <w:tr>
        <w:tblPrEx>
          <w:tblCellMar>
            <w:top w:w="0" w:type="dxa"/>
            <w:left w:w="108" w:type="dxa"/>
            <w:bottom w:w="0" w:type="dxa"/>
            <w:right w:w="108" w:type="dxa"/>
          </w:tblCellMar>
        </w:tblPrEx>
        <w:trPr>
          <w:trHeight w:val="2961" w:hRule="atLeast"/>
          <w:jc w:val="center"/>
        </w:trPr>
        <w:tc>
          <w:tcPr>
            <w:tcW w:w="1133"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zCs w:val="20"/>
                <w:shd w:val="clear" w:color="auto" w:fill="FFFFFF"/>
              </w:rPr>
            </w:pPr>
          </w:p>
        </w:tc>
        <w:tc>
          <w:tcPr>
            <w:tcW w:w="883" w:type="dxa"/>
            <w:gridSpan w:val="2"/>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87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p>
        </w:tc>
        <w:tc>
          <w:tcPr>
            <w:tcW w:w="84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一般公共预算收入</w:t>
            </w:r>
          </w:p>
        </w:tc>
        <w:tc>
          <w:tcPr>
            <w:tcW w:w="409"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政府性基金预算收入</w:t>
            </w:r>
          </w:p>
        </w:tc>
        <w:tc>
          <w:tcPr>
            <w:tcW w:w="2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国有资本经营预算收入</w:t>
            </w:r>
          </w:p>
        </w:tc>
        <w:tc>
          <w:tcPr>
            <w:tcW w:w="365"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事业收入</w:t>
            </w:r>
          </w:p>
        </w:tc>
        <w:tc>
          <w:tcPr>
            <w:tcW w:w="33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事业单位经营收入</w:t>
            </w:r>
          </w:p>
        </w:tc>
        <w:tc>
          <w:tcPr>
            <w:tcW w:w="36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上级补助收入</w:t>
            </w: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附属单位上缴收入</w:t>
            </w:r>
          </w:p>
        </w:tc>
        <w:tc>
          <w:tcPr>
            <w:tcW w:w="40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其他收入</w:t>
            </w:r>
          </w:p>
        </w:tc>
        <w:tc>
          <w:tcPr>
            <w:tcW w:w="660"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p>
        </w:tc>
        <w:tc>
          <w:tcPr>
            <w:tcW w:w="65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一般公共预算拨款结转</w:t>
            </w: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政府性基金预算拨款结转</w:t>
            </w:r>
          </w:p>
        </w:tc>
        <w:tc>
          <w:tcPr>
            <w:tcW w:w="539"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国有资本经营预算拨款结转</w:t>
            </w:r>
          </w:p>
        </w:tc>
        <w:tc>
          <w:tcPr>
            <w:tcW w:w="496"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rPr>
            </w:pPr>
            <w:r>
              <w:rPr>
                <w:rFonts w:hint="eastAsia" w:ascii="宋体" w:hAnsi="宋体" w:eastAsia="宋体" w:cs="宋体"/>
                <w:color w:val="000000"/>
                <w:sz w:val="20"/>
                <w:szCs w:val="20"/>
                <w:shd w:val="clear" w:color="auto" w:fill="FFFFFF"/>
                <w:lang w:eastAsia="zh-CN"/>
              </w:rPr>
              <w:t>财政专户管理资金结转结余</w:t>
            </w: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单位资金结转结余</w:t>
            </w:r>
          </w:p>
        </w:tc>
      </w:tr>
      <w:tr>
        <w:tblPrEx>
          <w:tblCellMar>
            <w:top w:w="0" w:type="dxa"/>
            <w:left w:w="108" w:type="dxa"/>
            <w:bottom w:w="0" w:type="dxa"/>
            <w:right w:w="108" w:type="dxa"/>
          </w:tblCellMar>
        </w:tblPrEx>
        <w:trPr>
          <w:trHeight w:val="832" w:hRule="atLeast"/>
          <w:jc w:val="center"/>
        </w:trPr>
        <w:tc>
          <w:tcPr>
            <w:tcW w:w="1133" w:type="dxa"/>
            <w:tcBorders>
              <w:top w:val="single" w:color="000000" w:sz="4" w:space="0"/>
              <w:left w:val="single" w:color="000000" w:sz="4" w:space="0"/>
              <w:bottom w:val="single" w:color="000000"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四平市统计局铁东区分局</w:t>
            </w:r>
          </w:p>
        </w:tc>
        <w:tc>
          <w:tcPr>
            <w:tcW w:w="88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104.09</w:t>
            </w: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100.71</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100.71</w:t>
            </w:r>
          </w:p>
        </w:tc>
        <w:tc>
          <w:tcPr>
            <w:tcW w:w="409"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2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6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3.38</w:t>
            </w:r>
          </w:p>
        </w:tc>
        <w:tc>
          <w:tcPr>
            <w:tcW w:w="6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3.38</w:t>
            </w: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5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r>
      <w:tr>
        <w:tblPrEx>
          <w:tblCellMar>
            <w:top w:w="0" w:type="dxa"/>
            <w:left w:w="108" w:type="dxa"/>
            <w:bottom w:w="0" w:type="dxa"/>
            <w:right w:w="108" w:type="dxa"/>
          </w:tblCellMar>
        </w:tblPrEx>
        <w:trPr>
          <w:trHeight w:val="593" w:hRule="atLeast"/>
          <w:jc w:val="center"/>
        </w:trPr>
        <w:tc>
          <w:tcPr>
            <w:tcW w:w="113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r>
              <w:rPr>
                <w:rFonts w:hint="eastAsia" w:ascii="宋体" w:hAnsi="宋体" w:eastAsia="宋体" w:cs="宋体"/>
                <w:kern w:val="0"/>
                <w:sz w:val="20"/>
                <w:szCs w:val="20"/>
              </w:rPr>
              <w:t>合计</w:t>
            </w:r>
          </w:p>
        </w:tc>
        <w:tc>
          <w:tcPr>
            <w:tcW w:w="88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104.09</w:t>
            </w: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100.71</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100.71</w:t>
            </w:r>
          </w:p>
        </w:tc>
        <w:tc>
          <w:tcPr>
            <w:tcW w:w="409"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2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6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3.38</w:t>
            </w:r>
          </w:p>
        </w:tc>
        <w:tc>
          <w:tcPr>
            <w:tcW w:w="6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3.38</w:t>
            </w: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5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577" w:type="dxa"/>
              <w:tblInd w:w="445" w:type="dxa"/>
              <w:tblLayout w:type="fixed"/>
              <w:tblCellMar>
                <w:top w:w="15" w:type="dxa"/>
                <w:left w:w="15" w:type="dxa"/>
                <w:bottom w:w="15" w:type="dxa"/>
                <w:right w:w="15" w:type="dxa"/>
              </w:tblCellMar>
            </w:tblPr>
            <w:tblGrid>
              <w:gridCol w:w="2377"/>
              <w:gridCol w:w="1215"/>
              <w:gridCol w:w="1275"/>
              <w:gridCol w:w="1110"/>
              <w:gridCol w:w="1132"/>
              <w:gridCol w:w="1266"/>
              <w:gridCol w:w="30"/>
              <w:gridCol w:w="1172"/>
            </w:tblGrid>
            <w:tr>
              <w:tblPrEx>
                <w:tblCellMar>
                  <w:top w:w="15" w:type="dxa"/>
                  <w:left w:w="15" w:type="dxa"/>
                  <w:bottom w:w="15" w:type="dxa"/>
                  <w:right w:w="15" w:type="dxa"/>
                </w:tblCellMar>
              </w:tblPrEx>
              <w:trPr>
                <w:trHeight w:val="636" w:hRule="atLeast"/>
              </w:trPr>
              <w:tc>
                <w:tcPr>
                  <w:tcW w:w="5977" w:type="dxa"/>
                  <w:gridSpan w:val="4"/>
                  <w:tcBorders>
                    <w:bottom w:val="single" w:color="000000" w:sz="4" w:space="0"/>
                  </w:tcBorders>
                  <w:noWrap w:val="0"/>
                  <w:vAlign w:val="center"/>
                </w:tcPr>
                <w:p>
                  <w:pPr>
                    <w:widowControl/>
                    <w:jc w:val="left"/>
                    <w:rPr>
                      <w:rFonts w:eastAsia="华文细黑"/>
                      <w:color w:val="000000"/>
                      <w:kern w:val="0"/>
                      <w:sz w:val="20"/>
                    </w:rPr>
                  </w:pPr>
                </w:p>
              </w:tc>
              <w:tc>
                <w:tcPr>
                  <w:tcW w:w="1132"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172" w:type="dxa"/>
                  <w:tcBorders>
                    <w:bottom w:val="single" w:color="000000" w:sz="4" w:space="0"/>
                  </w:tcBorders>
                  <w:noWrap w:val="0"/>
                  <w:vAlign w:val="bottom"/>
                </w:tcPr>
                <w:p>
                  <w:pPr>
                    <w:widowControl/>
                    <w:jc w:val="right"/>
                    <w:rPr>
                      <w:rFonts w:eastAsia="华文细黑"/>
                      <w:color w:val="000000"/>
                      <w:kern w:val="0"/>
                      <w:sz w:val="20"/>
                    </w:rPr>
                  </w:pPr>
                  <w:r>
                    <w:rPr>
                      <w:rFonts w:hint="eastAsia" w:asciiTheme="minorEastAsia" w:hAnsiTheme="minorEastAsia" w:eastAsiaTheme="minorEastAsia" w:cstheme="minorEastAsia"/>
                      <w:color w:val="000000"/>
                      <w:kern w:val="0"/>
                      <w:sz w:val="20"/>
                    </w:rPr>
                    <w:t>单位：万元</w:t>
                  </w:r>
                </w:p>
              </w:tc>
            </w:tr>
            <w:tr>
              <w:trPr>
                <w:trHeight w:val="963" w:hRule="atLeast"/>
              </w:trPr>
              <w:tc>
                <w:tcPr>
                  <w:tcW w:w="237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1215"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总计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支出</w:t>
                  </w:r>
                </w:p>
                <w:p>
                  <w:pPr>
                    <w:widowControl/>
                    <w:jc w:val="center"/>
                    <w:rPr>
                      <w:rFonts w:hint="eastAsia" w:ascii="宋体" w:hAnsi="宋体" w:eastAsia="宋体" w:cs="宋体"/>
                      <w:color w:val="000000"/>
                      <w:kern w:val="0"/>
                      <w:sz w:val="20"/>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                                                               支出</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事业单位</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上缴                                            上级                                                         支出</w:t>
                  </w:r>
                </w:p>
              </w:tc>
              <w:tc>
                <w:tcPr>
                  <w:tcW w:w="12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对附属                                           单位补                                      助支出</w:t>
                  </w:r>
                </w:p>
              </w:tc>
            </w:tr>
            <w:tr>
              <w:tblPrEx>
                <w:tblCellMar>
                  <w:top w:w="15" w:type="dxa"/>
                  <w:left w:w="15" w:type="dxa"/>
                  <w:bottom w:w="15" w:type="dxa"/>
                  <w:right w:w="15" w:type="dxa"/>
                </w:tblCellMar>
              </w:tblPrEx>
              <w:trPr>
                <w:trHeight w:val="701" w:hRule="atLeast"/>
              </w:trPr>
              <w:tc>
                <w:tcPr>
                  <w:tcW w:w="2377"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ascii="宋体" w:hAnsi="宋体" w:eastAsia="宋体" w:cs="宋体"/>
                      <w:color w:val="000000"/>
                      <w:kern w:val="0"/>
                      <w:sz w:val="20"/>
                    </w:rPr>
                  </w:pPr>
                  <w:r>
                    <w:rPr>
                      <w:rFonts w:hint="eastAsia" w:ascii="宋体" w:hAnsi="宋体" w:eastAsia="宋体" w:cs="宋体"/>
                      <w:color w:val="000000"/>
                      <w:kern w:val="0"/>
                      <w:sz w:val="20"/>
                      <w:szCs w:val="20"/>
                    </w:rPr>
                    <w:t>一、一般公共服务</w:t>
                  </w:r>
                  <w:r>
                    <w:rPr>
                      <w:rFonts w:hint="eastAsia" w:ascii="宋体" w:hAnsi="宋体" w:eastAsia="宋体" w:cs="宋体"/>
                      <w:color w:val="000000"/>
                      <w:kern w:val="0"/>
                      <w:sz w:val="20"/>
                      <w:szCs w:val="20"/>
                      <w:lang w:val="en-US" w:eastAsia="zh-CN"/>
                    </w:rPr>
                    <w:t>支出</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88.96</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31.66</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57.30</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37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rPr>
                    <w:t>　统计信息事务</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88.96</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31.66</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57.30</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37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rPr>
                    <w:t>　　行政运行</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31.66</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31.66</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37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rPr>
                    <w:t>　　一般行政管理事务</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15.72</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15.72</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377"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lang w:val="en-US" w:eastAsia="zh-CN"/>
                    </w:rPr>
                    <w:t>专项普查活动</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41.58</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41.58</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37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lang w:val="en-US" w:eastAsia="zh-CN"/>
                    </w:rPr>
                    <w:t>二、</w:t>
                  </w:r>
                  <w:r>
                    <w:rPr>
                      <w:rFonts w:hint="eastAsia" w:ascii="宋体" w:hAnsi="宋体" w:eastAsia="宋体" w:cs="宋体"/>
                      <w:color w:val="000000"/>
                      <w:kern w:val="0"/>
                      <w:sz w:val="20"/>
                      <w:szCs w:val="20"/>
                    </w:rPr>
                    <w:t>社会保障和就业支出</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10.94</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10.94</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37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行政事业单位养老支出</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10.94</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10.94</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37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行政单位离退休</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7.44</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7.44</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rPr>
                <w:trHeight w:val="560" w:hRule="atLeast"/>
              </w:trPr>
              <w:tc>
                <w:tcPr>
                  <w:tcW w:w="237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机关事业单位基本养老保险缴费支出</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3.50</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3.50</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37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lang w:val="en-US" w:eastAsia="zh-CN"/>
                    </w:rPr>
                    <w:t>三、</w:t>
                  </w:r>
                  <w:r>
                    <w:rPr>
                      <w:rFonts w:hint="eastAsia" w:ascii="宋体" w:hAnsi="宋体" w:eastAsia="宋体" w:cs="宋体"/>
                      <w:color w:val="000000"/>
                      <w:kern w:val="0"/>
                      <w:sz w:val="20"/>
                      <w:szCs w:val="20"/>
                    </w:rPr>
                    <w:t>卫生健康支出</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1.19</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1.19</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37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rPr>
                    <w:t>　行政事业单位医疗</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1.19</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1.19</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37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rPr>
                    <w:t>　　行政单位医疗</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1.19</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1.19</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37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lang w:val="en-US" w:eastAsia="zh-CN"/>
                    </w:rPr>
                    <w:t>四、</w:t>
                  </w:r>
                  <w:r>
                    <w:rPr>
                      <w:rFonts w:hint="eastAsia" w:ascii="宋体" w:hAnsi="宋体" w:eastAsia="宋体" w:cs="宋体"/>
                      <w:color w:val="000000"/>
                      <w:kern w:val="0"/>
                      <w:sz w:val="20"/>
                      <w:szCs w:val="20"/>
                    </w:rPr>
                    <w:t>住房保障支出</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37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rPr>
                    <w:t>　住房改革支出</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0" w:hRule="atLeast"/>
              </w:trPr>
              <w:tc>
                <w:tcPr>
                  <w:tcW w:w="237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rPr>
                    <w:t>　　住房公积金</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75" w:hRule="atLeast"/>
              </w:trPr>
              <w:tc>
                <w:tcPr>
                  <w:tcW w:w="237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104.09</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46.79</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57.30</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bl>
          <w:p>
            <w:pPr>
              <w:widowControl/>
              <w:jc w:val="center"/>
              <w:rPr>
                <w:rFonts w:eastAsia="方正小标宋简体"/>
                <w:kern w:val="0"/>
                <w:sz w:val="44"/>
                <w:szCs w:val="44"/>
              </w:rPr>
            </w:pPr>
          </w:p>
        </w:tc>
      </w:tr>
    </w:tbl>
    <w:p>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 xml:space="preserve"> 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r>
                    <w:rPr>
                      <w:rFonts w:hint="eastAsia" w:ascii="宋体" w:hAnsi="宋体" w:eastAsia="宋体" w:cs="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lang w:eastAsia="zh-CN"/>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r>
                    <w:rPr>
                      <w:rFonts w:hint="eastAsia" w:ascii="宋体" w:hAnsi="宋体" w:eastAsia="宋体" w:cs="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104.09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100.71</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3.38</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104.09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100.71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3.38</w:t>
                  </w:r>
                </w:p>
              </w:tc>
            </w:tr>
            <w:tr>
              <w:tblPrEx>
                <w:tblCellMar>
                  <w:top w:w="0" w:type="dxa"/>
                  <w:left w:w="108" w:type="dxa"/>
                  <w:bottom w:w="0" w:type="dxa"/>
                  <w:right w:w="108" w:type="dxa"/>
                </w:tblCellMar>
              </w:tblPrEx>
              <w:trPr>
                <w:trHeight w:val="64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104.09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100.71</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3.38</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eastAsia="zh-CN"/>
                    </w:rPr>
                    <w:t>（</w:t>
                  </w:r>
                  <w:r>
                    <w:rPr>
                      <w:rFonts w:hint="eastAsia" w:ascii="宋体" w:hAnsi="宋体" w:eastAsia="宋体" w:cs="宋体"/>
                      <w:color w:val="000000"/>
                      <w:kern w:val="0"/>
                      <w:sz w:val="20"/>
                      <w:lang w:val="en-US" w:eastAsia="zh-CN"/>
                    </w:rPr>
                    <w:t>一</w:t>
                  </w:r>
                  <w:r>
                    <w:rPr>
                      <w:rFonts w:hint="eastAsia" w:ascii="宋体" w:hAnsi="宋体" w:eastAsia="宋体" w:cs="宋体"/>
                      <w:color w:val="000000"/>
                      <w:kern w:val="0"/>
                      <w:sz w:val="20"/>
                      <w:lang w:eastAsia="zh-CN"/>
                    </w:rPr>
                    <w:t>）</w:t>
                  </w:r>
                  <w:r>
                    <w:rPr>
                      <w:rFonts w:hint="eastAsia" w:ascii="宋体" w:hAnsi="宋体" w:eastAsia="宋体" w:cs="宋体"/>
                      <w:color w:val="000000"/>
                      <w:kern w:val="0"/>
                      <w:sz w:val="20"/>
                    </w:rPr>
                    <w:t>一般公共服务</w:t>
                  </w:r>
                  <w:r>
                    <w:rPr>
                      <w:rFonts w:hint="eastAsia" w:ascii="宋体" w:hAnsi="宋体" w:eastAsia="宋体" w:cs="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88.96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85.84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3.12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eastAsia="zh-CN"/>
                    </w:rPr>
                    <w:t>（</w:t>
                  </w:r>
                  <w:r>
                    <w:rPr>
                      <w:rFonts w:hint="eastAsia" w:ascii="宋体" w:hAnsi="宋体" w:eastAsia="宋体" w:cs="宋体"/>
                      <w:color w:val="000000"/>
                      <w:kern w:val="0"/>
                      <w:sz w:val="20"/>
                      <w:lang w:val="en-US" w:eastAsia="zh-CN"/>
                    </w:rPr>
                    <w:t>二</w:t>
                  </w:r>
                  <w:r>
                    <w:rPr>
                      <w:rFonts w:hint="eastAsia" w:ascii="宋体" w:hAnsi="宋体" w:eastAsia="宋体" w:cs="宋体"/>
                      <w:color w:val="000000"/>
                      <w:kern w:val="0"/>
                      <w:sz w:val="20"/>
                      <w:lang w:eastAsia="zh-CN"/>
                    </w:rPr>
                    <w:t>）</w:t>
                  </w:r>
                  <w:r>
                    <w:rPr>
                      <w:rFonts w:hint="eastAsia" w:ascii="宋体" w:hAnsi="宋体" w:eastAsia="宋体" w:cs="宋体"/>
                      <w:color w:val="000000"/>
                      <w:sz w:val="20"/>
                    </w:rPr>
                    <w:t>社会保障和就业支出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10.94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10.68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0.26</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eastAsia="zh-CN"/>
                    </w:rPr>
                    <w:t>（</w:t>
                  </w:r>
                  <w:r>
                    <w:rPr>
                      <w:rFonts w:hint="eastAsia" w:ascii="宋体" w:hAnsi="宋体" w:eastAsia="宋体" w:cs="宋体"/>
                      <w:color w:val="000000"/>
                      <w:kern w:val="0"/>
                      <w:sz w:val="20"/>
                      <w:lang w:val="en-US" w:eastAsia="zh-CN"/>
                    </w:rPr>
                    <w:t>三</w:t>
                  </w:r>
                  <w:r>
                    <w:rPr>
                      <w:rFonts w:hint="eastAsia" w:ascii="宋体" w:hAnsi="宋体" w:eastAsia="宋体" w:cs="宋体"/>
                      <w:color w:val="000000"/>
                      <w:kern w:val="0"/>
                      <w:sz w:val="20"/>
                      <w:lang w:eastAsia="zh-CN"/>
                    </w:rPr>
                    <w:t>）</w:t>
                  </w:r>
                  <w:r>
                    <w:rPr>
                      <w:rFonts w:hint="eastAsia" w:ascii="宋体" w:hAnsi="宋体" w:eastAsia="宋体" w:cs="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eastAsia="zh-CN"/>
                    </w:rPr>
                    <w:t>（</w:t>
                  </w:r>
                  <w:r>
                    <w:rPr>
                      <w:rFonts w:hint="eastAsia" w:ascii="宋体" w:hAnsi="宋体" w:eastAsia="宋体" w:cs="宋体"/>
                      <w:color w:val="000000"/>
                      <w:kern w:val="0"/>
                      <w:sz w:val="20"/>
                      <w:lang w:val="en-US" w:eastAsia="zh-CN"/>
                    </w:rPr>
                    <w:t>四</w:t>
                  </w:r>
                  <w:r>
                    <w:rPr>
                      <w:rFonts w:hint="eastAsia" w:ascii="宋体" w:hAnsi="宋体" w:eastAsia="宋体" w:cs="宋体"/>
                      <w:color w:val="000000"/>
                      <w:kern w:val="0"/>
                      <w:sz w:val="20"/>
                      <w:lang w:eastAsia="zh-CN"/>
                    </w:rPr>
                    <w:t>）</w:t>
                  </w:r>
                  <w:r>
                    <w:rPr>
                      <w:rFonts w:hint="eastAsia" w:ascii="宋体" w:hAnsi="宋体" w:eastAsia="宋体" w:cs="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3.00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3.00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lang w:val="en-US" w:eastAsia="zh-CN"/>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0"/>
                    </w:rPr>
                  </w:pPr>
                  <w:r>
                    <w:rPr>
                      <w:rFonts w:hint="eastAsia" w:ascii="宋体" w:hAnsi="宋体" w:eastAsia="宋体" w:cs="宋体"/>
                      <w:kern w:val="0"/>
                      <w:sz w:val="20"/>
                      <w:lang w:eastAsia="zh-CN"/>
                    </w:rPr>
                    <w:t>二、</w:t>
                  </w:r>
                  <w:r>
                    <w:rPr>
                      <w:rFonts w:hint="eastAsia" w:ascii="宋体" w:hAnsi="宋体" w:eastAsia="宋体" w:cs="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lang w:val="en-US" w:eastAsia="zh-CN"/>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104.09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100.71</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3.38</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104.09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100.71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3.38</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752" w:type="dxa"/>
              <w:tblLayout w:type="fixed"/>
              <w:tblCellMar>
                <w:top w:w="15" w:type="dxa"/>
                <w:left w:w="15" w:type="dxa"/>
                <w:bottom w:w="15" w:type="dxa"/>
                <w:right w:w="15" w:type="dxa"/>
              </w:tblCellMar>
            </w:tblPr>
            <w:tblGrid>
              <w:gridCol w:w="2671"/>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908"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hint="eastAsia" w:asciiTheme="minorEastAsia" w:hAnsiTheme="minorEastAsia" w:eastAsiaTheme="minorEastAsia" w:cstheme="minorEastAsia"/>
                      <w:color w:val="000000"/>
                      <w:kern w:val="0"/>
                      <w:sz w:val="20"/>
                    </w:rPr>
                    <w:t>单位：万元</w:t>
                  </w:r>
                </w:p>
              </w:tc>
            </w:tr>
            <w:tr>
              <w:tblPrEx>
                <w:tblCellMar>
                  <w:top w:w="15" w:type="dxa"/>
                  <w:left w:w="15" w:type="dxa"/>
                  <w:bottom w:w="15" w:type="dxa"/>
                  <w:right w:w="15" w:type="dxa"/>
                </w:tblCellMar>
              </w:tblPrEx>
              <w:trPr>
                <w:trHeight w:val="390" w:hRule="atLeast"/>
              </w:trPr>
              <w:tc>
                <w:tcPr>
                  <w:tcW w:w="2671"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                                                               支出</w:t>
                  </w:r>
                </w:p>
              </w:tc>
            </w:tr>
            <w:tr>
              <w:tblPrEx>
                <w:tblCellMar>
                  <w:top w:w="15" w:type="dxa"/>
                  <w:left w:w="15" w:type="dxa"/>
                  <w:bottom w:w="15" w:type="dxa"/>
                  <w:right w:w="15" w:type="dxa"/>
                </w:tblCellMar>
              </w:tblPrEx>
              <w:trPr>
                <w:trHeight w:val="281" w:hRule="atLeast"/>
              </w:trPr>
              <w:tc>
                <w:tcPr>
                  <w:tcW w:w="2671"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630" w:hRule="atLeast"/>
              </w:trPr>
              <w:tc>
                <w:tcPr>
                  <w:tcW w:w="2671"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90" w:hRule="atLeast"/>
              </w:trPr>
              <w:tc>
                <w:tcPr>
                  <w:tcW w:w="2671"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ascii="宋体" w:hAnsi="宋体" w:eastAsia="宋体" w:cs="宋体"/>
                      <w:color w:val="000000"/>
                      <w:kern w:val="0"/>
                      <w:sz w:val="20"/>
                    </w:rPr>
                  </w:pPr>
                  <w:r>
                    <w:rPr>
                      <w:rFonts w:hint="eastAsia" w:ascii="宋体" w:hAnsi="宋体" w:eastAsia="宋体" w:cs="宋体"/>
                      <w:color w:val="000000"/>
                      <w:kern w:val="0"/>
                      <w:sz w:val="20"/>
                      <w:szCs w:val="20"/>
                    </w:rPr>
                    <w:t>一、一般公共服务</w:t>
                  </w:r>
                  <w:r>
                    <w:rPr>
                      <w:rFonts w:hint="eastAsia" w:ascii="宋体" w:hAnsi="宋体" w:eastAsia="宋体" w:cs="宋体"/>
                      <w:color w:val="000000"/>
                      <w:kern w:val="0"/>
                      <w:sz w:val="20"/>
                      <w:szCs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88.96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31.66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25.02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6.65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57.30</w:t>
                  </w:r>
                </w:p>
              </w:tc>
            </w:tr>
            <w:tr>
              <w:tblPrEx>
                <w:tblCellMar>
                  <w:top w:w="15" w:type="dxa"/>
                  <w:left w:w="15" w:type="dxa"/>
                  <w:bottom w:w="15" w:type="dxa"/>
                  <w:right w:w="15" w:type="dxa"/>
                </w:tblCellMar>
              </w:tblPrEx>
              <w:trPr>
                <w:trHeight w:val="390" w:hRule="atLeast"/>
              </w:trPr>
              <w:tc>
                <w:tcPr>
                  <w:tcW w:w="267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88.96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31.66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25.02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6.65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57.30</w:t>
                  </w:r>
                </w:p>
              </w:tc>
            </w:tr>
            <w:tr>
              <w:tblPrEx>
                <w:tblCellMar>
                  <w:top w:w="15" w:type="dxa"/>
                  <w:left w:w="15" w:type="dxa"/>
                  <w:bottom w:w="15" w:type="dxa"/>
                  <w:right w:w="15" w:type="dxa"/>
                </w:tblCellMar>
              </w:tblPrEx>
              <w:trPr>
                <w:trHeight w:val="390" w:hRule="atLeast"/>
              </w:trPr>
              <w:tc>
                <w:tcPr>
                  <w:tcW w:w="267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31.66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31.66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25.02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6.65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390" w:hRule="atLeast"/>
              </w:trPr>
              <w:tc>
                <w:tcPr>
                  <w:tcW w:w="267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15.72</w:t>
                  </w:r>
                </w:p>
              </w:tc>
            </w:tr>
            <w:tr>
              <w:tblPrEx>
                <w:tblCellMar>
                  <w:top w:w="15" w:type="dxa"/>
                  <w:left w:w="15" w:type="dxa"/>
                  <w:bottom w:w="15" w:type="dxa"/>
                  <w:right w:w="15" w:type="dxa"/>
                </w:tblCellMar>
              </w:tblPrEx>
              <w:trPr>
                <w:trHeight w:val="390" w:hRule="atLeast"/>
              </w:trPr>
              <w:tc>
                <w:tcPr>
                  <w:tcW w:w="2671"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lang w:val="en-US" w:eastAsia="zh-CN"/>
                    </w:rPr>
                    <w:t>　　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41.58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41.58</w:t>
                  </w:r>
                </w:p>
              </w:tc>
            </w:tr>
            <w:tr>
              <w:tblPrEx>
                <w:tblCellMar>
                  <w:top w:w="15" w:type="dxa"/>
                  <w:left w:w="15" w:type="dxa"/>
                  <w:bottom w:w="15" w:type="dxa"/>
                  <w:right w:w="15" w:type="dxa"/>
                </w:tblCellMar>
              </w:tblPrEx>
              <w:trPr>
                <w:trHeight w:val="390" w:hRule="atLeast"/>
              </w:trPr>
              <w:tc>
                <w:tcPr>
                  <w:tcW w:w="2671"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lang w:val="en-US" w:eastAsia="zh-CN"/>
                    </w:rPr>
                    <w:t>二、</w:t>
                  </w:r>
                  <w:r>
                    <w:rPr>
                      <w:rFonts w:hint="eastAsia" w:ascii="宋体" w:hAnsi="宋体" w:eastAsia="宋体" w:cs="宋体"/>
                      <w:color w:val="000000"/>
                      <w:kern w:val="0"/>
                      <w:sz w:val="20"/>
                      <w:szCs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397" w:hRule="atLeast"/>
              </w:trPr>
              <w:tc>
                <w:tcPr>
                  <w:tcW w:w="267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390" w:hRule="atLeast"/>
              </w:trPr>
              <w:tc>
                <w:tcPr>
                  <w:tcW w:w="267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7.44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7.44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7.44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390" w:hRule="atLeast"/>
              </w:trPr>
              <w:tc>
                <w:tcPr>
                  <w:tcW w:w="267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330" w:hRule="atLeast"/>
              </w:trPr>
              <w:tc>
                <w:tcPr>
                  <w:tcW w:w="267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lang w:val="en-US" w:eastAsia="zh-CN"/>
                    </w:rPr>
                    <w:t>三、</w:t>
                  </w:r>
                  <w:r>
                    <w:rPr>
                      <w:rFonts w:hint="eastAsia" w:ascii="宋体" w:hAnsi="宋体" w:eastAsia="宋体" w:cs="宋体"/>
                      <w:color w:val="000000"/>
                      <w:kern w:val="0"/>
                      <w:sz w:val="20"/>
                      <w:szCs w:val="20"/>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330" w:hRule="atLeast"/>
              </w:trPr>
              <w:tc>
                <w:tcPr>
                  <w:tcW w:w="267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287" w:hRule="atLeast"/>
              </w:trPr>
              <w:tc>
                <w:tcPr>
                  <w:tcW w:w="267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330" w:hRule="atLeast"/>
              </w:trPr>
              <w:tc>
                <w:tcPr>
                  <w:tcW w:w="267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lang w:val="en-US" w:eastAsia="zh-CN"/>
                    </w:rPr>
                    <w:t>四、</w:t>
                  </w:r>
                  <w:r>
                    <w:rPr>
                      <w:rFonts w:hint="eastAsia" w:ascii="宋体" w:hAnsi="宋体" w:eastAsia="宋体" w:cs="宋体"/>
                      <w:color w:val="000000"/>
                      <w:kern w:val="0"/>
                      <w:sz w:val="20"/>
                      <w:szCs w:val="20"/>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330" w:hRule="atLeast"/>
              </w:trPr>
              <w:tc>
                <w:tcPr>
                  <w:tcW w:w="267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330" w:hRule="atLeast"/>
              </w:trPr>
              <w:tc>
                <w:tcPr>
                  <w:tcW w:w="267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szCs w:val="20"/>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330" w:hRule="atLeast"/>
              </w:trPr>
              <w:tc>
                <w:tcPr>
                  <w:tcW w:w="2671"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104.09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46.79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40.15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6.65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57.30</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rPr>
          <w:rFonts w:eastAsia="楷体"/>
        </w:rPr>
      </w:pPr>
    </w:p>
    <w:tbl>
      <w:tblPr>
        <w:tblStyle w:val="9"/>
        <w:tblW w:w="9140" w:type="dxa"/>
        <w:jc w:val="center"/>
        <w:tblLayout w:type="fixed"/>
        <w:tblCellMar>
          <w:top w:w="0" w:type="dxa"/>
          <w:left w:w="108" w:type="dxa"/>
          <w:bottom w:w="0" w:type="dxa"/>
          <w:right w:w="108" w:type="dxa"/>
        </w:tblCellMar>
      </w:tblPr>
      <w:tblGrid>
        <w:gridCol w:w="3249"/>
        <w:gridCol w:w="2271"/>
        <w:gridCol w:w="1743"/>
        <w:gridCol w:w="1877"/>
      </w:tblGrid>
      <w:tr>
        <w:tblPrEx>
          <w:tblCellMar>
            <w:top w:w="0" w:type="dxa"/>
            <w:left w:w="108" w:type="dxa"/>
            <w:bottom w:w="0" w:type="dxa"/>
            <w:right w:w="108" w:type="dxa"/>
          </w:tblCellMar>
        </w:tblPrEx>
        <w:trPr>
          <w:trHeight w:val="711" w:hRule="atLeast"/>
          <w:jc w:val="center"/>
        </w:trPr>
        <w:tc>
          <w:tcPr>
            <w:tcW w:w="9140" w:type="dxa"/>
            <w:gridSpan w:val="4"/>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416" w:hRule="atLeast"/>
          <w:jc w:val="center"/>
        </w:trPr>
        <w:tc>
          <w:tcPr>
            <w:tcW w:w="3249" w:type="dxa"/>
            <w:tcBorders>
              <w:top w:val="nil"/>
              <w:left w:val="nil"/>
              <w:bottom w:val="single" w:color="auto" w:sz="4" w:space="0"/>
              <w:right w:val="nil"/>
            </w:tcBorders>
            <w:noWrap w:val="0"/>
            <w:vAlign w:val="center"/>
          </w:tcPr>
          <w:p>
            <w:pPr>
              <w:widowControl/>
              <w:jc w:val="left"/>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kern w:val="0"/>
                <w:sz w:val="20"/>
              </w:rPr>
              <w:t>　</w:t>
            </w:r>
          </w:p>
        </w:tc>
        <w:tc>
          <w:tcPr>
            <w:tcW w:w="2271" w:type="dxa"/>
            <w:tcBorders>
              <w:top w:val="nil"/>
              <w:left w:val="nil"/>
              <w:bottom w:val="single" w:color="auto" w:sz="4" w:space="0"/>
              <w:right w:val="nil"/>
            </w:tcBorders>
            <w:noWrap w:val="0"/>
            <w:vAlign w:val="center"/>
          </w:tcPr>
          <w:p>
            <w:pPr>
              <w:widowControl/>
              <w:jc w:val="right"/>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kern w:val="0"/>
                <w:sz w:val="20"/>
              </w:rPr>
              <w:t>　</w:t>
            </w:r>
          </w:p>
        </w:tc>
        <w:tc>
          <w:tcPr>
            <w:tcW w:w="3620" w:type="dxa"/>
            <w:gridSpan w:val="2"/>
            <w:tcBorders>
              <w:top w:val="nil"/>
              <w:left w:val="nil"/>
              <w:bottom w:val="single" w:color="auto" w:sz="4" w:space="0"/>
              <w:right w:val="nil"/>
            </w:tcBorders>
            <w:noWrap w:val="0"/>
            <w:vAlign w:val="bottom"/>
          </w:tcPr>
          <w:p>
            <w:pPr>
              <w:widowControl/>
              <w:jc w:val="right"/>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kern w:val="0"/>
                <w:sz w:val="20"/>
              </w:rPr>
              <w:t>　单位：万元</w:t>
            </w:r>
          </w:p>
        </w:tc>
      </w:tr>
      <w:tr>
        <w:tblPrEx>
          <w:tblCellMar>
            <w:top w:w="0" w:type="dxa"/>
            <w:left w:w="108" w:type="dxa"/>
            <w:bottom w:w="0" w:type="dxa"/>
            <w:right w:w="108" w:type="dxa"/>
          </w:tblCellMar>
        </w:tblPrEx>
        <w:trPr>
          <w:trHeight w:val="634" w:hRule="atLeast"/>
          <w:jc w:val="center"/>
        </w:trPr>
        <w:tc>
          <w:tcPr>
            <w:tcW w:w="3249"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部门预算支出</w:t>
            </w:r>
            <w:r>
              <w:rPr>
                <w:rFonts w:hint="eastAsia" w:ascii="宋体" w:hAnsi="宋体" w:eastAsia="宋体" w:cs="宋体"/>
                <w:kern w:val="0"/>
                <w:sz w:val="20"/>
                <w:szCs w:val="20"/>
              </w:rPr>
              <w:t>经济分类科目</w:t>
            </w:r>
          </w:p>
        </w:tc>
        <w:tc>
          <w:tcPr>
            <w:tcW w:w="2271"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合计</w:t>
            </w:r>
          </w:p>
        </w:tc>
        <w:tc>
          <w:tcPr>
            <w:tcW w:w="1743"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人员经费</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公用经费</w:t>
            </w: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一、工资福利支出</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32.53</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32.53</w:t>
            </w: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lang w:val="en-US" w:eastAsia="zh-CN"/>
              </w:rPr>
            </w:pP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基本工资</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12.62</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12.62</w:t>
            </w: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津贴补贴</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5.72</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5.72</w:t>
            </w: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奖金</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5.28</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5.28</w:t>
            </w: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61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机关事业单位基本养老保险缴费</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3.50</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3.50</w:t>
            </w: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职工基本医疗保险缴费</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1.16</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1.16</w:t>
            </w: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其他社会保障缴费</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0.28</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0.28</w:t>
            </w: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住房公积金</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3.00</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3.00</w:t>
            </w: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医疗费</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0.64</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0.64</w:t>
            </w: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其他工资福利支出</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0.33</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0.33</w:t>
            </w: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sz w:val="20"/>
                <w:szCs w:val="20"/>
              </w:rPr>
            </w:pP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eastAsia" w:ascii="宋体" w:hAnsi="宋体" w:eastAsia="宋体" w:cs="宋体"/>
                <w:kern w:val="0"/>
                <w:sz w:val="20"/>
                <w:szCs w:val="20"/>
              </w:rPr>
            </w:pPr>
            <w:r>
              <w:rPr>
                <w:rFonts w:hint="eastAsia" w:ascii="宋体" w:hAnsi="宋体" w:eastAsia="宋体" w:cs="宋体"/>
                <w:color w:val="000000"/>
                <w:sz w:val="20"/>
                <w:szCs w:val="20"/>
              </w:rPr>
              <w:t>二、商品和服务支出</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6.05</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sz w:val="20"/>
                <w:szCs w:val="20"/>
              </w:rPr>
            </w:pP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6.05</w:t>
            </w: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办公费</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0.60</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sz w:val="20"/>
                <w:szCs w:val="20"/>
              </w:rPr>
            </w:pP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0.60</w:t>
            </w: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印刷费</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0.15</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sz w:val="20"/>
                <w:szCs w:val="20"/>
              </w:rPr>
            </w:pP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0.15</w:t>
            </w: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邮电费</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0.50</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sz w:val="20"/>
                <w:szCs w:val="20"/>
              </w:rPr>
            </w:pP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0.50</w:t>
            </w: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差旅费</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0.50</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sz w:val="20"/>
                <w:szCs w:val="20"/>
              </w:rPr>
            </w:pP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0.50</w:t>
            </w: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工会经费</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0.50</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sz w:val="20"/>
                <w:szCs w:val="20"/>
              </w:rPr>
            </w:pP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0.50</w:t>
            </w: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福利费</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1.70</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sz w:val="20"/>
                <w:szCs w:val="20"/>
              </w:rPr>
            </w:pP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1.70</w:t>
            </w: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其他交通费用</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1.44</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sz w:val="20"/>
                <w:szCs w:val="20"/>
              </w:rPr>
            </w:pP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1.44</w:t>
            </w: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其他商品和服务支出</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0.66</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eastAsia" w:ascii="宋体" w:hAnsi="宋体" w:eastAsia="宋体" w:cs="宋体"/>
                <w:sz w:val="20"/>
                <w:szCs w:val="20"/>
              </w:rPr>
            </w:pP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0.66</w:t>
            </w: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三、对个人和家庭的补助</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7.62</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7.62</w:t>
            </w: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退休费</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7.44</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7.44</w:t>
            </w: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其他对个人和家庭的补助</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0.18</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0.18</w:t>
            </w: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四、资本性支出</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0.60</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0.60</w:t>
            </w:r>
          </w:p>
        </w:tc>
      </w:tr>
      <w:tr>
        <w:tblPrEx>
          <w:tblCellMar>
            <w:top w:w="0" w:type="dxa"/>
            <w:left w:w="108" w:type="dxa"/>
            <w:bottom w:w="0" w:type="dxa"/>
            <w:right w:w="108" w:type="dxa"/>
          </w:tblCellMar>
        </w:tblPrEx>
        <w:trPr>
          <w:trHeight w:val="423" w:hRule="exact"/>
          <w:jc w:val="center"/>
        </w:trPr>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办公设备购置</w:t>
            </w:r>
          </w:p>
        </w:tc>
        <w:tc>
          <w:tcPr>
            <w:tcW w:w="22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0.60</w:t>
            </w:r>
          </w:p>
        </w:tc>
        <w:tc>
          <w:tcPr>
            <w:tcW w:w="17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8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0.60</w:t>
            </w:r>
          </w:p>
        </w:tc>
      </w:tr>
      <w:tr>
        <w:tblPrEx>
          <w:tblCellMar>
            <w:top w:w="0" w:type="dxa"/>
            <w:left w:w="108" w:type="dxa"/>
            <w:bottom w:w="0" w:type="dxa"/>
            <w:right w:w="108" w:type="dxa"/>
          </w:tblCellMar>
        </w:tblPrEx>
        <w:trPr>
          <w:trHeight w:val="444" w:hRule="exact"/>
          <w:jc w:val="center"/>
        </w:trPr>
        <w:tc>
          <w:tcPr>
            <w:tcW w:w="3249"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合计</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46.80</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40.15</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6.65</w:t>
            </w:r>
          </w:p>
        </w:tc>
      </w:tr>
    </w:tbl>
    <w:tbl>
      <w:tblPr>
        <w:tblStyle w:val="9"/>
        <w:tblpPr w:leftFromText="180" w:rightFromText="180" w:vertAnchor="text" w:horzAnchor="page" w:tblpX="1537" w:tblpY="189"/>
        <w:tblOverlap w:val="never"/>
        <w:tblW w:w="0" w:type="auto"/>
        <w:tblInd w:w="0" w:type="dxa"/>
        <w:tblLayout w:type="fixed"/>
        <w:tblCellMar>
          <w:top w:w="0" w:type="dxa"/>
          <w:left w:w="108" w:type="dxa"/>
          <w:bottom w:w="0" w:type="dxa"/>
          <w:right w:w="108" w:type="dxa"/>
        </w:tblCellMar>
      </w:tblPr>
      <w:tblGrid>
        <w:gridCol w:w="5769"/>
        <w:gridCol w:w="3371"/>
      </w:tblGrid>
      <w:tr>
        <w:trPr>
          <w:trHeight w:val="1246" w:hRule="atLeast"/>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trPr>
        <w:tc>
          <w:tcPr>
            <w:tcW w:w="9140" w:type="dxa"/>
            <w:gridSpan w:val="2"/>
            <w:tcBorders>
              <w:bottom w:val="single" w:color="auto" w:sz="4" w:space="0"/>
            </w:tcBorders>
            <w:noWrap w:val="0"/>
            <w:vAlign w:val="bottom"/>
          </w:tcPr>
          <w:p>
            <w:pPr>
              <w:widowControl/>
              <w:jc w:val="right"/>
              <w:rPr>
                <w:rFonts w:hint="eastAsia" w:asciiTheme="minorEastAsia" w:hAnsiTheme="minorEastAsia" w:eastAsiaTheme="minorEastAsia" w:cstheme="minorEastAsia"/>
                <w:color w:val="000000"/>
                <w:kern w:val="0"/>
                <w:sz w:val="20"/>
              </w:rPr>
            </w:pPr>
            <w:r>
              <w:rPr>
                <w:rFonts w:hint="eastAsia" w:asciiTheme="minorEastAsia" w:hAnsiTheme="minorEastAsia" w:eastAsiaTheme="minorEastAsia" w:cstheme="minorEastAsia"/>
                <w:color w:val="000000"/>
                <w:kern w:val="0"/>
                <w:sz w:val="20"/>
              </w:rPr>
              <w:t>单位：万元</w:t>
            </w:r>
          </w:p>
        </w:tc>
      </w:tr>
      <w:tr>
        <w:tblPrEx>
          <w:tblCellMar>
            <w:top w:w="0" w:type="dxa"/>
            <w:left w:w="108" w:type="dxa"/>
            <w:bottom w:w="0" w:type="dxa"/>
            <w:right w:w="108" w:type="dxa"/>
          </w:tblCellMar>
        </w:tblPrEx>
        <w:trPr>
          <w:trHeight w:val="851" w:hRule="atLeast"/>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    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202</w:t>
            </w:r>
            <w:r>
              <w:rPr>
                <w:rFonts w:hint="eastAsia" w:ascii="宋体" w:hAnsi="宋体" w:eastAsia="宋体" w:cs="宋体"/>
                <w:color w:val="000000"/>
                <w:kern w:val="0"/>
                <w:sz w:val="20"/>
                <w:lang w:val="en-US" w:eastAsia="zh-CN"/>
              </w:rPr>
              <w:t>4</w:t>
            </w:r>
            <w:r>
              <w:rPr>
                <w:rFonts w:hint="eastAsia" w:ascii="宋体" w:hAnsi="宋体" w:eastAsia="宋体" w:cs="宋体"/>
                <w:color w:val="000000"/>
                <w:kern w:val="0"/>
                <w:sz w:val="20"/>
              </w:rPr>
              <w:t>年预算数</w:t>
            </w:r>
          </w:p>
        </w:tc>
      </w:tr>
      <w:tr>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hint="eastAsia" w:ascii="宋体" w:hAnsi="宋体" w:eastAsia="宋体" w:cs="宋体"/>
                <w:color w:val="000000"/>
                <w:kern w:val="0"/>
                <w:sz w:val="20"/>
              </w:rPr>
            </w:pPr>
            <w:r>
              <w:rPr>
                <w:rFonts w:hint="eastAsia" w:ascii="宋体" w:hAnsi="宋体" w:eastAsia="宋体" w:cs="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1335" w:hRule="atLeast"/>
        </w:trPr>
        <w:tc>
          <w:tcPr>
            <w:tcW w:w="9140" w:type="dxa"/>
            <w:gridSpan w:val="2"/>
            <w:tcBorders>
              <w:top w:val="single" w:color="auto" w:sz="4" w:space="0"/>
              <w:left w:val="nil"/>
              <w:bottom w:val="nil"/>
              <w:right w:val="nil"/>
            </w:tcBorders>
            <w:noWrap w:val="0"/>
            <w:vAlign w:val="center"/>
          </w:tcPr>
          <w:p>
            <w:pPr>
              <w:widowControl/>
              <w:ind w:firstLine="440" w:firstLineChars="200"/>
              <w:jc w:val="both"/>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说明：</w:t>
            </w:r>
          </w:p>
          <w:p>
            <w:pPr>
              <w:widowControl/>
              <w:numPr>
                <w:ilvl w:val="0"/>
                <w:numId w:val="0"/>
              </w:numPr>
              <w:ind w:firstLine="660" w:firstLineChars="300"/>
              <w:jc w:val="both"/>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bidi="ar-SA"/>
              </w:rPr>
              <w:t>1、</w:t>
            </w:r>
            <w:r>
              <w:rPr>
                <w:rFonts w:hint="eastAsia" w:ascii="仿宋" w:hAnsi="仿宋" w:eastAsia="仿宋" w:cs="仿宋"/>
                <w:color w:val="000000"/>
                <w:kern w:val="0"/>
                <w:sz w:val="22"/>
                <w:szCs w:val="22"/>
                <w:lang w:val="en-US" w:eastAsia="zh-CN"/>
              </w:rPr>
              <w:t>“2024年预算数”的单位范围包括单位本级1个预算单位。</w:t>
            </w:r>
          </w:p>
          <w:p>
            <w:pPr>
              <w:widowControl/>
              <w:ind w:firstLine="660" w:firstLineChars="300"/>
              <w:jc w:val="both"/>
              <w:rPr>
                <w:rFonts w:hint="eastAsia" w:eastAsia="仿宋_GB2312"/>
                <w:color w:val="000000"/>
                <w:kern w:val="0"/>
                <w:sz w:val="28"/>
                <w:szCs w:val="28"/>
                <w:lang w:val="en-US" w:eastAsia="zh-CN"/>
              </w:rPr>
            </w:pPr>
            <w:r>
              <w:rPr>
                <w:rFonts w:hint="eastAsia" w:ascii="仿宋" w:hAnsi="仿宋" w:eastAsia="仿宋" w:cs="仿宋"/>
                <w:color w:val="000000"/>
                <w:kern w:val="0"/>
                <w:sz w:val="22"/>
                <w:szCs w:val="22"/>
                <w:lang w:val="en-US" w:eastAsia="zh-CN" w:bidi="ar-SA"/>
              </w:rPr>
              <w:t>2、</w:t>
            </w:r>
            <w:r>
              <w:rPr>
                <w:rFonts w:hint="eastAsia" w:ascii="仿宋" w:hAnsi="仿宋" w:eastAsia="仿宋" w:cs="仿宋"/>
                <w:color w:val="000000"/>
                <w:kern w:val="0"/>
                <w:sz w:val="22"/>
                <w:szCs w:val="22"/>
                <w:lang w:val="en-US" w:eastAsia="zh-CN"/>
              </w:rPr>
              <w:t>“2024年预算数”的实有人员8人，其中在职人员2人，离退休人员6人。</w:t>
            </w:r>
          </w:p>
        </w:tc>
      </w:tr>
    </w:tbl>
    <w:p>
      <w:pPr>
        <w:ind w:firstLine="636"/>
        <w:rPr>
          <w:rFonts w:hAnsi="楷体" w:eastAsia="楷体"/>
        </w:rPr>
      </w:pPr>
    </w:p>
    <w:p>
      <w:pPr>
        <w:ind w:firstLine="640" w:firstLineChars="200"/>
        <w:rPr>
          <w:rFonts w:hAnsi="楷体" w:eastAsia="楷体"/>
        </w:rPr>
      </w:pPr>
    </w:p>
    <w:p>
      <w:pPr>
        <w:ind w:firstLine="640" w:firstLineChars="200"/>
        <w:rPr>
          <w:rFonts w:hint="eastAsia" w:hAnsi="楷体" w:eastAsia="楷体"/>
          <w:lang w:val="en-US" w:eastAsia="zh-CN"/>
        </w:rPr>
      </w:pPr>
      <w:r>
        <w:rPr>
          <w:rFonts w:hint="eastAsia" w:hAnsi="楷体" w:eastAsia="楷体"/>
          <w:lang w:val="en-US" w:eastAsia="zh-CN"/>
        </w:rPr>
        <w:t xml:space="preserve"> </w:t>
      </w:r>
    </w:p>
    <w:p>
      <w:pPr>
        <w:ind w:firstLine="640" w:firstLineChars="200"/>
        <w:rPr>
          <w:rFonts w:hint="eastAsia" w:hAnsi="楷体" w:eastAsia="楷体"/>
          <w:lang w:val="en-US" w:eastAsia="zh-CN"/>
        </w:rPr>
      </w:pPr>
    </w:p>
    <w:p>
      <w:pPr>
        <w:ind w:firstLine="640" w:firstLineChars="200"/>
        <w:rPr>
          <w:rFonts w:hint="eastAsia" w:hAnsi="楷体" w:eastAsia="楷体"/>
          <w:lang w:val="en-US" w:eastAsia="zh-CN"/>
        </w:rPr>
      </w:pPr>
    </w:p>
    <w:p>
      <w:pPr>
        <w:ind w:firstLine="640" w:firstLineChars="200"/>
        <w:rPr>
          <w:rFonts w:hint="eastAsia" w:hAnsi="楷体" w:eastAsia="楷体"/>
          <w:lang w:val="en-US" w:eastAsia="zh-CN"/>
        </w:rPr>
      </w:pPr>
    </w:p>
    <w:p>
      <w:pPr>
        <w:ind w:firstLine="640" w:firstLineChars="200"/>
        <w:rPr>
          <w:rFonts w:hint="eastAsia" w:hAnsi="楷体" w:eastAsia="楷体"/>
          <w:lang w:val="en-US" w:eastAsia="zh-CN"/>
        </w:rPr>
      </w:pPr>
    </w:p>
    <w:p>
      <w:pPr>
        <w:ind w:firstLine="640" w:firstLineChars="200"/>
        <w:rPr>
          <w:rFonts w:hint="eastAsia" w:hAnsi="楷体" w:eastAsia="楷体"/>
          <w:lang w:val="en-US" w:eastAsia="zh-CN"/>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p>
    <w:p>
      <w:pPr>
        <w:ind w:firstLine="640" w:firstLineChars="200"/>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hint="eastAsia" w:asciiTheme="minorEastAsia" w:hAnsiTheme="minorEastAsia" w:eastAsiaTheme="minorEastAsia" w:cstheme="minorEastAsia"/>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tbl>
      <w:tblPr>
        <w:tblStyle w:val="9"/>
        <w:tblpPr w:leftFromText="180" w:rightFromText="180" w:vertAnchor="page" w:horzAnchor="page" w:tblpX="1644" w:tblpY="2192"/>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hint="eastAsia" w:asciiTheme="minorEastAsia" w:hAnsiTheme="minorEastAsia" w:eastAsiaTheme="minorEastAsia" w:cstheme="minorEastAsia"/>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bl>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tbl>
      <w:tblPr>
        <w:tblStyle w:val="9"/>
        <w:tblpPr w:leftFromText="180" w:rightFromText="180" w:vertAnchor="text" w:horzAnchor="page" w:tblpXSpec="center" w:tblpY="126"/>
        <w:tblOverlap w:val="never"/>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4"/>
        <w:gridCol w:w="329"/>
        <w:gridCol w:w="600"/>
        <w:gridCol w:w="964"/>
        <w:gridCol w:w="915"/>
        <w:gridCol w:w="799"/>
        <w:gridCol w:w="490"/>
        <w:gridCol w:w="482"/>
        <w:gridCol w:w="437"/>
        <w:gridCol w:w="493"/>
        <w:gridCol w:w="477"/>
        <w:gridCol w:w="464"/>
        <w:gridCol w:w="467"/>
        <w:gridCol w:w="437"/>
        <w:gridCol w:w="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9500"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06" w:type="dxa"/>
            <w:tcBorders>
              <w:top w:val="nil"/>
              <w:left w:val="nil"/>
              <w:right w:val="nil"/>
            </w:tcBorders>
            <w:noWrap w:val="0"/>
            <w:vAlign w:val="center"/>
          </w:tcPr>
          <w:p>
            <w:pPr>
              <w:autoSpaceDN w:val="0"/>
              <w:jc w:val="center"/>
              <w:textAlignment w:val="center"/>
              <w:rPr>
                <w:rFonts w:hint="eastAsia" w:asciiTheme="minorEastAsia" w:hAnsiTheme="minorEastAsia" w:eastAsiaTheme="minorEastAsia" w:cstheme="minorEastAsia"/>
                <w:color w:val="000000"/>
                <w:sz w:val="20"/>
                <w:szCs w:val="20"/>
              </w:rPr>
            </w:pPr>
          </w:p>
        </w:tc>
        <w:tc>
          <w:tcPr>
            <w:tcW w:w="1203" w:type="dxa"/>
            <w:gridSpan w:val="2"/>
            <w:tcBorders>
              <w:top w:val="nil"/>
              <w:left w:val="nil"/>
              <w:right w:val="nil"/>
            </w:tcBorders>
            <w:noWrap w:val="0"/>
            <w:vAlign w:val="center"/>
          </w:tcPr>
          <w:p>
            <w:pPr>
              <w:autoSpaceDN w:val="0"/>
              <w:jc w:val="center"/>
              <w:textAlignment w:val="center"/>
              <w:rPr>
                <w:rFonts w:hint="eastAsia" w:asciiTheme="minorEastAsia" w:hAnsiTheme="minorEastAsia" w:eastAsiaTheme="minorEastAsia" w:cstheme="minorEastAsia"/>
                <w:color w:val="000000"/>
                <w:sz w:val="20"/>
                <w:szCs w:val="20"/>
              </w:rPr>
            </w:pPr>
          </w:p>
        </w:tc>
        <w:tc>
          <w:tcPr>
            <w:tcW w:w="600" w:type="dxa"/>
            <w:tcBorders>
              <w:top w:val="nil"/>
              <w:left w:val="nil"/>
              <w:right w:val="nil"/>
            </w:tcBorders>
            <w:noWrap w:val="0"/>
            <w:vAlign w:val="center"/>
          </w:tcPr>
          <w:p>
            <w:pPr>
              <w:autoSpaceDN w:val="0"/>
              <w:jc w:val="center"/>
              <w:textAlignment w:val="center"/>
              <w:rPr>
                <w:rFonts w:hint="eastAsia" w:asciiTheme="minorEastAsia" w:hAnsiTheme="minorEastAsia" w:eastAsiaTheme="minorEastAsia" w:cstheme="minorEastAsia"/>
                <w:color w:val="000000"/>
                <w:sz w:val="20"/>
                <w:szCs w:val="20"/>
              </w:rPr>
            </w:pPr>
          </w:p>
        </w:tc>
        <w:tc>
          <w:tcPr>
            <w:tcW w:w="964" w:type="dxa"/>
            <w:tcBorders>
              <w:top w:val="nil"/>
              <w:left w:val="nil"/>
              <w:right w:val="nil"/>
            </w:tcBorders>
            <w:noWrap w:val="0"/>
            <w:vAlign w:val="center"/>
          </w:tcPr>
          <w:p>
            <w:pPr>
              <w:autoSpaceDN w:val="0"/>
              <w:jc w:val="center"/>
              <w:textAlignment w:val="center"/>
              <w:rPr>
                <w:rFonts w:hint="eastAsia" w:asciiTheme="minorEastAsia" w:hAnsiTheme="minorEastAsia" w:eastAsiaTheme="minorEastAsia" w:cstheme="minorEastAsia"/>
                <w:color w:val="000000"/>
                <w:sz w:val="20"/>
                <w:szCs w:val="20"/>
              </w:rPr>
            </w:pPr>
          </w:p>
        </w:tc>
        <w:tc>
          <w:tcPr>
            <w:tcW w:w="915" w:type="dxa"/>
            <w:tcBorders>
              <w:top w:val="nil"/>
              <w:left w:val="nil"/>
              <w:right w:val="nil"/>
            </w:tcBorders>
            <w:noWrap w:val="0"/>
            <w:vAlign w:val="center"/>
          </w:tcPr>
          <w:p>
            <w:pPr>
              <w:autoSpaceDN w:val="0"/>
              <w:jc w:val="center"/>
              <w:textAlignment w:val="center"/>
              <w:rPr>
                <w:rFonts w:hint="eastAsia" w:asciiTheme="minorEastAsia" w:hAnsiTheme="minorEastAsia" w:eastAsiaTheme="minorEastAsia" w:cstheme="minorEastAsia"/>
                <w:color w:val="000000"/>
                <w:sz w:val="20"/>
                <w:szCs w:val="20"/>
              </w:rPr>
            </w:pPr>
          </w:p>
        </w:tc>
        <w:tc>
          <w:tcPr>
            <w:tcW w:w="2701" w:type="dxa"/>
            <w:gridSpan w:val="5"/>
            <w:tcBorders>
              <w:top w:val="nil"/>
              <w:left w:val="nil"/>
              <w:right w:val="nil"/>
            </w:tcBorders>
            <w:noWrap w:val="0"/>
            <w:vAlign w:val="center"/>
          </w:tcPr>
          <w:p>
            <w:pPr>
              <w:autoSpaceDN w:val="0"/>
              <w:jc w:val="center"/>
              <w:textAlignment w:val="center"/>
              <w:rPr>
                <w:rFonts w:hint="eastAsia" w:asciiTheme="minorEastAsia" w:hAnsiTheme="minorEastAsia" w:eastAsiaTheme="minorEastAsia" w:cstheme="minorEastAsia"/>
                <w:color w:val="000000"/>
                <w:sz w:val="20"/>
                <w:szCs w:val="20"/>
              </w:rPr>
            </w:pPr>
          </w:p>
        </w:tc>
        <w:tc>
          <w:tcPr>
            <w:tcW w:w="2311" w:type="dxa"/>
            <w:gridSpan w:val="5"/>
            <w:tcBorders>
              <w:top w:val="nil"/>
              <w:left w:val="nil"/>
              <w:right w:val="nil"/>
            </w:tcBorders>
            <w:noWrap w:val="0"/>
            <w:vAlign w:val="bottom"/>
          </w:tcPr>
          <w:p>
            <w:pPr>
              <w:autoSpaceDN w:val="0"/>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6" w:type="dxa"/>
            <w:vMerge w:val="restart"/>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类型</w:t>
            </w:r>
          </w:p>
        </w:tc>
        <w:tc>
          <w:tcPr>
            <w:tcW w:w="1803" w:type="dxa"/>
            <w:gridSpan w:val="3"/>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项目名称</w:t>
            </w:r>
          </w:p>
        </w:tc>
        <w:tc>
          <w:tcPr>
            <w:tcW w:w="964" w:type="dxa"/>
            <w:vMerge w:val="restart"/>
            <w:noWrap w:val="0"/>
            <w:vAlign w:val="center"/>
          </w:tcPr>
          <w:p>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单位名称</w:t>
            </w:r>
          </w:p>
        </w:tc>
        <w:tc>
          <w:tcPr>
            <w:tcW w:w="915" w:type="dxa"/>
            <w:vMerge w:val="restart"/>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w:t>
            </w:r>
          </w:p>
        </w:tc>
        <w:tc>
          <w:tcPr>
            <w:tcW w:w="2701" w:type="dxa"/>
            <w:gridSpan w:val="5"/>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本年预算</w:t>
            </w:r>
          </w:p>
        </w:tc>
        <w:tc>
          <w:tcPr>
            <w:tcW w:w="2311" w:type="dxa"/>
            <w:gridSpan w:val="5"/>
            <w:noWrap w:val="0"/>
            <w:vAlign w:val="center"/>
          </w:tcPr>
          <w:p>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06" w:type="dxa"/>
            <w:vMerge w:val="continue"/>
            <w:noWrap w:val="0"/>
            <w:vAlign w:val="center"/>
          </w:tcPr>
          <w:p>
            <w:pPr>
              <w:autoSpaceDN w:val="0"/>
              <w:jc w:val="center"/>
              <w:textAlignment w:val="center"/>
              <w:rPr>
                <w:rFonts w:hint="eastAsia" w:ascii="宋体" w:hAnsi="宋体" w:eastAsia="宋体" w:cs="宋体"/>
                <w:color w:val="000000"/>
                <w:sz w:val="20"/>
                <w:szCs w:val="20"/>
              </w:rPr>
            </w:pPr>
          </w:p>
        </w:tc>
        <w:tc>
          <w:tcPr>
            <w:tcW w:w="874" w:type="dxa"/>
            <w:vMerge w:val="restart"/>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一级项目</w:t>
            </w:r>
          </w:p>
        </w:tc>
        <w:tc>
          <w:tcPr>
            <w:tcW w:w="929" w:type="dxa"/>
            <w:gridSpan w:val="2"/>
            <w:vMerge w:val="restart"/>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二级</w:t>
            </w: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rPr>
              <w:t>项目</w:t>
            </w:r>
          </w:p>
        </w:tc>
        <w:tc>
          <w:tcPr>
            <w:tcW w:w="964"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0"/>
                <w:lang w:eastAsia="zh-CN"/>
              </w:rPr>
            </w:pPr>
          </w:p>
        </w:tc>
        <w:tc>
          <w:tcPr>
            <w:tcW w:w="915" w:type="dxa"/>
            <w:vMerge w:val="continue"/>
            <w:noWrap w:val="0"/>
            <w:vAlign w:val="center"/>
          </w:tcPr>
          <w:p>
            <w:pPr>
              <w:autoSpaceDN w:val="0"/>
              <w:jc w:val="center"/>
              <w:textAlignment w:val="center"/>
              <w:rPr>
                <w:rFonts w:hint="eastAsia" w:ascii="宋体" w:hAnsi="宋体" w:eastAsia="宋体" w:cs="宋体"/>
                <w:color w:val="000000"/>
                <w:sz w:val="20"/>
                <w:szCs w:val="20"/>
              </w:rPr>
            </w:pPr>
          </w:p>
        </w:tc>
        <w:tc>
          <w:tcPr>
            <w:tcW w:w="1771" w:type="dxa"/>
            <w:gridSpan w:val="3"/>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财政拨款</w:t>
            </w:r>
          </w:p>
        </w:tc>
        <w:tc>
          <w:tcPr>
            <w:tcW w:w="437" w:type="dxa"/>
            <w:vMerge w:val="restart"/>
            <w:noWrap w:val="0"/>
            <w:textDirection w:val="tbLrV"/>
            <w:vAlign w:val="center"/>
          </w:tcPr>
          <w:p>
            <w:pPr>
              <w:autoSpaceDN w:val="0"/>
              <w:ind w:left="113" w:right="113"/>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财政专户管理资金</w:t>
            </w:r>
          </w:p>
        </w:tc>
        <w:tc>
          <w:tcPr>
            <w:tcW w:w="493" w:type="dxa"/>
            <w:vMerge w:val="restart"/>
            <w:noWrap w:val="0"/>
            <w:textDirection w:val="tbLrV"/>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单位资金</w:t>
            </w:r>
          </w:p>
        </w:tc>
        <w:tc>
          <w:tcPr>
            <w:tcW w:w="1408" w:type="dxa"/>
            <w:gridSpan w:val="3"/>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财政拨款结转</w:t>
            </w:r>
          </w:p>
        </w:tc>
        <w:tc>
          <w:tcPr>
            <w:tcW w:w="903" w:type="dxa"/>
            <w:gridSpan w:val="2"/>
            <w:noWrap w:val="0"/>
            <w:vAlign w:val="center"/>
          </w:tcPr>
          <w:p>
            <w:pPr>
              <w:tabs>
                <w:tab w:val="left" w:pos="492"/>
              </w:tabs>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806" w:type="dxa"/>
            <w:vMerge w:val="continue"/>
            <w:noWrap w:val="0"/>
            <w:vAlign w:val="center"/>
          </w:tcPr>
          <w:p>
            <w:pPr>
              <w:autoSpaceDN w:val="0"/>
              <w:jc w:val="center"/>
              <w:textAlignment w:val="center"/>
              <w:rPr>
                <w:rFonts w:hint="eastAsia" w:ascii="宋体" w:hAnsi="宋体" w:eastAsia="宋体" w:cs="宋体"/>
                <w:color w:val="000000"/>
                <w:sz w:val="20"/>
                <w:szCs w:val="20"/>
              </w:rPr>
            </w:pPr>
          </w:p>
        </w:tc>
        <w:tc>
          <w:tcPr>
            <w:tcW w:w="874" w:type="dxa"/>
            <w:vMerge w:val="continue"/>
            <w:noWrap w:val="0"/>
            <w:vAlign w:val="center"/>
          </w:tcPr>
          <w:p>
            <w:pPr>
              <w:autoSpaceDN w:val="0"/>
              <w:jc w:val="center"/>
              <w:textAlignment w:val="center"/>
              <w:rPr>
                <w:rFonts w:hint="eastAsia" w:ascii="宋体" w:hAnsi="宋体" w:eastAsia="宋体" w:cs="宋体"/>
                <w:color w:val="000000"/>
                <w:sz w:val="20"/>
                <w:szCs w:val="20"/>
              </w:rPr>
            </w:pPr>
          </w:p>
        </w:tc>
        <w:tc>
          <w:tcPr>
            <w:tcW w:w="929" w:type="dxa"/>
            <w:gridSpan w:val="2"/>
            <w:vMerge w:val="continue"/>
            <w:noWrap w:val="0"/>
            <w:vAlign w:val="center"/>
          </w:tcPr>
          <w:p>
            <w:pPr>
              <w:autoSpaceDN w:val="0"/>
              <w:jc w:val="center"/>
              <w:textAlignment w:val="center"/>
              <w:rPr>
                <w:rFonts w:hint="eastAsia" w:ascii="宋体" w:hAnsi="宋体" w:eastAsia="宋体" w:cs="宋体"/>
                <w:color w:val="000000"/>
                <w:sz w:val="20"/>
                <w:szCs w:val="20"/>
              </w:rPr>
            </w:pPr>
          </w:p>
        </w:tc>
        <w:tc>
          <w:tcPr>
            <w:tcW w:w="964" w:type="dxa"/>
            <w:vMerge w:val="continue"/>
            <w:noWrap w:val="0"/>
            <w:vAlign w:val="center"/>
          </w:tcPr>
          <w:p>
            <w:pPr>
              <w:autoSpaceDN w:val="0"/>
              <w:jc w:val="center"/>
              <w:textAlignment w:val="center"/>
              <w:rPr>
                <w:rFonts w:hint="eastAsia" w:ascii="宋体" w:hAnsi="宋体" w:eastAsia="宋体" w:cs="宋体"/>
                <w:color w:val="000000"/>
                <w:sz w:val="20"/>
                <w:szCs w:val="20"/>
              </w:rPr>
            </w:pPr>
          </w:p>
        </w:tc>
        <w:tc>
          <w:tcPr>
            <w:tcW w:w="915" w:type="dxa"/>
            <w:vMerge w:val="continue"/>
            <w:noWrap w:val="0"/>
            <w:vAlign w:val="center"/>
          </w:tcPr>
          <w:p>
            <w:pPr>
              <w:autoSpaceDN w:val="0"/>
              <w:jc w:val="center"/>
              <w:textAlignment w:val="center"/>
              <w:rPr>
                <w:rFonts w:hint="eastAsia" w:ascii="宋体" w:hAnsi="宋体" w:eastAsia="宋体" w:cs="宋体"/>
                <w:color w:val="000000"/>
                <w:sz w:val="20"/>
                <w:szCs w:val="20"/>
              </w:rPr>
            </w:pPr>
          </w:p>
        </w:tc>
        <w:tc>
          <w:tcPr>
            <w:tcW w:w="799" w:type="dxa"/>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一般公共预算</w:t>
            </w:r>
          </w:p>
        </w:tc>
        <w:tc>
          <w:tcPr>
            <w:tcW w:w="490" w:type="dxa"/>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政府性</w:t>
            </w:r>
          </w:p>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基金</w:t>
            </w:r>
          </w:p>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预算</w:t>
            </w:r>
          </w:p>
        </w:tc>
        <w:tc>
          <w:tcPr>
            <w:tcW w:w="482" w:type="dxa"/>
            <w:noWrap w:val="0"/>
            <w:vAlign w:val="center"/>
          </w:tcPr>
          <w:p>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国有资本经营预算</w:t>
            </w:r>
          </w:p>
        </w:tc>
        <w:tc>
          <w:tcPr>
            <w:tcW w:w="437"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0"/>
                <w:lang w:eastAsia="zh-CN"/>
              </w:rPr>
            </w:pPr>
          </w:p>
        </w:tc>
        <w:tc>
          <w:tcPr>
            <w:tcW w:w="493"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0"/>
              </w:rPr>
            </w:pPr>
          </w:p>
        </w:tc>
        <w:tc>
          <w:tcPr>
            <w:tcW w:w="477" w:type="dxa"/>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一般</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公共</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预算</w:t>
            </w:r>
          </w:p>
        </w:tc>
        <w:tc>
          <w:tcPr>
            <w:tcW w:w="464" w:type="dxa"/>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政府性</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基金</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预算</w:t>
            </w:r>
          </w:p>
        </w:tc>
        <w:tc>
          <w:tcPr>
            <w:tcW w:w="467" w:type="dxa"/>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国有资本经营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预算</w:t>
            </w:r>
          </w:p>
        </w:tc>
        <w:tc>
          <w:tcPr>
            <w:tcW w:w="437" w:type="dxa"/>
            <w:noWrap w:val="0"/>
            <w:textDirection w:val="tbRlV"/>
            <w:vAlign w:val="center"/>
          </w:tcPr>
          <w:p>
            <w:pPr>
              <w:autoSpaceDN w:val="0"/>
              <w:ind w:left="113" w:right="113"/>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财政专户管理资金</w:t>
            </w:r>
          </w:p>
        </w:tc>
        <w:tc>
          <w:tcPr>
            <w:tcW w:w="466" w:type="dxa"/>
            <w:noWrap w:val="0"/>
            <w:textDirection w:val="tbRlV"/>
            <w:vAlign w:val="center"/>
          </w:tcPr>
          <w:p>
            <w:pPr>
              <w:autoSpaceDN w:val="0"/>
              <w:ind w:left="113" w:right="113"/>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06"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专项业务支出</w:t>
            </w:r>
          </w:p>
        </w:tc>
        <w:tc>
          <w:tcPr>
            <w:tcW w:w="874" w:type="dxa"/>
            <w:noWrap w:val="0"/>
            <w:vAlign w:val="center"/>
          </w:tcPr>
          <w:p>
            <w:pPr>
              <w:jc w:val="center"/>
              <w:rPr>
                <w:rFonts w:hint="eastAsia" w:ascii="宋体" w:hAnsi="宋体" w:eastAsia="宋体" w:cs="宋体"/>
                <w:kern w:val="0"/>
                <w:sz w:val="20"/>
                <w:szCs w:val="20"/>
              </w:rPr>
            </w:pPr>
          </w:p>
        </w:tc>
        <w:tc>
          <w:tcPr>
            <w:tcW w:w="929" w:type="dxa"/>
            <w:gridSpan w:val="2"/>
            <w:noWrap w:val="0"/>
            <w:vAlign w:val="center"/>
          </w:tcPr>
          <w:p>
            <w:pPr>
              <w:jc w:val="center"/>
              <w:rPr>
                <w:rFonts w:hint="eastAsia" w:ascii="宋体" w:hAnsi="宋体" w:eastAsia="宋体" w:cs="宋体"/>
                <w:kern w:val="0"/>
                <w:sz w:val="20"/>
                <w:szCs w:val="20"/>
              </w:rPr>
            </w:pPr>
          </w:p>
        </w:tc>
        <w:tc>
          <w:tcPr>
            <w:tcW w:w="964" w:type="dxa"/>
            <w:noWrap w:val="0"/>
            <w:vAlign w:val="center"/>
          </w:tcPr>
          <w:p>
            <w:pPr>
              <w:spacing w:line="700" w:lineRule="exact"/>
              <w:jc w:val="center"/>
              <w:rPr>
                <w:rFonts w:hint="eastAsia" w:ascii="宋体" w:hAnsi="宋体" w:eastAsia="宋体" w:cs="宋体"/>
                <w:kern w:val="0"/>
                <w:sz w:val="20"/>
                <w:szCs w:val="20"/>
              </w:rPr>
            </w:pP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57.30</w:t>
            </w:r>
          </w:p>
        </w:tc>
        <w:tc>
          <w:tcPr>
            <w:tcW w:w="799"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57.30</w:t>
            </w:r>
          </w:p>
        </w:tc>
        <w:tc>
          <w:tcPr>
            <w:tcW w:w="490" w:type="dxa"/>
            <w:noWrap w:val="0"/>
            <w:vAlign w:val="center"/>
          </w:tcPr>
          <w:p>
            <w:pPr>
              <w:spacing w:line="700" w:lineRule="exact"/>
              <w:jc w:val="center"/>
              <w:rPr>
                <w:rFonts w:hint="eastAsia" w:ascii="宋体" w:hAnsi="宋体" w:eastAsia="宋体" w:cs="宋体"/>
                <w:kern w:val="0"/>
                <w:sz w:val="20"/>
                <w:szCs w:val="20"/>
              </w:rPr>
            </w:pPr>
          </w:p>
        </w:tc>
        <w:tc>
          <w:tcPr>
            <w:tcW w:w="482" w:type="dxa"/>
            <w:noWrap w:val="0"/>
            <w:vAlign w:val="center"/>
          </w:tcPr>
          <w:p>
            <w:pPr>
              <w:spacing w:line="700" w:lineRule="exact"/>
              <w:jc w:val="center"/>
              <w:rPr>
                <w:rFonts w:hint="eastAsia" w:ascii="宋体" w:hAnsi="宋体" w:eastAsia="宋体" w:cs="宋体"/>
                <w:kern w:val="0"/>
                <w:sz w:val="20"/>
                <w:szCs w:val="20"/>
              </w:rPr>
            </w:pPr>
          </w:p>
        </w:tc>
        <w:tc>
          <w:tcPr>
            <w:tcW w:w="437" w:type="dxa"/>
            <w:noWrap w:val="0"/>
            <w:vAlign w:val="center"/>
          </w:tcPr>
          <w:p>
            <w:pPr>
              <w:spacing w:line="700" w:lineRule="exact"/>
              <w:jc w:val="center"/>
              <w:rPr>
                <w:rFonts w:hint="eastAsia" w:ascii="宋体" w:hAnsi="宋体" w:eastAsia="宋体" w:cs="宋体"/>
                <w:kern w:val="0"/>
                <w:sz w:val="20"/>
                <w:szCs w:val="20"/>
              </w:rPr>
            </w:pPr>
          </w:p>
        </w:tc>
        <w:tc>
          <w:tcPr>
            <w:tcW w:w="493" w:type="dxa"/>
            <w:noWrap w:val="0"/>
            <w:vAlign w:val="center"/>
          </w:tcPr>
          <w:p>
            <w:pPr>
              <w:spacing w:line="700" w:lineRule="exact"/>
              <w:jc w:val="center"/>
              <w:rPr>
                <w:rFonts w:hint="eastAsia" w:ascii="宋体" w:hAnsi="宋体" w:eastAsia="宋体" w:cs="宋体"/>
                <w:kern w:val="0"/>
                <w:sz w:val="20"/>
                <w:szCs w:val="20"/>
              </w:rPr>
            </w:pPr>
          </w:p>
        </w:tc>
        <w:tc>
          <w:tcPr>
            <w:tcW w:w="477" w:type="dxa"/>
            <w:noWrap w:val="0"/>
            <w:vAlign w:val="center"/>
          </w:tcPr>
          <w:p>
            <w:pPr>
              <w:spacing w:line="700" w:lineRule="exact"/>
              <w:jc w:val="center"/>
              <w:rPr>
                <w:rFonts w:hint="eastAsia" w:ascii="宋体" w:hAnsi="宋体" w:eastAsia="宋体" w:cs="宋体"/>
                <w:kern w:val="0"/>
                <w:sz w:val="20"/>
                <w:szCs w:val="20"/>
              </w:rPr>
            </w:pPr>
          </w:p>
        </w:tc>
        <w:tc>
          <w:tcPr>
            <w:tcW w:w="464" w:type="dxa"/>
            <w:noWrap w:val="0"/>
            <w:vAlign w:val="center"/>
          </w:tcPr>
          <w:p>
            <w:pPr>
              <w:spacing w:line="700" w:lineRule="exact"/>
              <w:jc w:val="center"/>
              <w:rPr>
                <w:rFonts w:hint="eastAsia" w:ascii="宋体" w:hAnsi="宋体" w:eastAsia="宋体" w:cs="宋体"/>
                <w:kern w:val="0"/>
                <w:sz w:val="20"/>
                <w:szCs w:val="20"/>
              </w:rPr>
            </w:pPr>
          </w:p>
        </w:tc>
        <w:tc>
          <w:tcPr>
            <w:tcW w:w="467" w:type="dxa"/>
            <w:noWrap w:val="0"/>
            <w:vAlign w:val="center"/>
          </w:tcPr>
          <w:p>
            <w:pPr>
              <w:spacing w:line="700" w:lineRule="exact"/>
              <w:jc w:val="center"/>
              <w:rPr>
                <w:rFonts w:hint="eastAsia" w:ascii="宋体" w:hAnsi="宋体" w:eastAsia="宋体" w:cs="宋体"/>
                <w:kern w:val="0"/>
                <w:sz w:val="20"/>
                <w:szCs w:val="20"/>
              </w:rPr>
            </w:pPr>
          </w:p>
        </w:tc>
        <w:tc>
          <w:tcPr>
            <w:tcW w:w="437" w:type="dxa"/>
            <w:noWrap w:val="0"/>
            <w:vAlign w:val="center"/>
          </w:tcPr>
          <w:p>
            <w:pPr>
              <w:spacing w:line="700" w:lineRule="exact"/>
              <w:jc w:val="center"/>
              <w:rPr>
                <w:rFonts w:hint="eastAsia" w:ascii="宋体" w:hAnsi="宋体" w:eastAsia="宋体" w:cs="宋体"/>
                <w:kern w:val="0"/>
                <w:sz w:val="20"/>
                <w:szCs w:val="20"/>
              </w:rPr>
            </w:pPr>
          </w:p>
        </w:tc>
        <w:tc>
          <w:tcPr>
            <w:tcW w:w="466"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06" w:type="dxa"/>
            <w:noWrap w:val="0"/>
            <w:vAlign w:val="center"/>
          </w:tcPr>
          <w:p>
            <w:pPr>
              <w:jc w:val="center"/>
              <w:rPr>
                <w:rFonts w:hint="eastAsia" w:ascii="宋体" w:hAnsi="宋体" w:eastAsia="宋体" w:cs="宋体"/>
                <w:kern w:val="0"/>
                <w:sz w:val="20"/>
                <w:szCs w:val="20"/>
              </w:rPr>
            </w:pPr>
          </w:p>
        </w:tc>
        <w:tc>
          <w:tcPr>
            <w:tcW w:w="874"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专项普查活动</w:t>
            </w:r>
          </w:p>
        </w:tc>
        <w:tc>
          <w:tcPr>
            <w:tcW w:w="929" w:type="dxa"/>
            <w:gridSpan w:val="2"/>
            <w:noWrap w:val="0"/>
            <w:vAlign w:val="center"/>
          </w:tcPr>
          <w:p>
            <w:pPr>
              <w:jc w:val="center"/>
              <w:rPr>
                <w:rFonts w:hint="eastAsia" w:ascii="宋体" w:hAnsi="宋体" w:eastAsia="宋体" w:cs="宋体"/>
                <w:kern w:val="0"/>
                <w:sz w:val="20"/>
                <w:szCs w:val="20"/>
              </w:rPr>
            </w:pPr>
          </w:p>
        </w:tc>
        <w:tc>
          <w:tcPr>
            <w:tcW w:w="964" w:type="dxa"/>
            <w:noWrap w:val="0"/>
            <w:vAlign w:val="center"/>
          </w:tcPr>
          <w:p>
            <w:pPr>
              <w:spacing w:line="700" w:lineRule="exact"/>
              <w:jc w:val="center"/>
              <w:rPr>
                <w:rFonts w:hint="eastAsia" w:ascii="宋体" w:hAnsi="宋体" w:eastAsia="宋体" w:cs="宋体"/>
                <w:kern w:val="0"/>
                <w:sz w:val="20"/>
                <w:szCs w:val="20"/>
              </w:rPr>
            </w:pP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41.58</w:t>
            </w:r>
          </w:p>
        </w:tc>
        <w:tc>
          <w:tcPr>
            <w:tcW w:w="799"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41.58</w:t>
            </w:r>
          </w:p>
        </w:tc>
        <w:tc>
          <w:tcPr>
            <w:tcW w:w="490" w:type="dxa"/>
            <w:noWrap w:val="0"/>
            <w:vAlign w:val="center"/>
          </w:tcPr>
          <w:p>
            <w:pPr>
              <w:spacing w:line="700" w:lineRule="exact"/>
              <w:jc w:val="center"/>
              <w:rPr>
                <w:rFonts w:hint="eastAsia" w:ascii="宋体" w:hAnsi="宋体" w:eastAsia="宋体" w:cs="宋体"/>
                <w:kern w:val="0"/>
                <w:sz w:val="20"/>
                <w:szCs w:val="20"/>
              </w:rPr>
            </w:pPr>
          </w:p>
        </w:tc>
        <w:tc>
          <w:tcPr>
            <w:tcW w:w="482" w:type="dxa"/>
            <w:noWrap w:val="0"/>
            <w:vAlign w:val="center"/>
          </w:tcPr>
          <w:p>
            <w:pPr>
              <w:spacing w:line="700" w:lineRule="exact"/>
              <w:jc w:val="center"/>
              <w:rPr>
                <w:rFonts w:hint="eastAsia" w:ascii="宋体" w:hAnsi="宋体" w:eastAsia="宋体" w:cs="宋体"/>
                <w:kern w:val="0"/>
                <w:sz w:val="20"/>
                <w:szCs w:val="20"/>
              </w:rPr>
            </w:pPr>
          </w:p>
        </w:tc>
        <w:tc>
          <w:tcPr>
            <w:tcW w:w="437" w:type="dxa"/>
            <w:noWrap w:val="0"/>
            <w:vAlign w:val="center"/>
          </w:tcPr>
          <w:p>
            <w:pPr>
              <w:spacing w:line="700" w:lineRule="exact"/>
              <w:jc w:val="center"/>
              <w:rPr>
                <w:rFonts w:hint="eastAsia" w:ascii="宋体" w:hAnsi="宋体" w:eastAsia="宋体" w:cs="宋体"/>
                <w:kern w:val="0"/>
                <w:sz w:val="20"/>
                <w:szCs w:val="20"/>
              </w:rPr>
            </w:pPr>
          </w:p>
        </w:tc>
        <w:tc>
          <w:tcPr>
            <w:tcW w:w="493" w:type="dxa"/>
            <w:noWrap w:val="0"/>
            <w:vAlign w:val="center"/>
          </w:tcPr>
          <w:p>
            <w:pPr>
              <w:spacing w:line="700" w:lineRule="exact"/>
              <w:jc w:val="center"/>
              <w:rPr>
                <w:rFonts w:hint="eastAsia" w:ascii="宋体" w:hAnsi="宋体" w:eastAsia="宋体" w:cs="宋体"/>
                <w:kern w:val="0"/>
                <w:sz w:val="20"/>
                <w:szCs w:val="20"/>
              </w:rPr>
            </w:pPr>
          </w:p>
        </w:tc>
        <w:tc>
          <w:tcPr>
            <w:tcW w:w="477" w:type="dxa"/>
            <w:noWrap w:val="0"/>
            <w:vAlign w:val="center"/>
          </w:tcPr>
          <w:p>
            <w:pPr>
              <w:spacing w:line="700" w:lineRule="exact"/>
              <w:jc w:val="center"/>
              <w:rPr>
                <w:rFonts w:hint="eastAsia" w:ascii="宋体" w:hAnsi="宋体" w:eastAsia="宋体" w:cs="宋体"/>
                <w:kern w:val="0"/>
                <w:sz w:val="20"/>
                <w:szCs w:val="20"/>
              </w:rPr>
            </w:pPr>
          </w:p>
        </w:tc>
        <w:tc>
          <w:tcPr>
            <w:tcW w:w="464" w:type="dxa"/>
            <w:noWrap w:val="0"/>
            <w:vAlign w:val="center"/>
          </w:tcPr>
          <w:p>
            <w:pPr>
              <w:spacing w:line="700" w:lineRule="exact"/>
              <w:jc w:val="center"/>
              <w:rPr>
                <w:rFonts w:hint="eastAsia" w:ascii="宋体" w:hAnsi="宋体" w:eastAsia="宋体" w:cs="宋体"/>
                <w:kern w:val="0"/>
                <w:sz w:val="20"/>
                <w:szCs w:val="20"/>
              </w:rPr>
            </w:pPr>
          </w:p>
        </w:tc>
        <w:tc>
          <w:tcPr>
            <w:tcW w:w="467" w:type="dxa"/>
            <w:noWrap w:val="0"/>
            <w:vAlign w:val="center"/>
          </w:tcPr>
          <w:p>
            <w:pPr>
              <w:spacing w:line="700" w:lineRule="exact"/>
              <w:jc w:val="center"/>
              <w:rPr>
                <w:rFonts w:hint="eastAsia" w:ascii="宋体" w:hAnsi="宋体" w:eastAsia="宋体" w:cs="宋体"/>
                <w:kern w:val="0"/>
                <w:sz w:val="20"/>
                <w:szCs w:val="20"/>
              </w:rPr>
            </w:pPr>
          </w:p>
        </w:tc>
        <w:tc>
          <w:tcPr>
            <w:tcW w:w="437" w:type="dxa"/>
            <w:noWrap w:val="0"/>
            <w:vAlign w:val="center"/>
          </w:tcPr>
          <w:p>
            <w:pPr>
              <w:spacing w:line="700" w:lineRule="exact"/>
              <w:jc w:val="center"/>
              <w:rPr>
                <w:rFonts w:hint="eastAsia" w:ascii="宋体" w:hAnsi="宋体" w:eastAsia="宋体" w:cs="宋体"/>
                <w:kern w:val="0"/>
                <w:sz w:val="20"/>
                <w:szCs w:val="20"/>
              </w:rPr>
            </w:pPr>
          </w:p>
        </w:tc>
        <w:tc>
          <w:tcPr>
            <w:tcW w:w="466"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806" w:type="dxa"/>
            <w:noWrap w:val="0"/>
            <w:vAlign w:val="center"/>
          </w:tcPr>
          <w:p>
            <w:pPr>
              <w:jc w:val="center"/>
              <w:rPr>
                <w:rFonts w:hint="eastAsia" w:ascii="宋体" w:hAnsi="宋体" w:eastAsia="宋体" w:cs="宋体"/>
                <w:kern w:val="0"/>
                <w:sz w:val="20"/>
                <w:szCs w:val="20"/>
              </w:rPr>
            </w:pPr>
          </w:p>
        </w:tc>
        <w:tc>
          <w:tcPr>
            <w:tcW w:w="874" w:type="dxa"/>
            <w:noWrap w:val="0"/>
            <w:vAlign w:val="center"/>
          </w:tcPr>
          <w:p>
            <w:pPr>
              <w:jc w:val="center"/>
              <w:rPr>
                <w:rFonts w:hint="eastAsia" w:ascii="宋体" w:hAnsi="宋体" w:eastAsia="宋体" w:cs="宋体"/>
                <w:kern w:val="0"/>
                <w:sz w:val="20"/>
                <w:szCs w:val="20"/>
              </w:rPr>
            </w:pPr>
            <w:bookmarkStart w:id="0" w:name="_GoBack"/>
            <w:bookmarkEnd w:id="0"/>
          </w:p>
        </w:tc>
        <w:tc>
          <w:tcPr>
            <w:tcW w:w="929" w:type="dxa"/>
            <w:gridSpan w:val="2"/>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第五次全国经济普查经费</w:t>
            </w:r>
          </w:p>
        </w:tc>
        <w:tc>
          <w:tcPr>
            <w:tcW w:w="964"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四平市统计局铁东区分局</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41.58</w:t>
            </w:r>
          </w:p>
        </w:tc>
        <w:tc>
          <w:tcPr>
            <w:tcW w:w="799"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41.58</w:t>
            </w:r>
          </w:p>
        </w:tc>
        <w:tc>
          <w:tcPr>
            <w:tcW w:w="490" w:type="dxa"/>
            <w:noWrap w:val="0"/>
            <w:vAlign w:val="center"/>
          </w:tcPr>
          <w:p>
            <w:pPr>
              <w:spacing w:line="700" w:lineRule="exact"/>
              <w:jc w:val="center"/>
              <w:rPr>
                <w:rFonts w:hint="eastAsia" w:ascii="宋体" w:hAnsi="宋体" w:eastAsia="宋体" w:cs="宋体"/>
                <w:kern w:val="0"/>
                <w:sz w:val="20"/>
                <w:szCs w:val="20"/>
              </w:rPr>
            </w:pPr>
          </w:p>
        </w:tc>
        <w:tc>
          <w:tcPr>
            <w:tcW w:w="482" w:type="dxa"/>
            <w:noWrap w:val="0"/>
            <w:vAlign w:val="center"/>
          </w:tcPr>
          <w:p>
            <w:pPr>
              <w:spacing w:line="700" w:lineRule="exact"/>
              <w:jc w:val="center"/>
              <w:rPr>
                <w:rFonts w:hint="eastAsia" w:ascii="宋体" w:hAnsi="宋体" w:eastAsia="宋体" w:cs="宋体"/>
                <w:kern w:val="0"/>
                <w:sz w:val="20"/>
                <w:szCs w:val="20"/>
              </w:rPr>
            </w:pPr>
          </w:p>
        </w:tc>
        <w:tc>
          <w:tcPr>
            <w:tcW w:w="437" w:type="dxa"/>
            <w:noWrap w:val="0"/>
            <w:vAlign w:val="center"/>
          </w:tcPr>
          <w:p>
            <w:pPr>
              <w:spacing w:line="700" w:lineRule="exact"/>
              <w:jc w:val="center"/>
              <w:rPr>
                <w:rFonts w:hint="eastAsia" w:ascii="宋体" w:hAnsi="宋体" w:eastAsia="宋体" w:cs="宋体"/>
                <w:kern w:val="0"/>
                <w:sz w:val="20"/>
                <w:szCs w:val="20"/>
              </w:rPr>
            </w:pPr>
          </w:p>
        </w:tc>
        <w:tc>
          <w:tcPr>
            <w:tcW w:w="493" w:type="dxa"/>
            <w:noWrap w:val="0"/>
            <w:vAlign w:val="center"/>
          </w:tcPr>
          <w:p>
            <w:pPr>
              <w:spacing w:line="700" w:lineRule="exact"/>
              <w:jc w:val="center"/>
              <w:rPr>
                <w:rFonts w:hint="eastAsia" w:ascii="宋体" w:hAnsi="宋体" w:eastAsia="宋体" w:cs="宋体"/>
                <w:kern w:val="0"/>
                <w:sz w:val="20"/>
                <w:szCs w:val="20"/>
              </w:rPr>
            </w:pPr>
          </w:p>
        </w:tc>
        <w:tc>
          <w:tcPr>
            <w:tcW w:w="477" w:type="dxa"/>
            <w:noWrap w:val="0"/>
            <w:vAlign w:val="center"/>
          </w:tcPr>
          <w:p>
            <w:pPr>
              <w:spacing w:line="700" w:lineRule="exact"/>
              <w:jc w:val="center"/>
              <w:rPr>
                <w:rFonts w:hint="eastAsia" w:ascii="宋体" w:hAnsi="宋体" w:eastAsia="宋体" w:cs="宋体"/>
                <w:kern w:val="0"/>
                <w:sz w:val="20"/>
                <w:szCs w:val="20"/>
              </w:rPr>
            </w:pPr>
          </w:p>
        </w:tc>
        <w:tc>
          <w:tcPr>
            <w:tcW w:w="464" w:type="dxa"/>
            <w:noWrap w:val="0"/>
            <w:vAlign w:val="center"/>
          </w:tcPr>
          <w:p>
            <w:pPr>
              <w:spacing w:line="700" w:lineRule="exact"/>
              <w:jc w:val="center"/>
              <w:rPr>
                <w:rFonts w:hint="eastAsia" w:ascii="宋体" w:hAnsi="宋体" w:eastAsia="宋体" w:cs="宋体"/>
                <w:kern w:val="0"/>
                <w:sz w:val="20"/>
                <w:szCs w:val="20"/>
              </w:rPr>
            </w:pPr>
          </w:p>
        </w:tc>
        <w:tc>
          <w:tcPr>
            <w:tcW w:w="467" w:type="dxa"/>
            <w:noWrap w:val="0"/>
            <w:vAlign w:val="center"/>
          </w:tcPr>
          <w:p>
            <w:pPr>
              <w:spacing w:line="700" w:lineRule="exact"/>
              <w:jc w:val="center"/>
              <w:rPr>
                <w:rFonts w:hint="eastAsia" w:ascii="宋体" w:hAnsi="宋体" w:eastAsia="宋体" w:cs="宋体"/>
                <w:kern w:val="0"/>
                <w:sz w:val="20"/>
                <w:szCs w:val="20"/>
              </w:rPr>
            </w:pPr>
          </w:p>
        </w:tc>
        <w:tc>
          <w:tcPr>
            <w:tcW w:w="437" w:type="dxa"/>
            <w:noWrap w:val="0"/>
            <w:vAlign w:val="center"/>
          </w:tcPr>
          <w:p>
            <w:pPr>
              <w:spacing w:line="700" w:lineRule="exact"/>
              <w:jc w:val="center"/>
              <w:rPr>
                <w:rFonts w:hint="eastAsia" w:ascii="宋体" w:hAnsi="宋体" w:eastAsia="宋体" w:cs="宋体"/>
                <w:kern w:val="0"/>
                <w:sz w:val="20"/>
                <w:szCs w:val="20"/>
              </w:rPr>
            </w:pPr>
          </w:p>
        </w:tc>
        <w:tc>
          <w:tcPr>
            <w:tcW w:w="466"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06" w:type="dxa"/>
            <w:noWrap w:val="0"/>
            <w:vAlign w:val="center"/>
          </w:tcPr>
          <w:p>
            <w:pPr>
              <w:jc w:val="center"/>
              <w:rPr>
                <w:rFonts w:hint="eastAsia" w:ascii="宋体" w:hAnsi="宋体" w:eastAsia="宋体" w:cs="宋体"/>
                <w:kern w:val="0"/>
                <w:sz w:val="20"/>
                <w:szCs w:val="20"/>
              </w:rPr>
            </w:pPr>
          </w:p>
        </w:tc>
        <w:tc>
          <w:tcPr>
            <w:tcW w:w="874"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专项统计业务</w:t>
            </w:r>
          </w:p>
        </w:tc>
        <w:tc>
          <w:tcPr>
            <w:tcW w:w="929" w:type="dxa"/>
            <w:gridSpan w:val="2"/>
            <w:noWrap w:val="0"/>
            <w:vAlign w:val="center"/>
          </w:tcPr>
          <w:p>
            <w:pPr>
              <w:jc w:val="center"/>
              <w:rPr>
                <w:rFonts w:hint="eastAsia" w:ascii="宋体" w:hAnsi="宋体" w:eastAsia="宋体" w:cs="宋体"/>
                <w:kern w:val="0"/>
                <w:sz w:val="20"/>
                <w:szCs w:val="20"/>
              </w:rPr>
            </w:pPr>
          </w:p>
        </w:tc>
        <w:tc>
          <w:tcPr>
            <w:tcW w:w="964" w:type="dxa"/>
            <w:noWrap w:val="0"/>
            <w:vAlign w:val="center"/>
          </w:tcPr>
          <w:p>
            <w:pPr>
              <w:jc w:val="center"/>
              <w:rPr>
                <w:rFonts w:hint="eastAsia" w:ascii="宋体" w:hAnsi="宋体" w:eastAsia="宋体" w:cs="宋体"/>
                <w:kern w:val="0"/>
                <w:sz w:val="20"/>
                <w:szCs w:val="20"/>
              </w:rPr>
            </w:pP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15.72</w:t>
            </w:r>
          </w:p>
        </w:tc>
        <w:tc>
          <w:tcPr>
            <w:tcW w:w="799"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15.72</w:t>
            </w:r>
          </w:p>
        </w:tc>
        <w:tc>
          <w:tcPr>
            <w:tcW w:w="490" w:type="dxa"/>
            <w:noWrap w:val="0"/>
            <w:vAlign w:val="center"/>
          </w:tcPr>
          <w:p>
            <w:pPr>
              <w:spacing w:line="700" w:lineRule="exact"/>
              <w:jc w:val="center"/>
              <w:rPr>
                <w:rFonts w:hint="eastAsia" w:ascii="宋体" w:hAnsi="宋体" w:eastAsia="宋体" w:cs="宋体"/>
                <w:kern w:val="0"/>
                <w:sz w:val="20"/>
                <w:szCs w:val="20"/>
              </w:rPr>
            </w:pPr>
          </w:p>
        </w:tc>
        <w:tc>
          <w:tcPr>
            <w:tcW w:w="482" w:type="dxa"/>
            <w:noWrap w:val="0"/>
            <w:vAlign w:val="center"/>
          </w:tcPr>
          <w:p>
            <w:pPr>
              <w:spacing w:line="700" w:lineRule="exact"/>
              <w:jc w:val="center"/>
              <w:rPr>
                <w:rFonts w:hint="eastAsia" w:ascii="宋体" w:hAnsi="宋体" w:eastAsia="宋体" w:cs="宋体"/>
                <w:kern w:val="0"/>
                <w:sz w:val="20"/>
                <w:szCs w:val="20"/>
              </w:rPr>
            </w:pPr>
          </w:p>
        </w:tc>
        <w:tc>
          <w:tcPr>
            <w:tcW w:w="437" w:type="dxa"/>
            <w:noWrap w:val="0"/>
            <w:vAlign w:val="center"/>
          </w:tcPr>
          <w:p>
            <w:pPr>
              <w:spacing w:line="700" w:lineRule="exact"/>
              <w:jc w:val="center"/>
              <w:rPr>
                <w:rFonts w:hint="eastAsia" w:ascii="宋体" w:hAnsi="宋体" w:eastAsia="宋体" w:cs="宋体"/>
                <w:kern w:val="0"/>
                <w:sz w:val="20"/>
                <w:szCs w:val="20"/>
              </w:rPr>
            </w:pPr>
          </w:p>
        </w:tc>
        <w:tc>
          <w:tcPr>
            <w:tcW w:w="493" w:type="dxa"/>
            <w:noWrap w:val="0"/>
            <w:vAlign w:val="center"/>
          </w:tcPr>
          <w:p>
            <w:pPr>
              <w:spacing w:line="700" w:lineRule="exact"/>
              <w:jc w:val="center"/>
              <w:rPr>
                <w:rFonts w:hint="eastAsia" w:ascii="宋体" w:hAnsi="宋体" w:eastAsia="宋体" w:cs="宋体"/>
                <w:kern w:val="0"/>
                <w:sz w:val="20"/>
                <w:szCs w:val="20"/>
              </w:rPr>
            </w:pPr>
          </w:p>
        </w:tc>
        <w:tc>
          <w:tcPr>
            <w:tcW w:w="477" w:type="dxa"/>
            <w:noWrap w:val="0"/>
            <w:vAlign w:val="center"/>
          </w:tcPr>
          <w:p>
            <w:pPr>
              <w:spacing w:line="700" w:lineRule="exact"/>
              <w:jc w:val="center"/>
              <w:rPr>
                <w:rFonts w:hint="eastAsia" w:ascii="宋体" w:hAnsi="宋体" w:eastAsia="宋体" w:cs="宋体"/>
                <w:kern w:val="0"/>
                <w:sz w:val="20"/>
                <w:szCs w:val="20"/>
              </w:rPr>
            </w:pPr>
          </w:p>
        </w:tc>
        <w:tc>
          <w:tcPr>
            <w:tcW w:w="464" w:type="dxa"/>
            <w:noWrap w:val="0"/>
            <w:vAlign w:val="center"/>
          </w:tcPr>
          <w:p>
            <w:pPr>
              <w:spacing w:line="700" w:lineRule="exact"/>
              <w:jc w:val="center"/>
              <w:rPr>
                <w:rFonts w:hint="eastAsia" w:ascii="宋体" w:hAnsi="宋体" w:eastAsia="宋体" w:cs="宋体"/>
                <w:kern w:val="0"/>
                <w:sz w:val="20"/>
                <w:szCs w:val="20"/>
              </w:rPr>
            </w:pPr>
          </w:p>
        </w:tc>
        <w:tc>
          <w:tcPr>
            <w:tcW w:w="467" w:type="dxa"/>
            <w:noWrap w:val="0"/>
            <w:vAlign w:val="center"/>
          </w:tcPr>
          <w:p>
            <w:pPr>
              <w:spacing w:line="700" w:lineRule="exact"/>
              <w:jc w:val="center"/>
              <w:rPr>
                <w:rFonts w:hint="eastAsia" w:ascii="宋体" w:hAnsi="宋体" w:eastAsia="宋体" w:cs="宋体"/>
                <w:kern w:val="0"/>
                <w:sz w:val="20"/>
                <w:szCs w:val="20"/>
              </w:rPr>
            </w:pPr>
          </w:p>
        </w:tc>
        <w:tc>
          <w:tcPr>
            <w:tcW w:w="437" w:type="dxa"/>
            <w:noWrap w:val="0"/>
            <w:vAlign w:val="center"/>
          </w:tcPr>
          <w:p>
            <w:pPr>
              <w:spacing w:line="700" w:lineRule="exact"/>
              <w:jc w:val="center"/>
              <w:rPr>
                <w:rFonts w:hint="eastAsia" w:ascii="宋体" w:hAnsi="宋体" w:eastAsia="宋体" w:cs="宋体"/>
                <w:kern w:val="0"/>
                <w:sz w:val="20"/>
                <w:szCs w:val="20"/>
              </w:rPr>
            </w:pPr>
          </w:p>
        </w:tc>
        <w:tc>
          <w:tcPr>
            <w:tcW w:w="466"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806" w:type="dxa"/>
            <w:noWrap w:val="0"/>
            <w:vAlign w:val="center"/>
          </w:tcPr>
          <w:p>
            <w:pPr>
              <w:jc w:val="center"/>
              <w:rPr>
                <w:rFonts w:hint="eastAsia" w:ascii="宋体" w:hAnsi="宋体" w:eastAsia="宋体" w:cs="宋体"/>
                <w:kern w:val="0"/>
                <w:sz w:val="20"/>
                <w:szCs w:val="20"/>
              </w:rPr>
            </w:pPr>
          </w:p>
        </w:tc>
        <w:tc>
          <w:tcPr>
            <w:tcW w:w="874" w:type="dxa"/>
            <w:noWrap w:val="0"/>
            <w:vAlign w:val="center"/>
          </w:tcPr>
          <w:p>
            <w:pPr>
              <w:jc w:val="center"/>
              <w:rPr>
                <w:rFonts w:hint="eastAsia" w:ascii="宋体" w:hAnsi="宋体" w:eastAsia="宋体" w:cs="宋体"/>
                <w:kern w:val="0"/>
                <w:sz w:val="20"/>
                <w:szCs w:val="20"/>
              </w:rPr>
            </w:pPr>
          </w:p>
        </w:tc>
        <w:tc>
          <w:tcPr>
            <w:tcW w:w="929" w:type="dxa"/>
            <w:gridSpan w:val="2"/>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统计调查经费</w:t>
            </w:r>
          </w:p>
        </w:tc>
        <w:tc>
          <w:tcPr>
            <w:tcW w:w="964"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四平市统计局铁东区分局</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15.72</w:t>
            </w:r>
          </w:p>
        </w:tc>
        <w:tc>
          <w:tcPr>
            <w:tcW w:w="799"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15.72</w:t>
            </w:r>
          </w:p>
        </w:tc>
        <w:tc>
          <w:tcPr>
            <w:tcW w:w="490" w:type="dxa"/>
            <w:noWrap w:val="0"/>
            <w:vAlign w:val="center"/>
          </w:tcPr>
          <w:p>
            <w:pPr>
              <w:spacing w:line="700" w:lineRule="exact"/>
              <w:jc w:val="center"/>
              <w:rPr>
                <w:rFonts w:hint="eastAsia" w:ascii="宋体" w:hAnsi="宋体" w:eastAsia="宋体" w:cs="宋体"/>
                <w:kern w:val="0"/>
                <w:sz w:val="20"/>
                <w:szCs w:val="20"/>
              </w:rPr>
            </w:pPr>
          </w:p>
        </w:tc>
        <w:tc>
          <w:tcPr>
            <w:tcW w:w="482" w:type="dxa"/>
            <w:noWrap w:val="0"/>
            <w:vAlign w:val="center"/>
          </w:tcPr>
          <w:p>
            <w:pPr>
              <w:spacing w:line="700" w:lineRule="exact"/>
              <w:jc w:val="center"/>
              <w:rPr>
                <w:rFonts w:hint="eastAsia" w:ascii="宋体" w:hAnsi="宋体" w:eastAsia="宋体" w:cs="宋体"/>
                <w:kern w:val="0"/>
                <w:sz w:val="20"/>
                <w:szCs w:val="20"/>
              </w:rPr>
            </w:pPr>
          </w:p>
        </w:tc>
        <w:tc>
          <w:tcPr>
            <w:tcW w:w="437" w:type="dxa"/>
            <w:noWrap w:val="0"/>
            <w:vAlign w:val="center"/>
          </w:tcPr>
          <w:p>
            <w:pPr>
              <w:spacing w:line="700" w:lineRule="exact"/>
              <w:jc w:val="center"/>
              <w:rPr>
                <w:rFonts w:hint="eastAsia" w:ascii="宋体" w:hAnsi="宋体" w:eastAsia="宋体" w:cs="宋体"/>
                <w:kern w:val="0"/>
                <w:sz w:val="20"/>
                <w:szCs w:val="20"/>
              </w:rPr>
            </w:pPr>
          </w:p>
        </w:tc>
        <w:tc>
          <w:tcPr>
            <w:tcW w:w="493" w:type="dxa"/>
            <w:noWrap w:val="0"/>
            <w:vAlign w:val="center"/>
          </w:tcPr>
          <w:p>
            <w:pPr>
              <w:spacing w:line="700" w:lineRule="exact"/>
              <w:jc w:val="center"/>
              <w:rPr>
                <w:rFonts w:hint="eastAsia" w:ascii="宋体" w:hAnsi="宋体" w:eastAsia="宋体" w:cs="宋体"/>
                <w:kern w:val="0"/>
                <w:sz w:val="20"/>
                <w:szCs w:val="20"/>
              </w:rPr>
            </w:pPr>
          </w:p>
        </w:tc>
        <w:tc>
          <w:tcPr>
            <w:tcW w:w="477" w:type="dxa"/>
            <w:noWrap w:val="0"/>
            <w:vAlign w:val="center"/>
          </w:tcPr>
          <w:p>
            <w:pPr>
              <w:spacing w:line="700" w:lineRule="exact"/>
              <w:jc w:val="center"/>
              <w:rPr>
                <w:rFonts w:hint="eastAsia" w:ascii="宋体" w:hAnsi="宋体" w:eastAsia="宋体" w:cs="宋体"/>
                <w:kern w:val="0"/>
                <w:sz w:val="20"/>
                <w:szCs w:val="20"/>
              </w:rPr>
            </w:pPr>
          </w:p>
        </w:tc>
        <w:tc>
          <w:tcPr>
            <w:tcW w:w="464" w:type="dxa"/>
            <w:noWrap w:val="0"/>
            <w:vAlign w:val="center"/>
          </w:tcPr>
          <w:p>
            <w:pPr>
              <w:spacing w:line="700" w:lineRule="exact"/>
              <w:jc w:val="center"/>
              <w:rPr>
                <w:rFonts w:hint="eastAsia" w:ascii="宋体" w:hAnsi="宋体" w:eastAsia="宋体" w:cs="宋体"/>
                <w:kern w:val="0"/>
                <w:sz w:val="20"/>
                <w:szCs w:val="20"/>
              </w:rPr>
            </w:pPr>
          </w:p>
        </w:tc>
        <w:tc>
          <w:tcPr>
            <w:tcW w:w="467" w:type="dxa"/>
            <w:noWrap w:val="0"/>
            <w:vAlign w:val="center"/>
          </w:tcPr>
          <w:p>
            <w:pPr>
              <w:spacing w:line="700" w:lineRule="exact"/>
              <w:jc w:val="center"/>
              <w:rPr>
                <w:rFonts w:hint="eastAsia" w:ascii="宋体" w:hAnsi="宋体" w:eastAsia="宋体" w:cs="宋体"/>
                <w:kern w:val="0"/>
                <w:sz w:val="20"/>
                <w:szCs w:val="20"/>
              </w:rPr>
            </w:pPr>
          </w:p>
        </w:tc>
        <w:tc>
          <w:tcPr>
            <w:tcW w:w="437" w:type="dxa"/>
            <w:noWrap w:val="0"/>
            <w:vAlign w:val="center"/>
          </w:tcPr>
          <w:p>
            <w:pPr>
              <w:spacing w:line="700" w:lineRule="exact"/>
              <w:jc w:val="center"/>
              <w:rPr>
                <w:rFonts w:hint="eastAsia" w:ascii="宋体" w:hAnsi="宋体" w:eastAsia="宋体" w:cs="宋体"/>
                <w:kern w:val="0"/>
                <w:sz w:val="20"/>
                <w:szCs w:val="20"/>
              </w:rPr>
            </w:pPr>
          </w:p>
        </w:tc>
        <w:tc>
          <w:tcPr>
            <w:tcW w:w="466"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06" w:type="dxa"/>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w:t>
            </w:r>
          </w:p>
        </w:tc>
        <w:tc>
          <w:tcPr>
            <w:tcW w:w="874" w:type="dxa"/>
            <w:noWrap w:val="0"/>
            <w:vAlign w:val="center"/>
          </w:tcPr>
          <w:p>
            <w:pPr>
              <w:autoSpaceDN w:val="0"/>
              <w:jc w:val="center"/>
              <w:textAlignment w:val="center"/>
              <w:rPr>
                <w:rFonts w:hint="eastAsia" w:ascii="宋体" w:hAnsi="宋体" w:eastAsia="宋体" w:cs="宋体"/>
                <w:color w:val="000000"/>
                <w:sz w:val="20"/>
                <w:szCs w:val="20"/>
              </w:rPr>
            </w:pPr>
          </w:p>
        </w:tc>
        <w:tc>
          <w:tcPr>
            <w:tcW w:w="929" w:type="dxa"/>
            <w:gridSpan w:val="2"/>
            <w:noWrap w:val="0"/>
            <w:vAlign w:val="center"/>
          </w:tcPr>
          <w:p>
            <w:pPr>
              <w:spacing w:line="700" w:lineRule="exact"/>
              <w:jc w:val="center"/>
              <w:rPr>
                <w:rFonts w:hint="eastAsia" w:ascii="宋体" w:hAnsi="宋体" w:eastAsia="宋体" w:cs="宋体"/>
                <w:kern w:val="0"/>
                <w:sz w:val="20"/>
                <w:szCs w:val="20"/>
              </w:rPr>
            </w:pPr>
          </w:p>
        </w:tc>
        <w:tc>
          <w:tcPr>
            <w:tcW w:w="964" w:type="dxa"/>
            <w:noWrap w:val="0"/>
            <w:vAlign w:val="center"/>
          </w:tcPr>
          <w:p>
            <w:pPr>
              <w:spacing w:line="700" w:lineRule="exact"/>
              <w:jc w:val="center"/>
              <w:rPr>
                <w:rFonts w:hint="eastAsia" w:ascii="宋体" w:hAnsi="宋体" w:eastAsia="宋体" w:cs="宋体"/>
                <w:kern w:val="0"/>
                <w:sz w:val="20"/>
                <w:szCs w:val="20"/>
              </w:rPr>
            </w:pP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57.30</w:t>
            </w:r>
          </w:p>
        </w:tc>
        <w:tc>
          <w:tcPr>
            <w:tcW w:w="799"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57.30</w:t>
            </w:r>
          </w:p>
        </w:tc>
        <w:tc>
          <w:tcPr>
            <w:tcW w:w="490" w:type="dxa"/>
            <w:noWrap w:val="0"/>
            <w:vAlign w:val="center"/>
          </w:tcPr>
          <w:p>
            <w:pPr>
              <w:spacing w:line="700" w:lineRule="exact"/>
              <w:jc w:val="center"/>
              <w:rPr>
                <w:rFonts w:hint="eastAsia" w:ascii="宋体" w:hAnsi="宋体" w:eastAsia="宋体" w:cs="宋体"/>
                <w:kern w:val="0"/>
                <w:sz w:val="20"/>
                <w:szCs w:val="20"/>
              </w:rPr>
            </w:pPr>
          </w:p>
        </w:tc>
        <w:tc>
          <w:tcPr>
            <w:tcW w:w="482" w:type="dxa"/>
            <w:noWrap w:val="0"/>
            <w:vAlign w:val="center"/>
          </w:tcPr>
          <w:p>
            <w:pPr>
              <w:spacing w:line="700" w:lineRule="exact"/>
              <w:jc w:val="center"/>
              <w:rPr>
                <w:rFonts w:hint="eastAsia" w:ascii="宋体" w:hAnsi="宋体" w:eastAsia="宋体" w:cs="宋体"/>
                <w:kern w:val="0"/>
                <w:sz w:val="20"/>
                <w:szCs w:val="20"/>
              </w:rPr>
            </w:pPr>
          </w:p>
        </w:tc>
        <w:tc>
          <w:tcPr>
            <w:tcW w:w="437" w:type="dxa"/>
            <w:noWrap w:val="0"/>
            <w:vAlign w:val="center"/>
          </w:tcPr>
          <w:p>
            <w:pPr>
              <w:spacing w:line="700" w:lineRule="exact"/>
              <w:jc w:val="center"/>
              <w:rPr>
                <w:rFonts w:hint="eastAsia" w:ascii="宋体" w:hAnsi="宋体" w:eastAsia="宋体" w:cs="宋体"/>
                <w:kern w:val="0"/>
                <w:sz w:val="20"/>
                <w:szCs w:val="20"/>
              </w:rPr>
            </w:pPr>
          </w:p>
        </w:tc>
        <w:tc>
          <w:tcPr>
            <w:tcW w:w="493" w:type="dxa"/>
            <w:noWrap w:val="0"/>
            <w:vAlign w:val="center"/>
          </w:tcPr>
          <w:p>
            <w:pPr>
              <w:spacing w:line="700" w:lineRule="exact"/>
              <w:jc w:val="center"/>
              <w:rPr>
                <w:rFonts w:hint="eastAsia" w:ascii="宋体" w:hAnsi="宋体" w:eastAsia="宋体" w:cs="宋体"/>
                <w:kern w:val="0"/>
                <w:sz w:val="20"/>
                <w:szCs w:val="20"/>
              </w:rPr>
            </w:pPr>
          </w:p>
        </w:tc>
        <w:tc>
          <w:tcPr>
            <w:tcW w:w="477" w:type="dxa"/>
            <w:noWrap w:val="0"/>
            <w:vAlign w:val="center"/>
          </w:tcPr>
          <w:p>
            <w:pPr>
              <w:spacing w:line="700" w:lineRule="exact"/>
              <w:jc w:val="center"/>
              <w:rPr>
                <w:rFonts w:hint="eastAsia" w:ascii="宋体" w:hAnsi="宋体" w:eastAsia="宋体" w:cs="宋体"/>
                <w:kern w:val="0"/>
                <w:sz w:val="20"/>
                <w:szCs w:val="20"/>
              </w:rPr>
            </w:pPr>
          </w:p>
        </w:tc>
        <w:tc>
          <w:tcPr>
            <w:tcW w:w="464" w:type="dxa"/>
            <w:noWrap w:val="0"/>
            <w:vAlign w:val="center"/>
          </w:tcPr>
          <w:p>
            <w:pPr>
              <w:spacing w:line="700" w:lineRule="exact"/>
              <w:jc w:val="center"/>
              <w:rPr>
                <w:rFonts w:hint="eastAsia" w:ascii="宋体" w:hAnsi="宋体" w:eastAsia="宋体" w:cs="宋体"/>
                <w:kern w:val="0"/>
                <w:sz w:val="20"/>
                <w:szCs w:val="20"/>
              </w:rPr>
            </w:pPr>
          </w:p>
        </w:tc>
        <w:tc>
          <w:tcPr>
            <w:tcW w:w="467" w:type="dxa"/>
            <w:noWrap w:val="0"/>
            <w:vAlign w:val="center"/>
          </w:tcPr>
          <w:p>
            <w:pPr>
              <w:spacing w:line="700" w:lineRule="exact"/>
              <w:jc w:val="center"/>
              <w:rPr>
                <w:rFonts w:hint="eastAsia" w:ascii="宋体" w:hAnsi="宋体" w:eastAsia="宋体" w:cs="宋体"/>
                <w:kern w:val="0"/>
                <w:sz w:val="20"/>
                <w:szCs w:val="20"/>
              </w:rPr>
            </w:pPr>
          </w:p>
        </w:tc>
        <w:tc>
          <w:tcPr>
            <w:tcW w:w="437" w:type="dxa"/>
            <w:noWrap w:val="0"/>
            <w:vAlign w:val="center"/>
          </w:tcPr>
          <w:p>
            <w:pPr>
              <w:spacing w:line="700" w:lineRule="exact"/>
              <w:jc w:val="center"/>
              <w:rPr>
                <w:rFonts w:hint="eastAsia" w:ascii="宋体" w:hAnsi="宋体" w:eastAsia="宋体" w:cs="宋体"/>
                <w:kern w:val="0"/>
                <w:sz w:val="20"/>
                <w:szCs w:val="20"/>
              </w:rPr>
            </w:pPr>
          </w:p>
        </w:tc>
        <w:tc>
          <w:tcPr>
            <w:tcW w:w="466" w:type="dxa"/>
            <w:noWrap w:val="0"/>
            <w:vAlign w:val="center"/>
          </w:tcPr>
          <w:p>
            <w:pPr>
              <w:spacing w:line="700" w:lineRule="exact"/>
              <w:jc w:val="center"/>
              <w:rPr>
                <w:rFonts w:hint="eastAsia" w:ascii="宋体" w:hAnsi="宋体" w:eastAsia="宋体" w:cs="宋体"/>
                <w:kern w:val="0"/>
                <w:sz w:val="20"/>
                <w:szCs w:val="20"/>
              </w:rPr>
            </w:pPr>
          </w:p>
        </w:tc>
      </w:tr>
    </w:tbl>
    <w:tbl>
      <w:tblPr>
        <w:tblStyle w:val="10"/>
        <w:tblpPr w:leftFromText="180" w:rightFromText="180" w:vertAnchor="text" w:horzAnchor="page" w:tblpX="1675" w:tblpY="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Theme="minorEastAsia" w:hAnsiTheme="minorEastAsia" w:eastAsiaTheme="minorEastAsia" w:cstheme="minorEastAsia"/>
                <w:kern w:val="0"/>
                <w:sz w:val="20"/>
                <w:szCs w:val="20"/>
                <w:vertAlign w:val="baseline"/>
                <w:lang w:eastAsia="zh-CN"/>
              </w:rPr>
            </w:pPr>
            <w:r>
              <w:rPr>
                <w:rFonts w:hint="eastAsia" w:asciiTheme="minorEastAsia" w:hAnsiTheme="minorEastAsia" w:eastAsiaTheme="minorEastAsia" w:cstheme="minorEastAsia"/>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部门</w:t>
            </w:r>
            <w:r>
              <w:rPr>
                <w:rFonts w:hint="eastAsia" w:ascii="宋体" w:hAnsi="宋体" w:eastAsia="宋体" w:cs="宋体"/>
                <w:color w:val="000000"/>
                <w:sz w:val="20"/>
                <w:szCs w:val="20"/>
                <w:lang w:val="en-US" w:eastAsia="zh-CN"/>
              </w:rPr>
              <w:t>/单位/</w:t>
            </w:r>
          </w:p>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eastAsia="zh-CN"/>
              </w:rPr>
              <w:t>委托事</w:t>
            </w: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是否政府购买服务</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府采购</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宋体" w:hAnsi="宋体" w:eastAsia="宋体" w:cs="宋体"/>
                <w:kern w:val="0"/>
                <w:sz w:val="20"/>
                <w:szCs w:val="20"/>
                <w:vertAlign w:val="baseline"/>
                <w:lang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bl>
    <w:p>
      <w:pPr>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p>
    <w:p>
      <w:pPr>
        <w:ind w:firstLine="640" w:firstLineChars="200"/>
        <w:rPr>
          <w:rFonts w:eastAsia="楷体"/>
          <w:kern w:val="0"/>
          <w:szCs w:val="32"/>
        </w:rPr>
      </w:pPr>
    </w:p>
    <w:tbl>
      <w:tblPr>
        <w:tblStyle w:val="10"/>
        <w:tblpPr w:leftFromText="180" w:rightFromText="180" w:vertAnchor="text" w:horzAnchor="page" w:tblpX="1612" w:tblpY="109"/>
        <w:tblOverlap w:val="never"/>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711"/>
        <w:gridCol w:w="916"/>
        <w:gridCol w:w="1725"/>
        <w:gridCol w:w="660"/>
        <w:gridCol w:w="630"/>
        <w:gridCol w:w="960"/>
        <w:gridCol w:w="1050"/>
        <w:gridCol w:w="870"/>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9033"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Theme="minorEastAsia" w:hAnsiTheme="minorEastAsia" w:eastAsiaTheme="minorEastAsia" w:cstheme="minorEastAsia"/>
                <w:color w:val="000000"/>
                <w:sz w:val="20"/>
                <w:szCs w:val="22"/>
                <w:lang w:val="en-US" w:eastAsia="zh-CN"/>
              </w:rPr>
              <w:t xml:space="preserve">   </w:t>
            </w:r>
            <w:r>
              <w:rPr>
                <w:rFonts w:hint="eastAsia" w:asciiTheme="minorEastAsia" w:hAnsiTheme="minorEastAsia" w:eastAsiaTheme="minorEastAsia" w:cstheme="minorEastAsia"/>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单位名称</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项目名称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年度资</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金总额</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（万元）</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年度绩效目标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一级指标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二级指标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三级指标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指标解释</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指标值</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1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四平市统计局铁东区分局</w:t>
            </w:r>
          </w:p>
        </w:tc>
        <w:tc>
          <w:tcPr>
            <w:tcW w:w="71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第五次全国经济普查经费</w:t>
            </w:r>
          </w:p>
        </w:tc>
        <w:tc>
          <w:tcPr>
            <w:tcW w:w="91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41.58</w:t>
            </w:r>
          </w:p>
        </w:tc>
        <w:tc>
          <w:tcPr>
            <w:tcW w:w="172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目标1：通过完成清查摸底的数据登记、数据处理工作，摸清铁东区二、三产的家底，更好地掌握国民经济行业间的经济联系，提升统计服务水平。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目标2：通过对“两员”劳务费的合理发放，确保第五次全国经济普查工作的正常开展，保质保量地完成各项工作及目标。</w:t>
            </w:r>
          </w:p>
        </w:tc>
        <w:tc>
          <w:tcPr>
            <w:tcW w:w="66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eastAsia="zh-CN"/>
              </w:rPr>
            </w:pPr>
            <w:r>
              <w:rPr>
                <w:rFonts w:hint="eastAsia" w:ascii="宋体" w:hAnsi="宋体" w:eastAsia="宋体" w:cs="宋体"/>
                <w:i w:val="0"/>
                <w:iCs w:val="0"/>
                <w:color w:val="000000"/>
                <w:kern w:val="0"/>
                <w:sz w:val="16"/>
                <w:szCs w:val="16"/>
                <w:u w:val="none"/>
                <w:lang w:val="en-US" w:eastAsia="zh-CN" w:bidi="ar"/>
              </w:rPr>
              <w:t>成本指标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eastAsia="zh-CN"/>
              </w:rPr>
            </w:pPr>
            <w:r>
              <w:rPr>
                <w:rFonts w:hint="eastAsia" w:ascii="宋体" w:hAnsi="宋体" w:eastAsia="宋体" w:cs="宋体"/>
                <w:i w:val="0"/>
                <w:iCs w:val="0"/>
                <w:color w:val="000000"/>
                <w:kern w:val="0"/>
                <w:sz w:val="16"/>
                <w:szCs w:val="16"/>
                <w:u w:val="none"/>
                <w:lang w:val="en-US" w:eastAsia="zh-CN" w:bidi="ar"/>
              </w:rPr>
              <w:t>经济成本指标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两员补贴发放费用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反映两员补贴发放费用</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≤40万元</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01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71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1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72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60"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产出指标</w:t>
            </w:r>
          </w:p>
        </w:tc>
        <w:tc>
          <w:tcPr>
            <w:tcW w:w="630" w:type="dxa"/>
            <w:tcBorders>
              <w:top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eastAsia="zh-CN"/>
              </w:rPr>
            </w:pPr>
            <w:r>
              <w:rPr>
                <w:rFonts w:hint="eastAsia" w:ascii="宋体" w:hAnsi="宋体" w:eastAsia="宋体" w:cs="宋体"/>
                <w:i w:val="0"/>
                <w:iCs w:val="0"/>
                <w:color w:val="000000"/>
                <w:kern w:val="0"/>
                <w:sz w:val="16"/>
                <w:szCs w:val="16"/>
                <w:u w:val="none"/>
                <w:lang w:val="en-US" w:eastAsia="zh-CN" w:bidi="ar"/>
              </w:rPr>
              <w:t>数量指标</w:t>
            </w:r>
          </w:p>
        </w:tc>
        <w:tc>
          <w:tcPr>
            <w:tcW w:w="960" w:type="dxa"/>
            <w:tcBorders>
              <w:top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普查员、普查指导员补贴发放人数</w:t>
            </w:r>
          </w:p>
        </w:tc>
        <w:tc>
          <w:tcPr>
            <w:tcW w:w="1050" w:type="dxa"/>
            <w:tcBorders>
              <w:top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反映普查员、普查指导员补贴发放人数。</w:t>
            </w:r>
          </w:p>
        </w:tc>
        <w:tc>
          <w:tcPr>
            <w:tcW w:w="870" w:type="dxa"/>
            <w:tcBorders>
              <w:top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≥400人</w:t>
            </w:r>
          </w:p>
        </w:tc>
        <w:tc>
          <w:tcPr>
            <w:tcW w:w="495" w:type="dxa"/>
            <w:tcBorders>
              <w:top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01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71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1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72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6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6"/>
                <w:szCs w:val="16"/>
                <w:vertAlign w:val="baseline"/>
              </w:rPr>
            </w:pPr>
          </w:p>
        </w:tc>
        <w:tc>
          <w:tcPr>
            <w:tcW w:w="630"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eastAsia="zh-CN"/>
              </w:rPr>
            </w:pPr>
            <w:r>
              <w:rPr>
                <w:rFonts w:hint="eastAsia" w:ascii="宋体" w:hAnsi="宋体" w:eastAsia="宋体" w:cs="宋体"/>
                <w:i w:val="0"/>
                <w:iCs w:val="0"/>
                <w:color w:val="000000"/>
                <w:kern w:val="0"/>
                <w:sz w:val="16"/>
                <w:szCs w:val="16"/>
                <w:u w:val="none"/>
                <w:lang w:val="en-US" w:eastAsia="zh-CN" w:bidi="ar"/>
              </w:rPr>
              <w:t>时效指标</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第五次全国经济普查“两员”补贴发放时间</w:t>
            </w:r>
          </w:p>
        </w:tc>
        <w:tc>
          <w:tcPr>
            <w:tcW w:w="1050" w:type="dxa"/>
            <w:noWrap w:val="0"/>
            <w:vAlign w:val="center"/>
          </w:tcPr>
          <w:p>
            <w:pPr>
              <w:keepNext w:val="0"/>
              <w:keepLines w:val="0"/>
              <w:widowControl/>
              <w:suppressLineNumbers w:val="0"/>
              <w:jc w:val="both"/>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反映第五次全国经济普查指导员和普查员补贴发放完成时间</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2023年12月31日前</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01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71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1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72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eastAsia="zh-CN"/>
              </w:rPr>
            </w:pPr>
            <w:r>
              <w:rPr>
                <w:rFonts w:hint="eastAsia" w:ascii="宋体" w:hAnsi="宋体" w:eastAsia="宋体" w:cs="宋体"/>
                <w:i w:val="0"/>
                <w:iCs w:val="0"/>
                <w:color w:val="000000"/>
                <w:kern w:val="0"/>
                <w:sz w:val="16"/>
                <w:szCs w:val="16"/>
                <w:u w:val="none"/>
                <w:lang w:val="en-US" w:eastAsia="zh-CN" w:bidi="ar"/>
              </w:rPr>
              <w:t>效益指标</w:t>
            </w:r>
          </w:p>
        </w:tc>
        <w:tc>
          <w:tcPr>
            <w:tcW w:w="630"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eastAsia="zh-CN"/>
              </w:rPr>
            </w:pPr>
            <w:r>
              <w:rPr>
                <w:rFonts w:hint="eastAsia" w:ascii="宋体" w:hAnsi="宋体" w:eastAsia="宋体" w:cs="宋体"/>
                <w:i w:val="0"/>
                <w:iCs w:val="0"/>
                <w:color w:val="000000"/>
                <w:kern w:val="0"/>
                <w:sz w:val="16"/>
                <w:szCs w:val="16"/>
                <w:u w:val="none"/>
                <w:lang w:val="en-US" w:eastAsia="zh-CN" w:bidi="ar"/>
              </w:rPr>
              <w:t>社会效益指标</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普查员、普查指导员补贴发放覆盖率</w:t>
            </w:r>
          </w:p>
        </w:tc>
        <w:tc>
          <w:tcPr>
            <w:tcW w:w="1050" w:type="dxa"/>
            <w:noWrap w:val="0"/>
            <w:vAlign w:val="center"/>
          </w:tcPr>
          <w:p>
            <w:pPr>
              <w:keepNext w:val="0"/>
              <w:keepLines w:val="0"/>
              <w:widowControl/>
              <w:suppressLineNumbers w:val="0"/>
              <w:jc w:val="both"/>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反映普查员、普查指导员补贴发放覆盖率情况。</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＝100%</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01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711"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val="en-US" w:eastAsia="zh-CN" w:bidi="ar-SA"/>
              </w:rPr>
            </w:pPr>
            <w:r>
              <w:rPr>
                <w:rFonts w:hint="eastAsia" w:ascii="宋体" w:hAnsi="宋体" w:eastAsia="宋体" w:cs="宋体"/>
                <w:i w:val="0"/>
                <w:iCs w:val="0"/>
                <w:color w:val="000000"/>
                <w:kern w:val="0"/>
                <w:sz w:val="16"/>
                <w:szCs w:val="16"/>
                <w:u w:val="none"/>
                <w:lang w:val="en-US" w:eastAsia="zh-CN" w:bidi="ar"/>
              </w:rPr>
              <w:t>统计调查经费</w:t>
            </w:r>
          </w:p>
        </w:tc>
        <w:tc>
          <w:tcPr>
            <w:tcW w:w="916"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val="en-US" w:eastAsia="zh-CN" w:bidi="ar-SA"/>
              </w:rPr>
            </w:pPr>
            <w:r>
              <w:rPr>
                <w:rFonts w:hint="eastAsia" w:ascii="宋体" w:hAnsi="宋体" w:eastAsia="宋体" w:cs="宋体"/>
                <w:i w:val="0"/>
                <w:iCs w:val="0"/>
                <w:color w:val="000000"/>
                <w:kern w:val="0"/>
                <w:sz w:val="16"/>
                <w:szCs w:val="16"/>
                <w:u w:val="none"/>
                <w:lang w:val="en-US" w:eastAsia="zh-CN" w:bidi="ar"/>
              </w:rPr>
              <w:t>15.72</w:t>
            </w:r>
          </w:p>
        </w:tc>
        <w:tc>
          <w:tcPr>
            <w:tcW w:w="1725" w:type="dxa"/>
            <w:vMerge w:val="restart"/>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通过开展各类统计调查、统计监测、统计执法、统计资料开发等相关工作，为省、市、区三级政府提供经济运行各项指标，为政府研判经济发展态势提供经济发展数据。</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val="en-US" w:eastAsia="zh-CN" w:bidi="ar-SA"/>
              </w:rPr>
            </w:pPr>
            <w:r>
              <w:rPr>
                <w:rFonts w:hint="eastAsia" w:ascii="宋体" w:hAnsi="宋体" w:eastAsia="宋体" w:cs="宋体"/>
                <w:i w:val="0"/>
                <w:iCs w:val="0"/>
                <w:color w:val="000000"/>
                <w:kern w:val="0"/>
                <w:sz w:val="16"/>
                <w:szCs w:val="16"/>
                <w:u w:val="none"/>
                <w:lang w:val="en-US" w:eastAsia="zh-CN" w:bidi="ar"/>
              </w:rPr>
              <w:t>成本指标</w:t>
            </w:r>
          </w:p>
        </w:tc>
        <w:tc>
          <w:tcPr>
            <w:tcW w:w="630"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val="en-US" w:eastAsia="zh-CN" w:bidi="ar-SA"/>
              </w:rPr>
            </w:pPr>
            <w:r>
              <w:rPr>
                <w:rFonts w:hint="eastAsia" w:ascii="宋体" w:hAnsi="宋体" w:eastAsia="宋体" w:cs="宋体"/>
                <w:i w:val="0"/>
                <w:iCs w:val="0"/>
                <w:color w:val="000000"/>
                <w:kern w:val="0"/>
                <w:sz w:val="16"/>
                <w:szCs w:val="16"/>
                <w:u w:val="none"/>
                <w:lang w:val="en-US" w:eastAsia="zh-CN" w:bidi="ar"/>
              </w:rPr>
              <w:t>经济成本指标</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kern w:val="0"/>
                <w:sz w:val="16"/>
                <w:szCs w:val="16"/>
                <w:vertAlign w:val="baseline"/>
                <w:lang w:val="en-US" w:eastAsia="zh-CN" w:bidi="ar-SA"/>
              </w:rPr>
            </w:pPr>
            <w:r>
              <w:rPr>
                <w:rFonts w:hint="eastAsia" w:ascii="宋体" w:hAnsi="宋体" w:eastAsia="宋体" w:cs="宋体"/>
                <w:i w:val="0"/>
                <w:iCs w:val="0"/>
                <w:color w:val="000000"/>
                <w:kern w:val="0"/>
                <w:sz w:val="16"/>
                <w:szCs w:val="16"/>
                <w:u w:val="none"/>
                <w:lang w:val="en-US" w:eastAsia="zh-CN" w:bidi="ar"/>
              </w:rPr>
              <w:t>统计年鉴印刷成本费用</w:t>
            </w:r>
          </w:p>
        </w:tc>
        <w:tc>
          <w:tcPr>
            <w:tcW w:w="1050" w:type="dxa"/>
            <w:noWrap w:val="0"/>
            <w:vAlign w:val="center"/>
          </w:tcPr>
          <w:p>
            <w:pPr>
              <w:keepNext w:val="0"/>
              <w:keepLines w:val="0"/>
              <w:widowControl/>
              <w:suppressLineNumbers w:val="0"/>
              <w:jc w:val="both"/>
              <w:textAlignment w:val="center"/>
              <w:rPr>
                <w:rFonts w:hint="eastAsia" w:ascii="宋体" w:hAnsi="宋体" w:eastAsia="宋体" w:cs="宋体"/>
                <w:kern w:val="0"/>
                <w:sz w:val="16"/>
                <w:szCs w:val="16"/>
                <w:vertAlign w:val="baseline"/>
                <w:lang w:val="en-US" w:eastAsia="zh-CN" w:bidi="ar-SA"/>
              </w:rPr>
            </w:pPr>
            <w:r>
              <w:rPr>
                <w:rFonts w:hint="eastAsia" w:ascii="宋体" w:hAnsi="宋体" w:eastAsia="宋体" w:cs="宋体"/>
                <w:i w:val="0"/>
                <w:iCs w:val="0"/>
                <w:color w:val="000000"/>
                <w:kern w:val="0"/>
                <w:sz w:val="16"/>
                <w:szCs w:val="16"/>
                <w:u w:val="none"/>
                <w:lang w:val="en-US" w:eastAsia="zh-CN" w:bidi="ar"/>
              </w:rPr>
              <w:t>编印2023年度统计年鉴印刷成本费用</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val="en-US" w:eastAsia="zh-CN" w:bidi="ar-SA"/>
              </w:rPr>
            </w:pPr>
            <w:r>
              <w:rPr>
                <w:rFonts w:hint="eastAsia" w:ascii="宋体" w:hAnsi="宋体" w:eastAsia="宋体" w:cs="宋体"/>
                <w:i w:val="0"/>
                <w:iCs w:val="0"/>
                <w:color w:val="000000"/>
                <w:kern w:val="0"/>
                <w:sz w:val="16"/>
                <w:szCs w:val="16"/>
                <w:u w:val="none"/>
                <w:lang w:val="en-US" w:eastAsia="zh-CN" w:bidi="ar"/>
              </w:rPr>
              <w:t>≤260元/册</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val="en-US" w:eastAsia="zh-CN" w:bidi="ar-SA"/>
              </w:rPr>
            </w:pPr>
            <w:r>
              <w:rPr>
                <w:rFonts w:hint="eastAsia" w:ascii="宋体" w:hAnsi="宋体" w:eastAsia="宋体" w:cs="宋体"/>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01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71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1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72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60" w:type="dxa"/>
            <w:vMerge w:val="restart"/>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val="en-US" w:eastAsia="zh-CN" w:bidi="ar-SA"/>
              </w:rPr>
            </w:pPr>
            <w:r>
              <w:rPr>
                <w:rFonts w:hint="eastAsia" w:ascii="宋体" w:hAnsi="宋体" w:eastAsia="宋体" w:cs="宋体"/>
                <w:i w:val="0"/>
                <w:iCs w:val="0"/>
                <w:color w:val="000000"/>
                <w:kern w:val="0"/>
                <w:sz w:val="16"/>
                <w:szCs w:val="16"/>
                <w:u w:val="none"/>
                <w:lang w:val="en-US" w:eastAsia="zh-CN" w:bidi="ar"/>
              </w:rPr>
              <w:t>产出指标</w:t>
            </w:r>
          </w:p>
        </w:tc>
        <w:tc>
          <w:tcPr>
            <w:tcW w:w="630"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val="en-US" w:eastAsia="zh-CN" w:bidi="ar-SA"/>
              </w:rPr>
            </w:pPr>
            <w:r>
              <w:rPr>
                <w:rFonts w:hint="eastAsia" w:ascii="宋体" w:hAnsi="宋体" w:eastAsia="宋体" w:cs="宋体"/>
                <w:i w:val="0"/>
                <w:iCs w:val="0"/>
                <w:color w:val="000000"/>
                <w:kern w:val="0"/>
                <w:sz w:val="16"/>
                <w:szCs w:val="16"/>
                <w:u w:val="none"/>
                <w:lang w:val="en-US" w:eastAsia="zh-CN" w:bidi="ar"/>
              </w:rPr>
              <w:t>数量指标</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kern w:val="0"/>
                <w:sz w:val="16"/>
                <w:szCs w:val="16"/>
                <w:vertAlign w:val="baseline"/>
                <w:lang w:val="en-US" w:eastAsia="zh-CN" w:bidi="ar-SA"/>
              </w:rPr>
            </w:pPr>
            <w:r>
              <w:rPr>
                <w:rFonts w:hint="eastAsia" w:ascii="宋体" w:hAnsi="宋体" w:eastAsia="宋体" w:cs="宋体"/>
                <w:i w:val="0"/>
                <w:iCs w:val="0"/>
                <w:color w:val="000000"/>
                <w:kern w:val="0"/>
                <w:sz w:val="16"/>
                <w:szCs w:val="16"/>
                <w:u w:val="none"/>
                <w:lang w:val="en-US" w:eastAsia="zh-CN" w:bidi="ar"/>
              </w:rPr>
              <w:t>统计分析报告篇数</w:t>
            </w:r>
          </w:p>
        </w:tc>
        <w:tc>
          <w:tcPr>
            <w:tcW w:w="1050" w:type="dxa"/>
            <w:noWrap w:val="0"/>
            <w:vAlign w:val="center"/>
          </w:tcPr>
          <w:p>
            <w:pPr>
              <w:keepNext w:val="0"/>
              <w:keepLines w:val="0"/>
              <w:widowControl/>
              <w:suppressLineNumbers w:val="0"/>
              <w:jc w:val="both"/>
              <w:textAlignment w:val="center"/>
              <w:rPr>
                <w:rFonts w:hint="eastAsia" w:ascii="宋体" w:hAnsi="宋体" w:eastAsia="宋体" w:cs="宋体"/>
                <w:kern w:val="0"/>
                <w:sz w:val="16"/>
                <w:szCs w:val="16"/>
                <w:vertAlign w:val="baseline"/>
                <w:lang w:val="en-US" w:eastAsia="zh-CN" w:bidi="ar-SA"/>
              </w:rPr>
            </w:pPr>
            <w:r>
              <w:rPr>
                <w:rFonts w:hint="eastAsia" w:ascii="宋体" w:hAnsi="宋体" w:eastAsia="宋体" w:cs="宋体"/>
                <w:i w:val="0"/>
                <w:iCs w:val="0"/>
                <w:color w:val="000000"/>
                <w:kern w:val="0"/>
                <w:sz w:val="16"/>
                <w:szCs w:val="16"/>
                <w:u w:val="none"/>
                <w:lang w:val="en-US" w:eastAsia="zh-CN" w:bidi="ar"/>
              </w:rPr>
              <w:t>反映统计分析报告篇数情况</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val="en-US" w:eastAsia="zh-CN" w:bidi="ar-SA"/>
              </w:rPr>
            </w:pPr>
            <w:r>
              <w:rPr>
                <w:rFonts w:hint="eastAsia" w:ascii="宋体" w:hAnsi="宋体" w:eastAsia="宋体" w:cs="宋体"/>
                <w:i w:val="0"/>
                <w:iCs w:val="0"/>
                <w:color w:val="000000"/>
                <w:kern w:val="0"/>
                <w:sz w:val="16"/>
                <w:szCs w:val="16"/>
                <w:u w:val="none"/>
                <w:lang w:val="en-US" w:eastAsia="zh-CN" w:bidi="ar"/>
              </w:rPr>
              <w:t>≥6篇</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val="en-US" w:eastAsia="zh-CN" w:bidi="ar-SA"/>
              </w:rPr>
            </w:pPr>
            <w:r>
              <w:rPr>
                <w:rFonts w:hint="eastAsia" w:ascii="宋体" w:hAnsi="宋体" w:eastAsia="宋体" w:cs="宋体"/>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01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71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1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72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60"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0"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val="en-US" w:eastAsia="zh-CN" w:bidi="ar-SA"/>
              </w:rPr>
            </w:pPr>
            <w:r>
              <w:rPr>
                <w:rFonts w:hint="eastAsia" w:ascii="宋体" w:hAnsi="宋体" w:eastAsia="宋体" w:cs="宋体"/>
                <w:i w:val="0"/>
                <w:iCs w:val="0"/>
                <w:color w:val="000000"/>
                <w:kern w:val="0"/>
                <w:sz w:val="16"/>
                <w:szCs w:val="16"/>
                <w:u w:val="none"/>
                <w:lang w:val="en-US" w:eastAsia="zh-CN" w:bidi="ar"/>
              </w:rPr>
              <w:t>时效指标</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kern w:val="0"/>
                <w:sz w:val="16"/>
                <w:szCs w:val="16"/>
                <w:vertAlign w:val="baseline"/>
                <w:lang w:val="en-US" w:eastAsia="zh-CN" w:bidi="ar-SA"/>
              </w:rPr>
            </w:pPr>
            <w:r>
              <w:rPr>
                <w:rFonts w:hint="eastAsia" w:ascii="宋体" w:hAnsi="宋体" w:eastAsia="宋体" w:cs="宋体"/>
                <w:i w:val="0"/>
                <w:iCs w:val="0"/>
                <w:color w:val="000000"/>
                <w:kern w:val="0"/>
                <w:sz w:val="16"/>
                <w:szCs w:val="16"/>
                <w:u w:val="none"/>
                <w:lang w:val="en-US" w:eastAsia="zh-CN" w:bidi="ar"/>
              </w:rPr>
              <w:t>统计公报撰写完成时间</w:t>
            </w:r>
          </w:p>
        </w:tc>
        <w:tc>
          <w:tcPr>
            <w:tcW w:w="1050" w:type="dxa"/>
            <w:noWrap w:val="0"/>
            <w:vAlign w:val="center"/>
          </w:tcPr>
          <w:p>
            <w:pPr>
              <w:keepNext w:val="0"/>
              <w:keepLines w:val="0"/>
              <w:widowControl/>
              <w:suppressLineNumbers w:val="0"/>
              <w:jc w:val="both"/>
              <w:textAlignment w:val="center"/>
              <w:rPr>
                <w:rFonts w:hint="eastAsia" w:ascii="宋体" w:hAnsi="宋体" w:eastAsia="宋体" w:cs="宋体"/>
                <w:kern w:val="0"/>
                <w:sz w:val="16"/>
                <w:szCs w:val="16"/>
                <w:vertAlign w:val="baseline"/>
                <w:lang w:val="en-US" w:eastAsia="zh-CN" w:bidi="ar-SA"/>
              </w:rPr>
            </w:pPr>
            <w:r>
              <w:rPr>
                <w:rFonts w:hint="eastAsia" w:ascii="宋体" w:hAnsi="宋体" w:eastAsia="宋体" w:cs="宋体"/>
                <w:i w:val="0"/>
                <w:iCs w:val="0"/>
                <w:color w:val="000000"/>
                <w:kern w:val="0"/>
                <w:sz w:val="16"/>
                <w:szCs w:val="16"/>
                <w:u w:val="none"/>
                <w:lang w:val="en-US" w:eastAsia="zh-CN" w:bidi="ar"/>
              </w:rPr>
              <w:t>撰写2023年度统计公报完成时间</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val="en-US" w:eastAsia="zh-CN" w:bidi="ar-SA"/>
              </w:rPr>
            </w:pPr>
            <w:r>
              <w:rPr>
                <w:rFonts w:hint="eastAsia" w:ascii="宋体" w:hAnsi="宋体" w:eastAsia="宋体" w:cs="宋体"/>
                <w:i w:val="0"/>
                <w:iCs w:val="0"/>
                <w:color w:val="000000"/>
                <w:kern w:val="0"/>
                <w:sz w:val="16"/>
                <w:szCs w:val="16"/>
                <w:u w:val="none"/>
                <w:lang w:val="en-US" w:eastAsia="zh-CN" w:bidi="ar"/>
              </w:rPr>
              <w:t>7月31日前</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val="en-US" w:eastAsia="zh-CN" w:bidi="ar-SA"/>
              </w:rPr>
            </w:pPr>
            <w:r>
              <w:rPr>
                <w:rFonts w:hint="eastAsia" w:ascii="宋体" w:hAnsi="宋体" w:eastAsia="宋体" w:cs="宋体"/>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01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71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16"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72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val="en-US" w:eastAsia="zh-CN" w:bidi="ar-SA"/>
              </w:rPr>
            </w:pPr>
            <w:r>
              <w:rPr>
                <w:rFonts w:hint="eastAsia" w:ascii="宋体" w:hAnsi="宋体" w:eastAsia="宋体" w:cs="宋体"/>
                <w:i w:val="0"/>
                <w:iCs w:val="0"/>
                <w:color w:val="000000"/>
                <w:kern w:val="0"/>
                <w:sz w:val="16"/>
                <w:szCs w:val="16"/>
                <w:u w:val="none"/>
                <w:lang w:val="en-US" w:eastAsia="zh-CN" w:bidi="ar"/>
              </w:rPr>
              <w:t>效益指标</w:t>
            </w:r>
          </w:p>
        </w:tc>
        <w:tc>
          <w:tcPr>
            <w:tcW w:w="6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社会效益指标</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向社会公众提供统计公报</w:t>
            </w:r>
          </w:p>
        </w:tc>
        <w:tc>
          <w:tcPr>
            <w:tcW w:w="105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向社会公众提供统计公报篇数</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＝1篇</w:t>
            </w:r>
          </w:p>
        </w:tc>
        <w:tc>
          <w:tcPr>
            <w:tcW w:w="4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r>
    </w:tbl>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hint="eastAsia" w:ascii="黑体" w:hAnsi="黑体" w:eastAsia="黑体" w:cs="黑体"/>
          <w:szCs w:val="32"/>
        </w:rPr>
        <w:t>一、202</w:t>
      </w:r>
      <w:r>
        <w:rPr>
          <w:rFonts w:hint="eastAsia" w:ascii="黑体" w:hAnsi="黑体" w:eastAsia="黑体" w:cs="黑体"/>
          <w:szCs w:val="32"/>
          <w:lang w:val="en-US" w:eastAsia="zh-CN"/>
        </w:rPr>
        <w:t>4</w:t>
      </w:r>
      <w:r>
        <w:rPr>
          <w:rFonts w:hint="eastAsia" w:ascii="黑体" w:hAnsi="黑体" w:eastAsia="黑体" w:cs="黑体"/>
          <w:szCs w:val="32"/>
        </w:rPr>
        <w:t>年收支预算总体情况</w:t>
      </w:r>
    </w:p>
    <w:p>
      <w:pPr>
        <w:ind w:firstLine="640" w:firstLineChars="200"/>
        <w:rPr>
          <w:rFonts w:hint="eastAsia" w:ascii="仿宋" w:hAnsi="仿宋" w:eastAsia="仿宋" w:cs="仿宋"/>
          <w:szCs w:val="32"/>
        </w:rPr>
      </w:pPr>
      <w:r>
        <w:rPr>
          <w:rFonts w:hint="eastAsia" w:ascii="仿宋" w:hAnsi="仿宋" w:eastAsia="仿宋" w:cs="仿宋"/>
          <w:szCs w:val="32"/>
        </w:rPr>
        <w:t>按照综合预算的原则，所有收入和支出全部纳入单位预算管理。收入包括：一般公共预算拨款收入、上年结转结余；支出包括：一般公共服务支出、社会保障和就业支出、卫生健康支出及住房保障支出。202</w:t>
      </w:r>
      <w:r>
        <w:rPr>
          <w:rFonts w:hint="eastAsia" w:ascii="仿宋" w:hAnsi="仿宋" w:eastAsia="仿宋" w:cs="仿宋"/>
          <w:szCs w:val="32"/>
          <w:lang w:val="en-US" w:eastAsia="zh-CN"/>
        </w:rPr>
        <w:t>4</w:t>
      </w:r>
      <w:r>
        <w:rPr>
          <w:rFonts w:hint="eastAsia" w:ascii="仿宋" w:hAnsi="仿宋" w:eastAsia="仿宋" w:cs="仿宋"/>
          <w:szCs w:val="32"/>
        </w:rPr>
        <w:t>年收支总预算104.09万元，其中：当年预算100.71万元；上年结转3.38万元。2024年当年预算比2023年预算增加43.91万元，主要原因是根据相关安排本年进行第五次全国人口普查，从而影响当年预算。</w:t>
      </w:r>
    </w:p>
    <w:p>
      <w:pPr>
        <w:ind w:firstLine="640" w:firstLineChars="200"/>
        <w:rPr>
          <w:rFonts w:eastAsia="黑体"/>
          <w:szCs w:val="32"/>
        </w:rPr>
      </w:pPr>
      <w:r>
        <w:rPr>
          <w:rFonts w:hint="eastAsia" w:ascii="黑体" w:hAnsi="黑体" w:eastAsia="黑体" w:cs="黑体"/>
          <w:szCs w:val="32"/>
        </w:rPr>
        <w:t>二、202</w:t>
      </w:r>
      <w:r>
        <w:rPr>
          <w:rFonts w:hint="eastAsia" w:ascii="黑体" w:hAnsi="黑体" w:eastAsia="黑体" w:cs="黑体"/>
          <w:szCs w:val="32"/>
          <w:lang w:val="en-US" w:eastAsia="zh-CN"/>
        </w:rPr>
        <w:t>4</w:t>
      </w:r>
      <w:r>
        <w:rPr>
          <w:rFonts w:hint="eastAsia" w:ascii="黑体" w:hAnsi="黑体" w:eastAsia="黑体" w:cs="黑体"/>
          <w:szCs w:val="32"/>
        </w:rPr>
        <w:t>年收入预算情况</w:t>
      </w:r>
    </w:p>
    <w:p>
      <w:pPr>
        <w:ind w:firstLine="640" w:firstLineChars="200"/>
        <w:rPr>
          <w:rFonts w:hint="eastAsia"/>
          <w:szCs w:val="32"/>
        </w:rPr>
      </w:pPr>
      <w:r>
        <w:rPr>
          <w:rFonts w:hint="eastAsia" w:ascii="仿宋" w:hAnsi="仿宋" w:eastAsia="仿宋" w:cs="仿宋"/>
          <w:szCs w:val="32"/>
          <w:lang w:val="en-US" w:eastAsia="zh-CN"/>
        </w:rPr>
        <w:t>2</w:t>
      </w:r>
      <w:r>
        <w:rPr>
          <w:rFonts w:hint="eastAsia" w:ascii="仿宋" w:hAnsi="仿宋" w:eastAsia="仿宋" w:cs="仿宋"/>
          <w:szCs w:val="32"/>
        </w:rPr>
        <w:t>024年收入预算104.09万元，其中：本年收入100.71万元，占96.75%；上年结转3.38万元，占3.25%。本年收入中，一般公共预算拨款收入100.71万元，占100%。上年结转中，一般公共预算拨款结转3.38万元，占100%。</w:t>
      </w:r>
    </w:p>
    <w:p>
      <w:pPr>
        <w:ind w:firstLine="640" w:firstLineChars="200"/>
        <w:rPr>
          <w:rFonts w:eastAsia="黑体"/>
          <w:szCs w:val="32"/>
        </w:rPr>
      </w:pPr>
      <w:r>
        <w:rPr>
          <w:rFonts w:hint="eastAsia" w:ascii="黑体" w:hAnsi="黑体" w:eastAsia="黑体" w:cs="黑体"/>
          <w:szCs w:val="32"/>
        </w:rPr>
        <w:t>三、202</w:t>
      </w:r>
      <w:r>
        <w:rPr>
          <w:rFonts w:hint="eastAsia" w:ascii="黑体" w:hAnsi="黑体" w:eastAsia="黑体" w:cs="黑体"/>
          <w:szCs w:val="32"/>
          <w:lang w:val="en-US" w:eastAsia="zh-CN"/>
        </w:rPr>
        <w:t>4</w:t>
      </w:r>
      <w:r>
        <w:rPr>
          <w:rFonts w:hint="eastAsia" w:ascii="黑体" w:hAnsi="黑体" w:eastAsia="黑体" w:cs="黑体"/>
          <w:szCs w:val="32"/>
        </w:rPr>
        <w:t>年支出预算情况</w:t>
      </w:r>
    </w:p>
    <w:p>
      <w:pPr>
        <w:ind w:firstLine="600"/>
        <w:rPr>
          <w:rFonts w:hint="eastAsia"/>
          <w:szCs w:val="32"/>
          <w:lang w:eastAsia="zh-CN"/>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年支出预算104.09万元，其中：基本支出46.79万元，占</w:t>
      </w:r>
      <w:r>
        <w:rPr>
          <w:rFonts w:hint="eastAsia" w:ascii="仿宋" w:hAnsi="仿宋" w:eastAsia="仿宋" w:cs="仿宋"/>
          <w:szCs w:val="32"/>
          <w:lang w:val="en-US" w:eastAsia="zh-CN"/>
        </w:rPr>
        <w:t>44.95</w:t>
      </w:r>
      <w:r>
        <w:rPr>
          <w:rFonts w:hint="eastAsia" w:ascii="仿宋" w:hAnsi="仿宋" w:eastAsia="仿宋" w:cs="仿宋"/>
          <w:szCs w:val="32"/>
        </w:rPr>
        <w:t>%；项目支出57.3</w:t>
      </w:r>
      <w:r>
        <w:rPr>
          <w:rFonts w:hint="eastAsia" w:ascii="仿宋" w:hAnsi="仿宋" w:eastAsia="仿宋" w:cs="仿宋"/>
          <w:szCs w:val="32"/>
          <w:lang w:val="en-US" w:eastAsia="zh-CN"/>
        </w:rPr>
        <w:t>0</w:t>
      </w:r>
      <w:r>
        <w:rPr>
          <w:rFonts w:hint="eastAsia" w:ascii="仿宋" w:hAnsi="仿宋" w:eastAsia="仿宋" w:cs="仿宋"/>
          <w:szCs w:val="32"/>
        </w:rPr>
        <w:t>万元，占</w:t>
      </w:r>
      <w:r>
        <w:rPr>
          <w:rFonts w:hint="eastAsia" w:ascii="仿宋" w:hAnsi="仿宋" w:eastAsia="仿宋" w:cs="仿宋"/>
          <w:szCs w:val="32"/>
          <w:lang w:val="en-US" w:eastAsia="zh-CN"/>
        </w:rPr>
        <w:t>55.05</w:t>
      </w:r>
      <w:r>
        <w:rPr>
          <w:rFonts w:hint="eastAsia" w:ascii="仿宋" w:hAnsi="仿宋" w:eastAsia="仿宋" w:cs="仿宋"/>
          <w:szCs w:val="32"/>
        </w:rPr>
        <w:t>%</w:t>
      </w:r>
      <w:r>
        <w:rPr>
          <w:rFonts w:hint="eastAsia" w:ascii="仿宋" w:hAnsi="仿宋" w:eastAsia="仿宋" w:cs="仿宋"/>
          <w:szCs w:val="32"/>
          <w:lang w:eastAsia="zh-CN"/>
        </w:rPr>
        <w:t>。</w:t>
      </w:r>
    </w:p>
    <w:p>
      <w:pPr>
        <w:ind w:firstLine="600"/>
        <w:rPr>
          <w:rFonts w:eastAsia="黑体"/>
          <w:szCs w:val="32"/>
        </w:rPr>
      </w:pPr>
      <w:r>
        <w:rPr>
          <w:rFonts w:hint="eastAsia" w:ascii="黑体" w:hAnsi="黑体" w:eastAsia="黑体" w:cs="黑体"/>
          <w:szCs w:val="32"/>
        </w:rPr>
        <w:t>四、202</w:t>
      </w:r>
      <w:r>
        <w:rPr>
          <w:rFonts w:hint="eastAsia" w:ascii="黑体" w:hAnsi="黑体" w:eastAsia="黑体" w:cs="黑体"/>
          <w:szCs w:val="32"/>
          <w:lang w:val="en-US" w:eastAsia="zh-CN"/>
        </w:rPr>
        <w:t>4</w:t>
      </w:r>
      <w:r>
        <w:rPr>
          <w:rFonts w:hint="eastAsia" w:ascii="黑体" w:hAnsi="黑体" w:eastAsia="黑体" w:cs="黑体"/>
          <w:szCs w:val="32"/>
        </w:rPr>
        <w:t>年财政拨款收支预算情况</w:t>
      </w:r>
    </w:p>
    <w:p>
      <w:pPr>
        <w:ind w:firstLine="60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年财政拨款收支总预算104.09万元，其中：本年</w:t>
      </w:r>
      <w:r>
        <w:rPr>
          <w:rFonts w:hint="eastAsia" w:ascii="仿宋" w:hAnsi="仿宋" w:eastAsia="仿宋" w:cs="仿宋"/>
          <w:szCs w:val="32"/>
          <w:lang w:eastAsia="zh-CN"/>
        </w:rPr>
        <w:t>预算</w:t>
      </w:r>
      <w:r>
        <w:rPr>
          <w:rFonts w:hint="eastAsia" w:ascii="仿宋" w:hAnsi="仿宋" w:eastAsia="仿宋" w:cs="仿宋"/>
          <w:szCs w:val="32"/>
        </w:rPr>
        <w:t>100.71万元，上年结转3.38万元。支出包括：</w:t>
      </w:r>
      <w:r>
        <w:rPr>
          <w:rFonts w:hint="eastAsia" w:ascii="仿宋" w:hAnsi="仿宋" w:eastAsia="仿宋" w:cs="仿宋"/>
          <w:kern w:val="0"/>
          <w:szCs w:val="32"/>
        </w:rPr>
        <w:t>一般公共服务支出</w:t>
      </w:r>
      <w:r>
        <w:rPr>
          <w:rFonts w:hint="eastAsia" w:ascii="仿宋" w:hAnsi="仿宋" w:eastAsia="仿宋" w:cs="仿宋"/>
          <w:szCs w:val="32"/>
        </w:rPr>
        <w:t>88.96万元，</w:t>
      </w:r>
      <w:r>
        <w:rPr>
          <w:rFonts w:hint="eastAsia" w:ascii="仿宋" w:hAnsi="仿宋" w:eastAsia="仿宋" w:cs="仿宋"/>
          <w:kern w:val="0"/>
          <w:szCs w:val="32"/>
        </w:rPr>
        <w:t>社会保障和就业支出</w:t>
      </w:r>
      <w:r>
        <w:rPr>
          <w:rFonts w:hint="eastAsia" w:ascii="仿宋" w:hAnsi="仿宋" w:eastAsia="仿宋" w:cs="仿宋"/>
          <w:szCs w:val="32"/>
        </w:rPr>
        <w:t>10.94万元，</w:t>
      </w:r>
      <w:r>
        <w:rPr>
          <w:rFonts w:hint="eastAsia" w:ascii="仿宋" w:hAnsi="仿宋" w:eastAsia="仿宋" w:cs="仿宋"/>
          <w:kern w:val="0"/>
          <w:szCs w:val="32"/>
        </w:rPr>
        <w:t>卫生健康支出</w:t>
      </w:r>
      <w:r>
        <w:rPr>
          <w:rFonts w:hint="eastAsia" w:ascii="仿宋" w:hAnsi="仿宋" w:eastAsia="仿宋" w:cs="仿宋"/>
          <w:szCs w:val="32"/>
        </w:rPr>
        <w:t>1.19万元，</w:t>
      </w:r>
      <w:r>
        <w:rPr>
          <w:rFonts w:hint="eastAsia" w:ascii="仿宋" w:hAnsi="仿宋" w:eastAsia="仿宋" w:cs="仿宋"/>
          <w:kern w:val="0"/>
          <w:szCs w:val="32"/>
        </w:rPr>
        <w:t>住房保障支出</w:t>
      </w:r>
      <w:r>
        <w:rPr>
          <w:rFonts w:hint="eastAsia" w:ascii="仿宋" w:hAnsi="仿宋" w:eastAsia="仿宋" w:cs="仿宋"/>
          <w:szCs w:val="32"/>
          <w:lang w:val="en-US" w:eastAsia="zh-CN"/>
        </w:rPr>
        <w:t>3</w:t>
      </w:r>
      <w:r>
        <w:rPr>
          <w:rFonts w:hint="eastAsia" w:ascii="仿宋" w:hAnsi="仿宋" w:eastAsia="仿宋" w:cs="仿宋"/>
          <w:szCs w:val="32"/>
        </w:rPr>
        <w:t>万元。</w:t>
      </w:r>
    </w:p>
    <w:p>
      <w:pPr>
        <w:ind w:firstLine="600"/>
        <w:rPr>
          <w:rFonts w:eastAsia="黑体"/>
          <w:szCs w:val="30"/>
        </w:rPr>
      </w:pPr>
      <w:r>
        <w:rPr>
          <w:rFonts w:hint="eastAsia" w:ascii="黑体" w:hAnsi="黑体" w:eastAsia="黑体" w:cs="黑体"/>
          <w:szCs w:val="32"/>
        </w:rPr>
        <w:t>五、202</w:t>
      </w:r>
      <w:r>
        <w:rPr>
          <w:rFonts w:hint="eastAsia" w:ascii="黑体" w:hAnsi="黑体" w:eastAsia="黑体" w:cs="黑体"/>
          <w:szCs w:val="32"/>
          <w:lang w:val="en-US" w:eastAsia="zh-CN"/>
        </w:rPr>
        <w:t>4</w:t>
      </w:r>
      <w:r>
        <w:rPr>
          <w:rFonts w:hint="eastAsia" w:ascii="黑体" w:hAnsi="黑体" w:eastAsia="黑体" w:cs="黑体"/>
          <w:szCs w:val="32"/>
        </w:rPr>
        <w:t>年一般公共预算支出情况</w:t>
      </w:r>
    </w:p>
    <w:p>
      <w:pPr>
        <w:spacing w:line="520" w:lineRule="exact"/>
        <w:ind w:firstLine="640" w:firstLineChars="200"/>
        <w:rPr>
          <w:rFonts w:hint="eastAsia" w:ascii="仿宋" w:hAnsi="仿宋" w:eastAsia="仿宋" w:cs="仿宋"/>
          <w:color w:val="auto"/>
          <w:szCs w:val="32"/>
        </w:rPr>
      </w:pPr>
      <w:r>
        <w:rPr>
          <w:rFonts w:hint="eastAsia" w:ascii="仿宋" w:hAnsi="仿宋" w:eastAsia="仿宋" w:cs="仿宋"/>
          <w:color w:val="auto"/>
          <w:szCs w:val="32"/>
        </w:rPr>
        <w:t>202</w:t>
      </w:r>
      <w:r>
        <w:rPr>
          <w:rFonts w:hint="eastAsia" w:ascii="仿宋" w:hAnsi="仿宋" w:eastAsia="仿宋" w:cs="仿宋"/>
          <w:color w:val="auto"/>
          <w:szCs w:val="32"/>
          <w:lang w:val="en-US" w:eastAsia="zh-CN"/>
        </w:rPr>
        <w:t>4</w:t>
      </w:r>
      <w:r>
        <w:rPr>
          <w:rFonts w:hint="eastAsia" w:ascii="仿宋" w:hAnsi="仿宋" w:eastAsia="仿宋" w:cs="仿宋"/>
          <w:color w:val="auto"/>
          <w:szCs w:val="32"/>
        </w:rPr>
        <w:t>年一般公共预算拨款104.09万元，其中：基本支出46.79万元，占</w:t>
      </w:r>
      <w:r>
        <w:rPr>
          <w:rFonts w:hint="eastAsia" w:ascii="仿宋" w:hAnsi="仿宋" w:eastAsia="仿宋" w:cs="仿宋"/>
          <w:color w:val="auto"/>
          <w:szCs w:val="32"/>
          <w:lang w:val="en-US" w:eastAsia="zh-CN"/>
        </w:rPr>
        <w:t>44.95</w:t>
      </w:r>
      <w:r>
        <w:rPr>
          <w:rFonts w:hint="eastAsia" w:ascii="仿宋" w:hAnsi="仿宋" w:eastAsia="仿宋" w:cs="仿宋"/>
          <w:color w:val="auto"/>
          <w:szCs w:val="32"/>
        </w:rPr>
        <w:t>%；项目支出</w:t>
      </w:r>
      <w:r>
        <w:rPr>
          <w:rFonts w:hint="eastAsia" w:ascii="仿宋" w:hAnsi="仿宋" w:eastAsia="仿宋" w:cs="仿宋"/>
          <w:color w:val="auto"/>
          <w:szCs w:val="32"/>
          <w:lang w:val="en-US" w:eastAsia="zh-CN"/>
        </w:rPr>
        <w:t>57.30</w:t>
      </w:r>
      <w:r>
        <w:rPr>
          <w:rFonts w:hint="eastAsia" w:ascii="仿宋" w:hAnsi="仿宋" w:eastAsia="仿宋" w:cs="仿宋"/>
          <w:color w:val="auto"/>
          <w:szCs w:val="32"/>
        </w:rPr>
        <w:t>万元，占</w:t>
      </w:r>
      <w:r>
        <w:rPr>
          <w:rFonts w:hint="eastAsia" w:ascii="仿宋" w:hAnsi="仿宋" w:eastAsia="仿宋" w:cs="仿宋"/>
          <w:color w:val="auto"/>
          <w:szCs w:val="32"/>
          <w:lang w:val="en-US" w:eastAsia="zh-CN"/>
        </w:rPr>
        <w:t>55.04</w:t>
      </w:r>
      <w:r>
        <w:rPr>
          <w:rFonts w:hint="eastAsia" w:ascii="仿宋" w:hAnsi="仿宋" w:eastAsia="仿宋" w:cs="仿宋"/>
          <w:color w:val="auto"/>
          <w:szCs w:val="32"/>
        </w:rPr>
        <w:t>%。基本支出中，人员经费40.15万元，占</w:t>
      </w:r>
      <w:r>
        <w:rPr>
          <w:rFonts w:hint="eastAsia" w:ascii="仿宋" w:hAnsi="仿宋" w:eastAsia="仿宋" w:cs="仿宋"/>
          <w:color w:val="auto"/>
          <w:szCs w:val="32"/>
          <w:lang w:val="en-US" w:eastAsia="zh-CN"/>
        </w:rPr>
        <w:t>85.79</w:t>
      </w:r>
      <w:r>
        <w:rPr>
          <w:rFonts w:hint="eastAsia" w:ascii="仿宋" w:hAnsi="仿宋" w:eastAsia="仿宋" w:cs="仿宋"/>
          <w:color w:val="auto"/>
          <w:szCs w:val="32"/>
        </w:rPr>
        <w:t>%；公用经费6.65万元，占</w:t>
      </w:r>
      <w:r>
        <w:rPr>
          <w:rFonts w:hint="eastAsia" w:ascii="仿宋" w:hAnsi="仿宋" w:eastAsia="仿宋" w:cs="仿宋"/>
          <w:color w:val="auto"/>
          <w:szCs w:val="32"/>
          <w:lang w:val="en-US" w:eastAsia="zh-CN"/>
        </w:rPr>
        <w:t>14.21</w:t>
      </w:r>
      <w:r>
        <w:rPr>
          <w:rFonts w:hint="eastAsia" w:ascii="仿宋" w:hAnsi="仿宋" w:eastAsia="仿宋" w:cs="仿宋"/>
          <w:color w:val="auto"/>
          <w:szCs w:val="32"/>
        </w:rPr>
        <w:t>%。</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t>一般公共服务（类）支出88.96万元，占</w:t>
      </w:r>
      <w:r>
        <w:rPr>
          <w:rFonts w:hint="eastAsia" w:ascii="仿宋" w:hAnsi="仿宋" w:eastAsia="仿宋" w:cs="仿宋"/>
          <w:szCs w:val="32"/>
          <w:lang w:val="en-US" w:eastAsia="zh-CN"/>
        </w:rPr>
        <w:t>85.47</w:t>
      </w:r>
      <w:r>
        <w:rPr>
          <w:rFonts w:hint="eastAsia" w:ascii="仿宋" w:hAnsi="仿宋" w:eastAsia="仿宋" w:cs="仿宋"/>
          <w:szCs w:val="32"/>
        </w:rPr>
        <w:t>%，主要用于保障职工工资，维持机关正常运转，完成年度统计工作任务。</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t>社会保障和就业（类）支出</w:t>
      </w:r>
      <w:r>
        <w:rPr>
          <w:rFonts w:hint="eastAsia" w:ascii="仿宋" w:hAnsi="仿宋" w:eastAsia="仿宋" w:cs="仿宋"/>
          <w:szCs w:val="32"/>
          <w:lang w:val="en-US" w:eastAsia="zh-CN"/>
        </w:rPr>
        <w:t>10.94</w:t>
      </w:r>
      <w:r>
        <w:rPr>
          <w:rFonts w:hint="eastAsia" w:ascii="仿宋" w:hAnsi="仿宋" w:eastAsia="仿宋" w:cs="仿宋"/>
          <w:szCs w:val="32"/>
        </w:rPr>
        <w:t>万元，占</w:t>
      </w:r>
      <w:r>
        <w:rPr>
          <w:rFonts w:hint="eastAsia" w:ascii="仿宋" w:hAnsi="仿宋" w:eastAsia="仿宋" w:cs="仿宋"/>
          <w:szCs w:val="32"/>
          <w:lang w:val="en-US" w:eastAsia="zh-CN"/>
        </w:rPr>
        <w:t>10.51</w:t>
      </w:r>
      <w:r>
        <w:rPr>
          <w:rFonts w:hint="eastAsia" w:ascii="仿宋" w:hAnsi="仿宋" w:eastAsia="仿宋" w:cs="仿宋"/>
          <w:szCs w:val="32"/>
        </w:rPr>
        <w:t>%，主要用于机关事业单位基本养老保险缴费支出。</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t>卫生健康支出（类）1.19万元，占</w:t>
      </w:r>
      <w:r>
        <w:rPr>
          <w:rFonts w:hint="eastAsia" w:ascii="仿宋" w:hAnsi="仿宋" w:eastAsia="仿宋" w:cs="仿宋"/>
          <w:szCs w:val="32"/>
          <w:lang w:val="en-US" w:eastAsia="zh-CN"/>
        </w:rPr>
        <w:t>1.14</w:t>
      </w:r>
      <w:r>
        <w:rPr>
          <w:rFonts w:hint="eastAsia" w:ascii="仿宋" w:hAnsi="仿宋" w:eastAsia="仿宋" w:cs="仿宋"/>
          <w:szCs w:val="32"/>
        </w:rPr>
        <w:t>%，主要用于缴纳职工医疗保险。</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t>住房保障（类）支出</w:t>
      </w:r>
      <w:r>
        <w:rPr>
          <w:rFonts w:hint="eastAsia" w:ascii="仿宋" w:hAnsi="仿宋" w:eastAsia="仿宋" w:cs="仿宋"/>
          <w:szCs w:val="32"/>
          <w:lang w:val="en-US" w:eastAsia="zh-CN"/>
        </w:rPr>
        <w:t>3</w:t>
      </w:r>
      <w:r>
        <w:rPr>
          <w:rFonts w:hint="eastAsia" w:ascii="仿宋" w:hAnsi="仿宋" w:eastAsia="仿宋" w:cs="仿宋"/>
          <w:szCs w:val="32"/>
        </w:rPr>
        <w:t>万元，占</w:t>
      </w:r>
      <w:r>
        <w:rPr>
          <w:rFonts w:hint="eastAsia" w:ascii="仿宋" w:hAnsi="仿宋" w:eastAsia="仿宋" w:cs="仿宋"/>
          <w:szCs w:val="32"/>
          <w:lang w:val="en-US" w:eastAsia="zh-CN"/>
        </w:rPr>
        <w:t>2.88</w:t>
      </w:r>
      <w:r>
        <w:rPr>
          <w:rFonts w:hint="eastAsia" w:ascii="仿宋" w:hAnsi="仿宋" w:eastAsia="仿宋" w:cs="仿宋"/>
          <w:szCs w:val="32"/>
        </w:rPr>
        <w:t>%，主要用于缴纳职工住房公积金。</w:t>
      </w:r>
    </w:p>
    <w:p>
      <w:pPr>
        <w:spacing w:line="520" w:lineRule="exact"/>
        <w:ind w:firstLine="640" w:firstLineChars="200"/>
        <w:rPr>
          <w:rFonts w:eastAsia="黑体"/>
          <w:szCs w:val="32"/>
        </w:rPr>
      </w:pPr>
      <w:r>
        <w:rPr>
          <w:rFonts w:hint="eastAsia" w:ascii="黑体" w:hAnsi="黑体" w:eastAsia="黑体" w:cs="黑体"/>
          <w:szCs w:val="32"/>
        </w:rPr>
        <w:t>六、202</w:t>
      </w:r>
      <w:r>
        <w:rPr>
          <w:rFonts w:hint="eastAsia" w:ascii="黑体" w:hAnsi="黑体" w:eastAsia="黑体" w:cs="黑体"/>
          <w:szCs w:val="32"/>
          <w:lang w:val="en-US" w:eastAsia="zh-CN"/>
        </w:rPr>
        <w:t>4</w:t>
      </w:r>
      <w:r>
        <w:rPr>
          <w:rFonts w:hint="eastAsia" w:ascii="黑体" w:hAnsi="黑体" w:eastAsia="黑体" w:cs="黑体"/>
          <w:szCs w:val="32"/>
        </w:rPr>
        <w:t>年一般公共预算基本支出情况</w:t>
      </w:r>
    </w:p>
    <w:p>
      <w:pPr>
        <w:ind w:firstLine="640"/>
        <w:rPr>
          <w:rFonts w:hint="eastAsia" w:ascii="仿宋" w:hAnsi="仿宋" w:eastAsia="仿宋" w:cs="仿宋"/>
          <w:color w:val="auto"/>
          <w:szCs w:val="32"/>
        </w:rPr>
      </w:pPr>
      <w:r>
        <w:rPr>
          <w:rFonts w:hint="eastAsia" w:ascii="仿宋" w:hAnsi="仿宋" w:eastAsia="仿宋" w:cs="仿宋"/>
          <w:color w:val="auto"/>
          <w:szCs w:val="32"/>
        </w:rPr>
        <w:t>202</w:t>
      </w:r>
      <w:r>
        <w:rPr>
          <w:rFonts w:hint="eastAsia" w:ascii="仿宋" w:hAnsi="仿宋" w:eastAsia="仿宋" w:cs="仿宋"/>
          <w:color w:val="auto"/>
          <w:szCs w:val="32"/>
          <w:lang w:val="en-US" w:eastAsia="zh-CN"/>
        </w:rPr>
        <w:t>4</w:t>
      </w:r>
      <w:r>
        <w:rPr>
          <w:rFonts w:hint="eastAsia" w:ascii="仿宋" w:hAnsi="仿宋" w:eastAsia="仿宋" w:cs="仿宋"/>
          <w:color w:val="auto"/>
          <w:szCs w:val="32"/>
        </w:rPr>
        <w:t>年一般公共预算基本支出46.8</w:t>
      </w:r>
      <w:r>
        <w:rPr>
          <w:rFonts w:hint="eastAsia" w:ascii="仿宋" w:hAnsi="仿宋" w:eastAsia="仿宋" w:cs="仿宋"/>
          <w:color w:val="auto"/>
          <w:szCs w:val="32"/>
          <w:lang w:val="en-US" w:eastAsia="zh-CN"/>
        </w:rPr>
        <w:t>0</w:t>
      </w:r>
      <w:r>
        <w:rPr>
          <w:rFonts w:hint="eastAsia" w:ascii="仿宋" w:hAnsi="仿宋" w:eastAsia="仿宋" w:cs="仿宋"/>
          <w:color w:val="auto"/>
          <w:szCs w:val="32"/>
        </w:rPr>
        <w:t>万元，其中：</w:t>
      </w:r>
    </w:p>
    <w:p>
      <w:pPr>
        <w:ind w:firstLine="640" w:firstLineChars="200"/>
        <w:rPr>
          <w:rFonts w:hint="eastAsia" w:ascii="仿宋" w:hAnsi="仿宋" w:eastAsia="仿宋" w:cs="仿宋"/>
          <w:color w:val="auto"/>
          <w:kern w:val="0"/>
          <w:szCs w:val="32"/>
        </w:rPr>
      </w:pPr>
      <w:r>
        <w:rPr>
          <w:rFonts w:hint="eastAsia" w:ascii="仿宋" w:hAnsi="仿宋" w:eastAsia="仿宋" w:cs="仿宋"/>
          <w:color w:val="auto"/>
          <w:szCs w:val="32"/>
        </w:rPr>
        <w:t>人员经费40.15万元，主要包括：基本工资、津贴补贴、奖金、机关事业单位基本养老保障缴费、职工医疗保险缴费、其他社会保障缴费、住房公积金、医疗费、其他工资福利支出、退休费、其他对个人和家庭的补助支出</w:t>
      </w:r>
      <w:r>
        <w:rPr>
          <w:rFonts w:hint="eastAsia" w:ascii="仿宋" w:hAnsi="仿宋" w:eastAsia="仿宋" w:cs="仿宋"/>
          <w:color w:val="auto"/>
          <w:kern w:val="0"/>
          <w:szCs w:val="32"/>
        </w:rPr>
        <w:t>。</w:t>
      </w:r>
    </w:p>
    <w:p>
      <w:pPr>
        <w:ind w:firstLine="640" w:firstLineChars="200"/>
        <w:rPr>
          <w:rFonts w:hint="eastAsia" w:ascii="仿宋" w:hAnsi="仿宋" w:eastAsia="仿宋" w:cs="仿宋"/>
          <w:color w:val="auto"/>
          <w:szCs w:val="32"/>
          <w:lang w:eastAsia="zh-CN"/>
        </w:rPr>
      </w:pPr>
      <w:r>
        <w:rPr>
          <w:rFonts w:hint="eastAsia" w:ascii="仿宋" w:hAnsi="仿宋" w:eastAsia="仿宋" w:cs="仿宋"/>
          <w:color w:val="auto"/>
          <w:kern w:val="0"/>
          <w:szCs w:val="32"/>
        </w:rPr>
        <w:t>公用经费</w:t>
      </w:r>
      <w:r>
        <w:rPr>
          <w:rFonts w:hint="eastAsia" w:ascii="仿宋" w:hAnsi="仿宋" w:eastAsia="仿宋" w:cs="仿宋"/>
          <w:color w:val="auto"/>
          <w:szCs w:val="32"/>
        </w:rPr>
        <w:t>6.65万元，主要包括：办公费、印刷费、邮电费、差旅费、培训费、工会经费、福利费、其他交通费用、其他商品和服务支出、办公设备购置</w:t>
      </w:r>
      <w:r>
        <w:rPr>
          <w:rFonts w:hint="eastAsia" w:ascii="仿宋" w:hAnsi="仿宋" w:eastAsia="仿宋" w:cs="仿宋"/>
          <w:color w:val="auto"/>
          <w:szCs w:val="32"/>
          <w:lang w:eastAsia="zh-CN"/>
        </w:rPr>
        <w:t>。</w:t>
      </w:r>
    </w:p>
    <w:p>
      <w:pPr>
        <w:ind w:firstLine="640" w:firstLineChars="200"/>
        <w:rPr>
          <w:rFonts w:eastAsia="黑体"/>
          <w:szCs w:val="30"/>
        </w:rPr>
      </w:pPr>
      <w:r>
        <w:rPr>
          <w:rFonts w:hint="eastAsia" w:ascii="黑体" w:hAnsi="黑体" w:eastAsia="黑体" w:cs="黑体"/>
          <w:szCs w:val="32"/>
        </w:rPr>
        <w:t>七、202</w:t>
      </w:r>
      <w:r>
        <w:rPr>
          <w:rFonts w:hint="eastAsia" w:ascii="黑体" w:hAnsi="黑体" w:eastAsia="黑体" w:cs="黑体"/>
          <w:szCs w:val="32"/>
          <w:lang w:val="en-US" w:eastAsia="zh-CN"/>
        </w:rPr>
        <w:t>4</w:t>
      </w:r>
      <w:r>
        <w:rPr>
          <w:rFonts w:hint="eastAsia" w:ascii="黑体" w:hAnsi="黑体" w:eastAsia="黑体" w:cs="黑体"/>
          <w:szCs w:val="32"/>
        </w:rPr>
        <w:t>年一般公共预算财政拨款“三公”经费情况</w:t>
      </w:r>
    </w:p>
    <w:p>
      <w:pPr>
        <w:ind w:firstLine="640" w:firstLineChars="200"/>
        <w:jc w:val="both"/>
        <w:rPr>
          <w:rFonts w:hint="eastAsia" w:ascii="仿宋" w:hAnsi="仿宋" w:eastAsia="仿宋" w:cs="仿宋"/>
          <w:szCs w:val="32"/>
          <w:lang w:eastAsia="zh-CN"/>
        </w:rPr>
      </w:pPr>
      <w:r>
        <w:rPr>
          <w:rFonts w:hint="eastAsia" w:ascii="仿宋" w:hAnsi="仿宋" w:eastAsia="仿宋" w:cs="仿宋"/>
          <w:szCs w:val="32"/>
        </w:rPr>
        <w:t>本单位无一般公共预算拨款</w:t>
      </w:r>
    </w:p>
    <w:p>
      <w:pPr>
        <w:ind w:firstLine="640" w:firstLineChars="200"/>
        <w:jc w:val="both"/>
        <w:rPr>
          <w:rFonts w:eastAsia="黑体"/>
          <w:szCs w:val="32"/>
        </w:rPr>
      </w:pPr>
      <w:r>
        <w:rPr>
          <w:rFonts w:hint="eastAsia" w:ascii="黑体" w:hAnsi="黑体" w:eastAsia="黑体" w:cs="黑体"/>
          <w:szCs w:val="32"/>
        </w:rPr>
        <w:t>八、202</w:t>
      </w:r>
      <w:r>
        <w:rPr>
          <w:rFonts w:hint="eastAsia" w:ascii="黑体" w:hAnsi="黑体" w:eastAsia="黑体" w:cs="黑体"/>
          <w:szCs w:val="32"/>
          <w:lang w:val="en-US" w:eastAsia="zh-CN"/>
        </w:rPr>
        <w:t>4</w:t>
      </w:r>
      <w:r>
        <w:rPr>
          <w:rFonts w:hint="eastAsia" w:ascii="黑体" w:hAnsi="黑体" w:eastAsia="黑体" w:cs="黑体"/>
          <w:szCs w:val="32"/>
        </w:rPr>
        <w:t>年政府性基金预算支出情况</w:t>
      </w:r>
    </w:p>
    <w:p>
      <w:pPr>
        <w:ind w:firstLine="640" w:firstLineChars="200"/>
        <w:rPr>
          <w:rFonts w:hint="eastAsia" w:ascii="仿宋" w:hAnsi="仿宋" w:eastAsia="仿宋" w:cs="仿宋"/>
          <w:szCs w:val="32"/>
          <w:lang w:eastAsia="zh-CN"/>
        </w:rPr>
      </w:pPr>
      <w:r>
        <w:rPr>
          <w:rFonts w:hint="eastAsia" w:ascii="仿宋" w:hAnsi="仿宋" w:eastAsia="仿宋" w:cs="仿宋"/>
          <w:szCs w:val="32"/>
        </w:rPr>
        <w:t>本单位无政府性基金预算拨款</w:t>
      </w:r>
    </w:p>
    <w:p>
      <w:pPr>
        <w:ind w:firstLine="640" w:firstLineChars="200"/>
        <w:rPr>
          <w:rFonts w:eastAsia="黑体"/>
          <w:szCs w:val="32"/>
        </w:rPr>
      </w:pPr>
      <w:r>
        <w:rPr>
          <w:rFonts w:hint="eastAsia" w:ascii="黑体" w:hAnsi="黑体" w:eastAsia="黑体" w:cs="黑体"/>
          <w:szCs w:val="32"/>
        </w:rPr>
        <w:t>九、202</w:t>
      </w:r>
      <w:r>
        <w:rPr>
          <w:rFonts w:hint="eastAsia" w:ascii="黑体" w:hAnsi="黑体" w:eastAsia="黑体" w:cs="黑体"/>
          <w:szCs w:val="32"/>
          <w:lang w:val="en-US" w:eastAsia="zh-CN"/>
        </w:rPr>
        <w:t>4</w:t>
      </w:r>
      <w:r>
        <w:rPr>
          <w:rFonts w:hint="eastAsia" w:ascii="黑体" w:hAnsi="黑体" w:eastAsia="黑体" w:cs="黑体"/>
          <w:szCs w:val="32"/>
        </w:rPr>
        <w:t>年国有资本经营预算支出情况</w:t>
      </w:r>
    </w:p>
    <w:p>
      <w:pPr>
        <w:ind w:firstLine="640" w:firstLineChars="200"/>
        <w:rPr>
          <w:rFonts w:hint="eastAsia" w:ascii="仿宋" w:hAnsi="仿宋" w:eastAsia="仿宋" w:cs="仿宋"/>
          <w:szCs w:val="32"/>
          <w:lang w:eastAsia="zh-CN"/>
        </w:rPr>
      </w:pPr>
      <w:r>
        <w:rPr>
          <w:rFonts w:hint="eastAsia" w:ascii="仿宋" w:hAnsi="仿宋" w:eastAsia="仿宋" w:cs="仿宋"/>
          <w:szCs w:val="32"/>
        </w:rPr>
        <w:t>本</w:t>
      </w:r>
      <w:r>
        <w:rPr>
          <w:rFonts w:hint="eastAsia" w:ascii="仿宋" w:hAnsi="仿宋" w:eastAsia="仿宋" w:cs="仿宋"/>
          <w:szCs w:val="32"/>
          <w:lang w:val="en-US" w:eastAsia="zh-CN"/>
        </w:rPr>
        <w:t>单位</w:t>
      </w:r>
      <w:r>
        <w:rPr>
          <w:rFonts w:hint="eastAsia" w:ascii="仿宋" w:hAnsi="仿宋" w:eastAsia="仿宋" w:cs="仿宋"/>
          <w:szCs w:val="32"/>
        </w:rPr>
        <w:t>无国有资本经营预算拨款</w:t>
      </w:r>
    </w:p>
    <w:p>
      <w:pPr>
        <w:ind w:firstLine="640"/>
        <w:rPr>
          <w:rFonts w:eastAsia="黑体"/>
          <w:szCs w:val="32"/>
        </w:rPr>
      </w:pPr>
      <w:r>
        <w:rPr>
          <w:rFonts w:hint="eastAsia" w:ascii="黑体" w:hAnsi="黑体" w:eastAsia="黑体" w:cs="黑体"/>
          <w:szCs w:val="32"/>
        </w:rPr>
        <w:t>十、其他重要事项的说明情况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rFonts w:hint="eastAsia" w:ascii="仿宋" w:hAnsi="仿宋" w:eastAsia="仿宋" w:cs="仿宋"/>
          <w:szCs w:val="32"/>
          <w:lang w:eastAsia="zh-CN"/>
        </w:rPr>
      </w:pPr>
      <w:r>
        <w:rPr>
          <w:rFonts w:hint="eastAsia" w:ascii="仿宋" w:hAnsi="仿宋" w:eastAsia="仿宋" w:cs="仿宋"/>
          <w:szCs w:val="32"/>
        </w:rPr>
        <w:t>2024年四平市统计局铁东区分局机关运行经费财政拨款预算6.65万元，比2023年预算减少0.17万元，下降2.49%。主要原因是根据相关安排对机关运行经费预算进行调减，从而影响本年度机关运行经费预算</w:t>
      </w:r>
      <w:r>
        <w:rPr>
          <w:rFonts w:hint="eastAsia" w:ascii="仿宋" w:hAnsi="仿宋" w:eastAsia="仿宋" w:cs="仿宋"/>
          <w:szCs w:val="32"/>
          <w:lang w:eastAsia="zh-CN"/>
        </w:rPr>
        <w:t>。</w:t>
      </w:r>
    </w:p>
    <w:p>
      <w:pPr>
        <w:numPr>
          <w:ilvl w:val="0"/>
          <w:numId w:val="0"/>
        </w:numPr>
        <w:spacing w:line="540" w:lineRule="exact"/>
        <w:ind w:firstLine="640" w:firstLineChars="200"/>
        <w:rPr>
          <w:rFonts w:eastAsia="楷体"/>
          <w:szCs w:val="32"/>
        </w:rPr>
      </w:pPr>
      <w:r>
        <w:rPr>
          <w:rFonts w:hint="eastAsia" w:ascii="Times New Roman" w:hAnsi="Times New Roman" w:eastAsia="楷体" w:cs="Times New Roman"/>
          <w:kern w:val="2"/>
          <w:sz w:val="32"/>
          <w:szCs w:val="32"/>
          <w:lang w:val="en-US" w:eastAsia="zh-CN" w:bidi="ar-SA"/>
        </w:rPr>
        <w:t>（二）</w:t>
      </w:r>
      <w:r>
        <w:rPr>
          <w:rFonts w:eastAsia="楷体"/>
          <w:szCs w:val="32"/>
        </w:rPr>
        <w:t>政府采购情况</w:t>
      </w:r>
    </w:p>
    <w:p>
      <w:pPr>
        <w:spacing w:line="540" w:lineRule="exact"/>
        <w:ind w:firstLine="640" w:firstLineChars="200"/>
        <w:rPr>
          <w:rFonts w:hint="eastAsia" w:ascii="仿宋" w:hAnsi="仿宋" w:eastAsia="仿宋" w:cs="仿宋"/>
          <w:szCs w:val="32"/>
          <w:lang w:eastAsia="zh-CN"/>
        </w:rPr>
      </w:pPr>
      <w:r>
        <w:rPr>
          <w:rFonts w:hint="eastAsia" w:ascii="仿宋" w:hAnsi="仿宋" w:eastAsia="仿宋" w:cs="仿宋"/>
          <w:szCs w:val="32"/>
        </w:rPr>
        <w:t>本单位无政府采购预算拨款</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ascii="仿宋" w:hAnsi="仿宋" w:eastAsia="仿宋" w:cs="仿宋"/>
          <w:szCs w:val="32"/>
        </w:rPr>
      </w:pPr>
      <w:r>
        <w:rPr>
          <w:rFonts w:hint="eastAsia" w:ascii="仿宋" w:hAnsi="仿宋" w:eastAsia="仿宋" w:cs="仿宋"/>
          <w:szCs w:val="32"/>
        </w:rPr>
        <w:t>截至202</w:t>
      </w:r>
      <w:r>
        <w:rPr>
          <w:rFonts w:hint="eastAsia" w:ascii="仿宋" w:hAnsi="仿宋" w:eastAsia="仿宋" w:cs="仿宋"/>
          <w:szCs w:val="32"/>
          <w:lang w:val="en-US" w:eastAsia="zh-CN"/>
        </w:rPr>
        <w:t>3</w:t>
      </w:r>
      <w:r>
        <w:rPr>
          <w:rFonts w:hint="eastAsia" w:ascii="仿宋" w:hAnsi="仿宋" w:eastAsia="仿宋" w:cs="仿宋"/>
          <w:szCs w:val="32"/>
        </w:rPr>
        <w:t>年8月底，</w:t>
      </w:r>
      <w:r>
        <w:rPr>
          <w:rFonts w:hint="eastAsia" w:ascii="仿宋" w:hAnsi="仿宋" w:eastAsia="仿宋" w:cs="仿宋"/>
          <w:szCs w:val="32"/>
          <w:lang w:val="en-US" w:eastAsia="zh-CN"/>
        </w:rPr>
        <w:t>单位</w:t>
      </w:r>
      <w:r>
        <w:rPr>
          <w:rFonts w:hint="eastAsia" w:ascii="仿宋" w:hAnsi="仿宋" w:eastAsia="仿宋" w:cs="仿宋"/>
          <w:szCs w:val="32"/>
        </w:rPr>
        <w:t>本级和所属各预算单位共有车辆</w:t>
      </w:r>
      <w:r>
        <w:rPr>
          <w:rFonts w:hint="eastAsia" w:ascii="仿宋" w:hAnsi="仿宋" w:eastAsia="仿宋" w:cs="仿宋"/>
          <w:szCs w:val="32"/>
          <w:lang w:val="en-US" w:eastAsia="zh-CN"/>
        </w:rPr>
        <w:t>0</w:t>
      </w:r>
      <w:r>
        <w:rPr>
          <w:rFonts w:hint="eastAsia" w:ascii="仿宋" w:hAnsi="仿宋" w:eastAsia="仿宋" w:cs="仿宋"/>
          <w:szCs w:val="32"/>
        </w:rPr>
        <w:t>辆，土地</w:t>
      </w:r>
      <w:r>
        <w:rPr>
          <w:rFonts w:hint="eastAsia" w:ascii="仿宋" w:hAnsi="仿宋" w:eastAsia="仿宋" w:cs="仿宋"/>
          <w:szCs w:val="32"/>
          <w:lang w:val="en-US" w:eastAsia="zh-CN"/>
        </w:rPr>
        <w:t>0</w:t>
      </w:r>
      <w:r>
        <w:rPr>
          <w:rFonts w:hint="eastAsia" w:ascii="仿宋" w:hAnsi="仿宋" w:eastAsia="仿宋" w:cs="仿宋"/>
          <w:szCs w:val="32"/>
        </w:rPr>
        <w:t>平方米，房屋</w:t>
      </w:r>
      <w:r>
        <w:rPr>
          <w:rFonts w:hint="eastAsia" w:ascii="仿宋" w:hAnsi="仿宋" w:eastAsia="仿宋" w:cs="仿宋"/>
          <w:szCs w:val="32"/>
          <w:lang w:val="en-US" w:eastAsia="zh-CN"/>
        </w:rPr>
        <w:t>0</w:t>
      </w:r>
      <w:r>
        <w:rPr>
          <w:rFonts w:hint="eastAsia" w:ascii="仿宋" w:hAnsi="仿宋" w:eastAsia="仿宋" w:cs="仿宋"/>
          <w:szCs w:val="32"/>
        </w:rPr>
        <w:t>平方米，单价50万元以上设备</w:t>
      </w:r>
      <w:r>
        <w:rPr>
          <w:rFonts w:hint="eastAsia" w:ascii="仿宋" w:hAnsi="仿宋" w:eastAsia="仿宋" w:cs="仿宋"/>
          <w:szCs w:val="32"/>
          <w:lang w:val="en-US" w:eastAsia="zh-CN"/>
        </w:rPr>
        <w:t>0</w:t>
      </w:r>
      <w:r>
        <w:rPr>
          <w:rFonts w:hint="eastAsia" w:ascii="仿宋" w:hAnsi="仿宋" w:eastAsia="仿宋" w:cs="仿宋"/>
          <w:szCs w:val="32"/>
        </w:rPr>
        <w:t>台/套。</w:t>
      </w:r>
    </w:p>
    <w:p>
      <w:pPr>
        <w:spacing w:line="540" w:lineRule="exact"/>
        <w:ind w:firstLine="640" w:firstLineChars="20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w:t>
      </w:r>
      <w:r>
        <w:rPr>
          <w:rFonts w:hint="eastAsia" w:ascii="仿宋" w:hAnsi="仿宋" w:eastAsia="仿宋" w:cs="仿宋"/>
          <w:szCs w:val="32"/>
          <w:lang w:val="en-US" w:eastAsia="zh-CN"/>
        </w:rPr>
        <w:t>单位</w:t>
      </w:r>
      <w:r>
        <w:rPr>
          <w:rFonts w:hint="eastAsia" w:ascii="仿宋" w:hAnsi="仿宋" w:eastAsia="仿宋" w:cs="仿宋"/>
          <w:szCs w:val="32"/>
        </w:rPr>
        <w:t>预算安排购置车辆</w:t>
      </w:r>
      <w:r>
        <w:rPr>
          <w:rFonts w:hint="eastAsia" w:ascii="仿宋" w:hAnsi="仿宋" w:eastAsia="仿宋" w:cs="仿宋"/>
          <w:szCs w:val="32"/>
          <w:lang w:val="en-US" w:eastAsia="zh-CN"/>
        </w:rPr>
        <w:t>0</w:t>
      </w:r>
      <w:r>
        <w:rPr>
          <w:rFonts w:hint="eastAsia" w:ascii="仿宋" w:hAnsi="仿宋" w:eastAsia="仿宋" w:cs="仿宋"/>
          <w:szCs w:val="32"/>
        </w:rPr>
        <w:t>辆，安排购置土地</w:t>
      </w:r>
      <w:r>
        <w:rPr>
          <w:rFonts w:hint="eastAsia" w:ascii="仿宋" w:hAnsi="仿宋" w:eastAsia="仿宋" w:cs="仿宋"/>
          <w:szCs w:val="32"/>
          <w:lang w:val="en-US" w:eastAsia="zh-CN"/>
        </w:rPr>
        <w:t>0</w:t>
      </w:r>
      <w:r>
        <w:rPr>
          <w:rFonts w:hint="eastAsia" w:ascii="仿宋" w:hAnsi="仿宋" w:eastAsia="仿宋" w:cs="仿宋"/>
          <w:szCs w:val="32"/>
        </w:rPr>
        <w:t>平方米，安排购置房屋</w:t>
      </w:r>
      <w:r>
        <w:rPr>
          <w:rFonts w:hint="eastAsia" w:ascii="仿宋" w:hAnsi="仿宋" w:eastAsia="仿宋" w:cs="仿宋"/>
          <w:szCs w:val="32"/>
          <w:lang w:val="en-US" w:eastAsia="zh-CN"/>
        </w:rPr>
        <w:t>0</w:t>
      </w:r>
      <w:r>
        <w:rPr>
          <w:rFonts w:hint="eastAsia" w:ascii="仿宋" w:hAnsi="仿宋" w:eastAsia="仿宋" w:cs="仿宋"/>
          <w:szCs w:val="32"/>
        </w:rPr>
        <w:t>平方米，计划新增单价50万元以上设备</w:t>
      </w:r>
      <w:r>
        <w:rPr>
          <w:rFonts w:hint="eastAsia" w:ascii="仿宋" w:hAnsi="仿宋" w:eastAsia="仿宋" w:cs="仿宋"/>
          <w:szCs w:val="32"/>
          <w:lang w:val="en-US" w:eastAsia="zh-CN"/>
        </w:rPr>
        <w:t>0</w:t>
      </w:r>
      <w:r>
        <w:rPr>
          <w:rFonts w:hint="eastAsia" w:ascii="仿宋" w:hAnsi="仿宋" w:eastAsia="仿宋" w:cs="仿宋"/>
          <w:szCs w:val="32"/>
        </w:rPr>
        <w:t>台/套。</w:t>
      </w:r>
    </w:p>
    <w:p>
      <w:pPr>
        <w:numPr>
          <w:ilvl w:val="0"/>
          <w:numId w:val="0"/>
        </w:numPr>
        <w:spacing w:line="540" w:lineRule="exact"/>
        <w:ind w:firstLine="640" w:firstLineChars="200"/>
        <w:rPr>
          <w:rFonts w:hint="eastAsia" w:eastAsia="楷体"/>
          <w:szCs w:val="32"/>
        </w:rPr>
      </w:pPr>
      <w:r>
        <w:rPr>
          <w:rFonts w:hint="eastAsia" w:ascii="Times New Roman" w:hAnsi="Times New Roman" w:eastAsia="楷体" w:cs="Times New Roman"/>
          <w:kern w:val="2"/>
          <w:sz w:val="32"/>
          <w:szCs w:val="32"/>
          <w:lang w:val="en-US" w:eastAsia="zh-CN" w:bidi="ar-SA"/>
        </w:rPr>
        <w:t>（四）</w:t>
      </w:r>
      <w:r>
        <w:rPr>
          <w:rFonts w:hint="eastAsia" w:eastAsia="楷体"/>
          <w:szCs w:val="32"/>
        </w:rPr>
        <w:t>项目支出情况说明</w:t>
      </w:r>
    </w:p>
    <w:p>
      <w:pPr>
        <w:spacing w:line="540" w:lineRule="exact"/>
        <w:ind w:firstLine="640" w:firstLineChars="200"/>
      </w:pP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单位</w:t>
      </w:r>
      <w:r>
        <w:rPr>
          <w:rFonts w:hint="eastAsia" w:ascii="仿宋" w:hAnsi="仿宋" w:eastAsia="仿宋" w:cs="仿宋"/>
        </w:rPr>
        <w:t>项目支出</w:t>
      </w:r>
      <w:r>
        <w:rPr>
          <w:rFonts w:hint="eastAsia" w:ascii="仿宋" w:hAnsi="仿宋" w:eastAsia="仿宋" w:cs="仿宋"/>
          <w:szCs w:val="32"/>
        </w:rPr>
        <w:t>57.3</w:t>
      </w:r>
      <w:r>
        <w:rPr>
          <w:rFonts w:hint="eastAsia" w:ascii="仿宋" w:hAnsi="仿宋" w:eastAsia="仿宋" w:cs="仿宋"/>
          <w:szCs w:val="32"/>
          <w:lang w:val="en-US" w:eastAsia="zh-CN"/>
        </w:rPr>
        <w:t>0</w:t>
      </w:r>
      <w:r>
        <w:rPr>
          <w:rFonts w:hint="eastAsia" w:ascii="仿宋" w:hAnsi="仿宋" w:eastAsia="仿宋" w:cs="仿宋"/>
          <w:szCs w:val="32"/>
        </w:rPr>
        <w:t>万元，其中：一级项目</w:t>
      </w:r>
      <w:r>
        <w:rPr>
          <w:rFonts w:hint="eastAsia" w:ascii="仿宋" w:hAnsi="仿宋" w:eastAsia="仿宋" w:cs="仿宋"/>
          <w:szCs w:val="32"/>
          <w:lang w:val="en-US" w:eastAsia="zh-CN"/>
        </w:rPr>
        <w:t>2</w:t>
      </w:r>
      <w:r>
        <w:rPr>
          <w:rFonts w:hint="eastAsia" w:ascii="仿宋" w:hAnsi="仿宋" w:eastAsia="仿宋" w:cs="仿宋"/>
          <w:szCs w:val="32"/>
        </w:rPr>
        <w:t>个，二级项目</w:t>
      </w:r>
      <w:r>
        <w:rPr>
          <w:rFonts w:hint="eastAsia" w:ascii="仿宋" w:hAnsi="仿宋" w:eastAsia="仿宋" w:cs="仿宋"/>
          <w:szCs w:val="32"/>
          <w:lang w:val="en-US" w:eastAsia="zh-CN"/>
        </w:rPr>
        <w:t>2</w:t>
      </w:r>
      <w:r>
        <w:rPr>
          <w:rFonts w:hint="eastAsia" w:ascii="仿宋" w:hAnsi="仿宋" w:eastAsia="仿宋" w:cs="仿宋"/>
          <w:szCs w:val="32"/>
        </w:rPr>
        <w:t>个；使用本年拨款57.3</w:t>
      </w:r>
      <w:r>
        <w:rPr>
          <w:rFonts w:hint="eastAsia" w:ascii="仿宋" w:hAnsi="仿宋" w:eastAsia="仿宋" w:cs="仿宋"/>
          <w:szCs w:val="32"/>
          <w:lang w:val="en-US" w:eastAsia="zh-CN"/>
        </w:rPr>
        <w:t>0</w:t>
      </w:r>
      <w:r>
        <w:rPr>
          <w:rFonts w:hint="eastAsia" w:ascii="仿宋" w:hAnsi="仿宋" w:eastAsia="仿宋" w:cs="仿宋"/>
          <w:szCs w:val="32"/>
        </w:rPr>
        <w:t>万元，财政拨款结转</w:t>
      </w:r>
      <w:r>
        <w:rPr>
          <w:rFonts w:hint="eastAsia" w:ascii="仿宋" w:hAnsi="仿宋" w:eastAsia="仿宋" w:cs="仿宋"/>
          <w:szCs w:val="32"/>
          <w:lang w:val="en-US" w:eastAsia="zh-CN"/>
        </w:rPr>
        <w:t>0</w:t>
      </w:r>
      <w:r>
        <w:rPr>
          <w:rFonts w:hint="eastAsia" w:ascii="仿宋" w:hAnsi="仿宋" w:eastAsia="仿宋" w:cs="仿宋"/>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hint="eastAsia" w:ascii="仿宋" w:hAnsi="仿宋" w:eastAsia="仿宋" w:cs="仿宋"/>
          <w:szCs w:val="32"/>
        </w:rPr>
      </w:pPr>
      <w:r>
        <w:rPr>
          <w:rFonts w:hint="eastAsia" w:ascii="仿宋" w:hAnsi="仿宋" w:eastAsia="仿宋" w:cs="仿宋"/>
        </w:rPr>
        <w:t>按照全面实施预算绩效管理的要求，结合本</w:t>
      </w:r>
      <w:r>
        <w:rPr>
          <w:rFonts w:hint="eastAsia" w:ascii="仿宋" w:hAnsi="仿宋" w:eastAsia="仿宋" w:cs="仿宋"/>
          <w:lang w:val="en-US" w:eastAsia="zh-CN"/>
        </w:rPr>
        <w:t>单位</w:t>
      </w:r>
      <w:r>
        <w:rPr>
          <w:rFonts w:hint="eastAsia" w:ascii="仿宋" w:hAnsi="仿宋" w:eastAsia="仿宋" w:cs="仿宋"/>
        </w:rPr>
        <w:t>职能和重点工作，202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eastAsia="zh-CN"/>
        </w:rPr>
        <w:t>将</w:t>
      </w:r>
      <w:r>
        <w:rPr>
          <w:rFonts w:hint="eastAsia" w:ascii="仿宋" w:hAnsi="仿宋" w:eastAsia="仿宋" w:cs="仿宋"/>
          <w:szCs w:val="32"/>
          <w:lang w:val="en-US" w:eastAsia="zh-CN"/>
        </w:rPr>
        <w:t>2</w:t>
      </w:r>
      <w:r>
        <w:rPr>
          <w:rFonts w:hint="eastAsia" w:ascii="仿宋" w:hAnsi="仿宋" w:eastAsia="仿宋" w:cs="仿宋"/>
        </w:rPr>
        <w:t>个项目支出的绩效目标和指标向社会公开，涉及金额</w:t>
      </w:r>
      <w:r>
        <w:rPr>
          <w:rFonts w:hint="eastAsia" w:ascii="仿宋" w:hAnsi="仿宋" w:eastAsia="仿宋" w:cs="仿宋"/>
          <w:szCs w:val="32"/>
        </w:rPr>
        <w:t>57.3</w:t>
      </w:r>
      <w:r>
        <w:rPr>
          <w:rFonts w:hint="eastAsia" w:ascii="仿宋" w:hAnsi="仿宋" w:eastAsia="仿宋" w:cs="仿宋"/>
          <w:szCs w:val="32"/>
          <w:lang w:val="en-US" w:eastAsia="zh-CN"/>
        </w:rPr>
        <w:t>0</w:t>
      </w:r>
      <w:r>
        <w:rPr>
          <w:rFonts w:hint="eastAsia" w:ascii="仿宋" w:hAnsi="仿宋" w:eastAsia="仿宋" w:cs="仿宋"/>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rPr>
          <w:szCs w:val="32"/>
        </w:rPr>
      </w:pPr>
      <w:r>
        <w:rPr>
          <w:rFonts w:eastAsia="楷体"/>
          <w:szCs w:val="32"/>
        </w:rPr>
        <w:br w:type="page"/>
      </w: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rFonts w:hint="eastAsia" w:ascii="仿宋" w:hAnsi="仿宋" w:eastAsia="仿宋" w:cs="仿宋"/>
          <w:szCs w:val="32"/>
        </w:rPr>
      </w:pPr>
      <w:r>
        <w:rPr>
          <w:rFonts w:eastAsia="楷体"/>
          <w:szCs w:val="32"/>
        </w:rPr>
        <w:t>（一）一般公共预算拨款收入：</w:t>
      </w:r>
      <w:r>
        <w:rPr>
          <w:rFonts w:hint="eastAsia" w:ascii="仿宋" w:hAnsi="仿宋" w:eastAsia="仿宋" w:cs="仿宋"/>
          <w:szCs w:val="32"/>
        </w:rPr>
        <w:t>指省级财政通过当年一般公共预算拨付的资金。</w:t>
      </w:r>
    </w:p>
    <w:p>
      <w:pPr>
        <w:ind w:firstLine="640" w:firstLineChars="200"/>
        <w:rPr>
          <w:rFonts w:hint="eastAsia" w:ascii="仿宋" w:hAnsi="仿宋" w:eastAsia="仿宋" w:cs="仿宋"/>
          <w:szCs w:val="32"/>
        </w:rPr>
      </w:pPr>
      <w:r>
        <w:rPr>
          <w:rFonts w:eastAsia="楷体"/>
          <w:szCs w:val="32"/>
        </w:rPr>
        <w:t>（二）</w:t>
      </w:r>
      <w:r>
        <w:rPr>
          <w:rFonts w:hint="eastAsia" w:eastAsia="楷体"/>
          <w:szCs w:val="32"/>
        </w:rPr>
        <w:t>政府性基金预算拨款收入：</w:t>
      </w:r>
      <w:r>
        <w:rPr>
          <w:rFonts w:hint="eastAsia" w:ascii="仿宋" w:hAnsi="仿宋" w:eastAsia="仿宋" w:cs="仿宋"/>
          <w:szCs w:val="32"/>
        </w:rPr>
        <w:t>指省级财政通过当年政府性基金预算拨付的资金。</w:t>
      </w:r>
    </w:p>
    <w:p>
      <w:pPr>
        <w:ind w:firstLine="640" w:firstLineChars="200"/>
        <w:rPr>
          <w:rFonts w:hint="eastAsia" w:ascii="仿宋" w:hAnsi="仿宋" w:eastAsia="仿宋" w:cs="仿宋"/>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rFonts w:hint="eastAsia" w:ascii="仿宋" w:hAnsi="仿宋" w:eastAsia="仿宋" w:cs="仿宋"/>
          <w:szCs w:val="32"/>
        </w:rPr>
        <w:t>指省级财政通过当年国有资本经营预算拨付的资金。</w:t>
      </w:r>
    </w:p>
    <w:p>
      <w:pPr>
        <w:ind w:firstLine="640"/>
        <w:rPr>
          <w:rFonts w:hint="eastAsia" w:ascii="仿宋" w:hAnsi="仿宋" w:eastAsia="仿宋" w:cs="仿宋"/>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ascii="仿宋" w:hAnsi="仿宋" w:eastAsia="仿宋" w:cs="仿宋"/>
          <w:szCs w:val="32"/>
        </w:rPr>
        <w:t>指</w:t>
      </w:r>
      <w:r>
        <w:rPr>
          <w:rFonts w:hint="eastAsia" w:ascii="仿宋" w:hAnsi="仿宋" w:eastAsia="仿宋" w:cs="仿宋"/>
          <w:szCs w:val="32"/>
          <w:lang w:eastAsia="zh-CN"/>
        </w:rPr>
        <w:t>缴入财政专户</w:t>
      </w:r>
      <w:r>
        <w:rPr>
          <w:rFonts w:hint="eastAsia" w:ascii="仿宋" w:hAnsi="仿宋" w:eastAsia="仿宋" w:cs="仿宋"/>
          <w:szCs w:val="32"/>
        </w:rPr>
        <w:t>并实行财政专</w:t>
      </w:r>
      <w:r>
        <w:rPr>
          <w:rFonts w:hint="eastAsia" w:ascii="仿宋" w:hAnsi="仿宋" w:eastAsia="仿宋" w:cs="仿宋"/>
          <w:szCs w:val="32"/>
          <w:lang w:eastAsia="zh-CN"/>
        </w:rPr>
        <w:t>项</w:t>
      </w:r>
      <w:r>
        <w:rPr>
          <w:rFonts w:hint="eastAsia" w:ascii="仿宋" w:hAnsi="仿宋" w:eastAsia="仿宋" w:cs="仿宋"/>
          <w:szCs w:val="32"/>
        </w:rPr>
        <w:t>管理的资金收入。</w:t>
      </w:r>
    </w:p>
    <w:p>
      <w:pPr>
        <w:ind w:firstLine="640"/>
        <w:rPr>
          <w:rFonts w:hint="eastAsia" w:ascii="仿宋" w:hAnsi="仿宋" w:eastAsia="仿宋" w:cs="仿宋"/>
          <w:szCs w:val="32"/>
        </w:rPr>
      </w:pPr>
      <w:r>
        <w:rPr>
          <w:rFonts w:hint="eastAsia" w:eastAsia="楷体"/>
          <w:szCs w:val="32"/>
        </w:rPr>
        <w:t>（五）</w:t>
      </w:r>
      <w:r>
        <w:rPr>
          <w:rFonts w:eastAsia="楷体"/>
          <w:szCs w:val="32"/>
        </w:rPr>
        <w:t>事业收入：</w:t>
      </w:r>
      <w:r>
        <w:rPr>
          <w:rFonts w:hint="eastAsia" w:ascii="仿宋" w:hAnsi="仿宋" w:eastAsia="仿宋" w:cs="仿宋"/>
          <w:szCs w:val="32"/>
        </w:rPr>
        <w:t>指事业单位开展专业业务活动及辅助活动所取得的收入。</w:t>
      </w:r>
    </w:p>
    <w:p>
      <w:pPr>
        <w:ind w:firstLine="640"/>
        <w:rPr>
          <w:rFonts w:hint="eastAsia" w:ascii="仿宋" w:hAnsi="仿宋" w:eastAsia="仿宋" w:cs="仿宋"/>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ascii="仿宋" w:hAnsi="仿宋" w:eastAsia="仿宋" w:cs="仿宋"/>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仿宋" w:hAnsi="仿宋" w:eastAsia="仿宋" w:cs="仿宋"/>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rFonts w:hint="eastAsia" w:ascii="仿宋" w:hAnsi="仿宋" w:eastAsia="仿宋" w:cs="仿宋"/>
          <w:szCs w:val="32"/>
        </w:rPr>
      </w:pPr>
      <w:r>
        <w:rPr>
          <w:rFonts w:eastAsia="楷体"/>
          <w:szCs w:val="32"/>
        </w:rPr>
        <w:t>（</w:t>
      </w:r>
      <w:r>
        <w:rPr>
          <w:rFonts w:hint="eastAsia" w:eastAsia="楷体"/>
          <w:szCs w:val="32"/>
        </w:rPr>
        <w:t>八</w:t>
      </w:r>
      <w:r>
        <w:rPr>
          <w:rFonts w:eastAsia="楷体"/>
          <w:szCs w:val="32"/>
        </w:rPr>
        <w:t>）事业单位经营收入：</w:t>
      </w:r>
      <w:r>
        <w:rPr>
          <w:rFonts w:hint="eastAsia" w:ascii="仿宋" w:hAnsi="仿宋" w:eastAsia="仿宋" w:cs="仿宋"/>
          <w:szCs w:val="32"/>
        </w:rPr>
        <w:t>指事业单位在专业业务活动及其辅助活动之外开展非独立核算经营活动取得的收入。</w:t>
      </w:r>
    </w:p>
    <w:p>
      <w:pPr>
        <w:ind w:firstLine="640"/>
        <w:rPr>
          <w:rFonts w:hint="eastAsia" w:ascii="仿宋" w:hAnsi="仿宋" w:eastAsia="仿宋" w:cs="仿宋"/>
          <w:szCs w:val="32"/>
          <w:lang w:eastAsia="zh-CN"/>
        </w:rPr>
      </w:pPr>
      <w:r>
        <w:rPr>
          <w:rFonts w:eastAsia="楷体"/>
          <w:szCs w:val="32"/>
        </w:rPr>
        <w:t>（</w:t>
      </w:r>
      <w:r>
        <w:rPr>
          <w:rFonts w:hint="eastAsia" w:eastAsia="楷体"/>
          <w:szCs w:val="32"/>
        </w:rPr>
        <w:t>九</w:t>
      </w:r>
      <w:r>
        <w:rPr>
          <w:rFonts w:eastAsia="楷体"/>
          <w:szCs w:val="32"/>
        </w:rPr>
        <w:t>）其他收入：</w:t>
      </w:r>
      <w:r>
        <w:rPr>
          <w:rFonts w:hint="eastAsia" w:ascii="仿宋" w:hAnsi="仿宋" w:eastAsia="仿宋" w:cs="仿宋"/>
          <w:szCs w:val="32"/>
        </w:rPr>
        <w:t>指除上述</w:t>
      </w:r>
      <w:r>
        <w:rPr>
          <w:rFonts w:hint="eastAsia" w:ascii="仿宋" w:hAnsi="仿宋" w:eastAsia="仿宋" w:cs="仿宋"/>
          <w:szCs w:val="32"/>
          <w:lang w:eastAsia="zh-CN"/>
        </w:rPr>
        <w:t>收入</w:t>
      </w:r>
      <w:r>
        <w:rPr>
          <w:rFonts w:hint="eastAsia" w:ascii="仿宋" w:hAnsi="仿宋" w:eastAsia="仿宋" w:cs="仿宋"/>
          <w:szCs w:val="32"/>
        </w:rPr>
        <w:t>以外的</w:t>
      </w:r>
      <w:r>
        <w:rPr>
          <w:rFonts w:hint="eastAsia" w:ascii="仿宋" w:hAnsi="仿宋" w:eastAsia="仿宋" w:cs="仿宋"/>
          <w:szCs w:val="32"/>
          <w:lang w:eastAsia="zh-CN"/>
        </w:rPr>
        <w:t>各项</w:t>
      </w:r>
      <w:r>
        <w:rPr>
          <w:rFonts w:hint="eastAsia" w:ascii="仿宋" w:hAnsi="仿宋" w:eastAsia="仿宋" w:cs="仿宋"/>
          <w:szCs w:val="32"/>
        </w:rPr>
        <w:t>收入</w:t>
      </w:r>
      <w:r>
        <w:rPr>
          <w:rFonts w:hint="eastAsia" w:ascii="仿宋" w:hAnsi="仿宋" w:eastAsia="仿宋" w:cs="仿宋"/>
          <w:szCs w:val="32"/>
          <w:lang w:eastAsia="zh-CN"/>
        </w:rPr>
        <w:t>，主要包括非本级财政拨款、事业单位的投资收益等收入。</w:t>
      </w:r>
    </w:p>
    <w:p>
      <w:pPr>
        <w:ind w:firstLine="640"/>
        <w:rPr>
          <w:rFonts w:hint="eastAsia" w:ascii="仿宋" w:hAnsi="仿宋" w:eastAsia="仿宋" w:cs="仿宋"/>
          <w:szCs w:val="32"/>
        </w:rPr>
      </w:pPr>
      <w:r>
        <w:rPr>
          <w:rFonts w:eastAsia="楷体"/>
          <w:szCs w:val="32"/>
        </w:rPr>
        <w:t>（十）上年结转：</w:t>
      </w:r>
      <w:r>
        <w:rPr>
          <w:rFonts w:hint="eastAsia" w:ascii="仿宋" w:hAnsi="仿宋" w:eastAsia="仿宋" w:cs="仿宋"/>
          <w:szCs w:val="32"/>
        </w:rPr>
        <w:t>指以前年度尚未完成、结转到本年仍按原规定用途继续使用的资金。</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一</w:t>
      </w:r>
      <w:r>
        <w:rPr>
          <w:rFonts w:eastAsia="楷体"/>
          <w:szCs w:val="32"/>
        </w:rPr>
        <w:t>）结转下年：</w:t>
      </w:r>
      <w:r>
        <w:rPr>
          <w:rFonts w:hint="eastAsia" w:ascii="仿宋" w:hAnsi="仿宋" w:eastAsia="仿宋" w:cs="仿宋"/>
          <w:szCs w:val="32"/>
        </w:rPr>
        <w:t>指以前年度预算安排、因客观条件发生变化无法按原计划实施，需延迟到以后年度按原规定用途继续使用的资金。</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二</w:t>
      </w:r>
      <w:r>
        <w:rPr>
          <w:rFonts w:eastAsia="楷体"/>
          <w:szCs w:val="32"/>
        </w:rPr>
        <w:t>）基本支出：</w:t>
      </w:r>
      <w:r>
        <w:rPr>
          <w:rFonts w:hint="eastAsia" w:ascii="仿宋" w:hAnsi="仿宋" w:eastAsia="仿宋" w:cs="仿宋"/>
          <w:szCs w:val="32"/>
        </w:rPr>
        <w:t>指为保障机构正常运转、完成日常工作任务而发生的人员支出和公用支出。</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三</w:t>
      </w:r>
      <w:r>
        <w:rPr>
          <w:rFonts w:eastAsia="楷体"/>
          <w:szCs w:val="32"/>
        </w:rPr>
        <w:t>）项目支出：</w:t>
      </w:r>
      <w:r>
        <w:rPr>
          <w:rFonts w:hint="eastAsia" w:ascii="仿宋" w:hAnsi="仿宋" w:eastAsia="仿宋" w:cs="仿宋"/>
          <w:szCs w:val="32"/>
        </w:rPr>
        <w:t>指在基本支出之外为完成特定行政任务和事业发展目标所发生的支出。</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四</w:t>
      </w:r>
      <w:r>
        <w:rPr>
          <w:rFonts w:eastAsia="楷体"/>
          <w:szCs w:val="32"/>
        </w:rPr>
        <w:t>）上缴上级支出：</w:t>
      </w:r>
      <w:r>
        <w:rPr>
          <w:rFonts w:hint="eastAsia" w:ascii="仿宋" w:hAnsi="仿宋" w:eastAsia="仿宋" w:cs="仿宋"/>
          <w:szCs w:val="32"/>
        </w:rPr>
        <w:t>指附属单位上缴上级的支出。</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五</w:t>
      </w:r>
      <w:r>
        <w:rPr>
          <w:rFonts w:eastAsia="楷体"/>
          <w:szCs w:val="32"/>
        </w:rPr>
        <w:t>）事业单位经营支出：</w:t>
      </w:r>
      <w:r>
        <w:rPr>
          <w:rFonts w:hint="eastAsia" w:ascii="仿宋" w:hAnsi="仿宋" w:eastAsia="仿宋" w:cs="仿宋"/>
          <w:szCs w:val="32"/>
        </w:rPr>
        <w:t>指事业单位在专业业务活动及其辅助活动之外开展非独立核算经营活动发生的支出。</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六</w:t>
      </w:r>
      <w:r>
        <w:rPr>
          <w:rFonts w:eastAsia="楷体"/>
          <w:szCs w:val="32"/>
        </w:rPr>
        <w:t>）对附属单位补助支出：</w:t>
      </w:r>
      <w:r>
        <w:rPr>
          <w:rFonts w:hint="eastAsia" w:ascii="仿宋" w:hAnsi="仿宋" w:eastAsia="仿宋" w:cs="仿宋"/>
          <w:szCs w:val="32"/>
        </w:rPr>
        <w:t>指对附属单位补助发生的支出。</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七</w:t>
      </w:r>
      <w:r>
        <w:rPr>
          <w:rFonts w:eastAsia="楷体"/>
          <w:szCs w:val="32"/>
        </w:rPr>
        <w:t>）“三公”经费：</w:t>
      </w:r>
      <w:r>
        <w:rPr>
          <w:rFonts w:hint="eastAsia" w:ascii="仿宋" w:hAnsi="仿宋" w:eastAsia="仿宋" w:cs="仿宋"/>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八</w:t>
      </w:r>
      <w:r>
        <w:rPr>
          <w:rFonts w:eastAsia="楷体"/>
          <w:szCs w:val="32"/>
        </w:rPr>
        <w:t>）机关运行经费：</w:t>
      </w:r>
      <w:r>
        <w:rPr>
          <w:rFonts w:hint="eastAsia" w:ascii="仿宋" w:hAnsi="仿宋" w:eastAsia="仿宋" w:cs="仿宋"/>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rPr>
          <w:kern w:val="0"/>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ascii="仿宋" w:hAnsi="仿宋" w:eastAsia="仿宋" w:cs="仿宋"/>
          <w:szCs w:val="32"/>
        </w:rPr>
        <w:t>项目支出绩效目标是指部门预算安排的项目支出在一定期限内预期达到的产出和效果。</w:t>
      </w: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E34824-973F-4150-89CF-361B26A8DA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FA52141-16EF-4EC4-AC07-145FBA10C1C4}"/>
  </w:font>
  <w:font w:name="仿宋_GB2312">
    <w:panose1 w:val="02010609030101010101"/>
    <w:charset w:val="86"/>
    <w:family w:val="modern"/>
    <w:pitch w:val="default"/>
    <w:sig w:usb0="00000001" w:usb1="080E0000" w:usb2="00000000" w:usb3="00000000" w:csb0="00040000" w:csb1="00000000"/>
    <w:embedRegular r:id="rId3" w:fontKey="{8EFB0DB0-C644-4D31-A5A0-F4A4B83664A8}"/>
  </w:font>
  <w:font w:name="华文细黑">
    <w:panose1 w:val="02010600040101010101"/>
    <w:charset w:val="86"/>
    <w:family w:val="auto"/>
    <w:pitch w:val="default"/>
    <w:sig w:usb0="00000287" w:usb1="080F0000" w:usb2="00000000" w:usb3="00000000" w:csb0="0004009F" w:csb1="DFD70000"/>
    <w:embedRegular r:id="rId4" w:fontKey="{D7C56581-5F84-452F-8BA3-C263791E2D73}"/>
  </w:font>
  <w:font w:name="方正小标宋简体">
    <w:panose1 w:val="02000000000000000000"/>
    <w:charset w:val="86"/>
    <w:family w:val="auto"/>
    <w:pitch w:val="default"/>
    <w:sig w:usb0="00000001" w:usb1="080E0000" w:usb2="00000000" w:usb3="00000000" w:csb0="00040000" w:csb1="00000000"/>
    <w:embedRegular r:id="rId5" w:fontKey="{B553D5CC-C02D-4EF4-897E-6E37DFE131EE}"/>
  </w:font>
  <w:font w:name="仿宋">
    <w:panose1 w:val="02010609060101010101"/>
    <w:charset w:val="86"/>
    <w:family w:val="modern"/>
    <w:pitch w:val="default"/>
    <w:sig w:usb0="800002BF" w:usb1="38CF7CFA" w:usb2="00000016" w:usb3="00000000" w:csb0="00040001" w:csb1="00000000"/>
    <w:embedRegular r:id="rId6" w:fontKey="{0694CDA0-EFB1-4750-B562-2784E97A7F98}"/>
  </w:font>
  <w:font w:name="楷体_GB2312">
    <w:panose1 w:val="02010609030101010101"/>
    <w:charset w:val="86"/>
    <w:family w:val="modern"/>
    <w:pitch w:val="default"/>
    <w:sig w:usb0="00000001" w:usb1="080E0000" w:usb2="00000000" w:usb3="00000000" w:csb0="00040000" w:csb1="00000000"/>
    <w:embedRegular r:id="rId7" w:fontKey="{DA8044B1-111D-4FCC-B1C9-2938CE34CE94}"/>
  </w:font>
  <w:font w:name="楷体">
    <w:panose1 w:val="02010609060101010101"/>
    <w:charset w:val="86"/>
    <w:family w:val="modern"/>
    <w:pitch w:val="default"/>
    <w:sig w:usb0="800002BF" w:usb1="38CF7CFA" w:usb2="00000016" w:usb3="00000000" w:csb0="00040001" w:csb1="00000000"/>
    <w:embedRegular r:id="rId8" w:fontKey="{35B8C6DD-8856-4CBB-BBCD-5646400EF2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OWJkOTExN2UxZjBmMjczY2YzYzI0YzQwYzc0NGY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A0082A"/>
    <w:rsid w:val="0A00435B"/>
    <w:rsid w:val="0AAA1697"/>
    <w:rsid w:val="0ABA06FE"/>
    <w:rsid w:val="0B49202F"/>
    <w:rsid w:val="0B5F5ADA"/>
    <w:rsid w:val="0B705AD2"/>
    <w:rsid w:val="0BA92DF2"/>
    <w:rsid w:val="0C2A5C84"/>
    <w:rsid w:val="0C4F64D9"/>
    <w:rsid w:val="0C583939"/>
    <w:rsid w:val="0C6D1BAE"/>
    <w:rsid w:val="0D2A2435"/>
    <w:rsid w:val="0DA001B0"/>
    <w:rsid w:val="0DEB170B"/>
    <w:rsid w:val="0E4C7841"/>
    <w:rsid w:val="0E97506F"/>
    <w:rsid w:val="0F3E0406"/>
    <w:rsid w:val="0F7B4AA5"/>
    <w:rsid w:val="0F980230"/>
    <w:rsid w:val="0FD62F63"/>
    <w:rsid w:val="0FDE2A27"/>
    <w:rsid w:val="10AE7F82"/>
    <w:rsid w:val="10C93B35"/>
    <w:rsid w:val="11177619"/>
    <w:rsid w:val="112605C8"/>
    <w:rsid w:val="11A6707B"/>
    <w:rsid w:val="11B35B2F"/>
    <w:rsid w:val="12E711B7"/>
    <w:rsid w:val="136D62BD"/>
    <w:rsid w:val="136E4388"/>
    <w:rsid w:val="13750189"/>
    <w:rsid w:val="13D94F43"/>
    <w:rsid w:val="13F21722"/>
    <w:rsid w:val="1424395D"/>
    <w:rsid w:val="1441443C"/>
    <w:rsid w:val="14C12787"/>
    <w:rsid w:val="15593E10"/>
    <w:rsid w:val="159F7E25"/>
    <w:rsid w:val="15F848D0"/>
    <w:rsid w:val="160B7C85"/>
    <w:rsid w:val="160E1FA5"/>
    <w:rsid w:val="160F2600"/>
    <w:rsid w:val="16322361"/>
    <w:rsid w:val="16C829AB"/>
    <w:rsid w:val="16DD34F5"/>
    <w:rsid w:val="16FA09A5"/>
    <w:rsid w:val="17765BCA"/>
    <w:rsid w:val="17A027D8"/>
    <w:rsid w:val="17CC2625"/>
    <w:rsid w:val="19132BE0"/>
    <w:rsid w:val="191F4716"/>
    <w:rsid w:val="1954649C"/>
    <w:rsid w:val="1A817DF8"/>
    <w:rsid w:val="1A8A6135"/>
    <w:rsid w:val="1AC83294"/>
    <w:rsid w:val="1ADC594E"/>
    <w:rsid w:val="1AEB5252"/>
    <w:rsid w:val="1B8A03E4"/>
    <w:rsid w:val="1B9C1459"/>
    <w:rsid w:val="1C852172"/>
    <w:rsid w:val="1CA40C0C"/>
    <w:rsid w:val="1CFF4A32"/>
    <w:rsid w:val="1D833200"/>
    <w:rsid w:val="1E3A3FD0"/>
    <w:rsid w:val="1EB55C07"/>
    <w:rsid w:val="1F351A10"/>
    <w:rsid w:val="1F857EA5"/>
    <w:rsid w:val="1FED47E9"/>
    <w:rsid w:val="200B2912"/>
    <w:rsid w:val="206816AC"/>
    <w:rsid w:val="21134335"/>
    <w:rsid w:val="226E581D"/>
    <w:rsid w:val="22A4003E"/>
    <w:rsid w:val="23135C25"/>
    <w:rsid w:val="23EC61F6"/>
    <w:rsid w:val="244C543C"/>
    <w:rsid w:val="24624768"/>
    <w:rsid w:val="259B5BC5"/>
    <w:rsid w:val="25F62C4E"/>
    <w:rsid w:val="26643D6C"/>
    <w:rsid w:val="26FE109D"/>
    <w:rsid w:val="27073E1E"/>
    <w:rsid w:val="27B04AB3"/>
    <w:rsid w:val="282C3BA1"/>
    <w:rsid w:val="28A63332"/>
    <w:rsid w:val="28C96E8E"/>
    <w:rsid w:val="29C45F24"/>
    <w:rsid w:val="2D9038E4"/>
    <w:rsid w:val="2DF8796C"/>
    <w:rsid w:val="2E504807"/>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263FCB"/>
    <w:rsid w:val="335402B5"/>
    <w:rsid w:val="339466B2"/>
    <w:rsid w:val="34555AF5"/>
    <w:rsid w:val="34FF687B"/>
    <w:rsid w:val="354C4987"/>
    <w:rsid w:val="35616772"/>
    <w:rsid w:val="35EA1663"/>
    <w:rsid w:val="364C598E"/>
    <w:rsid w:val="368A3622"/>
    <w:rsid w:val="36B543E5"/>
    <w:rsid w:val="36CC2B0F"/>
    <w:rsid w:val="36FC762F"/>
    <w:rsid w:val="3838492F"/>
    <w:rsid w:val="383A009B"/>
    <w:rsid w:val="387B329C"/>
    <w:rsid w:val="3887374F"/>
    <w:rsid w:val="38CB0ABC"/>
    <w:rsid w:val="39041A07"/>
    <w:rsid w:val="39043B77"/>
    <w:rsid w:val="39670895"/>
    <w:rsid w:val="397B4EE2"/>
    <w:rsid w:val="3A387943"/>
    <w:rsid w:val="3A657F9A"/>
    <w:rsid w:val="3A9113D4"/>
    <w:rsid w:val="3AC54F32"/>
    <w:rsid w:val="3B144A0A"/>
    <w:rsid w:val="3B254018"/>
    <w:rsid w:val="3B5257F8"/>
    <w:rsid w:val="3B6049CB"/>
    <w:rsid w:val="3BC92948"/>
    <w:rsid w:val="3BCB02AF"/>
    <w:rsid w:val="3BE370D4"/>
    <w:rsid w:val="3C1A026D"/>
    <w:rsid w:val="3C29381E"/>
    <w:rsid w:val="3C711E1D"/>
    <w:rsid w:val="3C7F463D"/>
    <w:rsid w:val="3CAE3960"/>
    <w:rsid w:val="3CEF6494"/>
    <w:rsid w:val="3D365BF6"/>
    <w:rsid w:val="3D7F7007"/>
    <w:rsid w:val="3DB008AA"/>
    <w:rsid w:val="3DF23324"/>
    <w:rsid w:val="3EA14040"/>
    <w:rsid w:val="3EE8108D"/>
    <w:rsid w:val="3F8201A3"/>
    <w:rsid w:val="402675EA"/>
    <w:rsid w:val="40B80EFF"/>
    <w:rsid w:val="40B97058"/>
    <w:rsid w:val="41A35364"/>
    <w:rsid w:val="41C31686"/>
    <w:rsid w:val="41C837BC"/>
    <w:rsid w:val="421643AC"/>
    <w:rsid w:val="42982B4E"/>
    <w:rsid w:val="429F5D0C"/>
    <w:rsid w:val="42A4583D"/>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A235542"/>
    <w:rsid w:val="4A52465C"/>
    <w:rsid w:val="4A5C4AC6"/>
    <w:rsid w:val="4A662FBF"/>
    <w:rsid w:val="4AF16062"/>
    <w:rsid w:val="4B0A57E5"/>
    <w:rsid w:val="4B646DDD"/>
    <w:rsid w:val="4B7F44F8"/>
    <w:rsid w:val="4BAC24C5"/>
    <w:rsid w:val="4BFA0656"/>
    <w:rsid w:val="4C0459D9"/>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3910367"/>
    <w:rsid w:val="544E511A"/>
    <w:rsid w:val="54741940"/>
    <w:rsid w:val="54810E66"/>
    <w:rsid w:val="54C063E4"/>
    <w:rsid w:val="54C2556E"/>
    <w:rsid w:val="55480EEF"/>
    <w:rsid w:val="569B7F91"/>
    <w:rsid w:val="56D21BED"/>
    <w:rsid w:val="572651B2"/>
    <w:rsid w:val="57AE5C26"/>
    <w:rsid w:val="57DD75A9"/>
    <w:rsid w:val="5801059F"/>
    <w:rsid w:val="58256ABD"/>
    <w:rsid w:val="58C27FDB"/>
    <w:rsid w:val="591946E0"/>
    <w:rsid w:val="59472AC7"/>
    <w:rsid w:val="59D514A6"/>
    <w:rsid w:val="59EC6E09"/>
    <w:rsid w:val="59EF3692"/>
    <w:rsid w:val="5AB343F7"/>
    <w:rsid w:val="5ABF50F2"/>
    <w:rsid w:val="5AF25D13"/>
    <w:rsid w:val="5AF76904"/>
    <w:rsid w:val="5B052E7A"/>
    <w:rsid w:val="5B3D7F7E"/>
    <w:rsid w:val="5B7C7777"/>
    <w:rsid w:val="5BEC6771"/>
    <w:rsid w:val="5CA506B9"/>
    <w:rsid w:val="5CF74CE4"/>
    <w:rsid w:val="5D5A7C63"/>
    <w:rsid w:val="5E256F6F"/>
    <w:rsid w:val="5F6235A9"/>
    <w:rsid w:val="60941D42"/>
    <w:rsid w:val="60DC439E"/>
    <w:rsid w:val="614125C2"/>
    <w:rsid w:val="61AA1D1F"/>
    <w:rsid w:val="624C5C52"/>
    <w:rsid w:val="625E6C7A"/>
    <w:rsid w:val="63DF08E4"/>
    <w:rsid w:val="64C04AFD"/>
    <w:rsid w:val="652D5418"/>
    <w:rsid w:val="655B219F"/>
    <w:rsid w:val="661A7B69"/>
    <w:rsid w:val="66455323"/>
    <w:rsid w:val="664909C1"/>
    <w:rsid w:val="66635AE4"/>
    <w:rsid w:val="66C63EB5"/>
    <w:rsid w:val="67592674"/>
    <w:rsid w:val="679461D3"/>
    <w:rsid w:val="67DD2D7C"/>
    <w:rsid w:val="6858287E"/>
    <w:rsid w:val="68593A1E"/>
    <w:rsid w:val="68C04D52"/>
    <w:rsid w:val="68D33DE9"/>
    <w:rsid w:val="69157114"/>
    <w:rsid w:val="691A443E"/>
    <w:rsid w:val="695A0B28"/>
    <w:rsid w:val="69C200BB"/>
    <w:rsid w:val="69E203A0"/>
    <w:rsid w:val="6A5B6D7D"/>
    <w:rsid w:val="6A765FBC"/>
    <w:rsid w:val="6A80735F"/>
    <w:rsid w:val="6AC17181"/>
    <w:rsid w:val="6ACC5E47"/>
    <w:rsid w:val="6AD43ED1"/>
    <w:rsid w:val="6B11024D"/>
    <w:rsid w:val="6B5D35E8"/>
    <w:rsid w:val="6B7D5B36"/>
    <w:rsid w:val="6C834DAA"/>
    <w:rsid w:val="6C993CCE"/>
    <w:rsid w:val="6CF120A8"/>
    <w:rsid w:val="6D54763D"/>
    <w:rsid w:val="6D72413D"/>
    <w:rsid w:val="6E834031"/>
    <w:rsid w:val="6FF50B81"/>
    <w:rsid w:val="70330B9C"/>
    <w:rsid w:val="714213DD"/>
    <w:rsid w:val="717F272E"/>
    <w:rsid w:val="72086C48"/>
    <w:rsid w:val="72783A23"/>
    <w:rsid w:val="728027C6"/>
    <w:rsid w:val="7375407B"/>
    <w:rsid w:val="73D62FA6"/>
    <w:rsid w:val="73FE7ACC"/>
    <w:rsid w:val="74556746"/>
    <w:rsid w:val="74743258"/>
    <w:rsid w:val="74CE4179"/>
    <w:rsid w:val="761B13C4"/>
    <w:rsid w:val="763D2CC2"/>
    <w:rsid w:val="764B6A8A"/>
    <w:rsid w:val="76C17E06"/>
    <w:rsid w:val="76CA67BD"/>
    <w:rsid w:val="774E6400"/>
    <w:rsid w:val="775B0046"/>
    <w:rsid w:val="791F1447"/>
    <w:rsid w:val="79700BEF"/>
    <w:rsid w:val="798D552B"/>
    <w:rsid w:val="7A090695"/>
    <w:rsid w:val="7A1D5951"/>
    <w:rsid w:val="7A396538"/>
    <w:rsid w:val="7AE175F4"/>
    <w:rsid w:val="7B417685"/>
    <w:rsid w:val="7B5220F0"/>
    <w:rsid w:val="7BA169C0"/>
    <w:rsid w:val="7BC55243"/>
    <w:rsid w:val="7C2F4A9A"/>
    <w:rsid w:val="7CAD595B"/>
    <w:rsid w:val="7CF65D07"/>
    <w:rsid w:val="7D2975D1"/>
    <w:rsid w:val="7D2F3083"/>
    <w:rsid w:val="7D906046"/>
    <w:rsid w:val="7DCC0CD6"/>
    <w:rsid w:val="7F8A33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5481</Words>
  <Characters>6591</Characters>
  <Lines>71</Lines>
  <Paragraphs>20</Paragraphs>
  <TotalTime>0</TotalTime>
  <ScaleCrop>false</ScaleCrop>
  <LinksUpToDate>false</LinksUpToDate>
  <CharactersWithSpaces>7153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ʚ阳光温暖却也刺眼ɞ</cp:lastModifiedBy>
  <cp:lastPrinted>2024-02-23T06:13:00Z</cp:lastPrinted>
  <dcterms:modified xsi:type="dcterms:W3CDTF">2024-02-26T03:31:59Z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094FB4A0A2F44D1ABAF4D4CD8900D3A3_13</vt:lpwstr>
  </property>
</Properties>
</file>