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none"/>
          <w:lang w:val="en-US" w:eastAsia="zh-CN"/>
        </w:rPr>
        <w:t>伊通满族自治县统计局</w:t>
      </w:r>
      <w:r>
        <w:rPr>
          <w:rFonts w:hint="eastAsia" w:ascii="方正小标宋简体" w:hAnsi="方正小标宋简体" w:eastAsia="方正小标宋简体" w:cs="方正小标宋简体"/>
          <w:sz w:val="44"/>
          <w:szCs w:val="44"/>
          <w:u w:val="none"/>
        </w:rPr>
        <w:t>202</w:t>
      </w:r>
      <w:r>
        <w:rPr>
          <w:rFonts w:hint="eastAsia" w:ascii="方正小标宋简体" w:hAnsi="方正小标宋简体" w:eastAsia="方正小标宋简体" w:cs="方正小标宋简体"/>
          <w:sz w:val="44"/>
          <w:szCs w:val="44"/>
          <w:u w:val="none"/>
          <w:lang w:val="en-US" w:eastAsia="zh-CN"/>
        </w:rPr>
        <w:t>4</w:t>
      </w:r>
      <w:r>
        <w:rPr>
          <w:rFonts w:hint="eastAsia" w:ascii="方正小标宋简体" w:hAnsi="方正小标宋简体" w:eastAsia="方正小标宋简体" w:cs="方正小标宋简体"/>
          <w:sz w:val="44"/>
          <w:szCs w:val="44"/>
          <w:u w:val="none"/>
        </w:rPr>
        <w:t>年</w:t>
      </w:r>
      <w:r>
        <w:rPr>
          <w:rFonts w:hint="eastAsia" w:ascii="方正小标宋简体" w:hAnsi="方正小标宋简体" w:eastAsia="方正小标宋简体" w:cs="方正小标宋简体"/>
          <w:sz w:val="44"/>
          <w:szCs w:val="44"/>
          <w:u w:val="none"/>
          <w:lang w:val="en-US" w:eastAsia="zh-CN"/>
        </w:rPr>
        <w:t>单位</w:t>
      </w:r>
      <w:r>
        <w:rPr>
          <w:rFonts w:hint="eastAsia" w:ascii="方正小标宋简体" w:hAnsi="方正小标宋简体" w:eastAsia="方正小标宋简体" w:cs="方正小标宋简体"/>
          <w:sz w:val="44"/>
          <w:szCs w:val="44"/>
          <w:u w:val="none"/>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rPr>
          <w:rFonts w:hint="eastAsia" w:ascii="仿宋" w:hAnsi="仿宋" w:eastAsia="仿宋" w:cs="仿宋"/>
        </w:rPr>
      </w:pPr>
      <w:r>
        <w:rPr>
          <w:rFonts w:hint="eastAsia" w:ascii="仿宋" w:hAnsi="仿宋" w:eastAsia="仿宋" w:cs="仿宋"/>
        </w:rPr>
        <w:t>一、主要职能</w:t>
      </w:r>
    </w:p>
    <w:p>
      <w:pPr>
        <w:ind w:left="320" w:leftChars="100" w:firstLine="320" w:firstLineChars="100"/>
        <w:rPr>
          <w:rFonts w:hint="eastAsia" w:ascii="仿宋" w:hAnsi="仿宋" w:eastAsia="仿宋" w:cs="仿宋"/>
        </w:rPr>
      </w:pPr>
      <w:r>
        <w:rPr>
          <w:rFonts w:hint="eastAsia" w:ascii="仿宋" w:hAnsi="仿宋" w:eastAsia="仿宋" w:cs="仿宋"/>
        </w:rPr>
        <w:t>二、机构设置</w:t>
      </w:r>
    </w:p>
    <w:p>
      <w:pPr>
        <w:rPr>
          <w:rFonts w:eastAsia="黑体"/>
        </w:rPr>
      </w:pPr>
      <w:r>
        <w:rPr>
          <w:rFonts w:eastAsia="黑体"/>
        </w:rPr>
        <w:t>第二部分  预算表格</w:t>
      </w:r>
    </w:p>
    <w:p>
      <w:pPr>
        <w:ind w:left="320" w:leftChars="100" w:firstLine="320" w:firstLineChars="100"/>
        <w:rPr>
          <w:rFonts w:hint="eastAsia" w:ascii="仿宋" w:hAnsi="仿宋" w:eastAsia="仿宋" w:cs="仿宋"/>
        </w:rPr>
      </w:pPr>
      <w:r>
        <w:rPr>
          <w:rFonts w:hint="eastAsia" w:ascii="仿宋" w:hAnsi="仿宋" w:eastAsia="仿宋" w:cs="仿宋"/>
        </w:rPr>
        <w:t>一、收支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二、收入</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三、支出</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四、财政拨款收支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五、一般公共预算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六、一般公共预算基本支出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七、一般公共预算“三公”经费支出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八、政府性基金预算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九、国有资本经营预算支出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lang w:eastAsia="zh-CN"/>
        </w:rPr>
        <w:t>十、</w:t>
      </w:r>
      <w:r>
        <w:rPr>
          <w:rFonts w:hint="eastAsia" w:ascii="仿宋" w:hAnsi="仿宋" w:eastAsia="仿宋" w:cs="仿宋"/>
        </w:rPr>
        <w:t>项目支出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lang w:eastAsia="zh-CN"/>
        </w:rPr>
      </w:pPr>
      <w:r>
        <w:rPr>
          <w:rFonts w:hint="eastAsia" w:ascii="仿宋" w:hAnsi="仿宋" w:eastAsia="仿宋" w:cs="仿宋"/>
          <w:lang w:eastAsia="zh-CN"/>
        </w:rPr>
        <w:t>十一、财政拨款委托业务费支出预算表</w:t>
      </w:r>
    </w:p>
    <w:p>
      <w:pPr>
        <w:ind w:firstLine="640" w:firstLineChars="200"/>
        <w:rPr>
          <w:rFonts w:hint="eastAsia"/>
        </w:rPr>
      </w:pPr>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hint="eastAsia" w:ascii="方正黑体_GBK" w:hAnsi="方正黑体_GBK" w:eastAsia="方正黑体_GBK" w:cs="方正黑体_GBK"/>
        </w:rPr>
      </w:pPr>
      <w:r>
        <w:rPr>
          <w:rFonts w:hint="eastAsia" w:ascii="黑体" w:hAnsi="黑体" w:eastAsia="黑体" w:cs="黑体"/>
        </w:rPr>
        <w:t>第一部分 部门概况</w:t>
      </w:r>
    </w:p>
    <w:p>
      <w:pPr>
        <w:ind w:firstLine="640" w:firstLineChars="200"/>
        <w:rPr>
          <w:rFonts w:eastAsia="楷体_GB2312"/>
        </w:rPr>
      </w:pPr>
    </w:p>
    <w:p>
      <w:pPr>
        <w:ind w:firstLine="640" w:firstLineChars="200"/>
        <w:rPr>
          <w:rFonts w:hint="eastAsia" w:ascii="方正楷体_GBK" w:hAnsi="方正楷体_GBK" w:eastAsia="方正楷体_GBK" w:cs="方正楷体_GBK"/>
          <w:color w:val="auto"/>
        </w:rPr>
      </w:pPr>
      <w:r>
        <w:rPr>
          <w:rFonts w:hint="eastAsia" w:ascii="楷体" w:hAnsi="楷体" w:eastAsia="楷体" w:cs="楷体"/>
          <w:color w:val="auto"/>
        </w:rPr>
        <w:t>一、主要职能</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伊通满族自治县统计局主要职责如下：</w:t>
      </w:r>
    </w:p>
    <w:p>
      <w:pPr>
        <w:ind w:firstLine="617" w:firstLineChars="193"/>
        <w:rPr>
          <w:rFonts w:hint="eastAsia" w:ascii="仿宋" w:hAnsi="仿宋" w:eastAsia="仿宋" w:cs="仿宋"/>
          <w:color w:val="auto"/>
          <w:szCs w:val="32"/>
        </w:rPr>
      </w:pPr>
      <w:r>
        <w:rPr>
          <w:rFonts w:hint="eastAsia" w:ascii="仿宋" w:hAnsi="仿宋" w:eastAsia="仿宋" w:cs="仿宋"/>
          <w:color w:val="auto"/>
          <w:szCs w:val="32"/>
        </w:rPr>
        <w:t>（一）贯彻执行国家统计方针、政策以及法律、法规,制定全县统计规划及统计调查计划；监督检查统计法律、法规的实施</w:t>
      </w:r>
      <w:r>
        <w:rPr>
          <w:rFonts w:hint="eastAsia" w:ascii="仿宋" w:hAnsi="仿宋" w:eastAsia="仿宋" w:cs="仿宋"/>
          <w:color w:val="auto"/>
          <w:szCs w:val="32"/>
          <w:lang w:eastAsia="zh-CN"/>
        </w:rPr>
        <w:t>。</w:t>
      </w:r>
      <w:r>
        <w:rPr>
          <w:rFonts w:hint="eastAsia" w:ascii="仿宋" w:hAnsi="仿宋" w:eastAsia="仿宋" w:cs="仿宋"/>
          <w:color w:val="auto"/>
          <w:szCs w:val="32"/>
        </w:rPr>
        <w:t>组织领导全县统计工作，承担确保统计数据真实、准确、及时的责任。</w:t>
      </w:r>
    </w:p>
    <w:p>
      <w:pPr>
        <w:ind w:firstLine="617" w:firstLineChars="193"/>
        <w:rPr>
          <w:rFonts w:hint="eastAsia" w:ascii="仿宋" w:hAnsi="仿宋" w:eastAsia="仿宋" w:cs="仿宋"/>
          <w:color w:val="auto"/>
          <w:szCs w:val="32"/>
        </w:rPr>
      </w:pPr>
      <w:r>
        <w:rPr>
          <w:rFonts w:hint="eastAsia" w:ascii="仿宋" w:hAnsi="仿宋" w:eastAsia="仿宋" w:cs="仿宋"/>
          <w:color w:val="auto"/>
          <w:szCs w:val="32"/>
        </w:rPr>
        <w:t>（二）根据国家统一的基本统计制度,建立健全全县国民经济核算体系和统计指标体系,贯彻执行全省统一的基本统计报表制度和统计标准；汇编提供全县国民经济核算资料。</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三）组织实施重大省情省力普查计划；统一组织协调全县社会经济统计调查；汇总、整理全县基本统计资料；对国民经济科技进步和社会发展等情况进行统计分析、统计预测预警和统计监督,向县委、县政府及有关单位提供统计信息和咨询建议。</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（四）统一核定、管理、公布全县基本统计资料,定期向社会公众发布全县国民经济和社会发展情况的统计信息。</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（五）建立、完善和管理全县统计信息自动化系统和全县统计数据库体系。</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（六）负责全县统计系统的干部人事、劳动工资、机构编制和财务经费、审计监督及资产设施管理。</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（七）领导局属事业单位。</w:t>
      </w:r>
    </w:p>
    <w:p>
      <w:pPr>
        <w:ind w:firstLine="640"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（八）承办四平市统计局和伊通满族自治县政府交办的其他事项。</w:t>
      </w:r>
    </w:p>
    <w:p>
      <w:pPr>
        <w:ind w:firstLine="640" w:firstLineChars="200"/>
        <w:rPr>
          <w:rFonts w:hint="eastAsia" w:ascii="楷体" w:hAnsi="楷体" w:eastAsia="楷体" w:cs="楷体"/>
          <w:color w:val="auto"/>
        </w:rPr>
      </w:pPr>
      <w:r>
        <w:rPr>
          <w:rFonts w:hint="eastAsia" w:ascii="楷体" w:hAnsi="楷体" w:eastAsia="楷体" w:cs="楷体"/>
          <w:color w:val="auto"/>
        </w:rPr>
        <w:t>二、机构设置</w:t>
      </w:r>
    </w:p>
    <w:p>
      <w:pPr>
        <w:ind w:firstLine="640" w:firstLineChars="200"/>
        <w:rPr>
          <w:rFonts w:hint="eastAsia" w:ascii="仿宋" w:hAnsi="仿宋" w:eastAsia="仿宋" w:cs="仿宋"/>
          <w:color w:val="auto"/>
          <w:szCs w:val="32"/>
          <w:lang w:eastAsia="zh-CN"/>
        </w:rPr>
      </w:pPr>
      <w:r>
        <w:rPr>
          <w:rFonts w:hint="eastAsia" w:ascii="仿宋" w:hAnsi="仿宋" w:eastAsia="仿宋" w:cs="仿宋"/>
          <w:color w:val="auto"/>
          <w:szCs w:val="32"/>
        </w:rPr>
        <w:t>根据上述职责,伊通满族自治县统计局</w:t>
      </w:r>
      <w:r>
        <w:rPr>
          <w:rFonts w:hint="eastAsia" w:ascii="仿宋" w:hAnsi="仿宋" w:eastAsia="仿宋" w:cs="仿宋"/>
          <w:color w:val="auto"/>
          <w:szCs w:val="32"/>
          <w:lang w:eastAsia="zh-CN"/>
        </w:rPr>
        <w:t>下</w:t>
      </w:r>
      <w:r>
        <w:rPr>
          <w:rFonts w:hint="eastAsia" w:ascii="仿宋" w:hAnsi="仿宋" w:eastAsia="仿宋" w:cs="仿宋"/>
          <w:color w:val="auto"/>
          <w:szCs w:val="32"/>
        </w:rPr>
        <w:t>设3个内设机构</w:t>
      </w:r>
      <w:r>
        <w:rPr>
          <w:rFonts w:hint="eastAsia" w:ascii="仿宋" w:hAnsi="仿宋" w:eastAsia="仿宋" w:cs="仿宋"/>
          <w:color w:val="auto"/>
          <w:szCs w:val="32"/>
          <w:lang w:eastAsia="zh-CN"/>
        </w:rPr>
        <w:t>，分别为</w:t>
      </w:r>
      <w:r>
        <w:rPr>
          <w:rFonts w:hint="eastAsia" w:ascii="仿宋" w:hAnsi="仿宋" w:eastAsia="仿宋" w:cs="仿宋"/>
          <w:color w:val="auto"/>
          <w:szCs w:val="32"/>
        </w:rPr>
        <w:t>办公室</w:t>
      </w:r>
      <w:r>
        <w:rPr>
          <w:rFonts w:hint="eastAsia" w:ascii="仿宋" w:hAnsi="仿宋" w:eastAsia="仿宋" w:cs="仿宋"/>
          <w:color w:val="auto"/>
          <w:szCs w:val="32"/>
          <w:lang w:eastAsia="zh-CN"/>
        </w:rPr>
        <w:t>、</w:t>
      </w:r>
      <w:r>
        <w:rPr>
          <w:rFonts w:hint="eastAsia" w:ascii="仿宋" w:hAnsi="仿宋" w:eastAsia="仿宋" w:cs="仿宋"/>
          <w:color w:val="auto"/>
          <w:szCs w:val="32"/>
        </w:rPr>
        <w:t>综合统计科</w:t>
      </w:r>
      <w:r>
        <w:rPr>
          <w:rFonts w:hint="eastAsia" w:ascii="仿宋" w:hAnsi="仿宋" w:eastAsia="仿宋" w:cs="仿宋"/>
          <w:color w:val="auto"/>
          <w:szCs w:val="32"/>
          <w:lang w:eastAsia="zh-CN"/>
        </w:rPr>
        <w:t>、</w:t>
      </w:r>
      <w:r>
        <w:rPr>
          <w:rFonts w:hint="eastAsia" w:ascii="仿宋" w:hAnsi="仿宋" w:eastAsia="仿宋" w:cs="仿宋"/>
          <w:color w:val="auto"/>
          <w:szCs w:val="32"/>
        </w:rPr>
        <w:t>社会经济统计科</w:t>
      </w:r>
      <w:r>
        <w:rPr>
          <w:rFonts w:hint="eastAsia" w:ascii="仿宋" w:hAnsi="仿宋" w:eastAsia="仿宋" w:cs="仿宋"/>
          <w:color w:val="auto"/>
          <w:szCs w:val="32"/>
          <w:lang w:eastAsia="zh-CN"/>
        </w:rPr>
        <w:t>。</w:t>
      </w:r>
    </w:p>
    <w:p>
      <w:pPr>
        <w:pStyle w:val="48"/>
        <w:ind w:firstLine="640" w:firstLineChars="200"/>
        <w:rPr>
          <w:rFonts w:hint="eastAsia" w:ascii="仿宋" w:hAnsi="仿宋" w:eastAsia="仿宋" w:cs="仿宋"/>
          <w:color w:val="auto"/>
        </w:rPr>
      </w:pPr>
      <w:r>
        <w:rPr>
          <w:rFonts w:hint="eastAsia" w:ascii="仿宋" w:hAnsi="仿宋" w:eastAsia="仿宋" w:cs="仿宋"/>
          <w:color w:val="auto"/>
        </w:rPr>
        <w:t>本单位无下设预算单位。</w:t>
      </w:r>
    </w:p>
    <w:p>
      <w:pPr>
        <w:pStyle w:val="48"/>
        <w:ind w:firstLine="640" w:firstLineChars="200"/>
        <w:rPr>
          <w:rFonts w:eastAsia="黑体"/>
        </w:rPr>
      </w:pPr>
      <w:r>
        <w:rPr>
          <w:rFonts w:hint="eastAsia" w:hAnsi="楷体" w:eastAsia="楷体"/>
        </w:rPr>
        <w:br w:type="page"/>
      </w:r>
    </w:p>
    <w:p>
      <w:pPr>
        <w:jc w:val="center"/>
        <w:rPr>
          <w:rFonts w:hint="default" w:ascii="Times New Roman" w:hAnsi="Times New Roman" w:eastAsia="方正黑体_GBK" w:cs="Times New Roman"/>
        </w:rPr>
      </w:pPr>
      <w:r>
        <w:rPr>
          <w:rFonts w:hint="eastAsia" w:ascii="黑体" w:hAnsi="黑体" w:eastAsia="黑体" w:cs="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收支</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总表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hint="eastAsia" w:ascii="宋体" w:hAnsi="宋体" w:eastAsia="宋体" w:cs="宋体"/>
                <w:color w:val="auto"/>
                <w:kern w:val="0"/>
                <w:sz w:val="20"/>
              </w:rPr>
            </w:pPr>
          </w:p>
        </w:tc>
        <w:tc>
          <w:tcPr>
            <w:tcW w:w="1200" w:type="dxa"/>
            <w:gridSpan w:val="2"/>
            <w:tcBorders>
              <w:top w:val="nil"/>
              <w:left w:val="nil"/>
              <w:bottom w:val="nil"/>
              <w:right w:val="nil"/>
            </w:tcBorders>
            <w:noWrap w:val="0"/>
            <w:vAlign w:val="center"/>
          </w:tcPr>
          <w:p>
            <w:pPr>
              <w:widowControl/>
              <w:jc w:val="center"/>
              <w:rPr>
                <w:rFonts w:hint="eastAsia" w:ascii="宋体" w:hAnsi="宋体" w:eastAsia="宋体" w:cs="宋体"/>
                <w:color w:val="auto"/>
                <w:kern w:val="0"/>
                <w:sz w:val="20"/>
              </w:rPr>
            </w:pPr>
          </w:p>
        </w:tc>
        <w:tc>
          <w:tcPr>
            <w:tcW w:w="2498" w:type="dxa"/>
            <w:gridSpan w:val="2"/>
            <w:tcBorders>
              <w:top w:val="nil"/>
              <w:left w:val="nil"/>
              <w:bottom w:val="nil"/>
              <w:right w:val="nil"/>
            </w:tcBorders>
            <w:noWrap w:val="0"/>
            <w:vAlign w:val="center"/>
          </w:tcPr>
          <w:p>
            <w:pPr>
              <w:widowControl/>
              <w:jc w:val="center"/>
              <w:rPr>
                <w:rFonts w:hint="eastAsia" w:ascii="宋体" w:hAnsi="宋体" w:eastAsia="宋体" w:cs="宋体"/>
                <w:color w:val="auto"/>
                <w:kern w:val="0"/>
                <w:sz w:val="20"/>
              </w:rPr>
            </w:pPr>
          </w:p>
        </w:tc>
        <w:tc>
          <w:tcPr>
            <w:tcW w:w="2340" w:type="dxa"/>
            <w:gridSpan w:val="3"/>
            <w:tcBorders>
              <w:top w:val="nil"/>
              <w:left w:val="nil"/>
              <w:bottom w:val="nil"/>
              <w:right w:val="nil"/>
            </w:tcBorders>
            <w:noWrap w:val="0"/>
            <w:vAlign w:val="bottom"/>
          </w:tcPr>
          <w:p>
            <w:pPr>
              <w:widowControl/>
              <w:jc w:val="right"/>
              <w:rPr>
                <w:rFonts w:hint="eastAsia" w:ascii="宋体" w:hAnsi="宋体" w:eastAsia="宋体" w:cs="宋体"/>
                <w:color w:val="auto"/>
                <w:kern w:val="0"/>
                <w:sz w:val="20"/>
              </w:rPr>
            </w:pPr>
            <w:r>
              <w:rPr>
                <w:rFonts w:hint="eastAsia" w:ascii="宋体" w:hAnsi="宋体" w:eastAsia="宋体" w:cs="宋体"/>
                <w:color w:val="auto"/>
                <w:kern w:val="0"/>
                <w:sz w:val="20"/>
                <w:lang w:val="en-US" w:eastAsia="zh-CN"/>
              </w:rPr>
              <w:t xml:space="preserve">            </w:t>
            </w:r>
            <w:r>
              <w:rPr>
                <w:rFonts w:hint="eastAsia" w:ascii="华文细黑" w:hAnsi="华文细黑" w:eastAsia="华文细黑" w:cs="华文细黑"/>
                <w:color w:val="auto"/>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本年</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上年</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本</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上年</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282.26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258.62</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23.64</w:t>
            </w:r>
          </w:p>
        </w:tc>
        <w:tc>
          <w:tcPr>
            <w:tcW w:w="1342"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一、一般公共服务支出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215.50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199.49</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16.01</w:t>
            </w:r>
          </w:p>
        </w:tc>
      </w:tr>
      <w:tr>
        <w:tblPrEx>
          <w:tblCellMar>
            <w:top w:w="0" w:type="dxa"/>
            <w:left w:w="108" w:type="dxa"/>
            <w:bottom w:w="0" w:type="dxa"/>
            <w:right w:w="108" w:type="dxa"/>
          </w:tblCellMar>
        </w:tblPrEx>
        <w:trPr>
          <w:trHeight w:val="54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一般公共预算</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282.26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258.62</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23.64</w:t>
            </w: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44.15</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38.73</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5.42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政府性基金预算</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7.08</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6.79</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0.29</w:t>
            </w:r>
          </w:p>
        </w:tc>
      </w:tr>
      <w:tr>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15.53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13.61</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1.92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二、财政专户管理</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szCs w:val="20"/>
              </w:rPr>
            </w:pPr>
            <w:r>
              <w:rPr>
                <w:rFonts w:hint="eastAsia" w:ascii="宋体" w:hAnsi="宋体" w:eastAsia="宋体" w:cs="宋体"/>
                <w:color w:val="auto"/>
                <w:sz w:val="20"/>
                <w:szCs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本年收入</w:t>
            </w:r>
            <w:r>
              <w:rPr>
                <w:rFonts w:hint="eastAsia" w:ascii="宋体" w:hAnsi="宋体" w:eastAsia="宋体" w:cs="宋体"/>
                <w:b/>
                <w:bCs/>
                <w:color w:val="auto"/>
                <w:kern w:val="0"/>
                <w:sz w:val="20"/>
                <w:szCs w:val="20"/>
                <w:lang w:val="en-US" w:eastAsia="zh-CN"/>
              </w:rPr>
              <w:t xml:space="preserve">         </w:t>
            </w:r>
            <w:r>
              <w:rPr>
                <w:rFonts w:hint="eastAsia" w:ascii="宋体" w:hAnsi="宋体" w:eastAsia="宋体" w:cs="宋体"/>
                <w:b/>
                <w:bCs/>
                <w:color w:val="auto"/>
                <w:kern w:val="0"/>
                <w:sz w:val="20"/>
                <w:szCs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282.26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258.62</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23.64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本年支出</w:t>
            </w:r>
            <w:r>
              <w:rPr>
                <w:rFonts w:hint="eastAsia" w:ascii="宋体" w:hAnsi="宋体" w:eastAsia="宋体" w:cs="宋体"/>
                <w:b/>
                <w:bCs/>
                <w:color w:val="auto"/>
                <w:kern w:val="0"/>
                <w:sz w:val="20"/>
                <w:szCs w:val="20"/>
                <w:lang w:val="en-US" w:eastAsia="zh-CN"/>
              </w:rPr>
              <w:t xml:space="preserve">  </w:t>
            </w:r>
            <w:r>
              <w:rPr>
                <w:rFonts w:hint="eastAsia" w:ascii="宋体" w:hAnsi="宋体" w:eastAsia="宋体" w:cs="宋体"/>
                <w:b/>
                <w:bCs/>
                <w:color w:val="auto"/>
                <w:kern w:val="0"/>
                <w:sz w:val="20"/>
                <w:szCs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0"/>
                <w:szCs w:val="20"/>
              </w:rPr>
            </w:pPr>
            <w:r>
              <w:rPr>
                <w:rFonts w:hint="eastAsia" w:ascii="宋体" w:hAnsi="宋体" w:eastAsia="宋体" w:cs="宋体"/>
                <w:i w:val="0"/>
                <w:iCs w:val="0"/>
                <w:color w:val="auto"/>
                <w:kern w:val="0"/>
                <w:sz w:val="20"/>
                <w:szCs w:val="20"/>
                <w:u w:val="none"/>
                <w:lang w:val="en-US" w:eastAsia="zh-CN" w:bidi="ar"/>
              </w:rPr>
              <w:t>282.26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258.62</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23.64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财政拨款结转</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结转下年</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支出</w:t>
            </w: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非财政拨款</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结转结余</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b/>
                <w:bCs/>
                <w:color w:val="auto"/>
                <w:kern w:val="0"/>
                <w:sz w:val="20"/>
                <w:szCs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282.26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258.62</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23.64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b/>
                <w:bCs/>
                <w:color w:val="auto"/>
                <w:kern w:val="0"/>
                <w:sz w:val="20"/>
                <w:szCs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282.26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258.62</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23.64</w:t>
            </w:r>
          </w:p>
        </w:tc>
      </w:tr>
    </w:tbl>
    <w:p>
      <w:pPr>
        <w:ind w:firstLine="400" w:firstLineChars="200"/>
        <w:rPr>
          <w:rFonts w:hint="default" w:ascii="Times New Roman" w:hAnsi="Times New Roman" w:eastAsia="宋体" w:cs="Times New Roman"/>
          <w:strike/>
          <w:sz w:val="20"/>
          <w:szCs w:val="20"/>
        </w:rPr>
      </w:pPr>
    </w:p>
    <w:p>
      <w:pPr>
        <w:ind w:firstLine="400" w:firstLineChars="200"/>
        <w:rPr>
          <w:rFonts w:hint="default" w:ascii="Times New Roman" w:hAnsi="Times New Roman" w:eastAsia="宋体" w:cs="Times New Roman"/>
          <w:sz w:val="20"/>
          <w:szCs w:val="20"/>
        </w:rPr>
      </w:pPr>
    </w:p>
    <w:p>
      <w:pPr>
        <w:rPr>
          <w:rFonts w:hint="default" w:ascii="Times New Roman" w:hAnsi="Times New Roman" w:eastAsia="楷体" w:cs="Times New Roman"/>
        </w:rPr>
      </w:pPr>
    </w:p>
    <w:p>
      <w:pPr>
        <w:jc w:val="center"/>
        <w:rPr>
          <w:rFonts w:hint="default" w:ascii="Times New Roman" w:hAnsi="Times New Roman" w:eastAsia="楷体" w:cs="Times New Roman"/>
        </w:rPr>
      </w:pPr>
      <w:r>
        <w:rPr>
          <w:rFonts w:hint="default" w:ascii="Times New Roman" w:hAnsi="Times New Roman" w:eastAsia="楷体" w:cs="Times New Roman"/>
        </w:rPr>
        <w:br w:type="page"/>
      </w:r>
    </w:p>
    <w:p>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收入</w:t>
      </w:r>
      <w:r>
        <w:rPr>
          <w:rFonts w:hint="default" w:ascii="Times New Roman" w:hAnsi="Times New Roman" w:eastAsia="方正小标宋简体" w:cs="Times New Roman"/>
          <w:sz w:val="44"/>
          <w:lang w:eastAsia="zh-CN"/>
        </w:rPr>
        <w:t>预算</w:t>
      </w:r>
      <w:r>
        <w:rPr>
          <w:rFonts w:hint="default" w:ascii="Times New Roman" w:hAnsi="Times New Roman" w:eastAsia="方正小标宋简体" w:cs="Times New Roman"/>
          <w:sz w:val="44"/>
        </w:rPr>
        <w:t>总表</w:t>
      </w:r>
    </w:p>
    <w:tbl>
      <w:tblPr>
        <w:tblStyle w:val="9"/>
        <w:tblW w:w="9767" w:type="dxa"/>
        <w:jc w:val="center"/>
        <w:tblLayout w:type="fixed"/>
        <w:tblCellMar>
          <w:top w:w="0" w:type="dxa"/>
          <w:left w:w="108" w:type="dxa"/>
          <w:bottom w:w="0" w:type="dxa"/>
          <w:right w:w="108" w:type="dxa"/>
        </w:tblCellMar>
      </w:tblPr>
      <w:tblGrid>
        <w:gridCol w:w="1033"/>
        <w:gridCol w:w="860"/>
        <w:gridCol w:w="840"/>
        <w:gridCol w:w="850"/>
        <w:gridCol w:w="326"/>
        <w:gridCol w:w="360"/>
        <w:gridCol w:w="380"/>
        <w:gridCol w:w="370"/>
        <w:gridCol w:w="234"/>
        <w:gridCol w:w="126"/>
        <w:gridCol w:w="370"/>
        <w:gridCol w:w="360"/>
        <w:gridCol w:w="138"/>
        <w:gridCol w:w="282"/>
        <w:gridCol w:w="216"/>
        <w:gridCol w:w="574"/>
        <w:gridCol w:w="798"/>
        <w:gridCol w:w="236"/>
        <w:gridCol w:w="224"/>
        <w:gridCol w:w="370"/>
        <w:gridCol w:w="440"/>
        <w:gridCol w:w="380"/>
      </w:tblGrid>
      <w:tr>
        <w:tblPrEx>
          <w:tblCellMar>
            <w:top w:w="0" w:type="dxa"/>
            <w:left w:w="108" w:type="dxa"/>
            <w:bottom w:w="0" w:type="dxa"/>
            <w:right w:w="108" w:type="dxa"/>
          </w:tblCellMar>
        </w:tblPrEx>
        <w:trPr>
          <w:trHeight w:val="335" w:hRule="atLeast"/>
          <w:jc w:val="center"/>
        </w:trPr>
        <w:tc>
          <w:tcPr>
            <w:tcW w:w="1033" w:type="dxa"/>
            <w:tcBorders>
              <w:bottom w:val="single" w:color="000000" w:sz="4" w:space="0"/>
            </w:tcBorders>
            <w:noWrap w:val="0"/>
            <w:vAlign w:val="top"/>
          </w:tcPr>
          <w:p>
            <w:pPr>
              <w:autoSpaceDN w:val="0"/>
              <w:jc w:val="left"/>
              <w:textAlignment w:val="center"/>
              <w:rPr>
                <w:rFonts w:hint="eastAsia" w:ascii="宋体" w:hAnsi="宋体" w:eastAsia="宋体" w:cs="宋体"/>
                <w:color w:val="000000"/>
                <w:sz w:val="20"/>
              </w:rPr>
            </w:pPr>
          </w:p>
        </w:tc>
        <w:tc>
          <w:tcPr>
            <w:tcW w:w="4220" w:type="dxa"/>
            <w:gridSpan w:val="8"/>
            <w:tcBorders>
              <w:bottom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94" w:type="dxa"/>
            <w:gridSpan w:val="4"/>
            <w:noWrap w:val="0"/>
            <w:vAlign w:val="center"/>
          </w:tcPr>
          <w:p>
            <w:pPr>
              <w:autoSpaceDN w:val="0"/>
              <w:jc w:val="left"/>
              <w:textAlignment w:val="center"/>
              <w:rPr>
                <w:rFonts w:hint="eastAsia" w:ascii="宋体" w:hAnsi="宋体" w:eastAsia="宋体" w:cs="宋体"/>
                <w:color w:val="000000"/>
                <w:sz w:val="20"/>
              </w:rPr>
            </w:pPr>
          </w:p>
        </w:tc>
        <w:tc>
          <w:tcPr>
            <w:tcW w:w="498" w:type="dxa"/>
            <w:gridSpan w:val="2"/>
            <w:noWrap w:val="0"/>
            <w:vAlign w:val="center"/>
          </w:tcPr>
          <w:p>
            <w:pPr>
              <w:autoSpaceDN w:val="0"/>
              <w:jc w:val="left"/>
              <w:textAlignment w:val="center"/>
              <w:rPr>
                <w:rFonts w:hint="eastAsia" w:ascii="宋体" w:hAnsi="宋体" w:eastAsia="宋体" w:cs="宋体"/>
                <w:color w:val="000000"/>
                <w:sz w:val="20"/>
              </w:rPr>
            </w:pPr>
          </w:p>
        </w:tc>
        <w:tc>
          <w:tcPr>
            <w:tcW w:w="1372" w:type="dxa"/>
            <w:gridSpan w:val="2"/>
            <w:noWrap w:val="0"/>
            <w:vAlign w:val="center"/>
          </w:tcPr>
          <w:p>
            <w:pPr>
              <w:autoSpaceDN w:val="0"/>
              <w:jc w:val="left"/>
              <w:textAlignment w:val="center"/>
              <w:rPr>
                <w:rFonts w:hint="eastAsia" w:ascii="宋体" w:hAnsi="宋体" w:eastAsia="宋体" w:cs="宋体"/>
                <w:color w:val="000000"/>
                <w:sz w:val="20"/>
              </w:rPr>
            </w:pPr>
          </w:p>
        </w:tc>
        <w:tc>
          <w:tcPr>
            <w:tcW w:w="236" w:type="dxa"/>
            <w:noWrap w:val="0"/>
            <w:vAlign w:val="bottom"/>
          </w:tcPr>
          <w:p>
            <w:pPr>
              <w:autoSpaceDN w:val="0"/>
              <w:jc w:val="right"/>
              <w:textAlignment w:val="bottom"/>
              <w:rPr>
                <w:rFonts w:hint="eastAsia" w:ascii="宋体" w:hAnsi="宋体" w:eastAsia="宋体" w:cs="宋体"/>
                <w:color w:val="000000"/>
                <w:sz w:val="20"/>
              </w:rPr>
            </w:pPr>
          </w:p>
        </w:tc>
        <w:tc>
          <w:tcPr>
            <w:tcW w:w="1414" w:type="dxa"/>
            <w:gridSpan w:val="4"/>
            <w:noWrap w:val="0"/>
            <w:vAlign w:val="bottom"/>
          </w:tcPr>
          <w:p>
            <w:pPr>
              <w:wordWrap/>
              <w:autoSpaceDN w:val="0"/>
              <w:jc w:val="right"/>
              <w:textAlignment w:val="center"/>
              <w:rPr>
                <w:rFonts w:hint="eastAsia" w:ascii="宋体" w:hAnsi="宋体" w:eastAsia="宋体" w:cs="宋体"/>
                <w:color w:val="000000"/>
                <w:sz w:val="20"/>
              </w:rPr>
            </w:pPr>
            <w:r>
              <w:rPr>
                <w:rFonts w:hint="eastAsia" w:ascii="华文细黑" w:hAnsi="华文细黑" w:eastAsia="华文细黑" w:cs="华文细黑"/>
                <w:color w:val="000000"/>
                <w:sz w:val="20"/>
              </w:rPr>
              <w:t>单位：万元</w:t>
            </w:r>
          </w:p>
        </w:tc>
      </w:tr>
      <w:tr>
        <w:tblPrEx>
          <w:tblCellMar>
            <w:top w:w="0" w:type="dxa"/>
            <w:left w:w="108" w:type="dxa"/>
            <w:bottom w:w="0" w:type="dxa"/>
            <w:right w:w="108" w:type="dxa"/>
          </w:tblCellMar>
        </w:tblPrEx>
        <w:trPr>
          <w:trHeight w:val="517" w:hRule="atLeast"/>
          <w:jc w:val="center"/>
        </w:trPr>
        <w:tc>
          <w:tcPr>
            <w:tcW w:w="1033"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6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636"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238"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033"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6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4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36"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38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80"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90"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28"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820"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033"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6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4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26"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8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90"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6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7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033"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ascii="宋体" w:hAnsi="宋体" w:eastAsia="宋体" w:cs="宋体"/>
                <w:color w:val="000000"/>
                <w:sz w:val="20"/>
                <w:shd w:val="clear" w:color="auto" w:fill="FFFFFF"/>
              </w:rPr>
            </w:pPr>
            <w:r>
              <w:rPr>
                <w:rFonts w:hint="eastAsia" w:ascii="宋体" w:hAnsi="宋体" w:eastAsia="宋体" w:cs="宋体"/>
                <w:color w:val="auto"/>
                <w:sz w:val="20"/>
                <w:szCs w:val="20"/>
              </w:rPr>
              <w:t>伊通满族自治县统计局</w:t>
            </w:r>
          </w:p>
        </w:tc>
        <w:tc>
          <w:tcPr>
            <w:tcW w:w="8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282.26</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258.62</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258.62</w:t>
            </w:r>
          </w:p>
        </w:tc>
        <w:tc>
          <w:tcPr>
            <w:tcW w:w="32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23.64</w:t>
            </w: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23.64</w:t>
            </w:r>
          </w:p>
        </w:tc>
        <w:tc>
          <w:tcPr>
            <w:tcW w:w="4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03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03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03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03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8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282.26</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258.62</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258.62</w:t>
            </w:r>
          </w:p>
        </w:tc>
        <w:tc>
          <w:tcPr>
            <w:tcW w:w="32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23.64</w:t>
            </w:r>
          </w:p>
        </w:tc>
        <w:tc>
          <w:tcPr>
            <w:tcW w:w="7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23.64</w:t>
            </w:r>
          </w:p>
        </w:tc>
        <w:tc>
          <w:tcPr>
            <w:tcW w:w="4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bl>
    <w:p>
      <w:pPr>
        <w:rPr>
          <w:rFonts w:hint="default" w:ascii="Times New Roman" w:hAnsi="Times New Roman" w:eastAsia="楷体" w:cs="Times New Roman"/>
        </w:rPr>
      </w:pPr>
    </w:p>
    <w:p>
      <w:pPr>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r>
        <w:rPr>
          <w:rFonts w:hint="default" w:ascii="Times New Roman" w:hAnsi="Times New Roman" w:eastAsia="楷体" w:cs="Times New Roman"/>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spacing w:line="360" w:lineRule="auto"/>
              <w:jc w:val="center"/>
              <w:rPr>
                <w:rFonts w:hint="default" w:ascii="Times New Roman" w:hAnsi="Times New Roman" w:eastAsia="方正小标宋简体" w:cs="Times New Roman"/>
                <w:kern w:val="0"/>
                <w:sz w:val="24"/>
                <w:szCs w:val="24"/>
                <w:highlight w:val="none"/>
              </w:rPr>
            </w:pPr>
          </w:p>
          <w:p>
            <w:pPr>
              <w:widowControl/>
              <w:spacing w:line="360" w:lineRule="auto"/>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tbl>
            <w:tblPr>
              <w:tblStyle w:val="9"/>
              <w:tblW w:w="9840" w:type="dxa"/>
              <w:jc w:val="center"/>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jc w:val="center"/>
              </w:trPr>
              <w:tc>
                <w:tcPr>
                  <w:tcW w:w="5812" w:type="dxa"/>
                  <w:gridSpan w:val="4"/>
                  <w:tcBorders>
                    <w:bottom w:val="single" w:color="000000" w:sz="4" w:space="0"/>
                  </w:tcBorders>
                  <w:noWrap w:val="0"/>
                  <w:vAlign w:val="center"/>
                </w:tcPr>
                <w:p>
                  <w:pPr>
                    <w:widowControl/>
                    <w:jc w:val="left"/>
                    <w:rPr>
                      <w:rFonts w:hint="eastAsia" w:ascii="宋体" w:hAnsi="宋体" w:eastAsia="宋体" w:cs="宋体"/>
                      <w:color w:val="000000"/>
                      <w:kern w:val="0"/>
                      <w:sz w:val="20"/>
                    </w:rPr>
                  </w:pPr>
                </w:p>
              </w:tc>
              <w:tc>
                <w:tcPr>
                  <w:tcW w:w="1297" w:type="dxa"/>
                  <w:tcBorders>
                    <w:bottom w:val="single" w:color="000000" w:sz="4" w:space="0"/>
                  </w:tcBorders>
                  <w:noWrap w:val="0"/>
                  <w:vAlign w:val="center"/>
                </w:tcPr>
                <w:p>
                  <w:pPr>
                    <w:widowControl/>
                    <w:jc w:val="right"/>
                    <w:rPr>
                      <w:rFonts w:hint="eastAsia" w:ascii="宋体" w:hAnsi="宋体" w:eastAsia="宋体" w:cs="宋体"/>
                      <w:color w:val="000000"/>
                      <w:kern w:val="0"/>
                      <w:sz w:val="20"/>
                    </w:rPr>
                  </w:pPr>
                </w:p>
              </w:tc>
              <w:tc>
                <w:tcPr>
                  <w:tcW w:w="1296" w:type="dxa"/>
                  <w:gridSpan w:val="2"/>
                  <w:tcBorders>
                    <w:bottom w:val="single" w:color="000000" w:sz="4" w:space="0"/>
                  </w:tcBorders>
                  <w:noWrap w:val="0"/>
                  <w:vAlign w:val="center"/>
                </w:tcPr>
                <w:p>
                  <w:pPr>
                    <w:widowControl/>
                    <w:jc w:val="right"/>
                    <w:rPr>
                      <w:rFonts w:hint="eastAsia" w:ascii="宋体" w:hAnsi="宋体" w:eastAsia="宋体" w:cs="宋体"/>
                      <w:color w:val="000000"/>
                      <w:kern w:val="0"/>
                      <w:sz w:val="20"/>
                    </w:rPr>
                  </w:pPr>
                </w:p>
              </w:tc>
              <w:tc>
                <w:tcPr>
                  <w:tcW w:w="1297" w:type="dxa"/>
                  <w:tcBorders>
                    <w:bottom w:val="single" w:color="000000" w:sz="4" w:space="0"/>
                  </w:tcBorders>
                  <w:noWrap w:val="0"/>
                  <w:vAlign w:val="bottom"/>
                </w:tcPr>
                <w:p>
                  <w:pPr>
                    <w:widowControl/>
                    <w:jc w:val="right"/>
                    <w:rPr>
                      <w:rFonts w:hint="eastAsia" w:ascii="宋体" w:hAnsi="宋体" w:eastAsia="宋体" w:cs="宋体"/>
                      <w:color w:val="000000"/>
                      <w:kern w:val="0"/>
                      <w:sz w:val="20"/>
                    </w:rPr>
                  </w:pPr>
                  <w:r>
                    <w:rPr>
                      <w:rFonts w:hint="eastAsia" w:ascii="华文细黑" w:hAnsi="华文细黑" w:eastAsia="华文细黑" w:cs="华文细黑"/>
                      <w:color w:val="000000"/>
                      <w:kern w:val="0"/>
                      <w:sz w:val="20"/>
                    </w:rPr>
                    <w:t>单位：万元</w:t>
                  </w:r>
                </w:p>
              </w:tc>
            </w:tr>
            <w:tr>
              <w:tblPrEx>
                <w:tblCellMar>
                  <w:top w:w="15" w:type="dxa"/>
                  <w:left w:w="15" w:type="dxa"/>
                  <w:bottom w:w="15" w:type="dxa"/>
                  <w:right w:w="15" w:type="dxa"/>
                </w:tblCellMar>
              </w:tblPrEx>
              <w:trPr>
                <w:trHeight w:val="1241" w:hRule="atLeast"/>
                <w:jc w:val="center"/>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功能分类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支出</w:t>
                  </w:r>
                </w:p>
                <w:p>
                  <w:pPr>
                    <w:widowControl/>
                    <w:jc w:val="center"/>
                    <w:rPr>
                      <w:rFonts w:hint="eastAsia" w:ascii="宋体" w:hAnsi="宋体" w:eastAsia="宋体" w:cs="宋体"/>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事业单位</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对附属                                           单位补                                      助支出</w:t>
                  </w: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215.50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137.23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78.27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215.50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137.23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78.27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137.23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137.23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22.56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22.56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55.71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55.71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24.30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24.30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19.85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19.85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78.27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bl>
          <w:p>
            <w:pPr>
              <w:widowControl/>
              <w:jc w:val="center"/>
              <w:rPr>
                <w:rFonts w:hint="default" w:ascii="Times New Roman" w:hAnsi="Times New Roman" w:eastAsia="方正小标宋简体" w:cs="Times New Roman"/>
                <w:kern w:val="0"/>
                <w:sz w:val="44"/>
                <w:szCs w:val="44"/>
              </w:rPr>
            </w:pPr>
          </w:p>
        </w:tc>
      </w:tr>
    </w:tbl>
    <w:p>
      <w:pPr>
        <w:ind w:firstLine="640" w:firstLineChars="200"/>
        <w:rPr>
          <w:rFonts w:hint="default" w:ascii="Times New Roman" w:hAnsi="Times New Roman" w:cs="Times New Roman"/>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财政拨款收支</w:t>
                  </w:r>
                  <w:r>
                    <w:rPr>
                      <w:rFonts w:hint="default" w:ascii="Times New Roman" w:hAnsi="Times New Roman" w:eastAsia="方正小标宋简体" w:cs="Times New Roman"/>
                      <w:kern w:val="0"/>
                      <w:sz w:val="44"/>
                      <w:szCs w:val="44"/>
                      <w:lang w:eastAsia="zh-CN"/>
                    </w:rPr>
                    <w:t>预算总</w:t>
                  </w:r>
                  <w:r>
                    <w:rPr>
                      <w:rFonts w:hint="default" w:ascii="Times New Roman" w:hAnsi="Times New Roman" w:eastAsia="方正小标宋简体" w:cs="Times New Roman"/>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r>
                    <w:rPr>
                      <w:rFonts w:hint="eastAsia" w:ascii="宋体" w:hAnsi="宋体" w:eastAsia="宋体" w:cs="宋体"/>
                      <w:kern w:val="0"/>
                      <w:sz w:val="20"/>
                      <w:szCs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w:t>
                  </w:r>
                  <w:r>
                    <w:rPr>
                      <w:rFonts w:hint="eastAsia" w:ascii="宋体" w:hAnsi="宋体" w:eastAsia="宋体" w:cs="宋体"/>
                      <w:kern w:val="0"/>
                      <w:sz w:val="20"/>
                      <w:szCs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r>
                    <w:rPr>
                      <w:rFonts w:hint="eastAsia" w:ascii="宋体" w:hAnsi="宋体" w:eastAsia="宋体" w:cs="宋体"/>
                      <w:kern w:val="0"/>
                      <w:sz w:val="20"/>
                      <w:szCs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w:t>
                  </w:r>
                  <w:r>
                    <w:rPr>
                      <w:rFonts w:hint="eastAsia" w:ascii="宋体" w:hAnsi="宋体" w:eastAsia="宋体" w:cs="宋体"/>
                      <w:kern w:val="0"/>
                      <w:sz w:val="20"/>
                      <w:szCs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282.26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258.62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23.64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282.26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258.62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23.64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282.26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258.62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23.64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（一）</w:t>
                  </w:r>
                  <w:r>
                    <w:rPr>
                      <w:rFonts w:hint="eastAsia" w:ascii="宋体" w:hAnsi="宋体" w:eastAsia="宋体" w:cs="宋体"/>
                      <w:color w:val="000000"/>
                      <w:kern w:val="0"/>
                      <w:sz w:val="20"/>
                      <w:szCs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215.50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199.49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16.01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38.73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5.42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6.79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0.29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13.61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0"/>
                      <w:szCs w:val="20"/>
                    </w:rPr>
                  </w:pPr>
                  <w:r>
                    <w:rPr>
                      <w:rFonts w:hint="eastAsia" w:ascii="宋体" w:hAnsi="宋体" w:eastAsia="宋体" w:cs="宋体"/>
                      <w:kern w:val="0"/>
                      <w:sz w:val="20"/>
                      <w:szCs w:val="20"/>
                      <w:lang w:eastAsia="zh-CN"/>
                    </w:rPr>
                    <w:t>二、</w:t>
                  </w:r>
                  <w:r>
                    <w:rPr>
                      <w:rFonts w:hint="eastAsia" w:ascii="宋体" w:hAnsi="宋体" w:eastAsia="宋体" w:cs="宋体"/>
                      <w:kern w:val="0"/>
                      <w:sz w:val="20"/>
                      <w:szCs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center"/>
                    <w:rPr>
                      <w:rFonts w:hint="eastAsia" w:ascii="宋体" w:hAnsi="宋体" w:eastAsia="宋体" w:cs="宋体"/>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282.26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258.62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23.64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282.26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258.62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23.64</w:t>
                  </w:r>
                </w:p>
              </w:tc>
            </w:tr>
          </w:tbl>
          <w:p>
            <w:pPr>
              <w:widowControl/>
              <w:rPr>
                <w:rFonts w:hint="default" w:ascii="Times New Roman" w:hAnsi="Times New Roman" w:eastAsia="方正小标宋简体" w:cs="Times New Roman"/>
                <w:kern w:val="0"/>
                <w:sz w:val="44"/>
                <w:szCs w:val="44"/>
              </w:rPr>
            </w:pPr>
          </w:p>
        </w:tc>
      </w:tr>
    </w:tbl>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r>
        <w:rPr>
          <w:rFonts w:hint="default" w:ascii="Times New Roman" w:hAnsi="Times New Roman" w:eastAsia="楷体" w:cs="Times New Roman"/>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hint="default" w:ascii="Times New Roman" w:hAnsi="Times New Roman" w:eastAsia="方正小标宋简体" w:cs="Times New Roman"/>
                <w:kern w:val="0"/>
                <w:sz w:val="44"/>
                <w:szCs w:val="44"/>
              </w:rPr>
            </w:pPr>
          </w:p>
          <w:tbl>
            <w:tblPr>
              <w:tblStyle w:val="9"/>
              <w:tblW w:w="0" w:type="auto"/>
              <w:jc w:val="center"/>
              <w:tblLayout w:type="fixed"/>
              <w:tblCellMar>
                <w:top w:w="15" w:type="dxa"/>
                <w:left w:w="15" w:type="dxa"/>
                <w:bottom w:w="15" w:type="dxa"/>
                <w:right w:w="15" w:type="dxa"/>
              </w:tblCellMar>
            </w:tblPr>
            <w:tblGrid>
              <w:gridCol w:w="2549"/>
              <w:gridCol w:w="1132"/>
              <w:gridCol w:w="1132"/>
              <w:gridCol w:w="1132"/>
              <w:gridCol w:w="1134"/>
              <w:gridCol w:w="1701"/>
            </w:tblGrid>
            <w:tr>
              <w:tblPrEx>
                <w:tblCellMar>
                  <w:top w:w="15" w:type="dxa"/>
                  <w:left w:w="15" w:type="dxa"/>
                  <w:bottom w:w="15" w:type="dxa"/>
                  <w:right w:w="15" w:type="dxa"/>
                </w:tblCellMar>
              </w:tblPrEx>
              <w:trPr>
                <w:trHeight w:val="1222" w:hRule="atLeast"/>
                <w:jc w:val="center"/>
              </w:trPr>
              <w:tc>
                <w:tcPr>
                  <w:tcW w:w="8780" w:type="dxa"/>
                  <w:gridSpan w:val="6"/>
                  <w:tcBorders>
                    <w:bottom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方正小标宋简体" w:hAnsi="方正小标宋简体" w:eastAsia="方正小标宋简体" w:cs="方正小标宋简体"/>
                      <w:kern w:val="0"/>
                      <w:sz w:val="44"/>
                      <w:szCs w:val="44"/>
                    </w:rPr>
                    <w:t>一般公共预算支出</w:t>
                  </w:r>
                  <w:r>
                    <w:rPr>
                      <w:rFonts w:hint="eastAsia" w:ascii="方正小标宋简体" w:hAnsi="方正小标宋简体" w:eastAsia="方正小标宋简体" w:cs="方正小标宋简体"/>
                      <w:kern w:val="0"/>
                      <w:sz w:val="44"/>
                      <w:szCs w:val="44"/>
                      <w:lang w:eastAsia="zh-CN"/>
                    </w:rPr>
                    <w:t>预算</w:t>
                  </w:r>
                  <w:r>
                    <w:rPr>
                      <w:rFonts w:hint="eastAsia" w:ascii="方正小标宋简体" w:hAnsi="方正小标宋简体" w:eastAsia="方正小标宋简体" w:cs="方正小标宋简体"/>
                      <w:kern w:val="0"/>
                      <w:sz w:val="44"/>
                      <w:szCs w:val="44"/>
                    </w:rPr>
                    <w:t>表</w:t>
                  </w:r>
                </w:p>
                <w:p>
                  <w:pPr>
                    <w:widowControl/>
                    <w:jc w:val="right"/>
                    <w:rPr>
                      <w:rFonts w:hint="eastAsia" w:ascii="宋体" w:hAnsi="宋体" w:eastAsia="宋体" w:cs="宋体"/>
                      <w:color w:val="000000"/>
                      <w:kern w:val="0"/>
                      <w:sz w:val="20"/>
                    </w:rPr>
                  </w:pPr>
                  <w:r>
                    <w:rPr>
                      <w:rFonts w:hint="eastAsia" w:ascii="华文细黑" w:hAnsi="华文细黑" w:eastAsia="华文细黑" w:cs="华文细黑"/>
                      <w:color w:val="000000"/>
                      <w:kern w:val="0"/>
                      <w:sz w:val="20"/>
                    </w:rPr>
                    <w:t>单位：万元</w:t>
                  </w:r>
                </w:p>
              </w:tc>
            </w:tr>
            <w:tr>
              <w:tblPrEx>
                <w:tblCellMar>
                  <w:top w:w="15" w:type="dxa"/>
                  <w:left w:w="15" w:type="dxa"/>
                  <w:bottom w:w="15" w:type="dxa"/>
                  <w:right w:w="15" w:type="dxa"/>
                </w:tblCellMar>
              </w:tblPrEx>
              <w:trPr>
                <w:trHeight w:val="541" w:hRule="atLeast"/>
                <w:jc w:val="center"/>
              </w:trPr>
              <w:tc>
                <w:tcPr>
                  <w:tcW w:w="2549"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功能分类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科目名称</w:t>
                  </w:r>
                </w:p>
              </w:tc>
              <w:tc>
                <w:tcPr>
                  <w:tcW w:w="1132"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c>
                <w:tcPr>
                  <w:tcW w:w="339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                                                               支出</w:t>
                  </w:r>
                </w:p>
              </w:tc>
            </w:tr>
            <w:tr>
              <w:tblPrEx>
                <w:tblCellMar>
                  <w:top w:w="15" w:type="dxa"/>
                  <w:left w:w="15" w:type="dxa"/>
                  <w:bottom w:w="15" w:type="dxa"/>
                  <w:right w:w="15" w:type="dxa"/>
                </w:tblCellMar>
              </w:tblPrEx>
              <w:trPr>
                <w:trHeight w:val="414" w:hRule="atLeast"/>
                <w:jc w:val="center"/>
              </w:trPr>
              <w:tc>
                <w:tcPr>
                  <w:tcW w:w="2549"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113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33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819" w:hRule="atLeast"/>
                <w:jc w:val="center"/>
              </w:trPr>
              <w:tc>
                <w:tcPr>
                  <w:tcW w:w="2549"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113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4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215.50</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137.23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27.69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78.27</w:t>
                  </w: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215.50</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137.23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27.69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78.27</w:t>
                  </w: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行政运行</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137.23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137.23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109.55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27.69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22.56</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22.56</w:t>
                  </w: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专项普查活动</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55.71</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55.71</w:t>
                  </w: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44.15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24.30</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24.30</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689"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19.85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19.85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19.85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71"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494" w:hRule="atLeast"/>
                <w:jc w:val="center"/>
              </w:trPr>
              <w:tc>
                <w:tcPr>
                  <w:tcW w:w="25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合计</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282.26</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203.99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27.69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78.27</w:t>
                  </w:r>
                </w:p>
              </w:tc>
            </w:tr>
          </w:tbl>
          <w:p>
            <w:pPr>
              <w:widowControl/>
              <w:jc w:val="center"/>
              <w:rPr>
                <w:rFonts w:hint="default" w:ascii="Times New Roman" w:hAnsi="Times New Roman" w:eastAsia="方正小标宋简体" w:cs="Times New Roman"/>
                <w:kern w:val="0"/>
                <w:sz w:val="44"/>
                <w:szCs w:val="44"/>
              </w:rPr>
            </w:pPr>
          </w:p>
        </w:tc>
      </w:tr>
    </w:tbl>
    <w:p>
      <w:pPr>
        <w:ind w:firstLine="640" w:firstLineChars="200"/>
        <w:rPr>
          <w:rFonts w:hint="default" w:ascii="Times New Roman" w:hAnsi="Times New Roman" w:eastAsia="楷体" w:cs="Times New Roman"/>
        </w:rPr>
      </w:pPr>
      <w:r>
        <w:rPr>
          <w:rFonts w:hint="default" w:ascii="Times New Roman" w:hAnsi="Times New Roman" w:eastAsia="楷体" w:cs="Times New Roman"/>
        </w:rPr>
        <w:br w:type="page"/>
      </w:r>
    </w:p>
    <w:tbl>
      <w:tblPr>
        <w:tblStyle w:val="9"/>
        <w:tblW w:w="0" w:type="auto"/>
        <w:jc w:val="center"/>
        <w:tblLayout w:type="fixed"/>
        <w:tblCellMar>
          <w:top w:w="0" w:type="dxa"/>
          <w:left w:w="108" w:type="dxa"/>
          <w:bottom w:w="0" w:type="dxa"/>
          <w:right w:w="108" w:type="dxa"/>
        </w:tblCellMar>
      </w:tblPr>
      <w:tblGrid>
        <w:gridCol w:w="3728"/>
        <w:gridCol w:w="1668"/>
        <w:gridCol w:w="1704"/>
        <w:gridCol w:w="1831"/>
      </w:tblGrid>
      <w:tr>
        <w:tblPrEx>
          <w:tblCellMar>
            <w:top w:w="0" w:type="dxa"/>
            <w:left w:w="108" w:type="dxa"/>
            <w:bottom w:w="0" w:type="dxa"/>
            <w:right w:w="108" w:type="dxa"/>
          </w:tblCellMar>
        </w:tblPrEx>
        <w:trPr>
          <w:trHeight w:val="810" w:hRule="atLeast"/>
          <w:jc w:val="center"/>
        </w:trPr>
        <w:tc>
          <w:tcPr>
            <w:tcW w:w="8931" w:type="dxa"/>
            <w:gridSpan w:val="4"/>
            <w:tcBorders>
              <w:top w:val="nil"/>
              <w:left w:val="nil"/>
              <w:bottom w:val="nil"/>
              <w:right w:val="nil"/>
            </w:tcBorders>
            <w:noWrap w:val="0"/>
            <w:vAlign w:val="bottom"/>
          </w:tcPr>
          <w:p>
            <w:pPr>
              <w:widowControl/>
              <w:jc w:val="center"/>
              <w:rPr>
                <w:rFonts w:hint="default" w:ascii="Times New Roman" w:hAnsi="Times New Roman" w:eastAsia="方正小标宋简体" w:cs="Times New Roman"/>
                <w:kern w:val="0"/>
                <w:sz w:val="44"/>
                <w:szCs w:val="44"/>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一般公共预算基本支出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c>
      </w:tr>
      <w:tr>
        <w:tblPrEx>
          <w:tblCellMar>
            <w:top w:w="0" w:type="dxa"/>
            <w:left w:w="108" w:type="dxa"/>
            <w:bottom w:w="0" w:type="dxa"/>
            <w:right w:w="108" w:type="dxa"/>
          </w:tblCellMar>
        </w:tblPrEx>
        <w:trPr>
          <w:trHeight w:val="390" w:hRule="atLeast"/>
          <w:jc w:val="center"/>
        </w:trPr>
        <w:tc>
          <w:tcPr>
            <w:tcW w:w="3728" w:type="dxa"/>
            <w:tcBorders>
              <w:top w:val="nil"/>
              <w:left w:val="nil"/>
              <w:bottom w:val="single" w:color="auto" w:sz="4" w:space="0"/>
              <w:right w:val="nil"/>
            </w:tcBorders>
            <w:noWrap w:val="0"/>
            <w:vAlign w:val="center"/>
          </w:tcPr>
          <w:p>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668" w:type="dxa"/>
            <w:tcBorders>
              <w:top w:val="nil"/>
              <w:left w:val="nil"/>
              <w:bottom w:val="single" w:color="auto" w:sz="4" w:space="0"/>
              <w:right w:val="nil"/>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hint="eastAsia" w:ascii="宋体" w:hAnsi="宋体" w:eastAsia="宋体" w:cs="宋体"/>
                <w:kern w:val="0"/>
                <w:sz w:val="20"/>
              </w:rPr>
            </w:pPr>
            <w:r>
              <w:rPr>
                <w:rFonts w:hint="eastAsia" w:ascii="宋体" w:hAnsi="宋体" w:eastAsia="宋体" w:cs="宋体"/>
                <w:kern w:val="0"/>
                <w:sz w:val="20"/>
              </w:rPr>
              <w:t>　</w:t>
            </w:r>
            <w:r>
              <w:rPr>
                <w:rFonts w:hint="eastAsia" w:ascii="华文细黑" w:hAnsi="华文细黑" w:eastAsia="华文细黑" w:cs="华文细黑"/>
                <w:kern w:val="0"/>
                <w:sz w:val="20"/>
              </w:rPr>
              <w:t>单位：万元</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部门预算支出</w:t>
            </w:r>
            <w:r>
              <w:rPr>
                <w:rFonts w:hint="eastAsia" w:ascii="宋体" w:hAnsi="宋体" w:eastAsia="宋体" w:cs="宋体"/>
                <w:kern w:val="0"/>
                <w:sz w:val="20"/>
                <w:szCs w:val="20"/>
              </w:rPr>
              <w:t>经济分类科目</w:t>
            </w:r>
          </w:p>
        </w:tc>
        <w:tc>
          <w:tcPr>
            <w:tcW w:w="166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一、工资福利支出</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151.42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151.42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基本工资</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50.85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50.85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津贴补贴</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32.46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奖金</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21.02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21.02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19.85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4.64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其他社会保障缴费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15.53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医疗费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其他工资福利支出</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二、商品和服务支出</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21.04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21.04</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办公费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1.20</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印刷费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0.23</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邮电费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0.60</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差旅费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3.17</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培训费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1.32</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工会经费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1.45</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福利费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4.69</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其他交通费用</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7.50</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0.88</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24.89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24.89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离休费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退休费</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9.30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1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四、资本性支出</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6.65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6.65</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办公设备购置</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6.65</w:t>
            </w:r>
          </w:p>
        </w:tc>
      </w:tr>
      <w:tr>
        <w:tblPrEx>
          <w:tblCellMar>
            <w:top w:w="0" w:type="dxa"/>
            <w:left w:w="108" w:type="dxa"/>
            <w:bottom w:w="0" w:type="dxa"/>
            <w:right w:w="108" w:type="dxa"/>
          </w:tblCellMar>
        </w:tblPrEx>
        <w:trPr>
          <w:trHeight w:val="397" w:hRule="exact"/>
          <w:jc w:val="center"/>
        </w:trPr>
        <w:tc>
          <w:tcPr>
            <w:tcW w:w="3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  计</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176.31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27.69</w:t>
            </w:r>
          </w:p>
        </w:tc>
      </w:tr>
    </w:tbl>
    <w:p>
      <w:pPr>
        <w:ind w:firstLine="636"/>
        <w:rPr>
          <w:rFonts w:hint="default" w:ascii="Times New Roman" w:hAnsi="Times New Roman" w:eastAsia="楷体" w:cs="Times New Roman"/>
        </w:rPr>
      </w:pPr>
      <w:r>
        <w:rPr>
          <w:rFonts w:hint="default" w:ascii="Times New Roman" w:hAnsi="Times New Roman" w:eastAsia="楷体" w:cs="Times New Roman"/>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hint="default" w:ascii="Times New Roman" w:hAnsi="Times New Roman" w:eastAsia="宋体" w:cs="Times New Roman"/>
                <w:color w:val="000000"/>
                <w:kern w:val="0"/>
                <w:sz w:val="44"/>
                <w:szCs w:val="44"/>
              </w:rPr>
            </w:pPr>
            <w:r>
              <w:rPr>
                <w:rFonts w:hint="default" w:ascii="Times New Roman" w:hAnsi="Times New Roman" w:eastAsia="方正小标宋简体" w:cs="Times New Roman"/>
                <w:color w:val="000000"/>
                <w:kern w:val="0"/>
                <w:sz w:val="44"/>
                <w:szCs w:val="44"/>
              </w:rPr>
              <w:t>一般公共预算“三公”经费支出</w:t>
            </w:r>
            <w:r>
              <w:rPr>
                <w:rFonts w:hint="default" w:ascii="Times New Roman" w:hAnsi="Times New Roman" w:eastAsia="方正小标宋简体" w:cs="Times New Roman"/>
                <w:color w:val="000000"/>
                <w:kern w:val="0"/>
                <w:sz w:val="44"/>
                <w:szCs w:val="44"/>
                <w:lang w:eastAsia="zh-CN"/>
              </w:rPr>
              <w:t>预算</w:t>
            </w:r>
            <w:r>
              <w:rPr>
                <w:rFonts w:hint="default" w:ascii="Times New Roman" w:hAnsi="Times New Roman" w:eastAsia="方正小标宋简体" w:cs="Times New Roman"/>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hint="eastAsia" w:ascii="宋体" w:hAnsi="宋体" w:eastAsia="宋体" w:cs="宋体"/>
                <w:color w:val="000000"/>
                <w:kern w:val="0"/>
                <w:sz w:val="20"/>
              </w:rPr>
            </w:pPr>
            <w:r>
              <w:rPr>
                <w:rFonts w:hint="eastAsia" w:ascii="华文细黑" w:hAnsi="华文细黑" w:eastAsia="华文细黑" w:cs="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8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default" w:ascii="Times New Roman" w:hAnsi="Times New Roman" w:eastAsia="仿宋_GB2312" w:cs="Times New Roman"/>
                <w:color w:val="000000"/>
                <w:kern w:val="0"/>
                <w:sz w:val="28"/>
                <w:szCs w:val="28"/>
                <w:lang w:val="en-US" w:eastAsia="zh-CN"/>
              </w:rPr>
            </w:pPr>
          </w:p>
        </w:tc>
      </w:tr>
    </w:tbl>
    <w:p>
      <w:pPr>
        <w:widowControl/>
        <w:jc w:val="left"/>
        <w:rPr>
          <w:rFonts w:hint="eastAsia" w:ascii="仿宋" w:hAnsi="仿宋" w:eastAsia="仿宋" w:cs="仿宋"/>
          <w:color w:val="auto"/>
          <w:kern w:val="0"/>
          <w:sz w:val="28"/>
          <w:szCs w:val="28"/>
        </w:rPr>
      </w:pPr>
      <w:r>
        <w:rPr>
          <w:rFonts w:eastAsia="宋体"/>
          <w:color w:val="auto"/>
          <w:kern w:val="0"/>
          <w:sz w:val="28"/>
          <w:szCs w:val="28"/>
        </w:rPr>
        <w:t xml:space="preserve">  </w:t>
      </w:r>
      <w:r>
        <w:rPr>
          <w:rFonts w:hint="eastAsia" w:eastAsia="宋体"/>
          <w:color w:val="auto"/>
          <w:kern w:val="0"/>
          <w:sz w:val="28"/>
          <w:szCs w:val="28"/>
          <w:lang w:val="en-US" w:eastAsia="zh-CN"/>
        </w:rPr>
        <w:t xml:space="preserve">  </w:t>
      </w:r>
      <w:r>
        <w:rPr>
          <w:rFonts w:hint="eastAsia" w:ascii="仿宋" w:hAnsi="仿宋" w:eastAsia="仿宋" w:cs="仿宋"/>
          <w:color w:val="auto"/>
          <w:kern w:val="0"/>
          <w:sz w:val="28"/>
          <w:szCs w:val="28"/>
        </w:rPr>
        <w:t>说明：</w:t>
      </w:r>
      <w:r>
        <w:rPr>
          <w:rFonts w:hint="eastAsia" w:ascii="仿宋" w:hAnsi="仿宋" w:eastAsia="仿宋" w:cs="仿宋"/>
          <w:color w:val="auto"/>
          <w:kern w:val="0"/>
          <w:sz w:val="28"/>
          <w:szCs w:val="28"/>
        </w:rPr>
        <w:br w:type="textWrapping"/>
      </w:r>
      <w:r>
        <w:rPr>
          <w:rFonts w:hint="eastAsia" w:ascii="仿宋" w:hAnsi="仿宋" w:eastAsia="仿宋" w:cs="仿宋"/>
          <w:color w:val="auto"/>
          <w:kern w:val="0"/>
          <w:sz w:val="28"/>
          <w:szCs w:val="28"/>
        </w:rPr>
        <w:t xml:space="preserve">       1、“202</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年预算数”的单位范围包括</w:t>
      </w:r>
      <w:r>
        <w:rPr>
          <w:rFonts w:hint="eastAsia" w:ascii="仿宋" w:hAnsi="仿宋" w:eastAsia="仿宋" w:cs="仿宋"/>
          <w:color w:val="auto"/>
          <w:kern w:val="0"/>
          <w:sz w:val="28"/>
          <w:szCs w:val="28"/>
          <w:lang w:val="en-US" w:eastAsia="zh-CN"/>
        </w:rPr>
        <w:t>本单位1</w:t>
      </w:r>
      <w:r>
        <w:rPr>
          <w:rFonts w:hint="eastAsia" w:ascii="仿宋" w:hAnsi="仿宋" w:eastAsia="仿宋" w:cs="仿宋"/>
          <w:color w:val="auto"/>
          <w:kern w:val="0"/>
          <w:sz w:val="28"/>
          <w:szCs w:val="28"/>
        </w:rPr>
        <w:t xml:space="preserve">个预算单位。   </w:t>
      </w:r>
      <w:r>
        <w:rPr>
          <w:rFonts w:hint="eastAsia" w:ascii="仿宋" w:hAnsi="仿宋" w:eastAsia="仿宋" w:cs="仿宋"/>
          <w:color w:val="auto"/>
          <w:kern w:val="0"/>
          <w:sz w:val="28"/>
          <w:szCs w:val="28"/>
        </w:rPr>
        <w:br w:type="textWrapping"/>
      </w:r>
      <w:r>
        <w:rPr>
          <w:rFonts w:hint="eastAsia" w:ascii="仿宋" w:hAnsi="仿宋" w:eastAsia="仿宋" w:cs="仿宋"/>
          <w:color w:val="auto"/>
          <w:kern w:val="0"/>
          <w:sz w:val="28"/>
          <w:szCs w:val="28"/>
        </w:rPr>
        <w:t xml:space="preserve">       2、“202</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年预算数”的”的实有人员</w:t>
      </w:r>
      <w:r>
        <w:rPr>
          <w:rFonts w:hint="eastAsia" w:ascii="仿宋" w:hAnsi="仿宋" w:eastAsia="仿宋" w:cs="仿宋"/>
          <w:color w:val="auto"/>
          <w:kern w:val="0"/>
          <w:sz w:val="28"/>
          <w:szCs w:val="28"/>
          <w:lang w:val="en-US" w:eastAsia="zh-CN"/>
        </w:rPr>
        <w:t>19</w:t>
      </w:r>
      <w:r>
        <w:rPr>
          <w:rFonts w:hint="eastAsia" w:ascii="仿宋" w:hAnsi="仿宋" w:eastAsia="仿宋" w:cs="仿宋"/>
          <w:color w:val="auto"/>
          <w:kern w:val="0"/>
          <w:sz w:val="28"/>
          <w:szCs w:val="28"/>
        </w:rPr>
        <w:t>人，其中：在职人员</w:t>
      </w:r>
      <w:r>
        <w:rPr>
          <w:rFonts w:hint="eastAsia" w:ascii="仿宋" w:hAnsi="仿宋" w:eastAsia="仿宋" w:cs="仿宋"/>
          <w:color w:val="auto"/>
          <w:kern w:val="0"/>
          <w:sz w:val="28"/>
          <w:szCs w:val="28"/>
          <w:u w:val="none"/>
          <w:lang w:val="en-US" w:eastAsia="zh-CN"/>
        </w:rPr>
        <w:t>10</w:t>
      </w:r>
      <w:r>
        <w:rPr>
          <w:rFonts w:hint="eastAsia" w:ascii="仿宋" w:hAnsi="仿宋" w:eastAsia="仿宋" w:cs="仿宋"/>
          <w:color w:val="auto"/>
          <w:kern w:val="0"/>
          <w:sz w:val="28"/>
          <w:szCs w:val="28"/>
        </w:rPr>
        <w:t>人，离退休人员</w:t>
      </w:r>
      <w:r>
        <w:rPr>
          <w:rFonts w:hint="eastAsia" w:ascii="仿宋" w:hAnsi="仿宋" w:eastAsia="仿宋" w:cs="仿宋"/>
          <w:color w:val="auto"/>
          <w:kern w:val="0"/>
          <w:sz w:val="28"/>
          <w:szCs w:val="28"/>
          <w:u w:val="none"/>
          <w:lang w:val="en-US" w:eastAsia="zh-CN"/>
        </w:rPr>
        <w:t>9</w:t>
      </w:r>
      <w:r>
        <w:rPr>
          <w:rFonts w:hint="eastAsia" w:ascii="仿宋" w:hAnsi="仿宋" w:eastAsia="仿宋" w:cs="仿宋"/>
          <w:color w:val="auto"/>
          <w:kern w:val="0"/>
          <w:sz w:val="28"/>
          <w:szCs w:val="28"/>
        </w:rPr>
        <w:t>人。</w:t>
      </w:r>
    </w:p>
    <w:p>
      <w:pPr>
        <w:rPr>
          <w:rFonts w:hint="default" w:ascii="Times New Roman" w:hAnsi="Times New Roman" w:eastAsia="楷体" w:cs="Times New Roman"/>
        </w:rPr>
      </w:pPr>
      <w:r>
        <w:rPr>
          <w:rFonts w:hint="default" w:ascii="Times New Roman" w:hAnsi="Times New Roman" w:eastAsia="楷体" w:cs="Times New Roman"/>
        </w:rPr>
        <w:br w:type="page"/>
      </w:r>
    </w:p>
    <w:p>
      <w:pPr>
        <w:ind w:firstLine="640" w:firstLineChars="200"/>
        <w:rPr>
          <w:rFonts w:hint="default" w:ascii="Times New Roman" w:hAnsi="Times New Roman" w:eastAsia="楷体" w:cs="Times New Roman"/>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政府性基金预算</w:t>
            </w:r>
            <w:r>
              <w:rPr>
                <w:rFonts w:hint="default" w:ascii="Times New Roman" w:hAnsi="Times New Roman"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eastAsia" w:ascii="华文细黑" w:hAnsi="华文细黑" w:eastAsia="华文细黑" w:cs="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spacing w:line="700" w:lineRule="exact"/>
        <w:ind w:firstLine="640" w:firstLineChars="200"/>
        <w:rPr>
          <w:rFonts w:hint="default" w:ascii="Times New Roman" w:hAnsi="Times New Roman" w:eastAsia="楷体" w:cs="Times New Roman"/>
          <w:kern w:val="0"/>
          <w:szCs w:val="32"/>
        </w:rPr>
      </w:pPr>
    </w:p>
    <w:p>
      <w:pPr>
        <w:spacing w:line="700" w:lineRule="exact"/>
        <w:rPr>
          <w:rFonts w:hint="default" w:ascii="Times New Roman" w:hAnsi="Times New Roman" w:eastAsia="楷体" w:cs="Times New Roman"/>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Spec="center" w:tblpY="3079"/>
        <w:tblW w:w="0" w:type="auto"/>
        <w:jc w:val="center"/>
        <w:tblLayout w:type="fixed"/>
        <w:tblCellMar>
          <w:top w:w="15" w:type="dxa"/>
          <w:left w:w="15" w:type="dxa"/>
          <w:bottom w:w="15" w:type="dxa"/>
          <w:right w:w="15" w:type="dxa"/>
        </w:tblCellMar>
      </w:tblPr>
      <w:tblGrid>
        <w:gridCol w:w="2169"/>
        <w:gridCol w:w="2169"/>
        <w:gridCol w:w="2169"/>
        <w:gridCol w:w="2173"/>
      </w:tblGrid>
      <w:tr>
        <w:tblPrEx>
          <w:tblCellMar>
            <w:top w:w="15" w:type="dxa"/>
            <w:left w:w="15" w:type="dxa"/>
            <w:bottom w:w="15" w:type="dxa"/>
            <w:right w:w="15" w:type="dxa"/>
          </w:tblCellMar>
        </w:tblPrEx>
        <w:trPr>
          <w:trHeight w:val="1182" w:hRule="atLeast"/>
          <w:jc w:val="center"/>
        </w:trPr>
        <w:tc>
          <w:tcPr>
            <w:tcW w:w="8680" w:type="dxa"/>
            <w:gridSpan w:val="4"/>
            <w:tcBorders>
              <w:bottom w:val="single" w:color="000000" w:sz="4" w:space="0"/>
            </w:tcBorders>
            <w:noWrap w:val="0"/>
            <w:vAlign w:val="center"/>
          </w:tcPr>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国有资本经营预算支出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eastAsia" w:ascii="华文细黑" w:hAnsi="华文细黑" w:eastAsia="华文细黑" w:cs="华文细黑"/>
                <w:color w:val="000000"/>
                <w:kern w:val="0"/>
                <w:sz w:val="20"/>
              </w:rPr>
              <w:t>单位：万元</w:t>
            </w:r>
          </w:p>
        </w:tc>
      </w:tr>
      <w:tr>
        <w:tblPrEx>
          <w:tblCellMar>
            <w:top w:w="15" w:type="dxa"/>
            <w:left w:w="15" w:type="dxa"/>
            <w:bottom w:w="15" w:type="dxa"/>
            <w:right w:w="15" w:type="dxa"/>
          </w:tblCellMar>
        </w:tblPrEx>
        <w:trPr>
          <w:trHeight w:val="426" w:hRule="atLeast"/>
          <w:jc w:val="center"/>
        </w:trPr>
        <w:tc>
          <w:tcPr>
            <w:tcW w:w="2169"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69"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18" w:hRule="atLeast"/>
          <w:jc w:val="center"/>
        </w:trPr>
        <w:tc>
          <w:tcPr>
            <w:tcW w:w="2169"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69"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7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28" w:hRule="atLeast"/>
          <w:jc w:val="center"/>
        </w:trPr>
        <w:tc>
          <w:tcPr>
            <w:tcW w:w="2169"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69"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28" w:hRule="atLeast"/>
          <w:jc w:val="center"/>
        </w:trPr>
        <w:tc>
          <w:tcPr>
            <w:tcW w:w="216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28" w:hRule="atLeast"/>
          <w:jc w:val="center"/>
        </w:trPr>
        <w:tc>
          <w:tcPr>
            <w:tcW w:w="216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28" w:hRule="atLeast"/>
          <w:jc w:val="center"/>
        </w:trPr>
        <w:tc>
          <w:tcPr>
            <w:tcW w:w="216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28" w:hRule="atLeast"/>
          <w:jc w:val="center"/>
        </w:trPr>
        <w:tc>
          <w:tcPr>
            <w:tcW w:w="2169"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28" w:hRule="atLeast"/>
          <w:jc w:val="center"/>
        </w:trPr>
        <w:tc>
          <w:tcPr>
            <w:tcW w:w="2169"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28" w:hRule="atLeast"/>
          <w:jc w:val="center"/>
        </w:trPr>
        <w:tc>
          <w:tcPr>
            <w:tcW w:w="216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28" w:hRule="atLeast"/>
          <w:jc w:val="center"/>
        </w:trPr>
        <w:tc>
          <w:tcPr>
            <w:tcW w:w="216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38" w:hRule="atLeast"/>
          <w:jc w:val="center"/>
        </w:trPr>
        <w:tc>
          <w:tcPr>
            <w:tcW w:w="216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spacing w:line="700" w:lineRule="exact"/>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ind w:firstLine="640" w:firstLineChars="200"/>
        <w:rPr>
          <w:rFonts w:hint="default" w:ascii="Times New Roman" w:hAnsi="Times New Roman" w:eastAsia="楷体" w:cs="Times New Roman"/>
          <w:kern w:val="0"/>
          <w:szCs w:val="32"/>
        </w:rPr>
      </w:pPr>
    </w:p>
    <w:p>
      <w:pPr>
        <w:ind w:firstLine="640" w:firstLineChars="200"/>
        <w:rPr>
          <w:rFonts w:hint="default" w:ascii="Times New Roman" w:hAnsi="Times New Roman" w:eastAsia="楷体" w:cs="Times New Roman"/>
          <w:kern w:val="0"/>
          <w:szCs w:val="32"/>
        </w:rPr>
      </w:pPr>
    </w:p>
    <w:p>
      <w:pPr>
        <w:ind w:firstLine="640" w:firstLineChars="200"/>
        <w:rPr>
          <w:rFonts w:hint="default" w:ascii="Times New Roman" w:hAnsi="Times New Roman" w:eastAsia="楷体" w:cs="Times New Roman"/>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rPr>
          <w:rFonts w:hint="default" w:ascii="Times New Roman" w:hAnsi="Times New Roman" w:eastAsia="楷体" w:cs="Times New Roman"/>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35"/>
        <w:gridCol w:w="478"/>
        <w:gridCol w:w="392"/>
        <w:gridCol w:w="810"/>
        <w:gridCol w:w="761"/>
        <w:gridCol w:w="792"/>
        <w:gridCol w:w="408"/>
        <w:gridCol w:w="500"/>
        <w:gridCol w:w="442"/>
        <w:gridCol w:w="383"/>
        <w:gridCol w:w="658"/>
        <w:gridCol w:w="459"/>
        <w:gridCol w:w="408"/>
        <w:gridCol w:w="400"/>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676" w:type="dxa"/>
            <w:gridSpan w:val="16"/>
            <w:tcBorders>
              <w:top w:val="nil"/>
              <w:left w:val="nil"/>
              <w:bottom w:val="nil"/>
              <w:right w:val="nil"/>
            </w:tcBorders>
            <w:noWrap w:val="0"/>
            <w:vAlign w:val="center"/>
          </w:tcPr>
          <w:p>
            <w:pPr>
              <w:widowControl/>
              <w:jc w:val="center"/>
              <w:rPr>
                <w:rFonts w:hint="default" w:ascii="Times New Roman" w:hAnsi="Times New Roman" w:eastAsia="华文细黑" w:cs="Times New Roman"/>
                <w:color w:val="000000"/>
                <w:sz w:val="20"/>
                <w:szCs w:val="22"/>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26"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1213" w:type="dxa"/>
            <w:gridSpan w:val="2"/>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392"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810"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761"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2525" w:type="dxa"/>
            <w:gridSpan w:val="5"/>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2349" w:type="dxa"/>
            <w:gridSpan w:val="5"/>
            <w:tcBorders>
              <w:top w:val="nil"/>
              <w:left w:val="nil"/>
              <w:right w:val="nil"/>
            </w:tcBorders>
            <w:noWrap w:val="0"/>
            <w:vAlign w:val="bottom"/>
          </w:tcPr>
          <w:p>
            <w:pPr>
              <w:autoSpaceDN w:val="0"/>
              <w:jc w:val="right"/>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6"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类型</w:t>
            </w:r>
          </w:p>
        </w:tc>
        <w:tc>
          <w:tcPr>
            <w:tcW w:w="1605" w:type="dxa"/>
            <w:gridSpan w:val="3"/>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项目名称</w:t>
            </w:r>
          </w:p>
        </w:tc>
        <w:tc>
          <w:tcPr>
            <w:tcW w:w="810" w:type="dxa"/>
            <w:vMerge w:val="restart"/>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单位名称</w:t>
            </w:r>
          </w:p>
        </w:tc>
        <w:tc>
          <w:tcPr>
            <w:tcW w:w="761"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2525" w:type="dxa"/>
            <w:gridSpan w:val="5"/>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本年预算</w:t>
            </w:r>
          </w:p>
        </w:tc>
        <w:tc>
          <w:tcPr>
            <w:tcW w:w="2349" w:type="dxa"/>
            <w:gridSpan w:val="5"/>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26"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735"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一级项目</w:t>
            </w:r>
          </w:p>
        </w:tc>
        <w:tc>
          <w:tcPr>
            <w:tcW w:w="870" w:type="dxa"/>
            <w:gridSpan w:val="2"/>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二级</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rPr>
              <w:t>项目</w:t>
            </w:r>
          </w:p>
        </w:tc>
        <w:tc>
          <w:tcPr>
            <w:tcW w:w="81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0"/>
                <w:lang w:eastAsia="zh-CN"/>
              </w:rPr>
            </w:pPr>
          </w:p>
        </w:tc>
        <w:tc>
          <w:tcPr>
            <w:tcW w:w="761"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1700" w:type="dxa"/>
            <w:gridSpan w:val="3"/>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财政拨款</w:t>
            </w:r>
          </w:p>
        </w:tc>
        <w:tc>
          <w:tcPr>
            <w:tcW w:w="442"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财政专户管理资金</w:t>
            </w:r>
          </w:p>
        </w:tc>
        <w:tc>
          <w:tcPr>
            <w:tcW w:w="383" w:type="dxa"/>
            <w:vMerge w:val="restart"/>
            <w:noWrap w:val="0"/>
            <w:textDirection w:val="tbLrV"/>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单位资金</w:t>
            </w:r>
          </w:p>
        </w:tc>
        <w:tc>
          <w:tcPr>
            <w:tcW w:w="1525" w:type="dxa"/>
            <w:gridSpan w:val="3"/>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财政拨款结转</w:t>
            </w:r>
          </w:p>
        </w:tc>
        <w:tc>
          <w:tcPr>
            <w:tcW w:w="824"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626"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735"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870" w:type="dxa"/>
            <w:gridSpan w:val="2"/>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810"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761"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792"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一般公共预算</w:t>
            </w:r>
          </w:p>
        </w:tc>
        <w:tc>
          <w:tcPr>
            <w:tcW w:w="408"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政府性</w:t>
            </w:r>
          </w:p>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基金</w:t>
            </w:r>
          </w:p>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预算</w:t>
            </w:r>
          </w:p>
        </w:tc>
        <w:tc>
          <w:tcPr>
            <w:tcW w:w="500" w:type="dxa"/>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国有资本经营预算</w:t>
            </w:r>
          </w:p>
        </w:tc>
        <w:tc>
          <w:tcPr>
            <w:tcW w:w="442"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0"/>
                <w:lang w:eastAsia="zh-CN"/>
              </w:rPr>
            </w:pPr>
          </w:p>
        </w:tc>
        <w:tc>
          <w:tcPr>
            <w:tcW w:w="383"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0"/>
              </w:rPr>
            </w:pPr>
          </w:p>
        </w:tc>
        <w:tc>
          <w:tcPr>
            <w:tcW w:w="658"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一般</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公共</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459"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基金</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408"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国有资本经营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400"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财政专户管理资金</w:t>
            </w:r>
          </w:p>
        </w:tc>
        <w:tc>
          <w:tcPr>
            <w:tcW w:w="424"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6"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专项业务支出</w:t>
            </w:r>
          </w:p>
        </w:tc>
        <w:tc>
          <w:tcPr>
            <w:tcW w:w="735" w:type="dxa"/>
            <w:noWrap w:val="0"/>
            <w:vAlign w:val="center"/>
          </w:tcPr>
          <w:p>
            <w:pPr>
              <w:jc w:val="center"/>
              <w:rPr>
                <w:rFonts w:hint="eastAsia" w:ascii="宋体" w:hAnsi="宋体" w:eastAsia="宋体" w:cs="宋体"/>
                <w:kern w:val="0"/>
                <w:sz w:val="20"/>
                <w:szCs w:val="20"/>
              </w:rPr>
            </w:pPr>
          </w:p>
        </w:tc>
        <w:tc>
          <w:tcPr>
            <w:tcW w:w="870" w:type="dxa"/>
            <w:gridSpan w:val="2"/>
            <w:noWrap w:val="0"/>
            <w:vAlign w:val="center"/>
          </w:tcPr>
          <w:p>
            <w:pPr>
              <w:jc w:val="center"/>
              <w:rPr>
                <w:rFonts w:hint="eastAsia" w:ascii="宋体" w:hAnsi="宋体" w:eastAsia="宋体" w:cs="宋体"/>
                <w:kern w:val="0"/>
                <w:sz w:val="20"/>
                <w:szCs w:val="20"/>
              </w:rPr>
            </w:pPr>
          </w:p>
        </w:tc>
        <w:tc>
          <w:tcPr>
            <w:tcW w:w="810" w:type="dxa"/>
            <w:noWrap w:val="0"/>
            <w:vAlign w:val="center"/>
          </w:tcPr>
          <w:p>
            <w:pPr>
              <w:jc w:val="center"/>
              <w:rPr>
                <w:rFonts w:hint="eastAsia" w:ascii="宋体" w:hAnsi="宋体" w:eastAsia="宋体" w:cs="宋体"/>
                <w:kern w:val="0"/>
                <w:sz w:val="20"/>
                <w:szCs w:val="20"/>
              </w:rPr>
            </w:pPr>
          </w:p>
        </w:tc>
        <w:tc>
          <w:tcPr>
            <w:tcW w:w="761"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78.27</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76.72</w:t>
            </w: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500" w:type="dxa"/>
            <w:noWrap w:val="0"/>
            <w:vAlign w:val="center"/>
          </w:tcPr>
          <w:p>
            <w:pPr>
              <w:spacing w:line="700" w:lineRule="exact"/>
              <w:jc w:val="center"/>
              <w:rPr>
                <w:rFonts w:hint="eastAsia" w:ascii="宋体" w:hAnsi="宋体" w:eastAsia="宋体" w:cs="宋体"/>
                <w:kern w:val="0"/>
                <w:sz w:val="20"/>
                <w:szCs w:val="20"/>
              </w:rPr>
            </w:pPr>
          </w:p>
        </w:tc>
        <w:tc>
          <w:tcPr>
            <w:tcW w:w="442" w:type="dxa"/>
            <w:noWrap w:val="0"/>
            <w:vAlign w:val="center"/>
          </w:tcPr>
          <w:p>
            <w:pPr>
              <w:spacing w:line="700" w:lineRule="exact"/>
              <w:jc w:val="center"/>
              <w:rPr>
                <w:rFonts w:hint="eastAsia" w:ascii="宋体" w:hAnsi="宋体" w:eastAsia="宋体" w:cs="宋体"/>
                <w:kern w:val="0"/>
                <w:sz w:val="20"/>
                <w:szCs w:val="20"/>
              </w:rPr>
            </w:pPr>
          </w:p>
        </w:tc>
        <w:tc>
          <w:tcPr>
            <w:tcW w:w="383" w:type="dxa"/>
            <w:noWrap w:val="0"/>
            <w:vAlign w:val="center"/>
          </w:tcPr>
          <w:p>
            <w:pPr>
              <w:spacing w:line="700" w:lineRule="exact"/>
              <w:jc w:val="center"/>
              <w:rPr>
                <w:rFonts w:hint="eastAsia" w:ascii="宋体" w:hAnsi="宋体" w:eastAsia="宋体" w:cs="宋体"/>
                <w:kern w:val="0"/>
                <w:sz w:val="20"/>
                <w:szCs w:val="20"/>
              </w:rPr>
            </w:pPr>
          </w:p>
        </w:tc>
        <w:tc>
          <w:tcPr>
            <w:tcW w:w="658"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1.55</w:t>
            </w:r>
          </w:p>
        </w:tc>
        <w:tc>
          <w:tcPr>
            <w:tcW w:w="459" w:type="dxa"/>
            <w:noWrap w:val="0"/>
            <w:vAlign w:val="center"/>
          </w:tcPr>
          <w:p>
            <w:pPr>
              <w:spacing w:line="700" w:lineRule="exact"/>
              <w:jc w:val="center"/>
              <w:rPr>
                <w:rFonts w:hint="eastAsia" w:ascii="宋体" w:hAnsi="宋体" w:eastAsia="宋体" w:cs="宋体"/>
                <w:kern w:val="0"/>
                <w:sz w:val="20"/>
                <w:szCs w:val="20"/>
              </w:rPr>
            </w:pP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400" w:type="dxa"/>
            <w:noWrap w:val="0"/>
            <w:vAlign w:val="center"/>
          </w:tcPr>
          <w:p>
            <w:pPr>
              <w:spacing w:line="700" w:lineRule="exact"/>
              <w:jc w:val="center"/>
              <w:rPr>
                <w:rFonts w:hint="eastAsia" w:ascii="宋体" w:hAnsi="宋体" w:eastAsia="宋体" w:cs="宋体"/>
                <w:kern w:val="0"/>
                <w:sz w:val="20"/>
                <w:szCs w:val="20"/>
              </w:rPr>
            </w:pPr>
          </w:p>
        </w:tc>
        <w:tc>
          <w:tcPr>
            <w:tcW w:w="424"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6" w:type="dxa"/>
            <w:noWrap w:val="0"/>
            <w:vAlign w:val="center"/>
          </w:tcPr>
          <w:p>
            <w:pPr>
              <w:jc w:val="center"/>
              <w:rPr>
                <w:rFonts w:hint="eastAsia" w:ascii="宋体" w:hAnsi="宋体" w:eastAsia="宋体" w:cs="宋体"/>
                <w:kern w:val="0"/>
                <w:sz w:val="20"/>
                <w:szCs w:val="20"/>
              </w:rPr>
            </w:pP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870" w:type="dxa"/>
            <w:gridSpan w:val="2"/>
            <w:noWrap w:val="0"/>
            <w:vAlign w:val="center"/>
          </w:tcPr>
          <w:p>
            <w:pPr>
              <w:jc w:val="center"/>
              <w:rPr>
                <w:rFonts w:hint="eastAsia" w:ascii="宋体" w:hAnsi="宋体" w:eastAsia="宋体" w:cs="宋体"/>
                <w:kern w:val="0"/>
                <w:sz w:val="20"/>
                <w:szCs w:val="20"/>
              </w:rPr>
            </w:pPr>
          </w:p>
        </w:tc>
        <w:tc>
          <w:tcPr>
            <w:tcW w:w="810" w:type="dxa"/>
            <w:noWrap w:val="0"/>
            <w:vAlign w:val="center"/>
          </w:tcPr>
          <w:p>
            <w:pPr>
              <w:jc w:val="center"/>
              <w:rPr>
                <w:rFonts w:hint="eastAsia" w:ascii="宋体" w:hAnsi="宋体" w:eastAsia="宋体" w:cs="宋体"/>
                <w:kern w:val="0"/>
                <w:sz w:val="20"/>
                <w:szCs w:val="20"/>
              </w:rPr>
            </w:pPr>
          </w:p>
        </w:tc>
        <w:tc>
          <w:tcPr>
            <w:tcW w:w="761"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55.71</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55.71</w:t>
            </w: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500" w:type="dxa"/>
            <w:noWrap w:val="0"/>
            <w:vAlign w:val="center"/>
          </w:tcPr>
          <w:p>
            <w:pPr>
              <w:spacing w:line="700" w:lineRule="exact"/>
              <w:jc w:val="center"/>
              <w:rPr>
                <w:rFonts w:hint="eastAsia" w:ascii="宋体" w:hAnsi="宋体" w:eastAsia="宋体" w:cs="宋体"/>
                <w:kern w:val="0"/>
                <w:sz w:val="20"/>
                <w:szCs w:val="20"/>
              </w:rPr>
            </w:pPr>
          </w:p>
        </w:tc>
        <w:tc>
          <w:tcPr>
            <w:tcW w:w="442" w:type="dxa"/>
            <w:noWrap w:val="0"/>
            <w:vAlign w:val="center"/>
          </w:tcPr>
          <w:p>
            <w:pPr>
              <w:spacing w:line="700" w:lineRule="exact"/>
              <w:jc w:val="center"/>
              <w:rPr>
                <w:rFonts w:hint="eastAsia" w:ascii="宋体" w:hAnsi="宋体" w:eastAsia="宋体" w:cs="宋体"/>
                <w:kern w:val="0"/>
                <w:sz w:val="20"/>
                <w:szCs w:val="20"/>
              </w:rPr>
            </w:pPr>
          </w:p>
        </w:tc>
        <w:tc>
          <w:tcPr>
            <w:tcW w:w="383" w:type="dxa"/>
            <w:noWrap w:val="0"/>
            <w:vAlign w:val="center"/>
          </w:tcPr>
          <w:p>
            <w:pPr>
              <w:spacing w:line="700" w:lineRule="exact"/>
              <w:jc w:val="center"/>
              <w:rPr>
                <w:rFonts w:hint="eastAsia" w:ascii="宋体" w:hAnsi="宋体" w:eastAsia="宋体" w:cs="宋体"/>
                <w:kern w:val="0"/>
                <w:sz w:val="20"/>
                <w:szCs w:val="20"/>
              </w:rPr>
            </w:pPr>
          </w:p>
        </w:tc>
        <w:tc>
          <w:tcPr>
            <w:tcW w:w="658" w:type="dxa"/>
            <w:noWrap w:val="0"/>
            <w:vAlign w:val="center"/>
          </w:tcPr>
          <w:p>
            <w:pPr>
              <w:jc w:val="center"/>
              <w:rPr>
                <w:rFonts w:hint="eastAsia" w:ascii="宋体" w:hAnsi="宋体" w:eastAsia="宋体" w:cs="宋体"/>
                <w:kern w:val="0"/>
                <w:sz w:val="20"/>
                <w:szCs w:val="20"/>
              </w:rPr>
            </w:pPr>
          </w:p>
        </w:tc>
        <w:tc>
          <w:tcPr>
            <w:tcW w:w="459" w:type="dxa"/>
            <w:noWrap w:val="0"/>
            <w:vAlign w:val="center"/>
          </w:tcPr>
          <w:p>
            <w:pPr>
              <w:spacing w:line="700" w:lineRule="exact"/>
              <w:jc w:val="center"/>
              <w:rPr>
                <w:rFonts w:hint="eastAsia" w:ascii="宋体" w:hAnsi="宋体" w:eastAsia="宋体" w:cs="宋体"/>
                <w:kern w:val="0"/>
                <w:sz w:val="20"/>
                <w:szCs w:val="20"/>
              </w:rPr>
            </w:pP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400" w:type="dxa"/>
            <w:noWrap w:val="0"/>
            <w:vAlign w:val="center"/>
          </w:tcPr>
          <w:p>
            <w:pPr>
              <w:spacing w:line="700" w:lineRule="exact"/>
              <w:jc w:val="center"/>
              <w:rPr>
                <w:rFonts w:hint="eastAsia" w:ascii="宋体" w:hAnsi="宋体" w:eastAsia="宋体" w:cs="宋体"/>
                <w:kern w:val="0"/>
                <w:sz w:val="20"/>
                <w:szCs w:val="20"/>
              </w:rPr>
            </w:pPr>
          </w:p>
        </w:tc>
        <w:tc>
          <w:tcPr>
            <w:tcW w:w="424"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6" w:type="dxa"/>
            <w:noWrap w:val="0"/>
            <w:vAlign w:val="center"/>
          </w:tcPr>
          <w:p>
            <w:pPr>
              <w:jc w:val="center"/>
              <w:rPr>
                <w:rFonts w:hint="eastAsia" w:ascii="宋体" w:hAnsi="宋体" w:eastAsia="宋体" w:cs="宋体"/>
                <w:kern w:val="0"/>
                <w:sz w:val="20"/>
                <w:szCs w:val="20"/>
              </w:rPr>
            </w:pPr>
          </w:p>
        </w:tc>
        <w:tc>
          <w:tcPr>
            <w:tcW w:w="735" w:type="dxa"/>
            <w:noWrap w:val="0"/>
            <w:vAlign w:val="center"/>
          </w:tcPr>
          <w:p>
            <w:pPr>
              <w:jc w:val="center"/>
              <w:rPr>
                <w:rFonts w:hint="eastAsia" w:ascii="宋体" w:hAnsi="宋体" w:eastAsia="宋体" w:cs="宋体"/>
                <w:kern w:val="0"/>
                <w:sz w:val="20"/>
                <w:szCs w:val="20"/>
              </w:rPr>
            </w:pPr>
          </w:p>
        </w:tc>
        <w:tc>
          <w:tcPr>
            <w:tcW w:w="870"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第五次全国经济普查经费</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伊通满族自治县统计局</w:t>
            </w:r>
          </w:p>
        </w:tc>
        <w:tc>
          <w:tcPr>
            <w:tcW w:w="761"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55.71</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55.71</w:t>
            </w: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500" w:type="dxa"/>
            <w:noWrap w:val="0"/>
            <w:vAlign w:val="center"/>
          </w:tcPr>
          <w:p>
            <w:pPr>
              <w:spacing w:line="700" w:lineRule="exact"/>
              <w:jc w:val="center"/>
              <w:rPr>
                <w:rFonts w:hint="eastAsia" w:ascii="宋体" w:hAnsi="宋体" w:eastAsia="宋体" w:cs="宋体"/>
                <w:kern w:val="0"/>
                <w:sz w:val="20"/>
                <w:szCs w:val="20"/>
              </w:rPr>
            </w:pPr>
          </w:p>
        </w:tc>
        <w:tc>
          <w:tcPr>
            <w:tcW w:w="442" w:type="dxa"/>
            <w:noWrap w:val="0"/>
            <w:vAlign w:val="center"/>
          </w:tcPr>
          <w:p>
            <w:pPr>
              <w:spacing w:line="700" w:lineRule="exact"/>
              <w:jc w:val="center"/>
              <w:rPr>
                <w:rFonts w:hint="eastAsia" w:ascii="宋体" w:hAnsi="宋体" w:eastAsia="宋体" w:cs="宋体"/>
                <w:kern w:val="0"/>
                <w:sz w:val="20"/>
                <w:szCs w:val="20"/>
              </w:rPr>
            </w:pPr>
          </w:p>
        </w:tc>
        <w:tc>
          <w:tcPr>
            <w:tcW w:w="383" w:type="dxa"/>
            <w:noWrap w:val="0"/>
            <w:vAlign w:val="center"/>
          </w:tcPr>
          <w:p>
            <w:pPr>
              <w:spacing w:line="700" w:lineRule="exact"/>
              <w:jc w:val="center"/>
              <w:rPr>
                <w:rFonts w:hint="eastAsia" w:ascii="宋体" w:hAnsi="宋体" w:eastAsia="宋体" w:cs="宋体"/>
                <w:kern w:val="0"/>
                <w:sz w:val="20"/>
                <w:szCs w:val="20"/>
              </w:rPr>
            </w:pPr>
          </w:p>
        </w:tc>
        <w:tc>
          <w:tcPr>
            <w:tcW w:w="658" w:type="dxa"/>
            <w:noWrap w:val="0"/>
            <w:vAlign w:val="center"/>
          </w:tcPr>
          <w:p>
            <w:pPr>
              <w:jc w:val="center"/>
              <w:rPr>
                <w:rFonts w:hint="eastAsia" w:ascii="宋体" w:hAnsi="宋体" w:eastAsia="宋体" w:cs="宋体"/>
                <w:kern w:val="0"/>
                <w:sz w:val="20"/>
                <w:szCs w:val="20"/>
              </w:rPr>
            </w:pPr>
          </w:p>
        </w:tc>
        <w:tc>
          <w:tcPr>
            <w:tcW w:w="459" w:type="dxa"/>
            <w:noWrap w:val="0"/>
            <w:vAlign w:val="center"/>
          </w:tcPr>
          <w:p>
            <w:pPr>
              <w:spacing w:line="700" w:lineRule="exact"/>
              <w:jc w:val="center"/>
              <w:rPr>
                <w:rFonts w:hint="eastAsia" w:ascii="宋体" w:hAnsi="宋体" w:eastAsia="宋体" w:cs="宋体"/>
                <w:kern w:val="0"/>
                <w:sz w:val="20"/>
                <w:szCs w:val="20"/>
              </w:rPr>
            </w:pP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400" w:type="dxa"/>
            <w:noWrap w:val="0"/>
            <w:vAlign w:val="center"/>
          </w:tcPr>
          <w:p>
            <w:pPr>
              <w:spacing w:line="700" w:lineRule="exact"/>
              <w:jc w:val="center"/>
              <w:rPr>
                <w:rFonts w:hint="eastAsia" w:ascii="宋体" w:hAnsi="宋体" w:eastAsia="宋体" w:cs="宋体"/>
                <w:kern w:val="0"/>
                <w:sz w:val="20"/>
                <w:szCs w:val="20"/>
              </w:rPr>
            </w:pPr>
          </w:p>
        </w:tc>
        <w:tc>
          <w:tcPr>
            <w:tcW w:w="424"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6" w:type="dxa"/>
            <w:noWrap w:val="0"/>
            <w:vAlign w:val="center"/>
          </w:tcPr>
          <w:p>
            <w:pPr>
              <w:jc w:val="center"/>
              <w:rPr>
                <w:rFonts w:hint="eastAsia" w:ascii="宋体" w:hAnsi="宋体" w:eastAsia="宋体" w:cs="宋体"/>
                <w:kern w:val="0"/>
                <w:sz w:val="20"/>
                <w:szCs w:val="20"/>
              </w:rPr>
            </w:pP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专项统计业务</w:t>
            </w:r>
          </w:p>
        </w:tc>
        <w:tc>
          <w:tcPr>
            <w:tcW w:w="870" w:type="dxa"/>
            <w:gridSpan w:val="2"/>
            <w:noWrap w:val="0"/>
            <w:vAlign w:val="center"/>
          </w:tcPr>
          <w:p>
            <w:pPr>
              <w:jc w:val="center"/>
              <w:rPr>
                <w:rFonts w:hint="eastAsia" w:ascii="宋体" w:hAnsi="宋体" w:eastAsia="宋体" w:cs="宋体"/>
                <w:kern w:val="0"/>
                <w:sz w:val="20"/>
                <w:szCs w:val="20"/>
              </w:rPr>
            </w:pPr>
          </w:p>
        </w:tc>
        <w:tc>
          <w:tcPr>
            <w:tcW w:w="810" w:type="dxa"/>
            <w:noWrap w:val="0"/>
            <w:vAlign w:val="center"/>
          </w:tcPr>
          <w:p>
            <w:pPr>
              <w:jc w:val="center"/>
              <w:rPr>
                <w:rFonts w:hint="eastAsia" w:ascii="宋体" w:hAnsi="宋体" w:eastAsia="宋体" w:cs="宋体"/>
                <w:kern w:val="0"/>
                <w:sz w:val="20"/>
                <w:szCs w:val="20"/>
              </w:rPr>
            </w:pPr>
          </w:p>
        </w:tc>
        <w:tc>
          <w:tcPr>
            <w:tcW w:w="761"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22.56</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21.01</w:t>
            </w: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500" w:type="dxa"/>
            <w:noWrap w:val="0"/>
            <w:vAlign w:val="center"/>
          </w:tcPr>
          <w:p>
            <w:pPr>
              <w:spacing w:line="700" w:lineRule="exact"/>
              <w:jc w:val="center"/>
              <w:rPr>
                <w:rFonts w:hint="eastAsia" w:ascii="宋体" w:hAnsi="宋体" w:eastAsia="宋体" w:cs="宋体"/>
                <w:kern w:val="0"/>
                <w:sz w:val="20"/>
                <w:szCs w:val="20"/>
              </w:rPr>
            </w:pPr>
          </w:p>
        </w:tc>
        <w:tc>
          <w:tcPr>
            <w:tcW w:w="442" w:type="dxa"/>
            <w:noWrap w:val="0"/>
            <w:vAlign w:val="center"/>
          </w:tcPr>
          <w:p>
            <w:pPr>
              <w:spacing w:line="700" w:lineRule="exact"/>
              <w:jc w:val="center"/>
              <w:rPr>
                <w:rFonts w:hint="eastAsia" w:ascii="宋体" w:hAnsi="宋体" w:eastAsia="宋体" w:cs="宋体"/>
                <w:kern w:val="0"/>
                <w:sz w:val="20"/>
                <w:szCs w:val="20"/>
              </w:rPr>
            </w:pPr>
          </w:p>
        </w:tc>
        <w:tc>
          <w:tcPr>
            <w:tcW w:w="383" w:type="dxa"/>
            <w:noWrap w:val="0"/>
            <w:vAlign w:val="center"/>
          </w:tcPr>
          <w:p>
            <w:pPr>
              <w:spacing w:line="700" w:lineRule="exact"/>
              <w:jc w:val="center"/>
              <w:rPr>
                <w:rFonts w:hint="eastAsia" w:ascii="宋体" w:hAnsi="宋体" w:eastAsia="宋体" w:cs="宋体"/>
                <w:kern w:val="0"/>
                <w:sz w:val="20"/>
                <w:szCs w:val="20"/>
              </w:rPr>
            </w:pPr>
          </w:p>
        </w:tc>
        <w:tc>
          <w:tcPr>
            <w:tcW w:w="658"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1.55</w:t>
            </w:r>
          </w:p>
        </w:tc>
        <w:tc>
          <w:tcPr>
            <w:tcW w:w="459" w:type="dxa"/>
            <w:noWrap w:val="0"/>
            <w:vAlign w:val="center"/>
          </w:tcPr>
          <w:p>
            <w:pPr>
              <w:spacing w:line="700" w:lineRule="exact"/>
              <w:jc w:val="center"/>
              <w:rPr>
                <w:rFonts w:hint="eastAsia" w:ascii="宋体" w:hAnsi="宋体" w:eastAsia="宋体" w:cs="宋体"/>
                <w:kern w:val="0"/>
                <w:sz w:val="20"/>
                <w:szCs w:val="20"/>
              </w:rPr>
            </w:pP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400" w:type="dxa"/>
            <w:noWrap w:val="0"/>
            <w:vAlign w:val="center"/>
          </w:tcPr>
          <w:p>
            <w:pPr>
              <w:spacing w:line="700" w:lineRule="exact"/>
              <w:jc w:val="center"/>
              <w:rPr>
                <w:rFonts w:hint="eastAsia" w:ascii="宋体" w:hAnsi="宋体" w:eastAsia="宋体" w:cs="宋体"/>
                <w:kern w:val="0"/>
                <w:sz w:val="20"/>
                <w:szCs w:val="20"/>
              </w:rPr>
            </w:pPr>
          </w:p>
        </w:tc>
        <w:tc>
          <w:tcPr>
            <w:tcW w:w="424"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6" w:type="dxa"/>
            <w:noWrap w:val="0"/>
            <w:vAlign w:val="center"/>
          </w:tcPr>
          <w:p>
            <w:pPr>
              <w:autoSpaceDN w:val="0"/>
              <w:jc w:val="center"/>
              <w:textAlignment w:val="center"/>
              <w:rPr>
                <w:rFonts w:hint="eastAsia" w:ascii="宋体" w:hAnsi="宋体" w:eastAsia="宋体" w:cs="宋体"/>
                <w:color w:val="000000"/>
                <w:sz w:val="20"/>
                <w:szCs w:val="20"/>
              </w:rPr>
            </w:pPr>
          </w:p>
        </w:tc>
        <w:tc>
          <w:tcPr>
            <w:tcW w:w="735" w:type="dxa"/>
            <w:noWrap w:val="0"/>
            <w:vAlign w:val="center"/>
          </w:tcPr>
          <w:p>
            <w:pPr>
              <w:autoSpaceDN w:val="0"/>
              <w:jc w:val="center"/>
              <w:textAlignment w:val="center"/>
              <w:rPr>
                <w:rFonts w:hint="eastAsia" w:ascii="宋体" w:hAnsi="宋体" w:eastAsia="宋体" w:cs="宋体"/>
                <w:color w:val="000000"/>
                <w:sz w:val="20"/>
                <w:szCs w:val="20"/>
              </w:rPr>
            </w:pPr>
          </w:p>
        </w:tc>
        <w:tc>
          <w:tcPr>
            <w:tcW w:w="870"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统计调查经费</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伊通满族自治县统计局</w:t>
            </w:r>
          </w:p>
        </w:tc>
        <w:tc>
          <w:tcPr>
            <w:tcW w:w="761"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22.56</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21.01</w:t>
            </w: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500" w:type="dxa"/>
            <w:noWrap w:val="0"/>
            <w:vAlign w:val="center"/>
          </w:tcPr>
          <w:p>
            <w:pPr>
              <w:spacing w:line="700" w:lineRule="exact"/>
              <w:jc w:val="center"/>
              <w:rPr>
                <w:rFonts w:hint="eastAsia" w:ascii="宋体" w:hAnsi="宋体" w:eastAsia="宋体" w:cs="宋体"/>
                <w:kern w:val="0"/>
                <w:sz w:val="20"/>
                <w:szCs w:val="20"/>
              </w:rPr>
            </w:pPr>
          </w:p>
        </w:tc>
        <w:tc>
          <w:tcPr>
            <w:tcW w:w="442" w:type="dxa"/>
            <w:noWrap w:val="0"/>
            <w:vAlign w:val="center"/>
          </w:tcPr>
          <w:p>
            <w:pPr>
              <w:spacing w:line="700" w:lineRule="exact"/>
              <w:jc w:val="center"/>
              <w:rPr>
                <w:rFonts w:hint="eastAsia" w:ascii="宋体" w:hAnsi="宋体" w:eastAsia="宋体" w:cs="宋体"/>
                <w:kern w:val="0"/>
                <w:sz w:val="20"/>
                <w:szCs w:val="20"/>
              </w:rPr>
            </w:pPr>
          </w:p>
        </w:tc>
        <w:tc>
          <w:tcPr>
            <w:tcW w:w="383" w:type="dxa"/>
            <w:noWrap w:val="0"/>
            <w:vAlign w:val="center"/>
          </w:tcPr>
          <w:p>
            <w:pPr>
              <w:spacing w:line="700" w:lineRule="exact"/>
              <w:jc w:val="center"/>
              <w:rPr>
                <w:rFonts w:hint="eastAsia" w:ascii="宋体" w:hAnsi="宋体" w:eastAsia="宋体" w:cs="宋体"/>
                <w:kern w:val="0"/>
                <w:sz w:val="20"/>
                <w:szCs w:val="20"/>
              </w:rPr>
            </w:pPr>
          </w:p>
        </w:tc>
        <w:tc>
          <w:tcPr>
            <w:tcW w:w="658"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1.55</w:t>
            </w:r>
          </w:p>
        </w:tc>
        <w:tc>
          <w:tcPr>
            <w:tcW w:w="459" w:type="dxa"/>
            <w:noWrap w:val="0"/>
            <w:vAlign w:val="center"/>
          </w:tcPr>
          <w:p>
            <w:pPr>
              <w:spacing w:line="700" w:lineRule="exact"/>
              <w:jc w:val="center"/>
              <w:rPr>
                <w:rFonts w:hint="eastAsia" w:ascii="宋体" w:hAnsi="宋体" w:eastAsia="宋体" w:cs="宋体"/>
                <w:kern w:val="0"/>
                <w:sz w:val="20"/>
                <w:szCs w:val="20"/>
              </w:rPr>
            </w:pP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400" w:type="dxa"/>
            <w:noWrap w:val="0"/>
            <w:vAlign w:val="center"/>
          </w:tcPr>
          <w:p>
            <w:pPr>
              <w:spacing w:line="700" w:lineRule="exact"/>
              <w:jc w:val="center"/>
              <w:rPr>
                <w:rFonts w:hint="eastAsia" w:ascii="宋体" w:hAnsi="宋体" w:eastAsia="宋体" w:cs="宋体"/>
                <w:kern w:val="0"/>
                <w:sz w:val="20"/>
                <w:szCs w:val="20"/>
              </w:rPr>
            </w:pPr>
          </w:p>
        </w:tc>
        <w:tc>
          <w:tcPr>
            <w:tcW w:w="424"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6"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735" w:type="dxa"/>
            <w:noWrap w:val="0"/>
            <w:vAlign w:val="center"/>
          </w:tcPr>
          <w:p>
            <w:pPr>
              <w:autoSpaceDN w:val="0"/>
              <w:jc w:val="center"/>
              <w:textAlignment w:val="center"/>
              <w:rPr>
                <w:rFonts w:hint="eastAsia" w:ascii="宋体" w:hAnsi="宋体" w:eastAsia="宋体" w:cs="宋体"/>
                <w:color w:val="000000"/>
                <w:sz w:val="20"/>
                <w:szCs w:val="20"/>
              </w:rPr>
            </w:pPr>
          </w:p>
        </w:tc>
        <w:tc>
          <w:tcPr>
            <w:tcW w:w="870" w:type="dxa"/>
            <w:gridSpan w:val="2"/>
            <w:noWrap w:val="0"/>
            <w:vAlign w:val="center"/>
          </w:tcPr>
          <w:p>
            <w:pPr>
              <w:spacing w:line="700" w:lineRule="exact"/>
              <w:jc w:val="center"/>
              <w:rPr>
                <w:rFonts w:hint="eastAsia" w:ascii="宋体" w:hAnsi="宋体" w:eastAsia="宋体" w:cs="宋体"/>
                <w:kern w:val="0"/>
                <w:sz w:val="20"/>
                <w:szCs w:val="20"/>
              </w:rPr>
            </w:pPr>
          </w:p>
        </w:tc>
        <w:tc>
          <w:tcPr>
            <w:tcW w:w="810" w:type="dxa"/>
            <w:noWrap w:val="0"/>
            <w:vAlign w:val="center"/>
          </w:tcPr>
          <w:p>
            <w:pPr>
              <w:spacing w:line="700" w:lineRule="exact"/>
              <w:jc w:val="center"/>
              <w:rPr>
                <w:rFonts w:hint="eastAsia" w:ascii="宋体" w:hAnsi="宋体" w:eastAsia="宋体" w:cs="宋体"/>
                <w:kern w:val="0"/>
                <w:sz w:val="20"/>
                <w:szCs w:val="20"/>
              </w:rPr>
            </w:pPr>
          </w:p>
        </w:tc>
        <w:tc>
          <w:tcPr>
            <w:tcW w:w="7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78.27</w:t>
            </w:r>
          </w:p>
        </w:tc>
        <w:tc>
          <w:tcPr>
            <w:tcW w:w="7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76.72</w:t>
            </w: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500" w:type="dxa"/>
            <w:noWrap w:val="0"/>
            <w:vAlign w:val="center"/>
          </w:tcPr>
          <w:p>
            <w:pPr>
              <w:spacing w:line="700" w:lineRule="exact"/>
              <w:jc w:val="center"/>
              <w:rPr>
                <w:rFonts w:hint="eastAsia" w:ascii="宋体" w:hAnsi="宋体" w:eastAsia="宋体" w:cs="宋体"/>
                <w:kern w:val="0"/>
                <w:sz w:val="20"/>
                <w:szCs w:val="20"/>
              </w:rPr>
            </w:pPr>
          </w:p>
        </w:tc>
        <w:tc>
          <w:tcPr>
            <w:tcW w:w="442" w:type="dxa"/>
            <w:noWrap w:val="0"/>
            <w:vAlign w:val="center"/>
          </w:tcPr>
          <w:p>
            <w:pPr>
              <w:spacing w:line="700" w:lineRule="exact"/>
              <w:jc w:val="center"/>
              <w:rPr>
                <w:rFonts w:hint="eastAsia" w:ascii="宋体" w:hAnsi="宋体" w:eastAsia="宋体" w:cs="宋体"/>
                <w:kern w:val="0"/>
                <w:sz w:val="20"/>
                <w:szCs w:val="20"/>
              </w:rPr>
            </w:pPr>
          </w:p>
        </w:tc>
        <w:tc>
          <w:tcPr>
            <w:tcW w:w="383" w:type="dxa"/>
            <w:noWrap w:val="0"/>
            <w:vAlign w:val="center"/>
          </w:tcPr>
          <w:p>
            <w:pPr>
              <w:spacing w:line="700" w:lineRule="exact"/>
              <w:jc w:val="center"/>
              <w:rPr>
                <w:rFonts w:hint="eastAsia" w:ascii="宋体" w:hAnsi="宋体" w:eastAsia="宋体" w:cs="宋体"/>
                <w:kern w:val="0"/>
                <w:sz w:val="20"/>
                <w:szCs w:val="20"/>
              </w:rPr>
            </w:pPr>
          </w:p>
        </w:tc>
        <w:tc>
          <w:tcPr>
            <w:tcW w:w="6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w:t>
            </w:r>
          </w:p>
        </w:tc>
        <w:tc>
          <w:tcPr>
            <w:tcW w:w="459" w:type="dxa"/>
            <w:noWrap w:val="0"/>
            <w:vAlign w:val="center"/>
          </w:tcPr>
          <w:p>
            <w:pPr>
              <w:spacing w:line="700" w:lineRule="exact"/>
              <w:jc w:val="center"/>
              <w:rPr>
                <w:rFonts w:hint="eastAsia" w:ascii="宋体" w:hAnsi="宋体" w:eastAsia="宋体" w:cs="宋体"/>
                <w:kern w:val="0"/>
                <w:sz w:val="20"/>
                <w:szCs w:val="20"/>
              </w:rPr>
            </w:pPr>
          </w:p>
        </w:tc>
        <w:tc>
          <w:tcPr>
            <w:tcW w:w="408" w:type="dxa"/>
            <w:noWrap w:val="0"/>
            <w:vAlign w:val="center"/>
          </w:tcPr>
          <w:p>
            <w:pPr>
              <w:spacing w:line="700" w:lineRule="exact"/>
              <w:jc w:val="center"/>
              <w:rPr>
                <w:rFonts w:hint="eastAsia" w:ascii="宋体" w:hAnsi="宋体" w:eastAsia="宋体" w:cs="宋体"/>
                <w:kern w:val="0"/>
                <w:sz w:val="20"/>
                <w:szCs w:val="20"/>
              </w:rPr>
            </w:pPr>
          </w:p>
        </w:tc>
        <w:tc>
          <w:tcPr>
            <w:tcW w:w="400" w:type="dxa"/>
            <w:noWrap w:val="0"/>
            <w:vAlign w:val="center"/>
          </w:tcPr>
          <w:p>
            <w:pPr>
              <w:spacing w:line="700" w:lineRule="exact"/>
              <w:jc w:val="center"/>
              <w:rPr>
                <w:rFonts w:hint="eastAsia" w:ascii="宋体" w:hAnsi="宋体" w:eastAsia="宋体" w:cs="宋体"/>
                <w:kern w:val="0"/>
                <w:sz w:val="20"/>
                <w:szCs w:val="20"/>
              </w:rPr>
            </w:pPr>
          </w:p>
        </w:tc>
        <w:tc>
          <w:tcPr>
            <w:tcW w:w="424" w:type="dxa"/>
            <w:noWrap w:val="0"/>
            <w:vAlign w:val="center"/>
          </w:tcPr>
          <w:p>
            <w:pPr>
              <w:spacing w:line="700" w:lineRule="exact"/>
              <w:jc w:val="center"/>
              <w:rPr>
                <w:rFonts w:hint="eastAsia" w:ascii="宋体" w:hAnsi="宋体" w:eastAsia="宋体" w:cs="宋体"/>
                <w:kern w:val="0"/>
                <w:sz w:val="20"/>
                <w:szCs w:val="20"/>
              </w:rPr>
            </w:pPr>
          </w:p>
        </w:tc>
      </w:tr>
    </w:tbl>
    <w:p>
      <w:pPr>
        <w:ind w:firstLine="640" w:firstLineChars="200"/>
        <w:rPr>
          <w:rFonts w:hint="default" w:ascii="Times New Roman" w:hAnsi="Times New Roman" w:eastAsia="楷体" w:cs="Times New Roma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部门</w:t>
            </w:r>
            <w:r>
              <w:rPr>
                <w:rFonts w:hint="eastAsia" w:ascii="宋体" w:hAnsi="宋体" w:eastAsia="宋体" w:cs="宋体"/>
                <w:color w:val="000000"/>
                <w:sz w:val="20"/>
                <w:szCs w:val="20"/>
                <w:lang w:val="en-US" w:eastAsia="zh-CN"/>
              </w:rPr>
              <w:t>/单位/</w:t>
            </w:r>
          </w:p>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部门名称</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rPr>
          <w:rFonts w:hint="default" w:ascii="Times New Roman" w:hAnsi="Times New Roman" w:eastAsia="楷体" w:cs="Times New Roman"/>
        </w:rPr>
      </w:pPr>
      <w:r>
        <w:rPr>
          <w:rFonts w:hint="default" w:ascii="Times New Roman" w:hAnsi="Times New Roman" w:eastAsia="楷体" w:cs="Times New Roman"/>
        </w:rPr>
        <w:br w:type="page"/>
      </w:r>
    </w:p>
    <w:tbl>
      <w:tblPr>
        <w:tblStyle w:val="10"/>
        <w:tblW w:w="9360"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40"/>
        <w:gridCol w:w="865"/>
        <w:gridCol w:w="2220"/>
        <w:gridCol w:w="810"/>
        <w:gridCol w:w="855"/>
        <w:gridCol w:w="1080"/>
        <w:gridCol w:w="1120"/>
        <w:gridCol w:w="96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360" w:type="dxa"/>
            <w:gridSpan w:val="10"/>
            <w:tcBorders>
              <w:top w:val="nil"/>
              <w:left w:val="nil"/>
              <w:bottom w:val="single" w:color="000000" w:sz="4" w:space="0"/>
              <w:right w:val="nil"/>
            </w:tcBorders>
            <w:noWrap w:val="0"/>
            <w:vAlign w:val="top"/>
          </w:tcPr>
          <w:p>
            <w:pPr>
              <w:widowControl/>
              <w:spacing w:line="240" w:lineRule="auto"/>
              <w:jc w:val="center"/>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绩效目标</w:t>
            </w:r>
            <w:r>
              <w:rPr>
                <w:rFonts w:hint="default" w:ascii="Times New Roman" w:hAnsi="Times New Roman" w:eastAsia="方正小标宋简体" w:cs="Times New Roman"/>
                <w:kern w:val="0"/>
                <w:sz w:val="44"/>
                <w:szCs w:val="44"/>
              </w:rPr>
              <w:t>表</w:t>
            </w:r>
          </w:p>
          <w:p>
            <w:pPr>
              <w:spacing w:line="240" w:lineRule="auto"/>
              <w:jc w:val="right"/>
              <w:rPr>
                <w:rFonts w:hint="default" w:ascii="Times New Roman" w:hAnsi="Times New Roman" w:eastAsia="楷体" w:cs="Times New Roman"/>
                <w:kern w:val="0"/>
                <w:szCs w:val="32"/>
                <w:vertAlign w:val="baseline"/>
              </w:rPr>
            </w:pPr>
            <w:r>
              <w:rPr>
                <w:rFonts w:hint="eastAsia" w:ascii="华文细黑" w:hAnsi="华文细黑" w:eastAsia="华文细黑" w:cs="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w:t>
            </w:r>
            <w:r>
              <w:rPr>
                <w:rFonts w:hint="eastAsia" w:ascii="宋体" w:hAnsi="宋体" w:eastAsia="宋体" w:cs="宋体"/>
                <w:kern w:val="0"/>
                <w:sz w:val="20"/>
                <w:szCs w:val="20"/>
                <w:vertAlign w:val="baseline"/>
                <w:lang w:eastAsia="zh-CN"/>
              </w:rPr>
              <w:t>名称</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年度资金总额</w:t>
            </w: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lang w:eastAsia="zh-CN"/>
              </w:rPr>
              <w:t>万元</w:t>
            </w:r>
            <w:r>
              <w:rPr>
                <w:rFonts w:hint="eastAsia" w:ascii="宋体" w:hAnsi="宋体" w:eastAsia="宋体" w:cs="宋体"/>
                <w:kern w:val="0"/>
                <w:sz w:val="20"/>
                <w:szCs w:val="20"/>
                <w:vertAlign w:val="baseli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年度绩效目标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伊通满族自治县统计局</w:t>
            </w:r>
          </w:p>
        </w:tc>
        <w:tc>
          <w:tcPr>
            <w:tcW w:w="44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统计调查经费</w:t>
            </w:r>
          </w:p>
        </w:tc>
        <w:tc>
          <w:tcPr>
            <w:tcW w:w="86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21.01</w:t>
            </w:r>
          </w:p>
        </w:tc>
        <w:tc>
          <w:tcPr>
            <w:tcW w:w="2220"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按照国家、省、四平市统计局及伊通县委县政府的中心工作及要求，认真贯彻执行统计法律、规章、制度等各项方针政策，并根据统计工作计划，适时开展各类、各项统计调查、统计抽样调查、统计数据研究与开发、监管工作，为社会各界提供优质服务，为政府决策提供数据支撑。同时通过开展各种宣传活动、利用各界媒体平台来扩大统计工作影响力，更好地为社会服务。按时完成工业、建筑业、服务业、贸易业、批发零售和住宿餐饮业各月度、季度报表。通过开展各类统计调查、统计监测、统计执法、统计资料开发等相关工作，为省、市、县三级政府提供经济运行各项指标，为政府研判经济发展态势提供经济发展数据。</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成本指标</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经济成本指标</w:t>
            </w: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统计年鉴印刷成本费用</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反映编印统计年鉴印刷成本费用</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≤200元</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222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10"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产出指标</w:t>
            </w:r>
          </w:p>
        </w:tc>
        <w:tc>
          <w:tcPr>
            <w:tcW w:w="855"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数量指标</w:t>
            </w: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统计信息发布条数</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反映国民经济运行指标数据发布情况</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＞7条</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5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222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10" w:type="dxa"/>
            <w:vMerge w:val="continue"/>
            <w:noWrap w:val="0"/>
            <w:vAlign w:val="center"/>
          </w:tcPr>
          <w:p>
            <w:pPr>
              <w:jc w:val="center"/>
              <w:rPr>
                <w:rFonts w:hint="eastAsia" w:ascii="宋体" w:hAnsi="宋体" w:eastAsia="宋体" w:cs="宋体"/>
                <w:kern w:val="0"/>
                <w:sz w:val="18"/>
                <w:szCs w:val="18"/>
                <w:vertAlign w:val="baseline"/>
                <w:lang w:eastAsia="zh-CN"/>
              </w:rPr>
            </w:pPr>
          </w:p>
        </w:tc>
        <w:tc>
          <w:tcPr>
            <w:tcW w:w="855" w:type="dxa"/>
            <w:vMerge w:val="continue"/>
            <w:noWrap w:val="0"/>
            <w:vAlign w:val="center"/>
          </w:tcPr>
          <w:p>
            <w:pPr>
              <w:jc w:val="center"/>
              <w:rPr>
                <w:rFonts w:hint="eastAsia" w:ascii="宋体" w:hAnsi="宋体" w:eastAsia="宋体" w:cs="宋体"/>
                <w:kern w:val="0"/>
                <w:sz w:val="18"/>
                <w:szCs w:val="18"/>
                <w:vertAlign w:val="baseline"/>
                <w:lang w:eastAsia="zh-CN"/>
              </w:rPr>
            </w:pP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普法宣传次数</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反映统计普法宣传情况。</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≥1次</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222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10" w:type="dxa"/>
            <w:vMerge w:val="continue"/>
            <w:noWrap w:val="0"/>
            <w:vAlign w:val="center"/>
          </w:tcPr>
          <w:p>
            <w:pPr>
              <w:jc w:val="center"/>
              <w:rPr>
                <w:rFonts w:hint="eastAsia" w:ascii="宋体" w:hAnsi="宋体" w:eastAsia="宋体" w:cs="宋体"/>
                <w:kern w:val="0"/>
                <w:sz w:val="18"/>
                <w:szCs w:val="18"/>
                <w:vertAlign w:val="baseline"/>
              </w:rPr>
            </w:pPr>
          </w:p>
        </w:tc>
        <w:tc>
          <w:tcPr>
            <w:tcW w:w="855" w:type="dxa"/>
            <w:vMerge w:val="continue"/>
            <w:noWrap w:val="0"/>
            <w:vAlign w:val="center"/>
          </w:tcPr>
          <w:p>
            <w:pPr>
              <w:jc w:val="center"/>
              <w:rPr>
                <w:rFonts w:hint="eastAsia" w:ascii="宋体" w:hAnsi="宋体" w:eastAsia="宋体" w:cs="宋体"/>
                <w:kern w:val="0"/>
                <w:sz w:val="18"/>
                <w:szCs w:val="18"/>
                <w:vertAlign w:val="baseline"/>
                <w:lang w:eastAsia="zh-CN"/>
              </w:rPr>
            </w:pP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统计分析报告篇数</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反映撰写统计分析报告数量情况</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≥4篇</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5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222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效益指标</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社会效益指标</w:t>
            </w: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向社会公众提供统计公报</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向社会公众提供统计公报篇数</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≥1篇</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222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满意度指标</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服务对象满意度</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服务对象满意度</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≥95%</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2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伊通满族自治县统计局</w:t>
            </w:r>
          </w:p>
        </w:tc>
        <w:tc>
          <w:tcPr>
            <w:tcW w:w="44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第五次全国经济普查经费</w:t>
            </w:r>
          </w:p>
        </w:tc>
        <w:tc>
          <w:tcPr>
            <w:tcW w:w="86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55.71</w:t>
            </w:r>
          </w:p>
        </w:tc>
        <w:tc>
          <w:tcPr>
            <w:tcW w:w="2220"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按照国家统计局、国务院第五次全国经济普查领导小组办公室印发的《第五次全国经济普查方案》，指导两员按照要求对我国境内从事第二第三产业的全部法人单位和产业活动单位和个体经营户开展第五次全国经济普查正式登记阶段数据采集、审核、汇总、验收等工作，收集两员信息按照预算执行规定和预算支出要求完成第五次全国经济普查“两员”（即普查指导员及普查员）劳务费的发放工作。按照省市经普办工作安排做好普查数据后期处理工作。</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发放劳务费人均成本</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反映发放劳务费人均费用。</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≤40元/人天</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222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1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普查员、普查指导员补贴发放人数</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反映普查员、普查指导员补贴发放人数。</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≥280人</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222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10" w:type="dxa"/>
            <w:vMerge w:val="continue"/>
            <w:noWrap w:val="0"/>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调查报表审核通过率</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反映第五次全国经济普查报表指标填报规范程度</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222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8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08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普查员、普查指导员补贴发放覆盖率</w:t>
            </w:r>
          </w:p>
        </w:tc>
        <w:tc>
          <w:tcPr>
            <w:tcW w:w="112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反映普查员、普查指导员补贴发放覆盖率情况。</w:t>
            </w:r>
          </w:p>
        </w:tc>
        <w:tc>
          <w:tcPr>
            <w:tcW w:w="9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jc w:val="center"/>
        <w:rPr>
          <w:rFonts w:hint="eastAsia" w:ascii="黑体" w:hAnsi="黑体" w:eastAsia="黑体" w:cs="黑体"/>
        </w:rPr>
      </w:pPr>
      <w:bookmarkStart w:id="0" w:name="_GoBack"/>
      <w:r>
        <w:rPr>
          <w:rFonts w:hint="eastAsia" w:ascii="黑体" w:hAnsi="黑体" w:eastAsia="黑体" w:cs="黑体"/>
        </w:rPr>
        <w:t>第三部分 情况说明</w:t>
      </w:r>
    </w:p>
    <w:bookmarkEnd w:id="0"/>
    <w:p>
      <w:pPr>
        <w:rPr>
          <w:rFonts w:hint="default" w:ascii="Times New Roman" w:hAnsi="Times New Roman" w:eastAsia="仿宋" w:cs="Times New Roman"/>
          <w:szCs w:val="32"/>
        </w:rPr>
      </w:pPr>
    </w:p>
    <w:p>
      <w:pPr>
        <w:ind w:firstLine="640" w:firstLineChars="200"/>
        <w:rPr>
          <w:rFonts w:hint="eastAsia" w:ascii="黑体" w:hAnsi="黑体" w:eastAsia="黑体" w:cs="黑体"/>
          <w:szCs w:val="32"/>
        </w:rPr>
      </w:pPr>
      <w:r>
        <w:rPr>
          <w:rFonts w:hint="eastAsia" w:ascii="黑体" w:hAnsi="黑体" w:eastAsia="黑体" w:cs="黑体"/>
          <w:szCs w:val="32"/>
        </w:rPr>
        <w:t>一、202</w:t>
      </w:r>
      <w:r>
        <w:rPr>
          <w:rFonts w:hint="eastAsia" w:ascii="黑体" w:hAnsi="黑体" w:eastAsia="黑体" w:cs="黑体"/>
          <w:szCs w:val="32"/>
          <w:lang w:val="en-US" w:eastAsia="zh-CN"/>
        </w:rPr>
        <w:t>4</w:t>
      </w:r>
      <w:r>
        <w:rPr>
          <w:rFonts w:hint="eastAsia" w:ascii="黑体" w:hAnsi="黑体" w:eastAsia="黑体" w:cs="黑体"/>
          <w:szCs w:val="32"/>
        </w:rPr>
        <w:t>年收支预算总体情况</w:t>
      </w:r>
    </w:p>
    <w:p>
      <w:pPr>
        <w:ind w:firstLine="640" w:firstLineChars="200"/>
        <w:rPr>
          <w:rFonts w:hint="eastAsia" w:ascii="仿宋" w:hAnsi="仿宋" w:eastAsia="仿宋" w:cs="仿宋"/>
          <w:szCs w:val="32"/>
        </w:rPr>
      </w:pPr>
      <w:r>
        <w:rPr>
          <w:rFonts w:hint="eastAsia" w:ascii="仿宋" w:hAnsi="仿宋" w:eastAsia="仿宋" w:cs="仿宋"/>
          <w:szCs w:val="32"/>
        </w:rPr>
        <w:t>按照综合预算的原则，所有收入和支出全部纳入</w:t>
      </w:r>
      <w:r>
        <w:rPr>
          <w:rFonts w:hint="eastAsia" w:ascii="仿宋" w:hAnsi="仿宋" w:eastAsia="仿宋" w:cs="仿宋"/>
          <w:szCs w:val="32"/>
          <w:lang w:eastAsia="zh-CN"/>
        </w:rPr>
        <w:t>单位预算</w:t>
      </w:r>
      <w:r>
        <w:rPr>
          <w:rFonts w:hint="eastAsia" w:ascii="仿宋" w:hAnsi="仿宋" w:eastAsia="仿宋" w:cs="仿宋"/>
          <w:szCs w:val="32"/>
        </w:rPr>
        <w:t>管理。收入包括：一般公共预算拨款收入、上年结转；支出包括：一般公共服务支出、社会保障和就业支出、</w:t>
      </w:r>
      <w:r>
        <w:rPr>
          <w:rFonts w:hint="eastAsia" w:ascii="仿宋" w:hAnsi="仿宋" w:eastAsia="仿宋" w:cs="仿宋"/>
          <w:color w:val="auto"/>
          <w:szCs w:val="32"/>
        </w:rPr>
        <w:t>卫生健康支出、住房保障支出</w:t>
      </w: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年收支总预算</w:t>
      </w:r>
      <w:r>
        <w:rPr>
          <w:rFonts w:hint="eastAsia" w:ascii="仿宋" w:hAnsi="仿宋" w:eastAsia="仿宋" w:cs="仿宋"/>
          <w:szCs w:val="32"/>
          <w:lang w:val="en-US" w:eastAsia="zh-CN"/>
        </w:rPr>
        <w:t>282.26</w:t>
      </w:r>
      <w:r>
        <w:rPr>
          <w:rFonts w:hint="eastAsia" w:ascii="仿宋" w:hAnsi="仿宋" w:eastAsia="仿宋" w:cs="仿宋"/>
          <w:szCs w:val="32"/>
        </w:rPr>
        <w:t>万元</w:t>
      </w:r>
      <w:r>
        <w:rPr>
          <w:rFonts w:hint="eastAsia" w:ascii="仿宋" w:hAnsi="仿宋" w:eastAsia="仿宋" w:cs="仿宋"/>
          <w:szCs w:val="32"/>
          <w:lang w:eastAsia="zh-CN"/>
        </w:rPr>
        <w:t>，其中：本年预算</w:t>
      </w:r>
      <w:r>
        <w:rPr>
          <w:rFonts w:hint="eastAsia" w:ascii="仿宋" w:hAnsi="仿宋" w:eastAsia="仿宋" w:cs="仿宋"/>
          <w:szCs w:val="32"/>
          <w:lang w:val="en-US" w:eastAsia="zh-CN"/>
        </w:rPr>
        <w:t>258.62</w:t>
      </w:r>
      <w:r>
        <w:rPr>
          <w:rFonts w:hint="eastAsia" w:ascii="仿宋" w:hAnsi="仿宋" w:eastAsia="仿宋" w:cs="仿宋"/>
          <w:szCs w:val="32"/>
          <w:lang w:eastAsia="zh-CN"/>
        </w:rPr>
        <w:t>万元；上年结转</w:t>
      </w:r>
      <w:r>
        <w:rPr>
          <w:rFonts w:hint="eastAsia" w:ascii="仿宋" w:hAnsi="仿宋" w:eastAsia="仿宋" w:cs="仿宋"/>
          <w:szCs w:val="32"/>
          <w:lang w:val="en-US" w:eastAsia="zh-CN"/>
        </w:rPr>
        <w:t>23.64</w:t>
      </w:r>
      <w:r>
        <w:rPr>
          <w:rFonts w:hint="eastAsia" w:ascii="仿宋" w:hAnsi="仿宋" w:eastAsia="仿宋" w:cs="仿宋"/>
          <w:szCs w:val="32"/>
          <w:lang w:eastAsia="zh-CN"/>
        </w:rPr>
        <w:t>万元。</w:t>
      </w:r>
      <w:r>
        <w:rPr>
          <w:rFonts w:hint="eastAsia" w:ascii="仿宋" w:hAnsi="仿宋" w:eastAsia="仿宋" w:cs="仿宋"/>
          <w:szCs w:val="32"/>
          <w:lang w:val="en-US" w:eastAsia="zh-CN"/>
        </w:rPr>
        <w:t>2024年本年预算</w:t>
      </w:r>
      <w:r>
        <w:rPr>
          <w:rFonts w:hint="eastAsia" w:ascii="仿宋" w:hAnsi="仿宋" w:eastAsia="仿宋" w:cs="仿宋"/>
          <w:szCs w:val="32"/>
        </w:rPr>
        <w:t>比202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预算增加</w:t>
      </w:r>
      <w:r>
        <w:rPr>
          <w:rFonts w:hint="eastAsia" w:ascii="仿宋" w:hAnsi="仿宋" w:eastAsia="仿宋" w:cs="仿宋"/>
          <w:szCs w:val="32"/>
          <w:lang w:val="en-US" w:eastAsia="zh-CN"/>
        </w:rPr>
        <w:t>47.67</w:t>
      </w:r>
      <w:r>
        <w:rPr>
          <w:rFonts w:hint="eastAsia" w:ascii="仿宋" w:hAnsi="仿宋" w:eastAsia="仿宋" w:cs="仿宋"/>
          <w:szCs w:val="32"/>
        </w:rPr>
        <w:t>万元，主要原因是</w:t>
      </w:r>
      <w:r>
        <w:rPr>
          <w:rFonts w:hint="eastAsia" w:ascii="仿宋" w:hAnsi="仿宋" w:eastAsia="仿宋" w:cs="仿宋"/>
          <w:szCs w:val="32"/>
          <w:lang w:val="en-US" w:eastAsia="zh-CN"/>
        </w:rPr>
        <w:t>2024年开展第五次全国经济普查项目，项目支出预算经费增加</w:t>
      </w:r>
      <w:r>
        <w:rPr>
          <w:rFonts w:hint="eastAsia" w:ascii="仿宋" w:hAnsi="仿宋" w:eastAsia="仿宋" w:cs="仿宋"/>
          <w:szCs w:val="32"/>
        </w:rPr>
        <w:t>。</w:t>
      </w:r>
    </w:p>
    <w:p>
      <w:pPr>
        <w:ind w:firstLine="640" w:firstLineChars="200"/>
        <w:rPr>
          <w:rFonts w:hint="eastAsia" w:ascii="黑体" w:hAnsi="黑体" w:eastAsia="黑体" w:cs="黑体"/>
          <w:szCs w:val="32"/>
        </w:rPr>
      </w:pPr>
      <w:r>
        <w:rPr>
          <w:rFonts w:hint="eastAsia" w:ascii="黑体" w:hAnsi="黑体" w:eastAsia="黑体" w:cs="黑体"/>
          <w:szCs w:val="32"/>
        </w:rPr>
        <w:t>二、202</w:t>
      </w:r>
      <w:r>
        <w:rPr>
          <w:rFonts w:hint="eastAsia" w:ascii="黑体" w:hAnsi="黑体" w:eastAsia="黑体" w:cs="黑体"/>
          <w:szCs w:val="32"/>
          <w:lang w:val="en-US" w:eastAsia="zh-CN"/>
        </w:rPr>
        <w:t>4</w:t>
      </w:r>
      <w:r>
        <w:rPr>
          <w:rFonts w:hint="eastAsia" w:ascii="黑体" w:hAnsi="黑体" w:eastAsia="黑体" w:cs="黑体"/>
          <w:szCs w:val="32"/>
        </w:rPr>
        <w:t>年收入预算情况</w:t>
      </w:r>
    </w:p>
    <w:p>
      <w:pPr>
        <w:ind w:firstLine="640" w:firstLineChars="200"/>
        <w:rPr>
          <w:rFonts w:hint="default" w:ascii="Times New Roman" w:hAnsi="Times New Roman" w:eastAsia="方正仿宋_GBK" w:cs="Times New Roman"/>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年收入预算</w:t>
      </w:r>
      <w:r>
        <w:rPr>
          <w:rFonts w:hint="eastAsia" w:ascii="仿宋" w:hAnsi="仿宋" w:eastAsia="仿宋" w:cs="仿宋"/>
          <w:szCs w:val="32"/>
          <w:lang w:val="en-US" w:eastAsia="zh-CN"/>
        </w:rPr>
        <w:t>282.26</w:t>
      </w:r>
      <w:r>
        <w:rPr>
          <w:rFonts w:hint="eastAsia" w:ascii="仿宋" w:hAnsi="仿宋" w:eastAsia="仿宋" w:cs="仿宋"/>
          <w:szCs w:val="32"/>
        </w:rPr>
        <w:t>万元，其中：本年收入</w:t>
      </w:r>
      <w:r>
        <w:rPr>
          <w:rFonts w:hint="eastAsia" w:ascii="仿宋" w:hAnsi="仿宋" w:eastAsia="仿宋" w:cs="仿宋"/>
          <w:szCs w:val="32"/>
          <w:lang w:val="en-US" w:eastAsia="zh-CN"/>
        </w:rPr>
        <w:t>258.62</w:t>
      </w:r>
      <w:r>
        <w:rPr>
          <w:rFonts w:hint="eastAsia" w:ascii="仿宋" w:hAnsi="仿宋" w:eastAsia="仿宋" w:cs="仿宋"/>
          <w:szCs w:val="32"/>
        </w:rPr>
        <w:t>万元，占</w:t>
      </w:r>
      <w:r>
        <w:rPr>
          <w:rFonts w:hint="eastAsia" w:ascii="仿宋" w:hAnsi="仿宋" w:eastAsia="仿宋" w:cs="仿宋"/>
          <w:szCs w:val="32"/>
          <w:lang w:val="en-US" w:eastAsia="zh-CN"/>
        </w:rPr>
        <w:t>91.62</w:t>
      </w:r>
      <w:r>
        <w:rPr>
          <w:rFonts w:hint="eastAsia" w:ascii="仿宋" w:hAnsi="仿宋" w:eastAsia="仿宋" w:cs="仿宋"/>
          <w:szCs w:val="32"/>
        </w:rPr>
        <w:t>%；上年结转</w:t>
      </w:r>
      <w:r>
        <w:rPr>
          <w:rFonts w:hint="eastAsia" w:ascii="仿宋" w:hAnsi="仿宋" w:eastAsia="仿宋" w:cs="仿宋"/>
          <w:szCs w:val="32"/>
          <w:lang w:val="en-US" w:eastAsia="zh-CN"/>
        </w:rPr>
        <w:t>23.64</w:t>
      </w:r>
      <w:r>
        <w:rPr>
          <w:rFonts w:hint="eastAsia" w:ascii="仿宋" w:hAnsi="仿宋" w:eastAsia="仿宋" w:cs="仿宋"/>
          <w:szCs w:val="32"/>
        </w:rPr>
        <w:t>万元，占</w:t>
      </w:r>
      <w:r>
        <w:rPr>
          <w:rFonts w:hint="eastAsia" w:ascii="仿宋" w:hAnsi="仿宋" w:eastAsia="仿宋" w:cs="仿宋"/>
          <w:szCs w:val="32"/>
          <w:lang w:val="en-US" w:eastAsia="zh-CN"/>
        </w:rPr>
        <w:t>8.38</w:t>
      </w:r>
      <w:r>
        <w:rPr>
          <w:rFonts w:hint="eastAsia" w:ascii="仿宋" w:hAnsi="仿宋" w:eastAsia="仿宋" w:cs="仿宋"/>
          <w:szCs w:val="32"/>
        </w:rPr>
        <w:t>%。本年收入中，一般公共预算拨款收入</w:t>
      </w:r>
      <w:r>
        <w:rPr>
          <w:rFonts w:hint="eastAsia" w:ascii="仿宋" w:hAnsi="仿宋" w:eastAsia="仿宋" w:cs="仿宋"/>
          <w:szCs w:val="32"/>
          <w:lang w:val="en-US" w:eastAsia="zh-CN"/>
        </w:rPr>
        <w:t>258.62</w:t>
      </w:r>
      <w:r>
        <w:rPr>
          <w:rFonts w:hint="eastAsia" w:ascii="仿宋" w:hAnsi="仿宋" w:eastAsia="仿宋" w:cs="仿宋"/>
          <w:szCs w:val="32"/>
        </w:rPr>
        <w:t>万元万元，占</w:t>
      </w:r>
      <w:r>
        <w:rPr>
          <w:rFonts w:hint="eastAsia" w:ascii="仿宋" w:hAnsi="仿宋" w:eastAsia="仿宋" w:cs="仿宋"/>
          <w:szCs w:val="32"/>
          <w:lang w:val="en-US" w:eastAsia="zh-CN"/>
        </w:rPr>
        <w:t>100</w:t>
      </w:r>
      <w:r>
        <w:rPr>
          <w:rFonts w:hint="eastAsia" w:ascii="仿宋" w:hAnsi="仿宋" w:eastAsia="仿宋" w:cs="仿宋"/>
          <w:szCs w:val="32"/>
        </w:rPr>
        <w:t>%；上年结转中，一般公共预算拨款结转</w:t>
      </w:r>
      <w:r>
        <w:rPr>
          <w:rFonts w:hint="eastAsia" w:ascii="仿宋" w:hAnsi="仿宋" w:eastAsia="仿宋" w:cs="仿宋"/>
          <w:szCs w:val="32"/>
          <w:lang w:val="en-US" w:eastAsia="zh-CN"/>
        </w:rPr>
        <w:t>23.64</w:t>
      </w:r>
      <w:r>
        <w:rPr>
          <w:rFonts w:hint="eastAsia" w:ascii="仿宋" w:hAnsi="仿宋" w:eastAsia="仿宋" w:cs="仿宋"/>
          <w:szCs w:val="32"/>
        </w:rPr>
        <w:t>万元万元，占</w:t>
      </w:r>
      <w:r>
        <w:rPr>
          <w:rFonts w:hint="eastAsia" w:ascii="仿宋" w:hAnsi="仿宋" w:eastAsia="仿宋" w:cs="仿宋"/>
          <w:szCs w:val="32"/>
          <w:lang w:val="en-US" w:eastAsia="zh-CN"/>
        </w:rPr>
        <w:t>100</w:t>
      </w:r>
      <w:r>
        <w:rPr>
          <w:rFonts w:hint="eastAsia" w:ascii="仿宋" w:hAnsi="仿宋" w:eastAsia="仿宋" w:cs="仿宋"/>
          <w:szCs w:val="32"/>
        </w:rPr>
        <w:t>%。</w:t>
      </w:r>
    </w:p>
    <w:p>
      <w:pPr>
        <w:ind w:firstLine="640" w:firstLineChars="200"/>
        <w:rPr>
          <w:rFonts w:hint="default" w:ascii="Times New Roman" w:hAnsi="Times New Roman" w:eastAsia="黑体" w:cs="Times New Roman"/>
          <w:szCs w:val="32"/>
        </w:rPr>
      </w:pPr>
      <w:r>
        <w:rPr>
          <w:rFonts w:hint="default" w:ascii="黑体" w:hAnsi="黑体" w:eastAsia="黑体" w:cs="黑体"/>
          <w:szCs w:val="32"/>
        </w:rPr>
        <w:t>三、202</w:t>
      </w:r>
      <w:r>
        <w:rPr>
          <w:rFonts w:hint="default" w:ascii="黑体" w:hAnsi="黑体" w:eastAsia="黑体" w:cs="黑体"/>
          <w:szCs w:val="32"/>
          <w:lang w:val="en-US" w:eastAsia="zh-CN"/>
        </w:rPr>
        <w:t>4</w:t>
      </w:r>
      <w:r>
        <w:rPr>
          <w:rFonts w:hint="default" w:ascii="黑体" w:hAnsi="黑体" w:eastAsia="黑体" w:cs="黑体"/>
          <w:szCs w:val="32"/>
        </w:rPr>
        <w:t>年支出预算情况</w:t>
      </w:r>
    </w:p>
    <w:p>
      <w:pPr>
        <w:ind w:firstLine="640" w:firstLineChars="200"/>
        <w:rPr>
          <w:rFonts w:hint="default" w:ascii="Times New Roman" w:hAnsi="Times New Roman" w:eastAsia="方正仿宋_GBK" w:cs="Times New Roman"/>
          <w:szCs w:val="32"/>
          <w:highlight w:val="none"/>
        </w:rPr>
      </w:pPr>
      <w:r>
        <w:rPr>
          <w:rFonts w:hint="eastAsia" w:ascii="仿宋" w:hAnsi="仿宋" w:eastAsia="仿宋" w:cs="仿宋"/>
          <w:szCs w:val="32"/>
          <w:highlight w:val="none"/>
        </w:rPr>
        <w:t>202</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年支出预算</w:t>
      </w:r>
      <w:r>
        <w:rPr>
          <w:rFonts w:hint="eastAsia" w:ascii="仿宋" w:hAnsi="仿宋" w:eastAsia="仿宋" w:cs="仿宋"/>
          <w:szCs w:val="32"/>
          <w:highlight w:val="none"/>
          <w:lang w:val="en-US" w:eastAsia="zh-CN"/>
        </w:rPr>
        <w:t>282.26</w:t>
      </w:r>
      <w:r>
        <w:rPr>
          <w:rFonts w:hint="eastAsia" w:ascii="仿宋" w:hAnsi="仿宋" w:eastAsia="仿宋" w:cs="仿宋"/>
          <w:szCs w:val="32"/>
          <w:highlight w:val="none"/>
        </w:rPr>
        <w:t>万元，其中：基本支出</w:t>
      </w:r>
      <w:r>
        <w:rPr>
          <w:rFonts w:hint="eastAsia" w:ascii="仿宋" w:hAnsi="仿宋" w:eastAsia="仿宋" w:cs="仿宋"/>
          <w:szCs w:val="32"/>
          <w:highlight w:val="none"/>
          <w:lang w:val="en-US" w:eastAsia="zh-CN"/>
        </w:rPr>
        <w:t>203.99</w:t>
      </w:r>
      <w:r>
        <w:rPr>
          <w:rFonts w:hint="eastAsia" w:ascii="仿宋" w:hAnsi="仿宋" w:eastAsia="仿宋" w:cs="仿宋"/>
          <w:szCs w:val="32"/>
          <w:highlight w:val="none"/>
        </w:rPr>
        <w:t>万元，占</w:t>
      </w:r>
      <w:r>
        <w:rPr>
          <w:rFonts w:hint="eastAsia" w:ascii="仿宋" w:hAnsi="仿宋" w:eastAsia="仿宋" w:cs="仿宋"/>
          <w:szCs w:val="32"/>
          <w:highlight w:val="none"/>
          <w:lang w:val="en-US" w:eastAsia="zh-CN"/>
        </w:rPr>
        <w:t>72.27</w:t>
      </w:r>
      <w:r>
        <w:rPr>
          <w:rFonts w:hint="eastAsia" w:ascii="仿宋" w:hAnsi="仿宋" w:eastAsia="仿宋" w:cs="仿宋"/>
          <w:szCs w:val="32"/>
          <w:highlight w:val="none"/>
        </w:rPr>
        <w:t>%；项目支出</w:t>
      </w:r>
      <w:r>
        <w:rPr>
          <w:rFonts w:hint="eastAsia" w:ascii="仿宋" w:hAnsi="仿宋" w:eastAsia="仿宋" w:cs="仿宋"/>
          <w:szCs w:val="32"/>
          <w:highlight w:val="none"/>
          <w:lang w:val="en-US" w:eastAsia="zh-CN"/>
        </w:rPr>
        <w:t>78.27</w:t>
      </w:r>
      <w:r>
        <w:rPr>
          <w:rFonts w:hint="eastAsia" w:ascii="仿宋" w:hAnsi="仿宋" w:eastAsia="仿宋" w:cs="仿宋"/>
          <w:szCs w:val="32"/>
          <w:highlight w:val="none"/>
        </w:rPr>
        <w:t>万元，占</w:t>
      </w:r>
      <w:r>
        <w:rPr>
          <w:rFonts w:hint="eastAsia" w:ascii="仿宋" w:hAnsi="仿宋" w:eastAsia="仿宋" w:cs="仿宋"/>
          <w:szCs w:val="32"/>
          <w:highlight w:val="none"/>
          <w:lang w:val="en-US" w:eastAsia="zh-CN"/>
        </w:rPr>
        <w:t>27.73</w:t>
      </w:r>
      <w:r>
        <w:rPr>
          <w:rFonts w:hint="eastAsia" w:ascii="仿宋" w:hAnsi="仿宋" w:eastAsia="仿宋" w:cs="仿宋"/>
          <w:szCs w:val="32"/>
          <w:highlight w:val="none"/>
        </w:rPr>
        <w:t>%。</w:t>
      </w:r>
    </w:p>
    <w:p>
      <w:pPr>
        <w:ind w:firstLine="640" w:firstLineChars="200"/>
        <w:rPr>
          <w:rFonts w:hint="default" w:ascii="黑体" w:hAnsi="黑体" w:eastAsia="黑体" w:cs="黑体"/>
          <w:szCs w:val="32"/>
        </w:rPr>
      </w:pPr>
      <w:r>
        <w:rPr>
          <w:rFonts w:hint="default" w:ascii="黑体" w:hAnsi="黑体" w:eastAsia="黑体" w:cs="黑体"/>
          <w:szCs w:val="32"/>
        </w:rPr>
        <w:t>四、202</w:t>
      </w:r>
      <w:r>
        <w:rPr>
          <w:rFonts w:hint="default" w:ascii="黑体" w:hAnsi="黑体" w:eastAsia="黑体" w:cs="黑体"/>
          <w:szCs w:val="32"/>
          <w:lang w:val="en-US" w:eastAsia="zh-CN"/>
        </w:rPr>
        <w:t>4</w:t>
      </w:r>
      <w:r>
        <w:rPr>
          <w:rFonts w:hint="default" w:ascii="黑体" w:hAnsi="黑体" w:eastAsia="黑体" w:cs="黑体"/>
          <w:szCs w:val="32"/>
        </w:rPr>
        <w:t>年财政拨款收支预算情况</w:t>
      </w:r>
    </w:p>
    <w:p>
      <w:pPr>
        <w:ind w:firstLine="6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年财政拨款收支总预算</w:t>
      </w:r>
      <w:r>
        <w:rPr>
          <w:rFonts w:hint="eastAsia" w:ascii="仿宋" w:hAnsi="仿宋" w:eastAsia="仿宋" w:cs="仿宋"/>
          <w:szCs w:val="32"/>
          <w:lang w:val="en-US" w:eastAsia="zh-CN"/>
        </w:rPr>
        <w:t>282.26</w:t>
      </w:r>
      <w:r>
        <w:rPr>
          <w:rFonts w:hint="eastAsia" w:ascii="仿宋" w:hAnsi="仿宋" w:eastAsia="仿宋" w:cs="仿宋"/>
          <w:szCs w:val="32"/>
        </w:rPr>
        <w:t>万元，其中：本年</w:t>
      </w:r>
      <w:r>
        <w:rPr>
          <w:rFonts w:hint="eastAsia" w:ascii="仿宋" w:hAnsi="仿宋" w:eastAsia="仿宋" w:cs="仿宋"/>
          <w:szCs w:val="32"/>
          <w:lang w:eastAsia="zh-CN"/>
        </w:rPr>
        <w:t>预算</w:t>
      </w:r>
      <w:r>
        <w:rPr>
          <w:rFonts w:hint="eastAsia" w:ascii="仿宋" w:hAnsi="仿宋" w:eastAsia="仿宋" w:cs="仿宋"/>
          <w:szCs w:val="32"/>
          <w:lang w:val="en-US" w:eastAsia="zh-CN"/>
        </w:rPr>
        <w:t>258.62</w:t>
      </w:r>
      <w:r>
        <w:rPr>
          <w:rFonts w:hint="eastAsia" w:ascii="仿宋" w:hAnsi="仿宋" w:eastAsia="仿宋" w:cs="仿宋"/>
          <w:szCs w:val="32"/>
        </w:rPr>
        <w:t>万元，上年结转</w:t>
      </w:r>
      <w:r>
        <w:rPr>
          <w:rFonts w:hint="eastAsia" w:ascii="仿宋" w:hAnsi="仿宋" w:eastAsia="仿宋" w:cs="仿宋"/>
          <w:szCs w:val="32"/>
          <w:lang w:val="en-US" w:eastAsia="zh-CN"/>
        </w:rPr>
        <w:t>23.64</w:t>
      </w:r>
      <w:r>
        <w:rPr>
          <w:rFonts w:hint="eastAsia" w:ascii="仿宋" w:hAnsi="仿宋" w:eastAsia="仿宋" w:cs="仿宋"/>
          <w:szCs w:val="32"/>
        </w:rPr>
        <w:t>万元。支出包括：</w:t>
      </w:r>
      <w:r>
        <w:rPr>
          <w:rFonts w:hint="eastAsia" w:ascii="仿宋" w:hAnsi="仿宋" w:eastAsia="仿宋" w:cs="仿宋"/>
          <w:kern w:val="0"/>
          <w:szCs w:val="32"/>
        </w:rPr>
        <w:t>一般公共服务支出</w:t>
      </w:r>
      <w:r>
        <w:rPr>
          <w:rFonts w:hint="eastAsia" w:ascii="仿宋" w:hAnsi="仿宋" w:eastAsia="仿宋" w:cs="仿宋"/>
          <w:szCs w:val="32"/>
          <w:lang w:val="en-US" w:eastAsia="zh-CN"/>
        </w:rPr>
        <w:t>215.50</w:t>
      </w:r>
      <w:r>
        <w:rPr>
          <w:rFonts w:hint="eastAsia" w:ascii="仿宋" w:hAnsi="仿宋" w:eastAsia="仿宋" w:cs="仿宋"/>
          <w:szCs w:val="32"/>
        </w:rPr>
        <w:t>万元，</w:t>
      </w:r>
      <w:r>
        <w:rPr>
          <w:rFonts w:hint="eastAsia" w:ascii="仿宋" w:hAnsi="仿宋" w:eastAsia="仿宋" w:cs="仿宋"/>
          <w:kern w:val="0"/>
          <w:szCs w:val="32"/>
        </w:rPr>
        <w:t>社会保障和就业支出</w:t>
      </w:r>
      <w:r>
        <w:rPr>
          <w:rFonts w:hint="eastAsia" w:ascii="仿宋" w:hAnsi="仿宋" w:eastAsia="仿宋" w:cs="仿宋"/>
          <w:szCs w:val="32"/>
          <w:lang w:val="en-US" w:eastAsia="zh-CN"/>
        </w:rPr>
        <w:t>44.15</w:t>
      </w:r>
      <w:r>
        <w:rPr>
          <w:rFonts w:hint="eastAsia" w:ascii="仿宋" w:hAnsi="仿宋" w:eastAsia="仿宋" w:cs="仿宋"/>
          <w:szCs w:val="32"/>
        </w:rPr>
        <w:t>万元，</w:t>
      </w:r>
      <w:r>
        <w:rPr>
          <w:rFonts w:hint="eastAsia" w:ascii="仿宋" w:hAnsi="仿宋" w:eastAsia="仿宋" w:cs="仿宋"/>
          <w:kern w:val="0"/>
          <w:szCs w:val="32"/>
        </w:rPr>
        <w:t>卫生健康支出</w:t>
      </w:r>
      <w:r>
        <w:rPr>
          <w:rFonts w:hint="eastAsia" w:ascii="仿宋" w:hAnsi="仿宋" w:eastAsia="仿宋" w:cs="仿宋"/>
          <w:szCs w:val="32"/>
          <w:lang w:val="en-US" w:eastAsia="zh-CN"/>
        </w:rPr>
        <w:t>7.08</w:t>
      </w:r>
      <w:r>
        <w:rPr>
          <w:rFonts w:hint="eastAsia" w:ascii="仿宋" w:hAnsi="仿宋" w:eastAsia="仿宋" w:cs="仿宋"/>
          <w:szCs w:val="32"/>
        </w:rPr>
        <w:t>万元，</w:t>
      </w:r>
      <w:r>
        <w:rPr>
          <w:rFonts w:hint="eastAsia" w:ascii="仿宋" w:hAnsi="仿宋" w:eastAsia="仿宋" w:cs="仿宋"/>
          <w:kern w:val="0"/>
          <w:szCs w:val="32"/>
        </w:rPr>
        <w:t>住房保障支出</w:t>
      </w:r>
      <w:r>
        <w:rPr>
          <w:rFonts w:hint="eastAsia" w:ascii="仿宋" w:hAnsi="仿宋" w:eastAsia="仿宋" w:cs="仿宋"/>
          <w:szCs w:val="32"/>
          <w:lang w:val="en-US" w:eastAsia="zh-CN"/>
        </w:rPr>
        <w:t>15.53</w:t>
      </w:r>
      <w:r>
        <w:rPr>
          <w:rFonts w:hint="eastAsia" w:ascii="仿宋" w:hAnsi="仿宋" w:eastAsia="仿宋" w:cs="仿宋"/>
          <w:szCs w:val="32"/>
        </w:rPr>
        <w:t>万元。</w:t>
      </w:r>
    </w:p>
    <w:p>
      <w:pPr>
        <w:ind w:firstLine="640" w:firstLineChars="200"/>
        <w:rPr>
          <w:rFonts w:hint="default" w:ascii="黑体" w:hAnsi="黑体" w:eastAsia="黑体" w:cs="黑体"/>
          <w:szCs w:val="32"/>
        </w:rPr>
      </w:pPr>
      <w:r>
        <w:rPr>
          <w:rFonts w:hint="default" w:ascii="黑体" w:hAnsi="黑体" w:eastAsia="黑体" w:cs="黑体"/>
          <w:szCs w:val="32"/>
        </w:rPr>
        <w:t>五、202</w:t>
      </w:r>
      <w:r>
        <w:rPr>
          <w:rFonts w:hint="default" w:ascii="黑体" w:hAnsi="黑体" w:eastAsia="黑体" w:cs="黑体"/>
          <w:szCs w:val="32"/>
          <w:lang w:val="en-US" w:eastAsia="zh-CN"/>
        </w:rPr>
        <w:t>4</w:t>
      </w:r>
      <w:r>
        <w:rPr>
          <w:rFonts w:hint="default" w:ascii="黑体" w:hAnsi="黑体" w:eastAsia="黑体" w:cs="黑体"/>
          <w:szCs w:val="32"/>
        </w:rPr>
        <w:t>年一般公共预算支出情况</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年一般公共预算拨款</w:t>
      </w:r>
      <w:r>
        <w:rPr>
          <w:rFonts w:hint="eastAsia" w:ascii="仿宋" w:hAnsi="仿宋" w:eastAsia="仿宋" w:cs="仿宋"/>
          <w:szCs w:val="32"/>
          <w:lang w:val="en-US" w:eastAsia="zh-CN"/>
        </w:rPr>
        <w:t>282.26</w:t>
      </w:r>
      <w:r>
        <w:rPr>
          <w:rFonts w:hint="eastAsia" w:ascii="仿宋" w:hAnsi="仿宋" w:eastAsia="仿宋" w:cs="仿宋"/>
          <w:szCs w:val="32"/>
        </w:rPr>
        <w:t>万元，其中：基本支出</w:t>
      </w:r>
      <w:r>
        <w:rPr>
          <w:rFonts w:hint="eastAsia" w:ascii="仿宋" w:hAnsi="仿宋" w:eastAsia="仿宋" w:cs="仿宋"/>
          <w:szCs w:val="32"/>
          <w:lang w:val="en-US" w:eastAsia="zh-CN"/>
        </w:rPr>
        <w:t>203.99</w:t>
      </w:r>
      <w:r>
        <w:rPr>
          <w:rFonts w:hint="eastAsia" w:ascii="仿宋" w:hAnsi="仿宋" w:eastAsia="仿宋" w:cs="仿宋"/>
          <w:szCs w:val="32"/>
        </w:rPr>
        <w:t>万元，占</w:t>
      </w:r>
      <w:r>
        <w:rPr>
          <w:rFonts w:hint="eastAsia" w:ascii="仿宋" w:hAnsi="仿宋" w:eastAsia="仿宋" w:cs="仿宋"/>
          <w:szCs w:val="32"/>
          <w:lang w:val="en-US" w:eastAsia="zh-CN"/>
        </w:rPr>
        <w:t>72.27</w:t>
      </w:r>
      <w:r>
        <w:rPr>
          <w:rFonts w:hint="eastAsia" w:ascii="仿宋" w:hAnsi="仿宋" w:eastAsia="仿宋" w:cs="仿宋"/>
          <w:szCs w:val="32"/>
        </w:rPr>
        <w:t>%；项目支出</w:t>
      </w:r>
      <w:r>
        <w:rPr>
          <w:rFonts w:hint="eastAsia" w:ascii="仿宋" w:hAnsi="仿宋" w:eastAsia="仿宋" w:cs="仿宋"/>
          <w:szCs w:val="32"/>
          <w:lang w:val="en-US" w:eastAsia="zh-CN"/>
        </w:rPr>
        <w:t>78.27</w:t>
      </w:r>
      <w:r>
        <w:rPr>
          <w:rFonts w:hint="eastAsia" w:ascii="仿宋" w:hAnsi="仿宋" w:eastAsia="仿宋" w:cs="仿宋"/>
          <w:szCs w:val="32"/>
        </w:rPr>
        <w:t>万元，占</w:t>
      </w:r>
      <w:r>
        <w:rPr>
          <w:rFonts w:hint="eastAsia" w:ascii="仿宋" w:hAnsi="仿宋" w:eastAsia="仿宋" w:cs="仿宋"/>
          <w:szCs w:val="32"/>
          <w:lang w:val="en-US" w:eastAsia="zh-CN"/>
        </w:rPr>
        <w:t>27.73</w:t>
      </w:r>
      <w:r>
        <w:rPr>
          <w:rFonts w:hint="eastAsia" w:ascii="仿宋" w:hAnsi="仿宋" w:eastAsia="仿宋" w:cs="仿宋"/>
          <w:szCs w:val="32"/>
        </w:rPr>
        <w:t>%。基本支出中，人员经费</w:t>
      </w:r>
      <w:r>
        <w:rPr>
          <w:rFonts w:hint="eastAsia" w:ascii="仿宋" w:hAnsi="仿宋" w:eastAsia="仿宋" w:cs="仿宋"/>
          <w:szCs w:val="32"/>
          <w:lang w:val="en-US" w:eastAsia="zh-CN"/>
        </w:rPr>
        <w:t>176.31</w:t>
      </w:r>
      <w:r>
        <w:rPr>
          <w:rFonts w:hint="eastAsia" w:ascii="仿宋" w:hAnsi="仿宋" w:eastAsia="仿宋" w:cs="仿宋"/>
          <w:szCs w:val="32"/>
        </w:rPr>
        <w:t>万元，占</w:t>
      </w:r>
      <w:r>
        <w:rPr>
          <w:rFonts w:hint="eastAsia" w:ascii="仿宋" w:hAnsi="仿宋" w:eastAsia="仿宋" w:cs="仿宋"/>
          <w:szCs w:val="32"/>
          <w:lang w:val="en-US" w:eastAsia="zh-CN"/>
        </w:rPr>
        <w:t>86.43</w:t>
      </w:r>
      <w:r>
        <w:rPr>
          <w:rFonts w:hint="eastAsia" w:ascii="仿宋" w:hAnsi="仿宋" w:eastAsia="仿宋" w:cs="仿宋"/>
          <w:szCs w:val="32"/>
        </w:rPr>
        <w:t>%；公用经费</w:t>
      </w:r>
      <w:r>
        <w:rPr>
          <w:rFonts w:hint="eastAsia" w:ascii="仿宋" w:hAnsi="仿宋" w:eastAsia="仿宋" w:cs="仿宋"/>
          <w:szCs w:val="32"/>
          <w:lang w:val="en-US" w:eastAsia="zh-CN"/>
        </w:rPr>
        <w:t>27.69</w:t>
      </w:r>
      <w:r>
        <w:rPr>
          <w:rFonts w:hint="eastAsia" w:ascii="仿宋" w:hAnsi="仿宋" w:eastAsia="仿宋" w:cs="仿宋"/>
          <w:szCs w:val="32"/>
        </w:rPr>
        <w:t>万元，占</w:t>
      </w:r>
      <w:r>
        <w:rPr>
          <w:rFonts w:hint="eastAsia" w:ascii="仿宋" w:hAnsi="仿宋" w:eastAsia="仿宋" w:cs="仿宋"/>
          <w:szCs w:val="32"/>
          <w:lang w:val="en-US" w:eastAsia="zh-CN"/>
        </w:rPr>
        <w:t>13.57</w:t>
      </w:r>
      <w:r>
        <w:rPr>
          <w:rFonts w:hint="eastAsia" w:ascii="仿宋" w:hAnsi="仿宋" w:eastAsia="仿宋" w:cs="仿宋"/>
          <w:szCs w:val="32"/>
        </w:rPr>
        <w:t>%。</w:t>
      </w:r>
    </w:p>
    <w:p>
      <w:pPr>
        <w:spacing w:line="240" w:lineRule="auto"/>
        <w:ind w:firstLine="640" w:firstLineChars="200"/>
        <w:rPr>
          <w:rFonts w:hint="eastAsia" w:ascii="仿宋" w:hAnsi="仿宋" w:eastAsia="仿宋" w:cs="仿宋"/>
          <w:szCs w:val="32"/>
        </w:rPr>
      </w:pPr>
      <w:r>
        <w:rPr>
          <w:rFonts w:hint="eastAsia" w:ascii="仿宋" w:hAnsi="仿宋" w:eastAsia="仿宋" w:cs="仿宋"/>
          <w:szCs w:val="32"/>
        </w:rPr>
        <w:t>一般公共服务（类）支出</w:t>
      </w:r>
      <w:r>
        <w:rPr>
          <w:rFonts w:hint="eastAsia" w:ascii="仿宋" w:hAnsi="仿宋" w:eastAsia="仿宋" w:cs="仿宋"/>
          <w:szCs w:val="32"/>
          <w:lang w:val="en-US" w:eastAsia="zh-CN"/>
        </w:rPr>
        <w:t>215.50</w:t>
      </w:r>
      <w:r>
        <w:rPr>
          <w:rFonts w:hint="eastAsia" w:ascii="仿宋" w:hAnsi="仿宋" w:eastAsia="仿宋" w:cs="仿宋"/>
          <w:szCs w:val="32"/>
        </w:rPr>
        <w:t>万元，占</w:t>
      </w:r>
      <w:r>
        <w:rPr>
          <w:rFonts w:hint="eastAsia" w:ascii="仿宋" w:hAnsi="仿宋" w:eastAsia="仿宋" w:cs="仿宋"/>
          <w:szCs w:val="32"/>
          <w:lang w:val="en-US" w:eastAsia="zh-CN"/>
        </w:rPr>
        <w:t>76.35</w:t>
      </w:r>
      <w:r>
        <w:rPr>
          <w:rFonts w:hint="eastAsia" w:ascii="仿宋" w:hAnsi="仿宋" w:eastAsia="仿宋" w:cs="仿宋"/>
          <w:szCs w:val="32"/>
        </w:rPr>
        <w:t>%，主要用于保障职工工资，维持机关正常运行，完成年度统计工作任务。</w:t>
      </w:r>
    </w:p>
    <w:p>
      <w:pPr>
        <w:spacing w:line="240" w:lineRule="auto"/>
        <w:ind w:firstLine="640" w:firstLineChars="200"/>
        <w:rPr>
          <w:rFonts w:hint="eastAsia" w:ascii="仿宋" w:hAnsi="仿宋" w:eastAsia="仿宋" w:cs="仿宋"/>
          <w:szCs w:val="32"/>
        </w:rPr>
      </w:pPr>
      <w:r>
        <w:rPr>
          <w:rFonts w:hint="eastAsia" w:ascii="仿宋" w:hAnsi="仿宋" w:eastAsia="仿宋" w:cs="仿宋"/>
          <w:szCs w:val="32"/>
        </w:rPr>
        <w:t>社会保障和就业（类）支出</w:t>
      </w:r>
      <w:r>
        <w:rPr>
          <w:rFonts w:hint="eastAsia" w:ascii="仿宋" w:hAnsi="仿宋" w:eastAsia="仿宋" w:cs="仿宋"/>
          <w:szCs w:val="32"/>
          <w:lang w:val="en-US" w:eastAsia="zh-CN"/>
        </w:rPr>
        <w:t>44.15</w:t>
      </w:r>
      <w:r>
        <w:rPr>
          <w:rFonts w:hint="eastAsia" w:ascii="仿宋" w:hAnsi="仿宋" w:eastAsia="仿宋" w:cs="仿宋"/>
          <w:szCs w:val="32"/>
        </w:rPr>
        <w:t>万元，占</w:t>
      </w:r>
      <w:r>
        <w:rPr>
          <w:rFonts w:hint="eastAsia" w:ascii="仿宋" w:hAnsi="仿宋" w:eastAsia="仿宋" w:cs="仿宋"/>
          <w:szCs w:val="32"/>
          <w:lang w:val="en-US" w:eastAsia="zh-CN"/>
        </w:rPr>
        <w:t>15.64</w:t>
      </w:r>
      <w:r>
        <w:rPr>
          <w:rFonts w:hint="eastAsia" w:ascii="仿宋" w:hAnsi="仿宋" w:eastAsia="仿宋" w:cs="仿宋"/>
          <w:szCs w:val="32"/>
        </w:rPr>
        <w:t>%，主要用于保障离退休职工工资及机关单位基本养老保险缴费支出。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Cs w:val="32"/>
        </w:rPr>
      </w:pPr>
      <w:r>
        <w:rPr>
          <w:rFonts w:hint="eastAsia" w:ascii="仿宋" w:hAnsi="仿宋" w:eastAsia="仿宋" w:cs="仿宋"/>
          <w:color w:val="auto"/>
          <w:szCs w:val="32"/>
        </w:rPr>
        <w:t>卫生健康（类）支出</w:t>
      </w:r>
      <w:r>
        <w:rPr>
          <w:rFonts w:hint="eastAsia" w:ascii="仿宋" w:hAnsi="仿宋" w:eastAsia="仿宋" w:cs="仿宋"/>
          <w:color w:val="auto"/>
          <w:szCs w:val="32"/>
          <w:lang w:val="en-US" w:eastAsia="zh-CN"/>
        </w:rPr>
        <w:t>7.08</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2.51</w:t>
      </w:r>
      <w:r>
        <w:rPr>
          <w:rFonts w:hint="eastAsia" w:ascii="仿宋" w:hAnsi="仿宋" w:eastAsia="仿宋" w:cs="仿宋"/>
          <w:color w:val="auto"/>
          <w:szCs w:val="32"/>
        </w:rPr>
        <w:t>%，</w:t>
      </w:r>
      <w:r>
        <w:rPr>
          <w:rFonts w:hint="eastAsia" w:ascii="仿宋" w:hAnsi="仿宋" w:eastAsia="仿宋" w:cs="仿宋"/>
          <w:szCs w:val="32"/>
        </w:rPr>
        <w:t>主要用于缴纳职工医疗保险。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s="仿宋"/>
          <w:color w:val="auto"/>
          <w:szCs w:val="32"/>
        </w:rPr>
      </w:pPr>
      <w:r>
        <w:rPr>
          <w:rFonts w:hint="eastAsia" w:ascii="仿宋" w:hAnsi="仿宋" w:eastAsia="仿宋" w:cs="仿宋"/>
          <w:szCs w:val="32"/>
        </w:rPr>
        <w:t>住房保障（类）支出</w:t>
      </w:r>
      <w:r>
        <w:rPr>
          <w:rFonts w:hint="eastAsia" w:ascii="仿宋" w:hAnsi="仿宋" w:eastAsia="仿宋" w:cs="仿宋"/>
          <w:szCs w:val="32"/>
          <w:lang w:val="en-US" w:eastAsia="zh-CN"/>
        </w:rPr>
        <w:t>15.53</w:t>
      </w:r>
      <w:r>
        <w:rPr>
          <w:rFonts w:hint="eastAsia" w:ascii="仿宋" w:hAnsi="仿宋" w:eastAsia="仿宋" w:cs="仿宋"/>
          <w:szCs w:val="32"/>
        </w:rPr>
        <w:t>万元，占</w:t>
      </w:r>
      <w:r>
        <w:rPr>
          <w:rFonts w:hint="eastAsia" w:ascii="仿宋" w:hAnsi="仿宋" w:eastAsia="仿宋" w:cs="仿宋"/>
          <w:szCs w:val="32"/>
          <w:lang w:val="en-US" w:eastAsia="zh-CN"/>
        </w:rPr>
        <w:t>5.50</w:t>
      </w:r>
      <w:r>
        <w:rPr>
          <w:rFonts w:hint="eastAsia" w:ascii="仿宋" w:hAnsi="仿宋" w:eastAsia="仿宋" w:cs="仿宋"/>
          <w:szCs w:val="32"/>
        </w:rPr>
        <w:t>%，主要用于缴纳职工住房公积金。</w:t>
      </w:r>
    </w:p>
    <w:p>
      <w:pPr>
        <w:ind w:firstLine="640" w:firstLineChars="200"/>
        <w:rPr>
          <w:rFonts w:hint="default" w:ascii="黑体" w:hAnsi="黑体" w:eastAsia="黑体" w:cs="黑体"/>
          <w:szCs w:val="32"/>
        </w:rPr>
      </w:pPr>
      <w:r>
        <w:rPr>
          <w:rFonts w:hint="default" w:ascii="黑体" w:hAnsi="黑体" w:eastAsia="黑体" w:cs="黑体"/>
          <w:szCs w:val="32"/>
        </w:rPr>
        <w:t>六、202</w:t>
      </w:r>
      <w:r>
        <w:rPr>
          <w:rFonts w:hint="default" w:ascii="黑体" w:hAnsi="黑体" w:eastAsia="黑体" w:cs="黑体"/>
          <w:szCs w:val="32"/>
          <w:lang w:val="en-US" w:eastAsia="zh-CN"/>
        </w:rPr>
        <w:t>4</w:t>
      </w:r>
      <w:r>
        <w:rPr>
          <w:rFonts w:hint="default" w:ascii="黑体" w:hAnsi="黑体" w:eastAsia="黑体" w:cs="黑体"/>
          <w:szCs w:val="32"/>
        </w:rPr>
        <w:t>年一般公共预算基本支出情况</w:t>
      </w:r>
    </w:p>
    <w:p>
      <w:pPr>
        <w:ind w:firstLine="64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年一般公共预算基本支出</w:t>
      </w:r>
      <w:r>
        <w:rPr>
          <w:rFonts w:hint="eastAsia" w:ascii="仿宋" w:hAnsi="仿宋" w:eastAsia="仿宋" w:cs="仿宋"/>
          <w:szCs w:val="32"/>
          <w:lang w:val="en-US" w:eastAsia="zh-CN"/>
        </w:rPr>
        <w:t>204</w:t>
      </w:r>
      <w:r>
        <w:rPr>
          <w:rFonts w:hint="eastAsia" w:ascii="仿宋" w:hAnsi="仿宋" w:eastAsia="仿宋" w:cs="仿宋"/>
          <w:szCs w:val="32"/>
        </w:rPr>
        <w:t>万元，其中：</w:t>
      </w:r>
    </w:p>
    <w:p>
      <w:pPr>
        <w:ind w:firstLine="640" w:firstLineChars="200"/>
        <w:rPr>
          <w:rFonts w:hint="eastAsia" w:ascii="仿宋" w:hAnsi="仿宋" w:eastAsia="仿宋" w:cs="仿宋"/>
          <w:kern w:val="0"/>
          <w:szCs w:val="32"/>
        </w:rPr>
      </w:pPr>
      <w:r>
        <w:rPr>
          <w:rFonts w:hint="eastAsia" w:ascii="仿宋" w:hAnsi="仿宋" w:eastAsia="仿宋" w:cs="仿宋"/>
          <w:szCs w:val="32"/>
        </w:rPr>
        <w:t>人员经费</w:t>
      </w:r>
      <w:r>
        <w:rPr>
          <w:rFonts w:hint="eastAsia" w:ascii="仿宋" w:hAnsi="仿宋" w:eastAsia="仿宋" w:cs="仿宋"/>
          <w:szCs w:val="32"/>
          <w:lang w:val="en-US" w:eastAsia="zh-CN"/>
        </w:rPr>
        <w:t>176.31</w:t>
      </w:r>
      <w:r>
        <w:rPr>
          <w:rFonts w:hint="eastAsia" w:ascii="仿宋" w:hAnsi="仿宋" w:eastAsia="仿宋" w:cs="仿宋"/>
          <w:szCs w:val="32"/>
        </w:rPr>
        <w:t>万元，主要包括：</w:t>
      </w:r>
      <w:r>
        <w:rPr>
          <w:rFonts w:hint="eastAsia" w:ascii="仿宋" w:hAnsi="仿宋" w:eastAsia="仿宋" w:cs="仿宋"/>
          <w:color w:val="auto"/>
          <w:kern w:val="0"/>
          <w:szCs w:val="32"/>
        </w:rPr>
        <w:t>基本工资、津贴补贴</w:t>
      </w:r>
      <w:r>
        <w:rPr>
          <w:rFonts w:hint="eastAsia" w:ascii="仿宋" w:hAnsi="仿宋" w:eastAsia="仿宋" w:cs="仿宋"/>
          <w:color w:val="auto"/>
          <w:szCs w:val="32"/>
        </w:rPr>
        <w:t>、</w:t>
      </w:r>
      <w:r>
        <w:rPr>
          <w:rFonts w:hint="eastAsia" w:ascii="仿宋" w:hAnsi="仿宋" w:eastAsia="仿宋" w:cs="仿宋"/>
          <w:color w:val="auto"/>
          <w:kern w:val="0"/>
          <w:szCs w:val="32"/>
        </w:rPr>
        <w:t>奖金</w:t>
      </w:r>
      <w:r>
        <w:rPr>
          <w:rFonts w:hint="eastAsia" w:ascii="仿宋" w:hAnsi="仿宋" w:eastAsia="仿宋" w:cs="仿宋"/>
          <w:color w:val="auto"/>
          <w:szCs w:val="32"/>
        </w:rPr>
        <w:t>、机关事业单位基本养老保险缴费、职工基本医疗保险缴费、其他</w:t>
      </w:r>
      <w:r>
        <w:rPr>
          <w:rFonts w:hint="eastAsia" w:ascii="仿宋" w:hAnsi="仿宋" w:eastAsia="仿宋" w:cs="仿宋"/>
          <w:color w:val="auto"/>
          <w:kern w:val="0"/>
          <w:szCs w:val="32"/>
        </w:rPr>
        <w:t>社会保障缴费</w:t>
      </w:r>
      <w:r>
        <w:rPr>
          <w:rFonts w:hint="eastAsia" w:ascii="仿宋" w:hAnsi="仿宋" w:eastAsia="仿宋" w:cs="仿宋"/>
          <w:color w:val="auto"/>
          <w:szCs w:val="32"/>
        </w:rPr>
        <w:t>、</w:t>
      </w:r>
      <w:r>
        <w:rPr>
          <w:rFonts w:hint="eastAsia" w:ascii="仿宋" w:hAnsi="仿宋" w:eastAsia="仿宋" w:cs="仿宋"/>
          <w:color w:val="auto"/>
          <w:kern w:val="0"/>
          <w:szCs w:val="32"/>
        </w:rPr>
        <w:t>住房公积金</w:t>
      </w:r>
      <w:r>
        <w:rPr>
          <w:rFonts w:hint="eastAsia" w:ascii="仿宋" w:hAnsi="仿宋" w:eastAsia="仿宋" w:cs="仿宋"/>
          <w:color w:val="auto"/>
          <w:szCs w:val="32"/>
        </w:rPr>
        <w:t>、</w:t>
      </w:r>
      <w:r>
        <w:rPr>
          <w:rFonts w:hint="eastAsia" w:ascii="仿宋" w:hAnsi="仿宋" w:eastAsia="仿宋" w:cs="仿宋"/>
          <w:color w:val="auto"/>
          <w:kern w:val="0"/>
          <w:szCs w:val="32"/>
        </w:rPr>
        <w:t>医疗费、其他工资福利支出</w:t>
      </w:r>
      <w:r>
        <w:rPr>
          <w:rFonts w:hint="eastAsia" w:ascii="仿宋" w:hAnsi="仿宋" w:eastAsia="仿宋" w:cs="仿宋"/>
          <w:color w:val="auto"/>
          <w:szCs w:val="32"/>
        </w:rPr>
        <w:t>、</w:t>
      </w:r>
      <w:r>
        <w:rPr>
          <w:rFonts w:hint="eastAsia" w:ascii="仿宋" w:hAnsi="仿宋" w:eastAsia="仿宋" w:cs="仿宋"/>
          <w:color w:val="auto"/>
          <w:kern w:val="0"/>
          <w:szCs w:val="32"/>
        </w:rPr>
        <w:t>离休费</w:t>
      </w:r>
      <w:r>
        <w:rPr>
          <w:rFonts w:hint="eastAsia" w:ascii="仿宋" w:hAnsi="仿宋" w:eastAsia="仿宋" w:cs="仿宋"/>
          <w:color w:val="auto"/>
          <w:szCs w:val="32"/>
        </w:rPr>
        <w:t>、</w:t>
      </w:r>
      <w:r>
        <w:rPr>
          <w:rFonts w:hint="eastAsia" w:ascii="仿宋" w:hAnsi="仿宋" w:eastAsia="仿宋" w:cs="仿宋"/>
          <w:color w:val="auto"/>
          <w:kern w:val="0"/>
          <w:szCs w:val="32"/>
        </w:rPr>
        <w:t>退休费</w:t>
      </w:r>
      <w:r>
        <w:rPr>
          <w:rFonts w:hint="eastAsia" w:ascii="仿宋" w:hAnsi="仿宋" w:eastAsia="仿宋" w:cs="仿宋"/>
          <w:color w:val="auto"/>
          <w:szCs w:val="32"/>
        </w:rPr>
        <w:t>、</w:t>
      </w:r>
      <w:r>
        <w:rPr>
          <w:rFonts w:hint="eastAsia" w:ascii="仿宋" w:hAnsi="仿宋" w:eastAsia="仿宋" w:cs="仿宋"/>
          <w:color w:val="auto"/>
          <w:kern w:val="0"/>
          <w:szCs w:val="32"/>
        </w:rPr>
        <w:t>其他对个人和家庭的补助。</w:t>
      </w:r>
    </w:p>
    <w:p>
      <w:pPr>
        <w:ind w:firstLine="640" w:firstLineChars="200"/>
        <w:rPr>
          <w:rFonts w:hint="eastAsia" w:ascii="仿宋" w:hAnsi="仿宋" w:eastAsia="仿宋" w:cs="仿宋"/>
          <w:szCs w:val="32"/>
        </w:rPr>
      </w:pPr>
      <w:r>
        <w:rPr>
          <w:rFonts w:hint="eastAsia" w:ascii="仿宋" w:hAnsi="仿宋" w:eastAsia="仿宋" w:cs="仿宋"/>
          <w:kern w:val="0"/>
          <w:szCs w:val="32"/>
        </w:rPr>
        <w:t>公用经费</w:t>
      </w:r>
      <w:r>
        <w:rPr>
          <w:rFonts w:hint="eastAsia" w:ascii="仿宋" w:hAnsi="仿宋" w:eastAsia="仿宋" w:cs="仿宋"/>
          <w:szCs w:val="32"/>
          <w:lang w:val="en-US" w:eastAsia="zh-CN"/>
        </w:rPr>
        <w:t>27.69</w:t>
      </w:r>
      <w:r>
        <w:rPr>
          <w:rFonts w:hint="eastAsia" w:ascii="仿宋" w:hAnsi="仿宋" w:eastAsia="仿宋" w:cs="仿宋"/>
          <w:szCs w:val="32"/>
        </w:rPr>
        <w:t>万元，主要包括：</w:t>
      </w:r>
      <w:r>
        <w:rPr>
          <w:rFonts w:hint="eastAsia" w:ascii="仿宋" w:hAnsi="仿宋" w:eastAsia="仿宋" w:cs="仿宋"/>
          <w:kern w:val="0"/>
          <w:szCs w:val="32"/>
        </w:rPr>
        <w:t>办公费</w:t>
      </w:r>
      <w:r>
        <w:rPr>
          <w:rFonts w:hint="eastAsia" w:ascii="仿宋" w:hAnsi="仿宋" w:eastAsia="仿宋" w:cs="仿宋"/>
          <w:szCs w:val="32"/>
        </w:rPr>
        <w:t>、</w:t>
      </w:r>
      <w:r>
        <w:rPr>
          <w:rFonts w:hint="eastAsia" w:ascii="仿宋" w:hAnsi="仿宋" w:eastAsia="仿宋" w:cs="仿宋"/>
          <w:kern w:val="0"/>
          <w:szCs w:val="32"/>
        </w:rPr>
        <w:t>印刷费</w:t>
      </w:r>
      <w:r>
        <w:rPr>
          <w:rFonts w:hint="eastAsia" w:ascii="仿宋" w:hAnsi="仿宋" w:eastAsia="仿宋" w:cs="仿宋"/>
          <w:szCs w:val="32"/>
        </w:rPr>
        <w:t>、</w:t>
      </w:r>
      <w:r>
        <w:rPr>
          <w:rFonts w:hint="eastAsia" w:ascii="仿宋" w:hAnsi="仿宋" w:eastAsia="仿宋" w:cs="仿宋"/>
          <w:kern w:val="0"/>
          <w:szCs w:val="32"/>
        </w:rPr>
        <w:t>邮电费</w:t>
      </w:r>
      <w:r>
        <w:rPr>
          <w:rFonts w:hint="eastAsia" w:ascii="仿宋" w:hAnsi="仿宋" w:eastAsia="仿宋" w:cs="仿宋"/>
          <w:szCs w:val="32"/>
        </w:rPr>
        <w:t>、</w:t>
      </w:r>
      <w:r>
        <w:rPr>
          <w:rFonts w:hint="eastAsia" w:ascii="仿宋" w:hAnsi="仿宋" w:eastAsia="仿宋" w:cs="仿宋"/>
          <w:kern w:val="0"/>
          <w:szCs w:val="32"/>
        </w:rPr>
        <w:t>差旅费</w:t>
      </w:r>
      <w:r>
        <w:rPr>
          <w:rFonts w:hint="eastAsia" w:ascii="仿宋" w:hAnsi="仿宋" w:eastAsia="仿宋" w:cs="仿宋"/>
          <w:szCs w:val="32"/>
        </w:rPr>
        <w:t>、</w:t>
      </w:r>
      <w:r>
        <w:rPr>
          <w:rFonts w:hint="eastAsia" w:ascii="仿宋" w:hAnsi="仿宋" w:eastAsia="仿宋" w:cs="仿宋"/>
          <w:kern w:val="0"/>
          <w:szCs w:val="32"/>
        </w:rPr>
        <w:t>培训费</w:t>
      </w:r>
      <w:r>
        <w:rPr>
          <w:rFonts w:hint="eastAsia" w:ascii="仿宋" w:hAnsi="仿宋" w:eastAsia="仿宋" w:cs="仿宋"/>
          <w:szCs w:val="32"/>
        </w:rPr>
        <w:t>、</w:t>
      </w:r>
      <w:r>
        <w:rPr>
          <w:rFonts w:hint="eastAsia" w:ascii="仿宋" w:hAnsi="仿宋" w:eastAsia="仿宋" w:cs="仿宋"/>
          <w:kern w:val="0"/>
          <w:szCs w:val="32"/>
        </w:rPr>
        <w:t>工会经费、福利费</w:t>
      </w:r>
      <w:r>
        <w:rPr>
          <w:rFonts w:hint="eastAsia" w:ascii="仿宋" w:hAnsi="仿宋" w:eastAsia="仿宋" w:cs="仿宋"/>
          <w:szCs w:val="32"/>
        </w:rPr>
        <w:t>、</w:t>
      </w:r>
      <w:r>
        <w:rPr>
          <w:rFonts w:hint="eastAsia" w:ascii="仿宋" w:hAnsi="仿宋" w:eastAsia="仿宋" w:cs="仿宋"/>
          <w:kern w:val="0"/>
          <w:szCs w:val="32"/>
        </w:rPr>
        <w:t>其他交通</w:t>
      </w:r>
      <w:r>
        <w:rPr>
          <w:rFonts w:hint="eastAsia" w:ascii="仿宋" w:hAnsi="仿宋" w:eastAsia="仿宋" w:cs="仿宋"/>
          <w:kern w:val="0"/>
          <w:szCs w:val="32"/>
          <w:lang w:val="en-US" w:eastAsia="zh-CN"/>
        </w:rPr>
        <w:t>费用</w:t>
      </w:r>
      <w:r>
        <w:rPr>
          <w:rFonts w:hint="eastAsia" w:ascii="仿宋" w:hAnsi="仿宋" w:eastAsia="仿宋" w:cs="仿宋"/>
          <w:szCs w:val="32"/>
        </w:rPr>
        <w:t>、</w:t>
      </w:r>
      <w:r>
        <w:rPr>
          <w:rFonts w:hint="eastAsia" w:ascii="仿宋" w:hAnsi="仿宋" w:eastAsia="仿宋" w:cs="仿宋"/>
          <w:kern w:val="0"/>
          <w:szCs w:val="32"/>
        </w:rPr>
        <w:t>其他商品和服务支出</w:t>
      </w:r>
      <w:r>
        <w:rPr>
          <w:rFonts w:hint="eastAsia" w:ascii="仿宋" w:hAnsi="仿宋" w:eastAsia="仿宋" w:cs="仿宋"/>
          <w:kern w:val="0"/>
          <w:szCs w:val="32"/>
          <w:lang w:eastAsia="zh-CN"/>
        </w:rPr>
        <w:t>、办公设备购置</w:t>
      </w:r>
      <w:r>
        <w:rPr>
          <w:rFonts w:hint="eastAsia" w:ascii="仿宋" w:hAnsi="仿宋" w:eastAsia="仿宋" w:cs="仿宋"/>
          <w:kern w:val="0"/>
          <w:szCs w:val="32"/>
        </w:rPr>
        <w:t>。</w:t>
      </w:r>
    </w:p>
    <w:p>
      <w:pPr>
        <w:ind w:firstLine="640" w:firstLineChars="200"/>
        <w:rPr>
          <w:rFonts w:hint="default" w:ascii="Times New Roman" w:hAnsi="Times New Roman" w:eastAsia="黑体" w:cs="Times New Roman"/>
          <w:szCs w:val="30"/>
        </w:rPr>
      </w:pPr>
      <w:r>
        <w:rPr>
          <w:rFonts w:hint="default" w:ascii="黑体" w:hAnsi="黑体" w:eastAsia="黑体" w:cs="黑体"/>
          <w:szCs w:val="32"/>
        </w:rPr>
        <w:t>七、202</w:t>
      </w:r>
      <w:r>
        <w:rPr>
          <w:rFonts w:hint="default" w:ascii="黑体" w:hAnsi="黑体" w:eastAsia="黑体" w:cs="黑体"/>
          <w:szCs w:val="32"/>
          <w:lang w:val="en-US" w:eastAsia="zh-CN"/>
        </w:rPr>
        <w:t>4</w:t>
      </w:r>
      <w:r>
        <w:rPr>
          <w:rFonts w:hint="default" w:ascii="黑体" w:hAnsi="黑体" w:eastAsia="黑体" w:cs="黑体"/>
          <w:szCs w:val="32"/>
        </w:rPr>
        <w:t>年一般公共预算财政拨款“三公”经费情况</w:t>
      </w:r>
    </w:p>
    <w:p>
      <w:pPr>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年“三公”经费预算数为</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与2023年当年预算数持平</w:t>
      </w:r>
      <w:r>
        <w:rPr>
          <w:rFonts w:hint="eastAsia" w:ascii="仿宋" w:hAnsi="仿宋" w:eastAsia="仿宋" w:cs="仿宋"/>
          <w:szCs w:val="32"/>
        </w:rPr>
        <w:t>。其中：</w:t>
      </w:r>
    </w:p>
    <w:p>
      <w:pPr>
        <w:ind w:firstLine="640" w:firstLineChars="200"/>
        <w:jc w:val="both"/>
        <w:rPr>
          <w:rFonts w:hint="eastAsia" w:ascii="仿宋" w:hAnsi="仿宋" w:eastAsia="仿宋" w:cs="仿宋"/>
          <w:szCs w:val="32"/>
          <w:lang w:val="en-US" w:eastAsia="zh-CN"/>
        </w:rPr>
      </w:pPr>
      <w:r>
        <w:rPr>
          <w:rFonts w:hint="eastAsia" w:ascii="仿宋" w:hAnsi="仿宋" w:eastAsia="仿宋" w:cs="仿宋"/>
          <w:szCs w:val="32"/>
        </w:rPr>
        <w:t>1.因公出国（境）费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与2023年当年预算数持平</w:t>
      </w:r>
      <w:r>
        <w:rPr>
          <w:rFonts w:hint="eastAsia" w:ascii="仿宋" w:hAnsi="仿宋" w:eastAsia="仿宋" w:cs="仿宋"/>
          <w:szCs w:val="32"/>
        </w:rPr>
        <w:t>。</w:t>
      </w:r>
    </w:p>
    <w:p>
      <w:pPr>
        <w:ind w:firstLine="640" w:firstLineChars="200"/>
        <w:rPr>
          <w:rFonts w:hint="eastAsia" w:ascii="仿宋" w:hAnsi="仿宋" w:eastAsia="仿宋" w:cs="仿宋"/>
          <w:szCs w:val="32"/>
          <w:lang w:eastAsia="zh-CN"/>
        </w:rPr>
      </w:pPr>
      <w:r>
        <w:rPr>
          <w:rFonts w:hint="eastAsia" w:ascii="仿宋" w:hAnsi="仿宋" w:eastAsia="仿宋" w:cs="仿宋"/>
          <w:szCs w:val="32"/>
        </w:rPr>
        <w:t>2.公务接待费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与2023年当年预算数持平</w:t>
      </w:r>
      <w:r>
        <w:rPr>
          <w:rFonts w:hint="eastAsia" w:ascii="仿宋" w:hAnsi="仿宋" w:eastAsia="仿宋" w:cs="仿宋"/>
          <w:szCs w:val="32"/>
        </w:rPr>
        <w:t>。</w:t>
      </w:r>
    </w:p>
    <w:p>
      <w:pPr>
        <w:ind w:firstLine="640" w:firstLineChars="200"/>
        <w:jc w:val="both"/>
        <w:rPr>
          <w:rFonts w:hint="eastAsia" w:ascii="仿宋" w:hAnsi="仿宋" w:eastAsia="仿宋" w:cs="仿宋"/>
          <w:szCs w:val="32"/>
          <w:lang w:val="en-US" w:eastAsia="zh-CN"/>
        </w:rPr>
      </w:pPr>
      <w:r>
        <w:rPr>
          <w:rFonts w:hint="eastAsia" w:ascii="仿宋" w:hAnsi="仿宋" w:eastAsia="仿宋" w:cs="仿宋"/>
          <w:szCs w:val="32"/>
        </w:rPr>
        <w:t>3.公务用车购置及运行费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与2023年当年预算数持平</w:t>
      </w:r>
      <w:r>
        <w:rPr>
          <w:rFonts w:hint="eastAsia" w:ascii="仿宋" w:hAnsi="仿宋" w:eastAsia="仿宋" w:cs="仿宋"/>
          <w:szCs w:val="32"/>
        </w:rPr>
        <w:t>。</w:t>
      </w:r>
    </w:p>
    <w:p>
      <w:pPr>
        <w:ind w:firstLine="640" w:firstLineChars="200"/>
        <w:rPr>
          <w:rFonts w:hint="default" w:ascii="黑体" w:hAnsi="黑体" w:eastAsia="黑体" w:cs="黑体"/>
          <w:szCs w:val="32"/>
        </w:rPr>
      </w:pPr>
      <w:r>
        <w:rPr>
          <w:rFonts w:hint="default" w:ascii="黑体" w:hAnsi="黑体" w:eastAsia="黑体" w:cs="黑体"/>
          <w:szCs w:val="32"/>
        </w:rPr>
        <w:t>八、202</w:t>
      </w:r>
      <w:r>
        <w:rPr>
          <w:rFonts w:hint="default" w:ascii="黑体" w:hAnsi="黑体" w:eastAsia="黑体" w:cs="黑体"/>
          <w:szCs w:val="32"/>
          <w:lang w:val="en-US" w:eastAsia="zh-CN"/>
        </w:rPr>
        <w:t>4</w:t>
      </w:r>
      <w:r>
        <w:rPr>
          <w:rFonts w:hint="default" w:ascii="黑体" w:hAnsi="黑体" w:eastAsia="黑体" w:cs="黑体"/>
          <w:szCs w:val="32"/>
        </w:rPr>
        <w:t>年政府性基金预算支出情况</w:t>
      </w:r>
    </w:p>
    <w:p>
      <w:pPr>
        <w:spacing w:line="240" w:lineRule="auto"/>
        <w:ind w:firstLine="640"/>
        <w:rPr>
          <w:rFonts w:hint="default" w:ascii="Times New Roman" w:hAnsi="Times New Roman" w:eastAsia="方正仿宋_GBK" w:cs="Times New Roman"/>
          <w:color w:val="auto"/>
          <w:szCs w:val="32"/>
        </w:rPr>
      </w:pPr>
      <w:r>
        <w:rPr>
          <w:rFonts w:hint="eastAsia" w:ascii="仿宋" w:hAnsi="仿宋" w:eastAsia="仿宋" w:cs="仿宋"/>
          <w:color w:val="auto"/>
          <w:szCs w:val="32"/>
        </w:rPr>
        <w:t>本单位无政府性基金预算拨款。</w:t>
      </w:r>
    </w:p>
    <w:p>
      <w:pPr>
        <w:ind w:firstLine="640" w:firstLineChars="200"/>
        <w:rPr>
          <w:rFonts w:hint="default" w:ascii="Times New Roman" w:hAnsi="Times New Roman" w:eastAsia="黑体" w:cs="Times New Roman"/>
          <w:szCs w:val="32"/>
        </w:rPr>
      </w:pPr>
      <w:r>
        <w:rPr>
          <w:rFonts w:hint="default" w:ascii="黑体" w:hAnsi="黑体" w:eastAsia="黑体" w:cs="黑体"/>
          <w:szCs w:val="32"/>
        </w:rPr>
        <w:t>九、202</w:t>
      </w:r>
      <w:r>
        <w:rPr>
          <w:rFonts w:hint="default" w:ascii="黑体" w:hAnsi="黑体" w:eastAsia="黑体" w:cs="黑体"/>
          <w:szCs w:val="32"/>
          <w:lang w:val="en-US" w:eastAsia="zh-CN"/>
        </w:rPr>
        <w:t>4</w:t>
      </w:r>
      <w:r>
        <w:rPr>
          <w:rFonts w:hint="default" w:ascii="黑体" w:hAnsi="黑体" w:eastAsia="黑体" w:cs="黑体"/>
          <w:szCs w:val="32"/>
        </w:rPr>
        <w:t>年国有资本经营预算支出情况</w:t>
      </w:r>
    </w:p>
    <w:p>
      <w:pPr>
        <w:spacing w:line="240" w:lineRule="auto"/>
        <w:ind w:firstLine="640"/>
        <w:rPr>
          <w:rFonts w:hint="eastAsia" w:ascii="仿宋" w:hAnsi="仿宋" w:eastAsia="仿宋" w:cs="仿宋"/>
          <w:color w:val="auto"/>
          <w:szCs w:val="32"/>
        </w:rPr>
      </w:pPr>
      <w:r>
        <w:rPr>
          <w:rFonts w:hint="eastAsia" w:ascii="仿宋" w:hAnsi="仿宋" w:eastAsia="仿宋" w:cs="仿宋"/>
          <w:color w:val="auto"/>
          <w:szCs w:val="32"/>
        </w:rPr>
        <w:t>本单位无国有资本经营预算拨款。</w:t>
      </w:r>
    </w:p>
    <w:p>
      <w:pPr>
        <w:ind w:firstLine="640"/>
        <w:rPr>
          <w:rFonts w:hint="default" w:ascii="Times New Roman" w:hAnsi="Times New Roman" w:eastAsia="黑体" w:cs="Times New Roman"/>
          <w:szCs w:val="32"/>
        </w:rPr>
      </w:pPr>
      <w:r>
        <w:rPr>
          <w:rFonts w:hint="default" w:ascii="黑体" w:hAnsi="黑体" w:eastAsia="黑体" w:cs="黑体"/>
          <w:szCs w:val="32"/>
        </w:rPr>
        <w:t>十、其他重要事项的说明情况</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（一）机关运行经费</w:t>
      </w:r>
    </w:p>
    <w:p>
      <w:pPr>
        <w:spacing w:line="240" w:lineRule="auto"/>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color w:val="auto"/>
          <w:szCs w:val="32"/>
          <w:highlight w:val="none"/>
        </w:rPr>
        <w:t>伊通满族自治县统计局1家行政单位的机关运行经费</w:t>
      </w:r>
      <w:r>
        <w:rPr>
          <w:rFonts w:hint="eastAsia" w:ascii="仿宋" w:hAnsi="仿宋" w:eastAsia="仿宋" w:cs="仿宋"/>
          <w:szCs w:val="32"/>
        </w:rPr>
        <w:t>财政拨款预算</w:t>
      </w:r>
      <w:r>
        <w:rPr>
          <w:rFonts w:hint="eastAsia" w:ascii="仿宋" w:hAnsi="仿宋" w:eastAsia="仿宋" w:cs="仿宋"/>
          <w:szCs w:val="32"/>
          <w:lang w:val="en-US" w:eastAsia="zh-CN"/>
        </w:rPr>
        <w:t>27.69</w:t>
      </w:r>
      <w:r>
        <w:rPr>
          <w:rFonts w:hint="eastAsia" w:ascii="仿宋" w:hAnsi="仿宋" w:eastAsia="仿宋" w:cs="仿宋"/>
          <w:szCs w:val="32"/>
        </w:rPr>
        <w:t>万元，比202</w:t>
      </w:r>
      <w:r>
        <w:rPr>
          <w:rFonts w:hint="eastAsia" w:ascii="仿宋" w:hAnsi="仿宋" w:eastAsia="仿宋" w:cs="仿宋"/>
          <w:szCs w:val="32"/>
          <w:lang w:val="en-US" w:eastAsia="zh-CN"/>
        </w:rPr>
        <w:t>3</w:t>
      </w:r>
      <w:r>
        <w:rPr>
          <w:rFonts w:hint="eastAsia" w:ascii="仿宋" w:hAnsi="仿宋" w:eastAsia="仿宋" w:cs="仿宋"/>
          <w:szCs w:val="32"/>
        </w:rPr>
        <w:t>年预算减少</w:t>
      </w:r>
      <w:r>
        <w:rPr>
          <w:rFonts w:hint="eastAsia" w:ascii="仿宋" w:hAnsi="仿宋" w:eastAsia="仿宋" w:cs="仿宋"/>
          <w:szCs w:val="32"/>
          <w:lang w:val="en-US" w:eastAsia="zh-CN"/>
        </w:rPr>
        <w:t>3.91</w:t>
      </w:r>
      <w:r>
        <w:rPr>
          <w:rFonts w:hint="eastAsia" w:ascii="仿宋" w:hAnsi="仿宋" w:eastAsia="仿宋" w:cs="仿宋"/>
          <w:szCs w:val="32"/>
        </w:rPr>
        <w:t>万元，下降</w:t>
      </w:r>
      <w:r>
        <w:rPr>
          <w:rFonts w:hint="eastAsia" w:ascii="仿宋" w:hAnsi="仿宋" w:eastAsia="仿宋" w:cs="仿宋"/>
          <w:szCs w:val="32"/>
          <w:lang w:val="en-US" w:eastAsia="zh-CN"/>
        </w:rPr>
        <w:t>12.37</w:t>
      </w:r>
      <w:r>
        <w:rPr>
          <w:rFonts w:hint="eastAsia" w:ascii="仿宋" w:hAnsi="仿宋" w:eastAsia="仿宋" w:cs="仿宋"/>
          <w:szCs w:val="32"/>
        </w:rPr>
        <w:t>%，主要原因是</w:t>
      </w:r>
      <w:r>
        <w:rPr>
          <w:rFonts w:hint="eastAsia" w:ascii="仿宋" w:hAnsi="仿宋" w:eastAsia="仿宋" w:cs="仿宋"/>
          <w:color w:val="auto"/>
          <w:szCs w:val="32"/>
          <w:highlight w:val="none"/>
          <w:lang w:val="en-US" w:eastAsia="zh-CN"/>
        </w:rPr>
        <w:t>为落实</w:t>
      </w:r>
      <w:r>
        <w:rPr>
          <w:rFonts w:hint="eastAsia" w:ascii="仿宋" w:hAnsi="仿宋" w:eastAsia="仿宋" w:cs="仿宋"/>
          <w:color w:val="auto"/>
          <w:szCs w:val="32"/>
          <w:lang w:val="en-US" w:eastAsia="zh-CN"/>
        </w:rPr>
        <w:t>过“紧日子”有关要求，合理优化机关运行经费支出，当年预算减少。</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（二）政府采购情况</w:t>
      </w:r>
    </w:p>
    <w:p>
      <w:pPr>
        <w:spacing w:line="540" w:lineRule="exact"/>
        <w:ind w:firstLine="640" w:firstLineChars="200"/>
        <w:rPr>
          <w:rFonts w:hint="default" w:ascii="Times New Roman" w:hAnsi="Times New Roman" w:cs="Times New Roman"/>
          <w:szCs w:val="32"/>
        </w:rPr>
      </w:pPr>
      <w:r>
        <w:rPr>
          <w:rFonts w:hint="eastAsia" w:ascii="仿宋" w:hAnsi="仿宋" w:eastAsia="仿宋" w:cs="仿宋"/>
          <w:color w:val="auto"/>
          <w:szCs w:val="32"/>
        </w:rPr>
        <w:t>202</w:t>
      </w:r>
      <w:r>
        <w:rPr>
          <w:rFonts w:hint="eastAsia" w:ascii="仿宋" w:hAnsi="仿宋" w:eastAsia="仿宋" w:cs="仿宋"/>
          <w:color w:val="auto"/>
          <w:szCs w:val="32"/>
          <w:lang w:val="en-US" w:eastAsia="zh-CN"/>
        </w:rPr>
        <w:t>3</w:t>
      </w:r>
      <w:r>
        <w:rPr>
          <w:rFonts w:hint="eastAsia" w:ascii="仿宋" w:hAnsi="仿宋" w:eastAsia="仿宋" w:cs="仿宋"/>
          <w:color w:val="auto"/>
          <w:szCs w:val="32"/>
        </w:rPr>
        <w:t>年本单位无政府采购预算拨款。</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（三）国有资产占有使用情况</w:t>
      </w:r>
    </w:p>
    <w:p>
      <w:pPr>
        <w:spacing w:line="240" w:lineRule="auto"/>
        <w:ind w:firstLine="640" w:firstLineChars="200"/>
        <w:rPr>
          <w:rFonts w:hint="eastAsia" w:ascii="仿宋" w:hAnsi="仿宋" w:eastAsia="仿宋" w:cs="仿宋"/>
          <w:color w:val="auto"/>
          <w:szCs w:val="32"/>
        </w:rPr>
      </w:pPr>
      <w:r>
        <w:rPr>
          <w:rFonts w:hint="eastAsia" w:ascii="仿宋" w:hAnsi="仿宋" w:eastAsia="仿宋" w:cs="仿宋"/>
          <w:szCs w:val="32"/>
        </w:rPr>
        <w:t>截至202</w:t>
      </w:r>
      <w:r>
        <w:rPr>
          <w:rFonts w:hint="eastAsia" w:ascii="仿宋" w:hAnsi="仿宋" w:eastAsia="仿宋" w:cs="仿宋"/>
          <w:szCs w:val="32"/>
          <w:lang w:val="en-US" w:eastAsia="zh-CN"/>
        </w:rPr>
        <w:t>3</w:t>
      </w:r>
      <w:r>
        <w:rPr>
          <w:rFonts w:hint="eastAsia" w:ascii="仿宋" w:hAnsi="仿宋" w:eastAsia="仿宋" w:cs="仿宋"/>
          <w:szCs w:val="32"/>
        </w:rPr>
        <w:t>年8月底，</w:t>
      </w:r>
      <w:r>
        <w:rPr>
          <w:rFonts w:hint="eastAsia" w:ascii="仿宋" w:hAnsi="仿宋" w:eastAsia="仿宋" w:cs="仿宋"/>
          <w:color w:val="auto"/>
          <w:szCs w:val="32"/>
          <w:lang w:val="en-US" w:eastAsia="zh-CN"/>
        </w:rPr>
        <w:t>本单位</w:t>
      </w:r>
      <w:r>
        <w:rPr>
          <w:rFonts w:hint="eastAsia" w:ascii="仿宋" w:hAnsi="仿宋" w:eastAsia="仿宋" w:cs="仿宋"/>
          <w:color w:val="auto"/>
          <w:szCs w:val="32"/>
        </w:rPr>
        <w:t>共有</w:t>
      </w:r>
      <w:r>
        <w:rPr>
          <w:rFonts w:hint="eastAsia" w:ascii="仿宋" w:hAnsi="仿宋" w:eastAsia="仿宋" w:cs="仿宋"/>
          <w:szCs w:val="32"/>
        </w:rPr>
        <w:t>车辆</w:t>
      </w:r>
      <w:r>
        <w:rPr>
          <w:rFonts w:hint="eastAsia" w:ascii="仿宋" w:hAnsi="仿宋" w:eastAsia="仿宋" w:cs="仿宋"/>
          <w:szCs w:val="32"/>
          <w:lang w:val="en-US" w:eastAsia="zh-CN"/>
        </w:rPr>
        <w:t>0</w:t>
      </w:r>
      <w:r>
        <w:rPr>
          <w:rFonts w:hint="eastAsia" w:ascii="仿宋" w:hAnsi="仿宋" w:eastAsia="仿宋" w:cs="仿宋"/>
          <w:szCs w:val="32"/>
        </w:rPr>
        <w:t>辆，土地</w:t>
      </w:r>
      <w:r>
        <w:rPr>
          <w:rFonts w:hint="eastAsia" w:ascii="仿宋" w:hAnsi="仿宋" w:eastAsia="仿宋" w:cs="仿宋"/>
          <w:szCs w:val="32"/>
          <w:lang w:val="en-US" w:eastAsia="zh-CN"/>
        </w:rPr>
        <w:t>0</w:t>
      </w:r>
      <w:r>
        <w:rPr>
          <w:rFonts w:hint="eastAsia" w:ascii="仿宋" w:hAnsi="仿宋" w:eastAsia="仿宋" w:cs="仿宋"/>
          <w:szCs w:val="32"/>
        </w:rPr>
        <w:t>平方米，房屋</w:t>
      </w:r>
      <w:r>
        <w:rPr>
          <w:rFonts w:hint="eastAsia" w:ascii="仿宋" w:hAnsi="仿宋" w:eastAsia="仿宋" w:cs="仿宋"/>
          <w:szCs w:val="32"/>
          <w:lang w:val="en-US" w:eastAsia="zh-CN"/>
        </w:rPr>
        <w:t>0</w:t>
      </w:r>
      <w:r>
        <w:rPr>
          <w:rFonts w:hint="eastAsia" w:ascii="仿宋" w:hAnsi="仿宋" w:eastAsia="仿宋" w:cs="仿宋"/>
          <w:szCs w:val="32"/>
        </w:rPr>
        <w:t>平方米，</w:t>
      </w:r>
      <w:r>
        <w:rPr>
          <w:rFonts w:hint="eastAsia" w:ascii="仿宋" w:hAnsi="仿宋" w:eastAsia="仿宋" w:cs="仿宋"/>
          <w:color w:val="auto"/>
          <w:szCs w:val="32"/>
        </w:rPr>
        <w:t>单价50万元及以上设备0台/套。</w:t>
      </w:r>
    </w:p>
    <w:p>
      <w:pPr>
        <w:spacing w:line="240" w:lineRule="auto"/>
        <w:ind w:firstLine="640" w:firstLineChars="200"/>
        <w:rPr>
          <w:rFonts w:hint="eastAsia" w:ascii="仿宋" w:hAnsi="仿宋" w:eastAsia="仿宋" w:cs="仿宋"/>
          <w:color w:val="auto"/>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单位</w:t>
      </w:r>
      <w:r>
        <w:rPr>
          <w:rFonts w:hint="eastAsia" w:ascii="仿宋" w:hAnsi="仿宋" w:eastAsia="仿宋" w:cs="仿宋"/>
          <w:szCs w:val="32"/>
        </w:rPr>
        <w:t>预算安排购置车辆</w:t>
      </w:r>
      <w:r>
        <w:rPr>
          <w:rFonts w:hint="eastAsia" w:ascii="仿宋" w:hAnsi="仿宋" w:eastAsia="仿宋" w:cs="仿宋"/>
          <w:szCs w:val="32"/>
          <w:lang w:val="en-US" w:eastAsia="zh-CN"/>
        </w:rPr>
        <w:t>0</w:t>
      </w:r>
      <w:r>
        <w:rPr>
          <w:rFonts w:hint="eastAsia" w:ascii="仿宋" w:hAnsi="仿宋" w:eastAsia="仿宋" w:cs="仿宋"/>
          <w:szCs w:val="32"/>
        </w:rPr>
        <w:t>辆，安排购置土地</w:t>
      </w:r>
      <w:r>
        <w:rPr>
          <w:rFonts w:hint="eastAsia" w:ascii="仿宋" w:hAnsi="仿宋" w:eastAsia="仿宋" w:cs="仿宋"/>
          <w:szCs w:val="32"/>
          <w:lang w:val="en-US" w:eastAsia="zh-CN"/>
        </w:rPr>
        <w:t>0</w:t>
      </w:r>
      <w:r>
        <w:rPr>
          <w:rFonts w:hint="eastAsia" w:ascii="仿宋" w:hAnsi="仿宋" w:eastAsia="仿宋" w:cs="仿宋"/>
          <w:szCs w:val="32"/>
        </w:rPr>
        <w:t>平方米，安排购置房屋</w:t>
      </w:r>
      <w:r>
        <w:rPr>
          <w:rFonts w:hint="eastAsia" w:ascii="仿宋" w:hAnsi="仿宋" w:eastAsia="仿宋" w:cs="仿宋"/>
          <w:szCs w:val="32"/>
          <w:lang w:val="en-US" w:eastAsia="zh-CN"/>
        </w:rPr>
        <w:t>0</w:t>
      </w:r>
      <w:r>
        <w:rPr>
          <w:rFonts w:hint="eastAsia" w:ascii="仿宋" w:hAnsi="仿宋" w:eastAsia="仿宋" w:cs="仿宋"/>
          <w:szCs w:val="32"/>
        </w:rPr>
        <w:t>平方米，计划新增单价50万元及以上设备</w:t>
      </w:r>
      <w:r>
        <w:rPr>
          <w:rFonts w:hint="eastAsia" w:ascii="仿宋" w:hAnsi="仿宋" w:eastAsia="仿宋" w:cs="仿宋"/>
          <w:szCs w:val="32"/>
          <w:lang w:val="en-US" w:eastAsia="zh-CN"/>
        </w:rPr>
        <w:t>0</w:t>
      </w:r>
      <w:r>
        <w:rPr>
          <w:rFonts w:hint="eastAsia" w:ascii="仿宋" w:hAnsi="仿宋" w:eastAsia="仿宋" w:cs="仿宋"/>
          <w:szCs w:val="32"/>
        </w:rPr>
        <w:t>台/套</w:t>
      </w:r>
      <w:r>
        <w:rPr>
          <w:rFonts w:hint="eastAsia" w:ascii="仿宋" w:hAnsi="仿宋" w:eastAsia="仿宋" w:cs="仿宋"/>
          <w:color w:val="auto"/>
          <w:szCs w:val="32"/>
        </w:rPr>
        <w:t>。</w:t>
      </w:r>
    </w:p>
    <w:p>
      <w:pPr>
        <w:numPr>
          <w:ilvl w:val="0"/>
          <w:numId w:val="0"/>
        </w:num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kern w:val="2"/>
          <w:sz w:val="32"/>
          <w:szCs w:val="32"/>
          <w:lang w:val="en-US" w:eastAsia="zh-CN" w:bidi="ar-SA"/>
        </w:rPr>
        <w:t>（四）</w:t>
      </w:r>
      <w:r>
        <w:rPr>
          <w:rFonts w:hint="default" w:ascii="Times New Roman" w:hAnsi="Times New Roman" w:eastAsia="楷体" w:cs="Times New Roman"/>
          <w:szCs w:val="32"/>
        </w:rPr>
        <w:t>项目支出情况说明</w:t>
      </w:r>
    </w:p>
    <w:p>
      <w:pPr>
        <w:spacing w:line="540" w:lineRule="exact"/>
        <w:ind w:firstLine="640" w:firstLineChars="200"/>
        <w:rPr>
          <w:rFonts w:hint="default" w:ascii="Times New Roman" w:hAnsi="Times New Roman" w:eastAsia="方正仿宋_GBK" w:cs="Times New Roman"/>
        </w:rPr>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年部门项目支出</w:t>
      </w:r>
      <w:r>
        <w:rPr>
          <w:rFonts w:hint="eastAsia" w:ascii="仿宋" w:hAnsi="仿宋" w:eastAsia="仿宋" w:cs="仿宋"/>
          <w:szCs w:val="32"/>
          <w:lang w:val="en-US" w:eastAsia="zh-CN"/>
        </w:rPr>
        <w:t>78.27</w:t>
      </w:r>
      <w:r>
        <w:rPr>
          <w:rFonts w:hint="eastAsia" w:ascii="仿宋" w:hAnsi="仿宋" w:eastAsia="仿宋" w:cs="仿宋"/>
          <w:szCs w:val="32"/>
        </w:rPr>
        <w:t>万元，其中：一级项目</w:t>
      </w:r>
      <w:r>
        <w:rPr>
          <w:rFonts w:hint="eastAsia" w:ascii="仿宋" w:hAnsi="仿宋" w:eastAsia="仿宋" w:cs="仿宋"/>
          <w:szCs w:val="32"/>
          <w:lang w:val="en-US" w:eastAsia="zh-CN"/>
        </w:rPr>
        <w:t>2</w:t>
      </w:r>
      <w:r>
        <w:rPr>
          <w:rFonts w:hint="eastAsia" w:ascii="仿宋" w:hAnsi="仿宋" w:eastAsia="仿宋" w:cs="仿宋"/>
          <w:szCs w:val="32"/>
        </w:rPr>
        <w:t>个，二级项目</w:t>
      </w:r>
      <w:r>
        <w:rPr>
          <w:rFonts w:hint="eastAsia" w:ascii="仿宋" w:hAnsi="仿宋" w:eastAsia="仿宋" w:cs="仿宋"/>
          <w:szCs w:val="32"/>
          <w:lang w:val="en-US" w:eastAsia="zh-CN"/>
        </w:rPr>
        <w:t>2</w:t>
      </w:r>
      <w:r>
        <w:rPr>
          <w:rFonts w:hint="eastAsia" w:ascii="仿宋" w:hAnsi="仿宋" w:eastAsia="仿宋" w:cs="仿宋"/>
          <w:szCs w:val="32"/>
        </w:rPr>
        <w:t>个；使用本年拨款</w:t>
      </w:r>
      <w:r>
        <w:rPr>
          <w:rFonts w:hint="eastAsia" w:ascii="仿宋" w:hAnsi="仿宋" w:eastAsia="仿宋" w:cs="仿宋"/>
          <w:szCs w:val="32"/>
          <w:lang w:val="en-US" w:eastAsia="zh-CN"/>
        </w:rPr>
        <w:t>76.72</w:t>
      </w:r>
      <w:r>
        <w:rPr>
          <w:rFonts w:hint="eastAsia" w:ascii="仿宋" w:hAnsi="仿宋" w:eastAsia="仿宋" w:cs="仿宋"/>
          <w:szCs w:val="32"/>
        </w:rPr>
        <w:t>万元，财政拨款结转</w:t>
      </w:r>
      <w:r>
        <w:rPr>
          <w:rFonts w:hint="eastAsia" w:ascii="仿宋" w:hAnsi="仿宋" w:eastAsia="仿宋" w:cs="仿宋"/>
          <w:szCs w:val="32"/>
          <w:lang w:val="en-US" w:eastAsia="zh-CN"/>
        </w:rPr>
        <w:t>1.55</w:t>
      </w:r>
      <w:r>
        <w:rPr>
          <w:rFonts w:hint="eastAsia" w:ascii="仿宋" w:hAnsi="仿宋" w:eastAsia="仿宋" w:cs="仿宋"/>
          <w:szCs w:val="32"/>
        </w:rPr>
        <w:t>万元。</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（五）项目支出绩效目标情况说明</w:t>
      </w:r>
    </w:p>
    <w:p>
      <w:pPr>
        <w:ind w:firstLine="645"/>
        <w:rPr>
          <w:rFonts w:hint="eastAsia" w:ascii="仿宋" w:hAnsi="仿宋" w:eastAsia="仿宋" w:cs="仿宋"/>
          <w:szCs w:val="32"/>
        </w:rPr>
      </w:pPr>
      <w:r>
        <w:rPr>
          <w:rFonts w:hint="eastAsia" w:ascii="仿宋" w:hAnsi="仿宋" w:eastAsia="仿宋" w:cs="仿宋"/>
        </w:rPr>
        <w:t>按照全面实施预算绩效管理的要求，结合本部门职能和重点工作，202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eastAsia="zh-CN"/>
        </w:rPr>
        <w:t>将</w:t>
      </w:r>
      <w:r>
        <w:rPr>
          <w:rFonts w:hint="eastAsia" w:ascii="仿宋" w:hAnsi="仿宋" w:eastAsia="仿宋" w:cs="仿宋"/>
          <w:szCs w:val="32"/>
          <w:lang w:val="en-US" w:eastAsia="zh-CN"/>
        </w:rPr>
        <w:t>2</w:t>
      </w:r>
      <w:r>
        <w:rPr>
          <w:rFonts w:hint="eastAsia" w:ascii="仿宋" w:hAnsi="仿宋" w:eastAsia="仿宋" w:cs="仿宋"/>
        </w:rPr>
        <w:t>个项目支出的绩效目标和指标向社会公开，涉及金额</w:t>
      </w:r>
      <w:r>
        <w:rPr>
          <w:rFonts w:hint="eastAsia" w:ascii="仿宋" w:hAnsi="仿宋" w:eastAsia="仿宋" w:cs="仿宋"/>
          <w:szCs w:val="32"/>
          <w:lang w:val="en-US" w:eastAsia="zh-CN"/>
        </w:rPr>
        <w:t>76.72</w:t>
      </w:r>
      <w:r>
        <w:rPr>
          <w:rFonts w:hint="eastAsia" w:ascii="仿宋" w:hAnsi="仿宋" w:eastAsia="仿宋" w:cs="仿宋"/>
        </w:rPr>
        <w:t>万元。</w:t>
      </w:r>
    </w:p>
    <w:p>
      <w:pPr>
        <w:spacing w:line="540" w:lineRule="exact"/>
        <w:ind w:firstLine="640" w:firstLineChars="200"/>
        <w:rPr>
          <w:rFonts w:hint="default" w:ascii="Times New Roman" w:hAnsi="Times New Roman" w:eastAsia="楷体" w:cs="Times New Roman"/>
          <w:szCs w:val="32"/>
        </w:rPr>
      </w:pP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rFonts w:hint="eastAsia" w:ascii="仿宋" w:hAnsi="仿宋" w:eastAsia="仿宋" w:cs="仿宋"/>
          <w:szCs w:val="32"/>
        </w:rPr>
      </w:pPr>
      <w:r>
        <w:rPr>
          <w:rFonts w:eastAsia="楷体"/>
          <w:szCs w:val="32"/>
        </w:rPr>
        <w:t>（一）一般公共预算拨款收入：</w:t>
      </w:r>
      <w:r>
        <w:rPr>
          <w:rFonts w:hint="eastAsia" w:ascii="仿宋" w:hAnsi="仿宋" w:eastAsia="仿宋" w:cs="仿宋"/>
          <w:szCs w:val="32"/>
        </w:rPr>
        <w:t>指省级财政通过当年一般公共预算拨付的资金。</w:t>
      </w:r>
    </w:p>
    <w:p>
      <w:pPr>
        <w:ind w:firstLine="640" w:firstLineChars="200"/>
        <w:rPr>
          <w:rFonts w:hint="eastAsia" w:ascii="仿宋" w:hAnsi="仿宋" w:eastAsia="仿宋" w:cs="仿宋"/>
          <w:szCs w:val="32"/>
        </w:rPr>
      </w:pPr>
      <w:r>
        <w:rPr>
          <w:rFonts w:eastAsia="楷体"/>
          <w:szCs w:val="32"/>
        </w:rPr>
        <w:t>（二）</w:t>
      </w:r>
      <w:r>
        <w:rPr>
          <w:rFonts w:hint="eastAsia" w:eastAsia="楷体"/>
          <w:szCs w:val="32"/>
        </w:rPr>
        <w:t>政府性基金预算拨款收入：</w:t>
      </w:r>
      <w:r>
        <w:rPr>
          <w:rFonts w:hint="eastAsia" w:ascii="仿宋" w:hAnsi="仿宋" w:eastAsia="仿宋" w:cs="仿宋"/>
          <w:szCs w:val="32"/>
        </w:rPr>
        <w:t>指省级财政通过当年政府性基金预算拨付的资金。</w:t>
      </w:r>
    </w:p>
    <w:p>
      <w:pPr>
        <w:ind w:firstLine="640" w:firstLineChars="200"/>
        <w:rPr>
          <w:rFonts w:hint="eastAsia" w:ascii="仿宋" w:hAnsi="仿宋" w:eastAsia="仿宋" w:cs="仿宋"/>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rFonts w:hint="eastAsia" w:ascii="仿宋" w:hAnsi="仿宋" w:eastAsia="仿宋" w:cs="仿宋"/>
          <w:szCs w:val="32"/>
        </w:rPr>
        <w:t>指省级财政通过当年国有资本经营预算拨付的资金。</w:t>
      </w:r>
    </w:p>
    <w:p>
      <w:pPr>
        <w:ind w:firstLine="640"/>
        <w:rPr>
          <w:rFonts w:hint="eastAsia" w:ascii="仿宋" w:hAnsi="仿宋" w:eastAsia="仿宋" w:cs="仿宋"/>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ascii="仿宋" w:hAnsi="仿宋" w:eastAsia="仿宋" w:cs="仿宋"/>
          <w:szCs w:val="32"/>
        </w:rPr>
        <w:t>指</w:t>
      </w:r>
      <w:r>
        <w:rPr>
          <w:rFonts w:hint="eastAsia" w:ascii="仿宋" w:hAnsi="仿宋" w:eastAsia="仿宋" w:cs="仿宋"/>
          <w:szCs w:val="32"/>
          <w:lang w:eastAsia="zh-CN"/>
        </w:rPr>
        <w:t>缴入财政专户</w:t>
      </w:r>
      <w:r>
        <w:rPr>
          <w:rFonts w:hint="eastAsia" w:ascii="仿宋" w:hAnsi="仿宋" w:eastAsia="仿宋" w:cs="仿宋"/>
          <w:szCs w:val="32"/>
        </w:rPr>
        <w:t>并实行财政专</w:t>
      </w:r>
      <w:r>
        <w:rPr>
          <w:rFonts w:hint="eastAsia" w:ascii="仿宋" w:hAnsi="仿宋" w:eastAsia="仿宋" w:cs="仿宋"/>
          <w:szCs w:val="32"/>
          <w:lang w:eastAsia="zh-CN"/>
        </w:rPr>
        <w:t>项</w:t>
      </w:r>
      <w:r>
        <w:rPr>
          <w:rFonts w:hint="eastAsia" w:ascii="仿宋" w:hAnsi="仿宋" w:eastAsia="仿宋" w:cs="仿宋"/>
          <w:szCs w:val="32"/>
        </w:rPr>
        <w:t>管理的资金收入。</w:t>
      </w:r>
    </w:p>
    <w:p>
      <w:pPr>
        <w:ind w:firstLine="640"/>
        <w:rPr>
          <w:rFonts w:hint="eastAsia" w:ascii="仿宋" w:hAnsi="仿宋" w:eastAsia="仿宋" w:cs="仿宋"/>
          <w:szCs w:val="32"/>
        </w:rPr>
      </w:pPr>
      <w:r>
        <w:rPr>
          <w:rFonts w:hint="eastAsia" w:eastAsia="楷体"/>
          <w:szCs w:val="32"/>
        </w:rPr>
        <w:t>（五）</w:t>
      </w:r>
      <w:r>
        <w:rPr>
          <w:rFonts w:eastAsia="楷体"/>
          <w:szCs w:val="32"/>
        </w:rPr>
        <w:t>事业收入：</w:t>
      </w:r>
      <w:r>
        <w:rPr>
          <w:rFonts w:hint="eastAsia" w:ascii="仿宋" w:hAnsi="仿宋" w:eastAsia="仿宋" w:cs="仿宋"/>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ascii="仿宋" w:hAnsi="仿宋" w:eastAsia="仿宋" w:cs="仿宋"/>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仿宋" w:hAnsi="仿宋" w:eastAsia="仿宋" w:cs="仿宋"/>
          <w:szCs w:val="32"/>
        </w:rPr>
        <w:t>指本单位所属下级单位（包含独立核算和非独立核算的，相关支出纳入和未纳入</w:t>
      </w:r>
      <w:r>
        <w:rPr>
          <w:rFonts w:hint="eastAsia" w:ascii="仿宋" w:hAnsi="仿宋" w:eastAsia="仿宋" w:cs="仿宋"/>
          <w:szCs w:val="32"/>
          <w:lang w:eastAsia="zh-CN"/>
        </w:rPr>
        <w:t>单位预算</w:t>
      </w:r>
      <w:r>
        <w:rPr>
          <w:rFonts w:hint="eastAsia" w:ascii="仿宋" w:hAnsi="仿宋" w:eastAsia="仿宋" w:cs="仿宋"/>
          <w:szCs w:val="32"/>
        </w:rPr>
        <w:t>的下级单位）上缴给本单位的全部收入（包括下级事业单位上缴的事业收入、其他收入和下级企业单位上缴的利润等）。</w:t>
      </w:r>
    </w:p>
    <w:p>
      <w:pPr>
        <w:ind w:firstLine="640"/>
        <w:rPr>
          <w:rFonts w:hint="eastAsia" w:ascii="仿宋" w:hAnsi="仿宋" w:eastAsia="仿宋" w:cs="仿宋"/>
          <w:szCs w:val="32"/>
        </w:rPr>
      </w:pPr>
      <w:r>
        <w:rPr>
          <w:rFonts w:eastAsia="楷体"/>
          <w:szCs w:val="32"/>
        </w:rPr>
        <w:t>（</w:t>
      </w:r>
      <w:r>
        <w:rPr>
          <w:rFonts w:hint="eastAsia" w:eastAsia="楷体"/>
          <w:szCs w:val="32"/>
        </w:rPr>
        <w:t>八</w:t>
      </w:r>
      <w:r>
        <w:rPr>
          <w:rFonts w:eastAsia="楷体"/>
          <w:szCs w:val="32"/>
        </w:rPr>
        <w:t>）事业单位经营收入：</w:t>
      </w:r>
      <w:r>
        <w:rPr>
          <w:rFonts w:hint="eastAsia" w:ascii="仿宋" w:hAnsi="仿宋" w:eastAsia="仿宋" w:cs="仿宋"/>
          <w:szCs w:val="32"/>
        </w:rPr>
        <w:t>指事业单位在专业业务活动及其辅助活动之外开展非独立核算经营活动取得的收入。</w:t>
      </w:r>
    </w:p>
    <w:p>
      <w:pPr>
        <w:ind w:firstLine="640"/>
        <w:rPr>
          <w:rFonts w:hint="eastAsia" w:ascii="仿宋" w:hAnsi="仿宋" w:eastAsia="仿宋" w:cs="仿宋"/>
          <w:szCs w:val="32"/>
          <w:lang w:eastAsia="zh-CN"/>
        </w:rPr>
      </w:pPr>
      <w:r>
        <w:rPr>
          <w:rFonts w:eastAsia="楷体"/>
          <w:szCs w:val="32"/>
        </w:rPr>
        <w:t>（</w:t>
      </w:r>
      <w:r>
        <w:rPr>
          <w:rFonts w:hint="eastAsia" w:eastAsia="楷体"/>
          <w:szCs w:val="32"/>
        </w:rPr>
        <w:t>九</w:t>
      </w:r>
      <w:r>
        <w:rPr>
          <w:rFonts w:eastAsia="楷体"/>
          <w:szCs w:val="32"/>
        </w:rPr>
        <w:t>）其他收入：</w:t>
      </w:r>
      <w:r>
        <w:rPr>
          <w:rFonts w:hint="eastAsia" w:ascii="仿宋" w:hAnsi="仿宋" w:eastAsia="仿宋" w:cs="仿宋"/>
          <w:szCs w:val="32"/>
        </w:rPr>
        <w:t>指除上述</w:t>
      </w:r>
      <w:r>
        <w:rPr>
          <w:rFonts w:hint="eastAsia" w:ascii="仿宋" w:hAnsi="仿宋" w:eastAsia="仿宋" w:cs="仿宋"/>
          <w:szCs w:val="32"/>
          <w:lang w:eastAsia="zh-CN"/>
        </w:rPr>
        <w:t>收入</w:t>
      </w:r>
      <w:r>
        <w:rPr>
          <w:rFonts w:hint="eastAsia" w:ascii="仿宋" w:hAnsi="仿宋" w:eastAsia="仿宋" w:cs="仿宋"/>
          <w:szCs w:val="32"/>
        </w:rPr>
        <w:t>以外的</w:t>
      </w:r>
      <w:r>
        <w:rPr>
          <w:rFonts w:hint="eastAsia" w:ascii="仿宋" w:hAnsi="仿宋" w:eastAsia="仿宋" w:cs="仿宋"/>
          <w:szCs w:val="32"/>
          <w:lang w:eastAsia="zh-CN"/>
        </w:rPr>
        <w:t>各项</w:t>
      </w:r>
      <w:r>
        <w:rPr>
          <w:rFonts w:hint="eastAsia" w:ascii="仿宋" w:hAnsi="仿宋" w:eastAsia="仿宋" w:cs="仿宋"/>
          <w:szCs w:val="32"/>
        </w:rPr>
        <w:t>收入</w:t>
      </w:r>
      <w:r>
        <w:rPr>
          <w:rFonts w:hint="eastAsia" w:ascii="仿宋" w:hAnsi="仿宋" w:eastAsia="仿宋" w:cs="仿宋"/>
          <w:szCs w:val="32"/>
          <w:lang w:eastAsia="zh-CN"/>
        </w:rPr>
        <w:t>，</w:t>
      </w:r>
      <w:r>
        <w:rPr>
          <w:rFonts w:hint="eastAsia" w:ascii="仿宋" w:hAnsi="仿宋" w:eastAsia="仿宋" w:cs="仿宋"/>
          <w:szCs w:val="32"/>
          <w:lang w:val="en-US" w:eastAsia="zh-CN"/>
        </w:rPr>
        <w:t>主</w:t>
      </w:r>
      <w:r>
        <w:rPr>
          <w:rFonts w:hint="eastAsia" w:ascii="仿宋" w:hAnsi="仿宋" w:eastAsia="仿宋" w:cs="仿宋"/>
          <w:szCs w:val="32"/>
          <w:lang w:eastAsia="zh-CN"/>
        </w:rPr>
        <w:t>要包括非本级财政拨款、事业单位的投资收益等收入。</w:t>
      </w:r>
    </w:p>
    <w:p>
      <w:pPr>
        <w:ind w:firstLine="640"/>
        <w:rPr>
          <w:rFonts w:hint="eastAsia" w:ascii="仿宋" w:hAnsi="仿宋" w:eastAsia="仿宋" w:cs="仿宋"/>
          <w:szCs w:val="32"/>
        </w:rPr>
      </w:pPr>
      <w:r>
        <w:rPr>
          <w:rFonts w:eastAsia="楷体"/>
          <w:szCs w:val="32"/>
        </w:rPr>
        <w:t>（十）上年结转：</w:t>
      </w:r>
      <w:r>
        <w:rPr>
          <w:rFonts w:hint="eastAsia" w:ascii="仿宋" w:hAnsi="仿宋" w:eastAsia="仿宋" w:cs="仿宋"/>
          <w:szCs w:val="32"/>
        </w:rPr>
        <w:t>指以前年度尚未完成、结转到本年仍按原规定用途继续使用的资金。</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一</w:t>
      </w:r>
      <w:r>
        <w:rPr>
          <w:rFonts w:eastAsia="楷体"/>
          <w:szCs w:val="32"/>
        </w:rPr>
        <w:t>）结转下年：</w:t>
      </w:r>
      <w:r>
        <w:rPr>
          <w:rFonts w:hint="eastAsia" w:ascii="仿宋" w:hAnsi="仿宋" w:eastAsia="仿宋" w:cs="仿宋"/>
          <w:szCs w:val="32"/>
        </w:rPr>
        <w:t>指以前年度预算安排、因客观条件发生变化无法按原计划实施，需延迟到以后年度按原规定用途继续使用的资金。</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二</w:t>
      </w:r>
      <w:r>
        <w:rPr>
          <w:rFonts w:eastAsia="楷体"/>
          <w:szCs w:val="32"/>
        </w:rPr>
        <w:t>）基本支出：</w:t>
      </w:r>
      <w:r>
        <w:rPr>
          <w:rFonts w:hint="eastAsia" w:ascii="仿宋" w:hAnsi="仿宋" w:eastAsia="仿宋" w:cs="仿宋"/>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rFonts w:hint="eastAsia" w:ascii="仿宋" w:hAnsi="仿宋" w:eastAsia="仿宋" w:cs="仿宋"/>
          <w:szCs w:val="32"/>
        </w:rPr>
        <w:t>指在基本支出之外为完成特定行政任务和事业发展目标所发生的支出。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四</w:t>
      </w:r>
      <w:r>
        <w:rPr>
          <w:rFonts w:eastAsia="楷体"/>
          <w:szCs w:val="32"/>
        </w:rPr>
        <w:t>）上缴上级支出：</w:t>
      </w:r>
      <w:r>
        <w:rPr>
          <w:rFonts w:hint="eastAsia" w:ascii="仿宋" w:hAnsi="仿宋" w:eastAsia="仿宋" w:cs="仿宋"/>
          <w:szCs w:val="32"/>
        </w:rPr>
        <w:t>指附属单位上缴上级的支出。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五</w:t>
      </w:r>
      <w:r>
        <w:rPr>
          <w:rFonts w:eastAsia="楷体"/>
          <w:szCs w:val="32"/>
        </w:rPr>
        <w:t>）事业单位经营支出：</w:t>
      </w:r>
      <w:r>
        <w:rPr>
          <w:rFonts w:hint="eastAsia" w:ascii="仿宋" w:hAnsi="仿宋" w:eastAsia="仿宋" w:cs="仿宋"/>
          <w:szCs w:val="32"/>
        </w:rPr>
        <w:t>指事业单位在专业业务活动及其辅助活动之外开展非独立核算经营活动发生的支出。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六</w:t>
      </w:r>
      <w:r>
        <w:rPr>
          <w:rFonts w:eastAsia="楷体"/>
          <w:szCs w:val="32"/>
        </w:rPr>
        <w:t>）对附属单位补助支出：</w:t>
      </w:r>
      <w:r>
        <w:rPr>
          <w:rFonts w:hint="eastAsia" w:ascii="仿宋" w:hAnsi="仿宋" w:eastAsia="仿宋" w:cs="仿宋"/>
          <w:szCs w:val="32"/>
        </w:rPr>
        <w:t>指对附属单位补助发生的支出。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七</w:t>
      </w:r>
      <w:r>
        <w:rPr>
          <w:rFonts w:eastAsia="楷体"/>
          <w:szCs w:val="32"/>
        </w:rPr>
        <w:t>）“三公”经费：</w:t>
      </w:r>
      <w:r>
        <w:rPr>
          <w:rFonts w:hint="eastAsia" w:ascii="仿宋" w:hAnsi="仿宋" w:eastAsia="仿宋" w:cs="仿宋"/>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八</w:t>
      </w:r>
      <w:r>
        <w:rPr>
          <w:rFonts w:eastAsia="楷体"/>
          <w:szCs w:val="32"/>
        </w:rPr>
        <w:t>）机关运行经费：</w:t>
      </w:r>
      <w:r>
        <w:rPr>
          <w:rFonts w:hint="eastAsia" w:ascii="仿宋" w:hAnsi="仿宋" w:eastAsia="仿宋" w:cs="仿宋"/>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 w:hAnsi="仿宋" w:eastAsia="仿宋" w:cs="仿宋"/>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ascii="仿宋" w:hAnsi="仿宋" w:eastAsia="仿宋" w:cs="仿宋"/>
        </w:rPr>
        <w:t>项目支出绩效目标是指</w:t>
      </w:r>
      <w:r>
        <w:rPr>
          <w:rFonts w:hint="eastAsia" w:ascii="仿宋" w:hAnsi="仿宋" w:eastAsia="仿宋" w:cs="仿宋"/>
          <w:lang w:eastAsia="zh-CN"/>
        </w:rPr>
        <w:t>单位预算</w:t>
      </w:r>
      <w:r>
        <w:rPr>
          <w:rFonts w:hint="eastAsia" w:ascii="仿宋" w:hAnsi="仿宋" w:eastAsia="仿宋" w:cs="仿宋"/>
        </w:rPr>
        <w:t>安排的项目支出在一定期限内预期达到的产出和效果。</w:t>
      </w:r>
    </w:p>
    <w:p>
      <w:pPr>
        <w:ind w:firstLine="640"/>
        <w:rPr>
          <w:rFonts w:hint="eastAsia" w:ascii="仿宋" w:hAnsi="仿宋" w:eastAsia="仿宋" w:cs="仿宋"/>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296538-92B0-4A70-94D5-826E33DA6C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0B47E49-65BC-418B-9819-68D15E7875B0}"/>
  </w:font>
  <w:font w:name="华文细黑">
    <w:altName w:val="微软雅黑"/>
    <w:panose1 w:val="02010600040101010101"/>
    <w:charset w:val="86"/>
    <w:family w:val="auto"/>
    <w:pitch w:val="default"/>
    <w:sig w:usb0="00000000" w:usb1="00000000" w:usb2="00000000" w:usb3="00000000" w:csb0="0004009F" w:csb1="DFD70000"/>
    <w:embedRegular r:id="rId3" w:fontKey="{550E4FD5-1637-48FB-8EA1-F4CB04229F00}"/>
  </w:font>
  <w:font w:name="方正小标宋简体">
    <w:panose1 w:val="02000000000000000000"/>
    <w:charset w:val="86"/>
    <w:family w:val="auto"/>
    <w:pitch w:val="default"/>
    <w:sig w:usb0="00000001" w:usb1="080E0000" w:usb2="00000000" w:usb3="00000000" w:csb0="00040000" w:csb1="00000000"/>
    <w:embedRegular r:id="rId4" w:fontKey="{326D3A56-C9BC-44B0-BF03-0B8AFC83DB3C}"/>
  </w:font>
  <w:font w:name="仿宋">
    <w:panose1 w:val="02010609060101010101"/>
    <w:charset w:val="86"/>
    <w:family w:val="modern"/>
    <w:pitch w:val="default"/>
    <w:sig w:usb0="800002BF" w:usb1="38CF7CFA" w:usb2="00000016" w:usb3="00000000" w:csb0="00040001" w:csb1="00000000"/>
    <w:embedRegular r:id="rId5" w:fontKey="{AA7454FC-A221-473D-9C7D-26FB0305827D}"/>
  </w:font>
  <w:font w:name="方正黑体_GBK">
    <w:altName w:val="微软雅黑"/>
    <w:panose1 w:val="03000509000000000000"/>
    <w:charset w:val="86"/>
    <w:family w:val="auto"/>
    <w:pitch w:val="default"/>
    <w:sig w:usb0="00000000" w:usb1="00000000" w:usb2="00000000" w:usb3="00000000" w:csb0="00040000" w:csb1="00000000"/>
    <w:embedRegular r:id="rId6" w:fontKey="{6A2E1C68-9AEB-4A25-BEDA-E0AC1605EB89}"/>
  </w:font>
  <w:font w:name="楷体_GB2312">
    <w:panose1 w:val="02010609030101010101"/>
    <w:charset w:val="86"/>
    <w:family w:val="modern"/>
    <w:pitch w:val="default"/>
    <w:sig w:usb0="00000001" w:usb1="080E0000" w:usb2="00000000" w:usb3="00000000" w:csb0="00040000" w:csb1="00000000"/>
    <w:embedRegular r:id="rId7" w:fontKey="{3D0821AC-DC65-41A6-98A0-0BEF980978F5}"/>
  </w:font>
  <w:font w:name="方正楷体_GBK">
    <w:altName w:val="微软雅黑"/>
    <w:panose1 w:val="03000509000000000000"/>
    <w:charset w:val="86"/>
    <w:family w:val="auto"/>
    <w:pitch w:val="default"/>
    <w:sig w:usb0="00000000" w:usb1="00000000" w:usb2="00000000" w:usb3="00000000" w:csb0="00040000" w:csb1="00000000"/>
    <w:embedRegular r:id="rId8" w:fontKey="{110E0A0E-94E4-465D-955C-14EAB449778D}"/>
  </w:font>
  <w:font w:name="楷体">
    <w:panose1 w:val="02010609060101010101"/>
    <w:charset w:val="86"/>
    <w:family w:val="modern"/>
    <w:pitch w:val="default"/>
    <w:sig w:usb0="800002BF" w:usb1="38CF7CFA" w:usb2="00000016" w:usb3="00000000" w:csb0="00040001" w:csb1="00000000"/>
    <w:embedRegular r:id="rId9" w:fontKey="{78BF2E8A-AAE8-409F-9FDA-005A0D37E296}"/>
  </w:font>
  <w:font w:name="方正仿宋_GBK">
    <w:panose1 w:val="02000000000000000000"/>
    <w:charset w:val="86"/>
    <w:family w:val="auto"/>
    <w:pitch w:val="default"/>
    <w:sig w:usb0="A00002BF" w:usb1="38CF7CFA" w:usb2="00082016" w:usb3="00000000" w:csb0="00040001" w:csb1="00000000"/>
    <w:embedRegular r:id="rId10" w:fontKey="{89817DAA-92D0-4FA5-A947-7323C4DF9C8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OWJkOTExN2UxZjBmMjczY2YzYzI0YzQwYzc0NGY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000180"/>
    <w:rsid w:val="01265BCF"/>
    <w:rsid w:val="019B69D8"/>
    <w:rsid w:val="01B7145A"/>
    <w:rsid w:val="02033000"/>
    <w:rsid w:val="020E6D2C"/>
    <w:rsid w:val="02C44267"/>
    <w:rsid w:val="031D7D4B"/>
    <w:rsid w:val="037F2004"/>
    <w:rsid w:val="043B2EAD"/>
    <w:rsid w:val="046E79C6"/>
    <w:rsid w:val="0486486A"/>
    <w:rsid w:val="04954460"/>
    <w:rsid w:val="04B724C2"/>
    <w:rsid w:val="04B818D1"/>
    <w:rsid w:val="050D06DA"/>
    <w:rsid w:val="05310B72"/>
    <w:rsid w:val="05513E94"/>
    <w:rsid w:val="05661301"/>
    <w:rsid w:val="056F5A6D"/>
    <w:rsid w:val="059B3770"/>
    <w:rsid w:val="063949A0"/>
    <w:rsid w:val="06BD5BC7"/>
    <w:rsid w:val="06F008FF"/>
    <w:rsid w:val="07123782"/>
    <w:rsid w:val="079E5032"/>
    <w:rsid w:val="09015F14"/>
    <w:rsid w:val="091C5C63"/>
    <w:rsid w:val="09421190"/>
    <w:rsid w:val="09A0082A"/>
    <w:rsid w:val="0A00435B"/>
    <w:rsid w:val="0AAA1697"/>
    <w:rsid w:val="0ABA06FE"/>
    <w:rsid w:val="0B49202F"/>
    <w:rsid w:val="0B5F5ADA"/>
    <w:rsid w:val="0BB7453C"/>
    <w:rsid w:val="0C19409D"/>
    <w:rsid w:val="0C2A5C84"/>
    <w:rsid w:val="0C4F64D9"/>
    <w:rsid w:val="0C583939"/>
    <w:rsid w:val="0C6D1BAE"/>
    <w:rsid w:val="0D2A2435"/>
    <w:rsid w:val="0DA001B0"/>
    <w:rsid w:val="0DEB170B"/>
    <w:rsid w:val="0E4C7841"/>
    <w:rsid w:val="0E97506F"/>
    <w:rsid w:val="0EF425D6"/>
    <w:rsid w:val="0F3E0406"/>
    <w:rsid w:val="0F980230"/>
    <w:rsid w:val="0FD62F63"/>
    <w:rsid w:val="0FDA3F12"/>
    <w:rsid w:val="0FDC5544"/>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12620F"/>
    <w:rsid w:val="17765BCA"/>
    <w:rsid w:val="17A027D8"/>
    <w:rsid w:val="17CC2625"/>
    <w:rsid w:val="1810420F"/>
    <w:rsid w:val="19132BE0"/>
    <w:rsid w:val="191F4716"/>
    <w:rsid w:val="1954649C"/>
    <w:rsid w:val="1A237E8E"/>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1560965"/>
    <w:rsid w:val="226E581D"/>
    <w:rsid w:val="22A4003E"/>
    <w:rsid w:val="23135C25"/>
    <w:rsid w:val="23EC61F6"/>
    <w:rsid w:val="244C543C"/>
    <w:rsid w:val="24624768"/>
    <w:rsid w:val="259B5BC5"/>
    <w:rsid w:val="25F62C4E"/>
    <w:rsid w:val="26643D6C"/>
    <w:rsid w:val="26FE109D"/>
    <w:rsid w:val="27073E1E"/>
    <w:rsid w:val="27B04AB3"/>
    <w:rsid w:val="282A40D8"/>
    <w:rsid w:val="282C3BA1"/>
    <w:rsid w:val="286E4D4F"/>
    <w:rsid w:val="28A63332"/>
    <w:rsid w:val="28C96E8E"/>
    <w:rsid w:val="29C45F24"/>
    <w:rsid w:val="2C98683F"/>
    <w:rsid w:val="2CC511EA"/>
    <w:rsid w:val="2D9038E4"/>
    <w:rsid w:val="2DF8796C"/>
    <w:rsid w:val="2DF94278"/>
    <w:rsid w:val="2E336A01"/>
    <w:rsid w:val="2EB22F18"/>
    <w:rsid w:val="2EE12108"/>
    <w:rsid w:val="2EED35E3"/>
    <w:rsid w:val="2F0B5068"/>
    <w:rsid w:val="2F250383"/>
    <w:rsid w:val="2F63610B"/>
    <w:rsid w:val="2FBC646B"/>
    <w:rsid w:val="2FD7142C"/>
    <w:rsid w:val="300965A3"/>
    <w:rsid w:val="30182170"/>
    <w:rsid w:val="30730D6E"/>
    <w:rsid w:val="308B20C9"/>
    <w:rsid w:val="3096762C"/>
    <w:rsid w:val="30B91A70"/>
    <w:rsid w:val="30F84C22"/>
    <w:rsid w:val="310C6AA2"/>
    <w:rsid w:val="31793674"/>
    <w:rsid w:val="31894469"/>
    <w:rsid w:val="32332703"/>
    <w:rsid w:val="32CF2C5D"/>
    <w:rsid w:val="32EE2C61"/>
    <w:rsid w:val="335402B5"/>
    <w:rsid w:val="339466B2"/>
    <w:rsid w:val="33CD2D0F"/>
    <w:rsid w:val="34555AF5"/>
    <w:rsid w:val="34FF687B"/>
    <w:rsid w:val="354C4987"/>
    <w:rsid w:val="35616772"/>
    <w:rsid w:val="35A149B6"/>
    <w:rsid w:val="35EA1663"/>
    <w:rsid w:val="364C598E"/>
    <w:rsid w:val="368A3622"/>
    <w:rsid w:val="36B543E5"/>
    <w:rsid w:val="36CC2B0F"/>
    <w:rsid w:val="36FC762F"/>
    <w:rsid w:val="371116C7"/>
    <w:rsid w:val="372366C8"/>
    <w:rsid w:val="37553528"/>
    <w:rsid w:val="3838492F"/>
    <w:rsid w:val="383A009B"/>
    <w:rsid w:val="3887374F"/>
    <w:rsid w:val="38CB0ABC"/>
    <w:rsid w:val="39041A07"/>
    <w:rsid w:val="39043B77"/>
    <w:rsid w:val="39670895"/>
    <w:rsid w:val="397877DC"/>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063C35"/>
    <w:rsid w:val="3D365BF6"/>
    <w:rsid w:val="3D7F7007"/>
    <w:rsid w:val="3DB008AA"/>
    <w:rsid w:val="3DF23324"/>
    <w:rsid w:val="3EA14040"/>
    <w:rsid w:val="3EE8108D"/>
    <w:rsid w:val="3F8201A3"/>
    <w:rsid w:val="402675EA"/>
    <w:rsid w:val="40B80EFF"/>
    <w:rsid w:val="41A35364"/>
    <w:rsid w:val="41C31686"/>
    <w:rsid w:val="41C837BC"/>
    <w:rsid w:val="41E579D9"/>
    <w:rsid w:val="421643AC"/>
    <w:rsid w:val="42982B4E"/>
    <w:rsid w:val="429F5D0C"/>
    <w:rsid w:val="42D83665"/>
    <w:rsid w:val="434A6B47"/>
    <w:rsid w:val="436B1E42"/>
    <w:rsid w:val="453B59EF"/>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BD3A2C"/>
    <w:rsid w:val="4D3439E8"/>
    <w:rsid w:val="4D4E2809"/>
    <w:rsid w:val="4D730507"/>
    <w:rsid w:val="4D741DD3"/>
    <w:rsid w:val="4DC93207"/>
    <w:rsid w:val="4E010C4C"/>
    <w:rsid w:val="4E214B2B"/>
    <w:rsid w:val="4E8D5761"/>
    <w:rsid w:val="4EF54A85"/>
    <w:rsid w:val="4EF972C6"/>
    <w:rsid w:val="4F7D56F4"/>
    <w:rsid w:val="501B3C66"/>
    <w:rsid w:val="504B40C5"/>
    <w:rsid w:val="50835D09"/>
    <w:rsid w:val="50987DC2"/>
    <w:rsid w:val="50A4703E"/>
    <w:rsid w:val="51282B99"/>
    <w:rsid w:val="5136104F"/>
    <w:rsid w:val="51465EDE"/>
    <w:rsid w:val="52071113"/>
    <w:rsid w:val="52085509"/>
    <w:rsid w:val="522774C4"/>
    <w:rsid w:val="522A7431"/>
    <w:rsid w:val="52481FEA"/>
    <w:rsid w:val="525A440D"/>
    <w:rsid w:val="52626449"/>
    <w:rsid w:val="53A878AE"/>
    <w:rsid w:val="544E511A"/>
    <w:rsid w:val="54741940"/>
    <w:rsid w:val="54810E66"/>
    <w:rsid w:val="54C063E4"/>
    <w:rsid w:val="54C2556E"/>
    <w:rsid w:val="55480EEF"/>
    <w:rsid w:val="569B7F91"/>
    <w:rsid w:val="56D21BED"/>
    <w:rsid w:val="572651B2"/>
    <w:rsid w:val="57AE5C26"/>
    <w:rsid w:val="57BD6FD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4D41E3"/>
    <w:rsid w:val="5CA506B9"/>
    <w:rsid w:val="5CF74CE4"/>
    <w:rsid w:val="5D5A7C63"/>
    <w:rsid w:val="5DC7295C"/>
    <w:rsid w:val="5E256F6F"/>
    <w:rsid w:val="5EB6645E"/>
    <w:rsid w:val="5EEC01A1"/>
    <w:rsid w:val="5F6235A9"/>
    <w:rsid w:val="5F654690"/>
    <w:rsid w:val="60DC439E"/>
    <w:rsid w:val="614125C2"/>
    <w:rsid w:val="61AA1D1F"/>
    <w:rsid w:val="61C515AE"/>
    <w:rsid w:val="624C5C52"/>
    <w:rsid w:val="63DF08E4"/>
    <w:rsid w:val="64C04AFD"/>
    <w:rsid w:val="655B219F"/>
    <w:rsid w:val="661A7B69"/>
    <w:rsid w:val="66455323"/>
    <w:rsid w:val="664909C1"/>
    <w:rsid w:val="664B6BE6"/>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4631DA"/>
    <w:rsid w:val="6B7D5B36"/>
    <w:rsid w:val="6C834DAA"/>
    <w:rsid w:val="6C993CCE"/>
    <w:rsid w:val="6CF120A8"/>
    <w:rsid w:val="6D72413D"/>
    <w:rsid w:val="6E1B0286"/>
    <w:rsid w:val="6F5D1784"/>
    <w:rsid w:val="6FCF38F2"/>
    <w:rsid w:val="6FF50B81"/>
    <w:rsid w:val="70330B9C"/>
    <w:rsid w:val="714213DD"/>
    <w:rsid w:val="717F272E"/>
    <w:rsid w:val="72783A23"/>
    <w:rsid w:val="728027C6"/>
    <w:rsid w:val="72E613CC"/>
    <w:rsid w:val="73D62FA6"/>
    <w:rsid w:val="73FE7ACC"/>
    <w:rsid w:val="74556746"/>
    <w:rsid w:val="74743258"/>
    <w:rsid w:val="761B13C4"/>
    <w:rsid w:val="764B6A8A"/>
    <w:rsid w:val="76856AB9"/>
    <w:rsid w:val="76C17E06"/>
    <w:rsid w:val="76CA67BD"/>
    <w:rsid w:val="7718792D"/>
    <w:rsid w:val="774E6400"/>
    <w:rsid w:val="775B0046"/>
    <w:rsid w:val="7779346B"/>
    <w:rsid w:val="79700BEF"/>
    <w:rsid w:val="79707A47"/>
    <w:rsid w:val="798D552B"/>
    <w:rsid w:val="7A090695"/>
    <w:rsid w:val="7A1D5951"/>
    <w:rsid w:val="7A9E255E"/>
    <w:rsid w:val="7AB10BC7"/>
    <w:rsid w:val="7AE175F4"/>
    <w:rsid w:val="7B293B33"/>
    <w:rsid w:val="7B391D2C"/>
    <w:rsid w:val="7B417685"/>
    <w:rsid w:val="7B5220F0"/>
    <w:rsid w:val="7B5B428C"/>
    <w:rsid w:val="7BA169C0"/>
    <w:rsid w:val="7BC55243"/>
    <w:rsid w:val="7C2F4A9A"/>
    <w:rsid w:val="7CAD595B"/>
    <w:rsid w:val="7CF65D07"/>
    <w:rsid w:val="7D2975D1"/>
    <w:rsid w:val="7D2F3083"/>
    <w:rsid w:val="7D906046"/>
    <w:rsid w:val="7DCC0CD6"/>
    <w:rsid w:val="7E292420"/>
    <w:rsid w:val="7F4A6B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6109</Words>
  <Characters>7387</Characters>
  <Lines>71</Lines>
  <Paragraphs>20</Paragraphs>
  <TotalTime>5</TotalTime>
  <ScaleCrop>false</ScaleCrop>
  <LinksUpToDate>false</LinksUpToDate>
  <CharactersWithSpaces>7974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ʚ阳光温暖却也刺眼ɞ</cp:lastModifiedBy>
  <cp:lastPrinted>2024-01-23T03:39:00Z</cp:lastPrinted>
  <dcterms:modified xsi:type="dcterms:W3CDTF">2024-02-26T03:49:36Z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65373E085A2440DDA22E5B63DBB71356_13</vt:lpwstr>
  </property>
</Properties>
</file>