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none"/>
          <w:lang w:eastAsia="zh-CN"/>
        </w:rPr>
        <w:t>辽源市统计局（本级）</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单位</w:t>
      </w:r>
      <w:r>
        <w:rPr>
          <w:rFonts w:hint="eastAsia" w:ascii="方正小标宋简体" w:hAnsi="方正小标宋简体" w:eastAsia="方正小标宋简体" w:cs="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color w:val="000000"/>
          <w:szCs w:val="32"/>
        </w:rPr>
      </w:pPr>
      <w:r>
        <w:rPr>
          <w:color w:val="000000"/>
          <w:szCs w:val="32"/>
        </w:rPr>
        <w:t>辽源市统计局是吉林省统计局垂直管理单位，主管全市统计和国民经济核算的工作机构。</w:t>
      </w:r>
    </w:p>
    <w:p>
      <w:pPr>
        <w:ind w:firstLine="640" w:firstLineChars="200"/>
        <w:rPr>
          <w:color w:val="000000"/>
          <w:szCs w:val="32"/>
        </w:rPr>
      </w:pPr>
      <w:r>
        <w:rPr>
          <w:color w:val="000000"/>
          <w:szCs w:val="32"/>
        </w:rPr>
        <w:t>机构职能及组成：</w:t>
      </w:r>
    </w:p>
    <w:p>
      <w:pPr>
        <w:ind w:firstLine="640" w:firstLineChars="200"/>
        <w:rPr>
          <w:color w:val="000000"/>
          <w:szCs w:val="32"/>
        </w:rPr>
      </w:pPr>
      <w:r>
        <w:rPr>
          <w:color w:val="000000"/>
          <w:szCs w:val="32"/>
        </w:rPr>
        <w:t>1、贯彻执行国家和省有关统计工作的方针政策、方法制度和法律法规；拟订和实施全市统计工作规划和调查计划；组织指导全市统计工作；监督检查统计法律、法规和规章制度的实施。</w:t>
      </w:r>
    </w:p>
    <w:p>
      <w:pPr>
        <w:ind w:firstLine="640" w:firstLineChars="200"/>
        <w:rPr>
          <w:color w:val="000000"/>
          <w:szCs w:val="32"/>
        </w:rPr>
      </w:pPr>
      <w:r>
        <w:rPr>
          <w:color w:val="000000"/>
          <w:szCs w:val="32"/>
        </w:rPr>
        <w:t>2、组织实施国民经济核算制度和投入产出调查，核算全市及各县(市、区)生产总值，汇编提供国民经济核算资料，监督管理全市及各县(市、区)国民经济核算工作。</w:t>
      </w:r>
    </w:p>
    <w:p>
      <w:pPr>
        <w:ind w:firstLine="640" w:firstLineChars="200"/>
        <w:rPr>
          <w:color w:val="000000"/>
          <w:szCs w:val="32"/>
        </w:rPr>
      </w:pPr>
      <w:r>
        <w:rPr>
          <w:color w:val="000000"/>
          <w:szCs w:val="32"/>
        </w:rPr>
        <w:t>3、组织实施全市人口、经济、农业等重大市情市力普查；汇总、整理和提供有关市情市力方面的统计资料。</w:t>
      </w:r>
    </w:p>
    <w:p>
      <w:pPr>
        <w:ind w:firstLine="640" w:firstLineChars="200"/>
        <w:rPr>
          <w:color w:val="000000"/>
          <w:szCs w:val="32"/>
        </w:rPr>
      </w:pPr>
      <w:r>
        <w:rPr>
          <w:color w:val="000000"/>
          <w:szCs w:val="32"/>
        </w:rPr>
        <w:t>4、组织实施农林牧渔业、工业、建筑业、批发和零售业、住宿和餐饮业、房地产业等统计调查，收集、汇总、整理和提供有关调查的统计数据，综合整理和提供地质勘查、旅游、对外经济、交通运输、邮政、教育、卫生、社会保障、公用事业等全市性基本统计数据。</w:t>
      </w:r>
    </w:p>
    <w:p>
      <w:pPr>
        <w:ind w:firstLine="640" w:firstLineChars="200"/>
        <w:rPr>
          <w:color w:val="000000"/>
          <w:szCs w:val="32"/>
        </w:rPr>
      </w:pPr>
      <w:r>
        <w:rPr>
          <w:color w:val="000000"/>
          <w:szCs w:val="32"/>
        </w:rPr>
        <w:t>5、组织实施能源、投资、科技、人口、劳动力、农村住户、</w:t>
      </w:r>
    </w:p>
    <w:p>
      <w:pPr>
        <w:rPr>
          <w:color w:val="000000"/>
          <w:szCs w:val="32"/>
        </w:rPr>
      </w:pPr>
      <w:r>
        <w:rPr>
          <w:color w:val="000000"/>
          <w:szCs w:val="32"/>
        </w:rPr>
        <w:t>社会发展基本情况等统计调查，收集、汇总、整理和提供有关调查的统计数据，加强对全市节能降耗工作的监测与分析。</w:t>
      </w:r>
    </w:p>
    <w:p>
      <w:pPr>
        <w:ind w:firstLine="640" w:firstLineChars="200"/>
        <w:rPr>
          <w:color w:val="000000"/>
          <w:szCs w:val="32"/>
        </w:rPr>
      </w:pPr>
      <w:r>
        <w:rPr>
          <w:color w:val="000000"/>
          <w:szCs w:val="32"/>
        </w:rPr>
        <w:t>6、组织协调全市各部门开展经济、社会、科技和资源环境统计调查，统一核定、管理、公布全市性基础统计资料，定期发布全市国民经济和社会发展情况的统计信息，向社会各界提供统计咨询服务；组织建立文化产业统计、现代产业和服务业统计信息共享和发布制度。</w:t>
      </w:r>
    </w:p>
    <w:p>
      <w:pPr>
        <w:ind w:firstLine="640" w:firstLineChars="200"/>
        <w:rPr>
          <w:color w:val="000000"/>
          <w:szCs w:val="32"/>
        </w:rPr>
      </w:pPr>
      <w:r>
        <w:rPr>
          <w:color w:val="000000"/>
          <w:szCs w:val="32"/>
        </w:rPr>
        <w:t>7、对国民经济、科技进步、社会发展等情况进行统计分</w:t>
      </w:r>
    </w:p>
    <w:p>
      <w:pPr>
        <w:rPr>
          <w:color w:val="000000"/>
          <w:szCs w:val="32"/>
        </w:rPr>
      </w:pPr>
      <w:r>
        <w:rPr>
          <w:color w:val="000000"/>
          <w:szCs w:val="32"/>
        </w:rPr>
        <w:t>析、统计预测和统计监督，向上级统计主管部门和市委、市政府及有关部门提供统计信息和咨询建议。</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根据上述职责辽源市统计局内设9个机构，分别为办公室、</w:t>
      </w:r>
    </w:p>
    <w:p>
      <w:pPr>
        <w:pStyle w:val="48"/>
        <w:rPr>
          <w:rFonts w:eastAsia="仿宋_GB2312"/>
        </w:rPr>
      </w:pPr>
      <w:r>
        <w:rPr>
          <w:rFonts w:eastAsia="仿宋_GB2312"/>
        </w:rPr>
        <w:t>国民经济综合核算与法规科、工业交通统计科、农业贸易与服务业统计科、固定资产投资统计科、人口就业与社会科技统计科、能源统计科、人事监察科、机关党总支。</w:t>
      </w: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488.85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429.50</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59.35</w:t>
            </w:r>
          </w:p>
        </w:tc>
        <w:tc>
          <w:tcPr>
            <w:tcW w:w="1342"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367.08</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316.86</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50.22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488.85</w:t>
            </w: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r>
              <w:rPr>
                <w:rFonts w:hint="eastAsia" w:eastAsia="宋体"/>
                <w:kern w:val="0"/>
                <w:sz w:val="20"/>
                <w:lang w:val="en-US" w:eastAsia="zh-CN"/>
              </w:rPr>
              <w:t>429.50</w:t>
            </w:r>
          </w:p>
        </w:tc>
        <w:tc>
          <w:tcPr>
            <w:tcW w:w="1134" w:type="dxa"/>
            <w:tcBorders>
              <w:top w:val="nil"/>
              <w:left w:val="single" w:color="auto" w:sz="4" w:space="0"/>
              <w:bottom w:val="single" w:color="auto" w:sz="4" w:space="0"/>
              <w:right w:val="nil"/>
            </w:tcBorders>
            <w:noWrap w:val="0"/>
            <w:vAlign w:val="center"/>
          </w:tcPr>
          <w:p>
            <w:pPr>
              <w:jc w:val="right"/>
              <w:rPr>
                <w:rFonts w:hint="default" w:eastAsia="宋体"/>
                <w:kern w:val="0"/>
                <w:sz w:val="20"/>
                <w:lang w:val="en-US" w:eastAsia="zh-CN"/>
              </w:rPr>
            </w:pPr>
            <w:r>
              <w:rPr>
                <w:rFonts w:hint="eastAsia" w:eastAsia="宋体"/>
                <w:kern w:val="0"/>
                <w:sz w:val="20"/>
                <w:lang w:val="en-US" w:eastAsia="zh-CN"/>
              </w:rPr>
              <w:t>59.35</w:t>
            </w:r>
          </w:p>
        </w:tc>
        <w:tc>
          <w:tcPr>
            <w:tcW w:w="1342" w:type="dxa"/>
            <w:tcBorders>
              <w:top w:val="nil"/>
              <w:left w:val="single" w:color="auto" w:sz="4" w:space="0"/>
              <w:bottom w:val="single" w:color="auto" w:sz="4" w:space="0"/>
              <w:right w:val="single" w:color="auto" w:sz="4" w:space="0"/>
            </w:tcBorders>
            <w:noWrap w:val="0"/>
            <w:vAlign w:val="center"/>
          </w:tcPr>
          <w:p>
            <w:pPr>
              <w:jc w:val="left"/>
              <w:rPr>
                <w:rFonts w:eastAsia="宋体"/>
                <w:color w:val="000000"/>
                <w:kern w:val="0"/>
                <w:sz w:val="20"/>
              </w:rPr>
            </w:pPr>
            <w:r>
              <w:rPr>
                <w:rFonts w:eastAsia="宋体"/>
                <w:sz w:val="20"/>
              </w:rPr>
              <w:t>二、社会保障和就业支出　</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75.98</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72.57</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3.41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jc w:val="left"/>
              <w:rPr>
                <w:rFonts w:eastAsia="宋体"/>
                <w:color w:val="000000"/>
                <w:kern w:val="0"/>
                <w:sz w:val="20"/>
              </w:rPr>
            </w:pPr>
            <w:r>
              <w:rPr>
                <w:rFonts w:eastAsia="宋体"/>
                <w:sz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10.43</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10.43</w:t>
            </w:r>
          </w:p>
        </w:tc>
        <w:tc>
          <w:tcPr>
            <w:tcW w:w="1158" w:type="dxa"/>
            <w:tcBorders>
              <w:top w:val="nil"/>
              <w:left w:val="nil"/>
              <w:bottom w:val="single" w:color="auto" w:sz="4" w:space="0"/>
              <w:right w:val="single" w:color="auto" w:sz="4" w:space="0"/>
            </w:tcBorders>
            <w:noWrap w:val="0"/>
            <w:vAlign w:val="center"/>
          </w:tcPr>
          <w:p>
            <w:pPr>
              <w:widowControl/>
              <w:jc w:val="right"/>
              <w:rPr>
                <w:rFonts w:hint="eastAsia"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jc w:val="left"/>
              <w:rPr>
                <w:rFonts w:eastAsia="宋体"/>
                <w:color w:val="000000"/>
                <w:kern w:val="0"/>
                <w:sz w:val="20"/>
              </w:rPr>
            </w:pPr>
            <w:r>
              <w:rPr>
                <w:rFonts w:eastAsia="宋体"/>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35.37</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29.64</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5.73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488.85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429.50</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59.35</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488.85</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429.50</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59.35</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488.85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429.50</w:t>
            </w:r>
          </w:p>
        </w:tc>
        <w:tc>
          <w:tcPr>
            <w:tcW w:w="1134" w:type="dxa"/>
            <w:tcBorders>
              <w:top w:val="nil"/>
              <w:left w:val="single" w:color="auto" w:sz="4" w:space="0"/>
              <w:bottom w:val="single" w:color="auto" w:sz="4" w:space="0"/>
              <w:right w:val="nil"/>
            </w:tcBorders>
            <w:noWrap w:val="0"/>
            <w:vAlign w:val="center"/>
          </w:tcPr>
          <w:p>
            <w:pPr>
              <w:widowControl/>
              <w:jc w:val="right"/>
              <w:rPr>
                <w:rFonts w:eastAsia="宋体"/>
                <w:kern w:val="0"/>
                <w:sz w:val="20"/>
              </w:rPr>
            </w:pPr>
            <w:r>
              <w:rPr>
                <w:rFonts w:hint="eastAsia" w:eastAsia="宋体"/>
                <w:kern w:val="0"/>
                <w:sz w:val="20"/>
                <w:lang w:val="en-US" w:eastAsia="zh-CN"/>
              </w:rPr>
              <w:t>59.35</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488.85</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429.50</w:t>
            </w:r>
          </w:p>
        </w:tc>
        <w:tc>
          <w:tcPr>
            <w:tcW w:w="1158" w:type="dxa"/>
            <w:tcBorders>
              <w:top w:val="nil"/>
              <w:left w:val="nil"/>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59.35</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p>
      <w:pPr>
        <w:rPr>
          <w:rFonts w:hAnsi="楷体" w:eastAsia="楷体"/>
        </w:rPr>
      </w:pPr>
    </w:p>
    <w:tbl>
      <w:tblPr>
        <w:tblStyle w:val="9"/>
        <w:tblW w:w="9412" w:type="dxa"/>
        <w:jc w:val="center"/>
        <w:tblLayout w:type="fixed"/>
        <w:tblCellMar>
          <w:top w:w="0" w:type="dxa"/>
          <w:left w:w="108" w:type="dxa"/>
          <w:bottom w:w="0" w:type="dxa"/>
          <w:right w:w="108" w:type="dxa"/>
        </w:tblCellMar>
      </w:tblPr>
      <w:tblGrid>
        <w:gridCol w:w="1382"/>
        <w:gridCol w:w="961"/>
        <w:gridCol w:w="873"/>
        <w:gridCol w:w="804"/>
        <w:gridCol w:w="300"/>
        <w:gridCol w:w="368"/>
        <w:gridCol w:w="382"/>
        <w:gridCol w:w="183"/>
        <w:gridCol w:w="87"/>
        <w:gridCol w:w="240"/>
        <w:gridCol w:w="240"/>
        <w:gridCol w:w="273"/>
        <w:gridCol w:w="154"/>
        <w:gridCol w:w="169"/>
        <w:gridCol w:w="329"/>
        <w:gridCol w:w="425"/>
        <w:gridCol w:w="749"/>
        <w:gridCol w:w="236"/>
        <w:gridCol w:w="117"/>
        <w:gridCol w:w="478"/>
        <w:gridCol w:w="381"/>
        <w:gridCol w:w="281"/>
      </w:tblGrid>
      <w:tr>
        <w:tblPrEx>
          <w:tblCellMar>
            <w:top w:w="0" w:type="dxa"/>
            <w:left w:w="108" w:type="dxa"/>
            <w:bottom w:w="0" w:type="dxa"/>
            <w:right w:w="108" w:type="dxa"/>
          </w:tblCellMar>
        </w:tblPrEx>
        <w:trPr>
          <w:trHeight w:val="335" w:hRule="atLeast"/>
          <w:jc w:val="center"/>
        </w:trPr>
        <w:tc>
          <w:tcPr>
            <w:tcW w:w="1382" w:type="dxa"/>
            <w:tcBorders>
              <w:bottom w:val="single" w:color="000000" w:sz="4" w:space="0"/>
            </w:tcBorders>
            <w:noWrap w:val="0"/>
            <w:vAlign w:val="top"/>
          </w:tcPr>
          <w:p>
            <w:pPr>
              <w:autoSpaceDN w:val="0"/>
              <w:jc w:val="left"/>
              <w:textAlignment w:val="center"/>
              <w:rPr>
                <w:rFonts w:eastAsia="华文细黑"/>
                <w:color w:val="000000"/>
                <w:sz w:val="20"/>
              </w:rPr>
            </w:pPr>
          </w:p>
        </w:tc>
        <w:tc>
          <w:tcPr>
            <w:tcW w:w="3871"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5"/>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174" w:type="dxa"/>
            <w:gridSpan w:val="2"/>
            <w:noWrap w:val="0"/>
            <w:vAlign w:val="center"/>
          </w:tcPr>
          <w:p>
            <w:pPr>
              <w:autoSpaceDN w:val="0"/>
              <w:jc w:val="left"/>
              <w:textAlignment w:val="center"/>
              <w:rPr>
                <w:rFonts w:eastAsia="华文细黑"/>
                <w:color w:val="000000"/>
                <w:sz w:val="20"/>
              </w:rPr>
            </w:pPr>
          </w:p>
        </w:tc>
        <w:tc>
          <w:tcPr>
            <w:tcW w:w="236" w:type="dxa"/>
            <w:noWrap w:val="0"/>
            <w:vAlign w:val="bottom"/>
          </w:tcPr>
          <w:p>
            <w:pPr>
              <w:autoSpaceDN w:val="0"/>
              <w:jc w:val="right"/>
              <w:textAlignment w:val="bottom"/>
              <w:rPr>
                <w:rFonts w:eastAsia="宋体"/>
                <w:color w:val="000000"/>
                <w:sz w:val="20"/>
              </w:rPr>
            </w:pPr>
          </w:p>
        </w:tc>
        <w:tc>
          <w:tcPr>
            <w:tcW w:w="1257" w:type="dxa"/>
            <w:gridSpan w:val="4"/>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382"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单位名称</w:t>
            </w:r>
          </w:p>
        </w:tc>
        <w:tc>
          <w:tcPr>
            <w:tcW w:w="961"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073"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96"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382"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961"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73"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2"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82"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346"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54"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80"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662"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961"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73"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0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0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82"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27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2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54"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4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5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78"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81"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28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辽源市统计局（本级）</w:t>
            </w:r>
          </w:p>
        </w:tc>
        <w:tc>
          <w:tcPr>
            <w:tcW w:w="9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488.85</w:t>
            </w:r>
          </w:p>
        </w:tc>
        <w:tc>
          <w:tcPr>
            <w:tcW w:w="8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429.50</w:t>
            </w: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429.50</w:t>
            </w:r>
          </w:p>
        </w:tc>
        <w:tc>
          <w:tcPr>
            <w:tcW w:w="30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59.35</w:t>
            </w:r>
          </w:p>
        </w:tc>
        <w:tc>
          <w:tcPr>
            <w:tcW w:w="7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59.35</w:t>
            </w:r>
          </w:p>
        </w:tc>
        <w:tc>
          <w:tcPr>
            <w:tcW w:w="35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9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9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9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9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488.85</w:t>
            </w:r>
          </w:p>
        </w:tc>
        <w:tc>
          <w:tcPr>
            <w:tcW w:w="8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429.50</w:t>
            </w: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429.50</w:t>
            </w:r>
          </w:p>
        </w:tc>
        <w:tc>
          <w:tcPr>
            <w:tcW w:w="30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8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2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27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2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7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59.35</w:t>
            </w:r>
          </w:p>
        </w:tc>
        <w:tc>
          <w:tcPr>
            <w:tcW w:w="7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59.35</w:t>
            </w:r>
          </w:p>
        </w:tc>
        <w:tc>
          <w:tcPr>
            <w:tcW w:w="35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p>
    <w:tbl>
      <w:tblPr>
        <w:tblStyle w:val="9"/>
        <w:tblW w:w="10405" w:type="dxa"/>
        <w:jc w:val="center"/>
        <w:tblLayout w:type="fixed"/>
        <w:tblCellMar>
          <w:top w:w="0" w:type="dxa"/>
          <w:left w:w="108" w:type="dxa"/>
          <w:bottom w:w="0" w:type="dxa"/>
          <w:right w:w="108" w:type="dxa"/>
        </w:tblCellMar>
      </w:tblPr>
      <w:tblGrid>
        <w:gridCol w:w="9960"/>
        <w:gridCol w:w="445"/>
      </w:tblGrid>
      <w:tr>
        <w:tblPrEx>
          <w:tblCellMar>
            <w:top w:w="0" w:type="dxa"/>
            <w:left w:w="108" w:type="dxa"/>
            <w:bottom w:w="0" w:type="dxa"/>
            <w:right w:w="108" w:type="dxa"/>
          </w:tblCellMar>
        </w:tblPrEx>
        <w:trPr>
          <w:trHeight w:val="4220" w:hRule="atLeast"/>
          <w:jc w:val="center"/>
        </w:trPr>
        <w:tc>
          <w:tcPr>
            <w:tcW w:w="10405" w:type="dxa"/>
            <w:gridSpan w:val="2"/>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65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367.08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324.77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42.31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98"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367.08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324.77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42.31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4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324.77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324.77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8"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 xml:space="preserve">  </w:t>
                  </w:r>
                  <w:r>
                    <w:rPr>
                      <w:rFonts w:eastAsia="宋体"/>
                      <w:color w:val="000000"/>
                      <w:kern w:val="0"/>
                      <w:sz w:val="20"/>
                    </w:rPr>
                    <w:t xml:space="preserve">一般行政管理事务 </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38.52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8"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eastAsia="宋体"/>
                      <w:color w:val="000000"/>
                      <w:kern w:val="0"/>
                      <w:sz w:val="20"/>
                      <w:lang w:eastAsia="zh-CN"/>
                    </w:rPr>
                  </w:pPr>
                  <w:r>
                    <w:rPr>
                      <w:rFonts w:hint="eastAsia" w:eastAsia="宋体"/>
                      <w:color w:val="000000"/>
                      <w:kern w:val="0"/>
                      <w:sz w:val="20"/>
                      <w:lang w:eastAsia="zh-CN"/>
                    </w:rPr>
                    <w:t>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75.98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75.98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75.98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75.98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02"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eastAsia="宋体"/>
                      <w:color w:val="000000"/>
                      <w:kern w:val="0"/>
                      <w:sz w:val="20"/>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1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7"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9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rPr>
                      <w:rFonts w:ascii="Times New Roman" w:hAnsi="Times New Roman" w:eastAsia="宋体" w:cs="Times New Roman"/>
                      <w:color w:val="000000"/>
                      <w:kern w:val="0"/>
                      <w:sz w:val="20"/>
                      <w:lang w:val="en-US" w:eastAsia="zh-CN" w:bidi="ar-SA"/>
                    </w:rPr>
                  </w:pPr>
                  <w:r>
                    <w:rPr>
                      <w:rFonts w:eastAsia="宋体"/>
                      <w:color w:val="000000"/>
                      <w:kern w:val="0"/>
                      <w:sz w:val="20"/>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rPr>
                      <w:rFonts w:ascii="Times New Roman" w:hAnsi="Times New Roman" w:eastAsia="宋体" w:cs="Times New Roman"/>
                      <w:color w:val="000000"/>
                      <w:kern w:val="0"/>
                      <w:sz w:val="20"/>
                      <w:lang w:val="en-US" w:eastAsia="zh-CN" w:bidi="ar-SA"/>
                    </w:rPr>
                  </w:pPr>
                  <w:r>
                    <w:rPr>
                      <w:rFonts w:eastAsia="宋体"/>
                      <w:color w:val="000000"/>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35.37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7"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rPr>
                      <w:rFonts w:ascii="Times New Roman" w:hAnsi="Times New Roman" w:eastAsia="宋体" w:cs="Times New Roman"/>
                      <w:color w:val="000000"/>
                      <w:kern w:val="0"/>
                      <w:sz w:val="20"/>
                      <w:lang w:val="en-US" w:eastAsia="zh-CN" w:bidi="ar-SA"/>
                    </w:rPr>
                  </w:pPr>
                  <w:r>
                    <w:rPr>
                      <w:rFonts w:eastAsia="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35.37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4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rPr>
                      <w:rFonts w:ascii="Times New Roman" w:hAnsi="Times New Roman" w:eastAsia="宋体" w:cs="Times New Roman"/>
                      <w:color w:val="000000"/>
                      <w:kern w:val="0"/>
                      <w:sz w:val="20"/>
                      <w:lang w:val="en-US" w:eastAsia="zh-CN" w:bidi="ar-SA"/>
                    </w:rPr>
                  </w:pPr>
                  <w:r>
                    <w:rPr>
                      <w:rFonts w:eastAsia="宋体"/>
                      <w:color w:val="000000"/>
                      <w:kern w:val="0"/>
                      <w:sz w:val="20"/>
                    </w:rPr>
                    <w:t>　</w:t>
                  </w:r>
                  <w:r>
                    <w:rPr>
                      <w:rFonts w:hint="eastAsia" w:eastAsia="宋体"/>
                      <w:color w:val="000000"/>
                      <w:kern w:val="0"/>
                      <w:sz w:val="20"/>
                    </w:rPr>
                    <w:t xml:space="preserve">    </w:t>
                  </w:r>
                  <w:r>
                    <w:rPr>
                      <w:rFonts w:eastAsia="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35.37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488.86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446.55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42.31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r>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488.85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429.50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59.35</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488.85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429.50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2"/>
                      <w:lang w:val="en-US" w:eastAsia="zh-CN"/>
                    </w:rPr>
                  </w:pPr>
                  <w:r>
                    <w:rPr>
                      <w:rFonts w:hint="eastAsia" w:eastAsia="宋体"/>
                      <w:kern w:val="0"/>
                      <w:sz w:val="20"/>
                      <w:szCs w:val="22"/>
                      <w:lang w:val="en-US" w:eastAsia="zh-CN"/>
                    </w:rPr>
                    <w:t>59.35</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488.85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429.50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59.35</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367.08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316.86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50.22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（二）</w:t>
                  </w:r>
                  <w:r>
                    <w:rPr>
                      <w:rFonts w:hint="eastAsia" w:eastAsia="宋体"/>
                      <w:color w:val="000000"/>
                      <w:sz w:val="20"/>
                    </w:rPr>
                    <w:t>社会保障</w:t>
                  </w:r>
                  <w:r>
                    <w:rPr>
                      <w:rFonts w:eastAsia="宋体"/>
                      <w:color w:val="000000"/>
                      <w:sz w:val="20"/>
                    </w:rPr>
                    <w:t>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75.98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72.57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3.41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（三）</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10.43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10.43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（四）</w:t>
                  </w:r>
                  <w:r>
                    <w:rPr>
                      <w:rFonts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35.37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29.64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5.73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宋体"/>
                      <w:kern w:val="0"/>
                      <w:sz w:val="20"/>
                      <w:lang w:val="en-US" w:eastAsia="zh-CN"/>
                    </w:rPr>
                    <w:t>488.85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宋体"/>
                      <w:kern w:val="0"/>
                      <w:sz w:val="20"/>
                      <w:lang w:val="en-US" w:eastAsia="zh-CN"/>
                    </w:rPr>
                    <w:t>429.50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宋体"/>
                      <w:kern w:val="0"/>
                      <w:sz w:val="20"/>
                      <w:lang w:val="en-US" w:eastAsia="zh-CN"/>
                    </w:rPr>
                    <w:t>59.35</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488.85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429.50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59.35</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ascii="宋体" w:hAnsi="宋体" w:eastAsia="宋体"/>
                      <w:color w:val="000000"/>
                      <w:kern w:val="0"/>
                      <w:sz w:val="20"/>
                    </w:rPr>
                    <w:t>一、一般公共服务</w:t>
                  </w:r>
                  <w:r>
                    <w:rPr>
                      <w:rFonts w:hint="eastAsia" w:ascii="宋体" w:hAnsi="宋体"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367.08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324.77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tabs>
                      <w:tab w:val="left" w:pos="241"/>
                    </w:tabs>
                    <w:jc w:val="right"/>
                    <w:rPr>
                      <w:rFonts w:hint="default" w:eastAsia="宋体"/>
                      <w:color w:val="000000"/>
                      <w:kern w:val="0"/>
                      <w:sz w:val="20"/>
                      <w:lang w:val="en-US" w:eastAsia="zh-CN"/>
                    </w:rPr>
                  </w:pPr>
                  <w:r>
                    <w:rPr>
                      <w:rFonts w:hint="eastAsia" w:eastAsia="宋体"/>
                      <w:color w:val="000000"/>
                      <w:kern w:val="0"/>
                      <w:sz w:val="20"/>
                      <w:lang w:eastAsia="zh-CN"/>
                    </w:rPr>
                    <w:tab/>
                  </w:r>
                  <w:r>
                    <w:rPr>
                      <w:rFonts w:hint="eastAsia" w:eastAsia="宋体"/>
                      <w:color w:val="000000"/>
                      <w:kern w:val="0"/>
                      <w:sz w:val="20"/>
                      <w:lang w:val="en-US" w:eastAsia="zh-CN"/>
                    </w:rPr>
                    <w:t>261.46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63.31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42.31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ascii="宋体" w:hAnsi="宋体" w:eastAsia="宋体"/>
                      <w:color w:val="000000"/>
                      <w:kern w:val="0"/>
                      <w:sz w:val="20"/>
                    </w:rPr>
                    <w:t xml:space="preserve">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367.08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324.77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63.31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42.31</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ascii="宋体" w:hAnsi="宋体"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324.77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324.77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63.31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rPr>
                    <w:t xml:space="preserve">  </w:t>
                  </w:r>
                  <w:r>
                    <w:rPr>
                      <w:rFonts w:ascii="宋体" w:hAnsi="宋体" w:eastAsia="宋体"/>
                      <w:color w:val="000000"/>
                      <w:kern w:val="0"/>
                      <w:sz w:val="20"/>
                    </w:rPr>
                    <w:t xml:space="preserve">一般行政管理事务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38.52</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eastAsia" w:ascii="宋体" w:hAnsi="宋体" w:eastAsia="宋体"/>
                      <w:color w:val="000000"/>
                      <w:kern w:val="0"/>
                      <w:sz w:val="20"/>
                      <w:lang w:eastAsia="zh-CN"/>
                    </w:rPr>
                  </w:pPr>
                  <w:r>
                    <w:rPr>
                      <w:rFonts w:hint="eastAsia" w:ascii="宋体" w:hAnsi="宋体" w:eastAsia="宋体"/>
                      <w:color w:val="000000"/>
                      <w:kern w:val="0"/>
                      <w:sz w:val="20"/>
                      <w:lang w:eastAsia="zh-CN"/>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3.79</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ascii="宋体" w:hAnsi="宋体" w:eastAsia="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ascii="宋体" w:hAnsi="宋体"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75.98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ascii="宋体" w:hAnsi="宋体"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40.46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ascii="宋体" w:hAnsi="宋体"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ascii="宋体" w:hAnsi="宋体" w:eastAsia="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华文细黑"/>
                      <w:color w:val="000000"/>
                      <w:kern w:val="0"/>
                      <w:sz w:val="20"/>
                    </w:rPr>
                  </w:pPr>
                  <w:r>
                    <w:rPr>
                      <w:rFonts w:ascii="宋体" w:hAnsi="宋体"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rPr>
                      <w:rFonts w:eastAsia="华文细黑"/>
                      <w:color w:val="000000"/>
                      <w:kern w:val="0"/>
                      <w:sz w:val="20"/>
                    </w:rPr>
                  </w:pPr>
                  <w:r>
                    <w:rPr>
                      <w:rFonts w:ascii="宋体" w:hAnsi="宋体"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ascii="宋体" w:hAnsi="宋体" w:eastAsia="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rPr>
                      <w:rFonts w:eastAsia="华文细黑"/>
                      <w:color w:val="000000"/>
                      <w:kern w:val="0"/>
                      <w:sz w:val="20"/>
                    </w:rPr>
                  </w:pPr>
                  <w:r>
                    <w:rPr>
                      <w:rFonts w:ascii="宋体" w:hAnsi="宋体"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ascii="宋体" w:hAnsi="宋体" w:eastAsia="宋体"/>
                      <w:color w:val="000000"/>
                      <w:kern w:val="0"/>
                      <w:sz w:val="20"/>
                    </w:rPr>
                    <w:t>　</w:t>
                  </w:r>
                  <w:r>
                    <w:rPr>
                      <w:rFonts w:hint="eastAsia" w:ascii="宋体" w:hAnsi="宋体" w:eastAsia="宋体"/>
                      <w:color w:val="000000"/>
                      <w:kern w:val="0"/>
                      <w:sz w:val="20"/>
                    </w:rPr>
                    <w:t xml:space="preserve">  </w:t>
                  </w:r>
                  <w:r>
                    <w:rPr>
                      <w:rFonts w:ascii="宋体" w:hAnsi="宋体" w:eastAsia="宋体"/>
                      <w:color w:val="000000"/>
                      <w:kern w:val="0"/>
                      <w:sz w:val="20"/>
                    </w:rPr>
                    <w:t xml:space="preserve"> </w:t>
                  </w:r>
                  <w:r>
                    <w:rPr>
                      <w:rFonts w:hint="eastAsia" w:ascii="宋体" w:hAnsi="宋体" w:eastAsia="宋体"/>
                      <w:color w:val="000000"/>
                      <w:kern w:val="0"/>
                      <w:sz w:val="20"/>
                    </w:rPr>
                    <w:t xml:space="preserve"> </w:t>
                  </w:r>
                  <w:r>
                    <w:rPr>
                      <w:rFonts w:ascii="宋体" w:hAnsi="宋体"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35.37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华文细黑"/>
                      <w:color w:val="000000"/>
                      <w:kern w:val="0"/>
                      <w:sz w:val="20"/>
                    </w:rPr>
                  </w:pPr>
                  <w:r>
                    <w:rPr>
                      <w:rFonts w:ascii="宋体" w:hAnsi="宋体" w:eastAsia="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488.86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446.55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383.24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63.31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42.31</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341.89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b w:val="0"/>
                <w:bCs w:val="0"/>
                <w:sz w:val="20"/>
                <w:szCs w:val="20"/>
                <w:lang w:val="en-US" w:eastAsia="zh-CN"/>
              </w:rPr>
            </w:pPr>
            <w:r>
              <w:rPr>
                <w:rFonts w:hint="eastAsia"/>
                <w:b w:val="0"/>
                <w:bCs w:val="0"/>
                <w:sz w:val="20"/>
                <w:szCs w:val="20"/>
                <w:lang w:val="en-US" w:eastAsia="zh-CN"/>
              </w:rPr>
              <w:t>341.89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120.88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b w:val="0"/>
                <w:bCs w:val="0"/>
                <w:sz w:val="20"/>
                <w:szCs w:val="20"/>
                <w:lang w:val="en-US" w:eastAsia="zh-CN"/>
              </w:rPr>
            </w:pPr>
            <w:r>
              <w:rPr>
                <w:rFonts w:hint="eastAsia"/>
                <w:b w:val="0"/>
                <w:bCs w:val="0"/>
                <w:sz w:val="20"/>
                <w:szCs w:val="20"/>
                <w:lang w:val="en-US" w:eastAsia="zh-CN"/>
              </w:rPr>
              <w:t>120.88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67.98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b w:val="0"/>
                <w:bCs w:val="0"/>
                <w:sz w:val="20"/>
                <w:szCs w:val="20"/>
                <w:lang w:val="en-US" w:eastAsia="zh-CN"/>
              </w:rPr>
            </w:pPr>
            <w:r>
              <w:rPr>
                <w:rFonts w:hint="eastAsia"/>
                <w:b w:val="0"/>
                <w:bCs w:val="0"/>
                <w:sz w:val="20"/>
                <w:szCs w:val="20"/>
                <w:lang w:val="en-US" w:eastAsia="zh-CN"/>
              </w:rPr>
              <w:t>67.98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62.03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b w:val="0"/>
                <w:bCs w:val="0"/>
                <w:sz w:val="20"/>
                <w:szCs w:val="20"/>
                <w:lang w:val="en-US" w:eastAsia="zh-CN"/>
              </w:rPr>
            </w:pPr>
            <w:r>
              <w:rPr>
                <w:rFonts w:hint="eastAsia"/>
                <w:b w:val="0"/>
                <w:bCs w:val="0"/>
                <w:sz w:val="20"/>
                <w:szCs w:val="20"/>
                <w:lang w:val="en-US" w:eastAsia="zh-CN"/>
              </w:rPr>
              <w:t>62.03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35.52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b w:val="0"/>
                <w:bCs w:val="0"/>
                <w:sz w:val="20"/>
                <w:szCs w:val="20"/>
              </w:rPr>
            </w:pPr>
            <w:r>
              <w:rPr>
                <w:rFonts w:hint="eastAsia" w:eastAsia="宋体"/>
                <w:b w:val="0"/>
                <w:bCs w:val="0"/>
                <w:kern w:val="0"/>
                <w:sz w:val="20"/>
                <w:szCs w:val="20"/>
                <w:lang w:val="en-US" w:eastAsia="zh-CN"/>
              </w:rPr>
              <w:t>35.52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2.56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b w:val="0"/>
                <w:bCs w:val="0"/>
                <w:sz w:val="20"/>
                <w:szCs w:val="20"/>
                <w:lang w:val="en-US" w:eastAsia="zh-CN"/>
              </w:rPr>
            </w:pPr>
            <w:r>
              <w:rPr>
                <w:rFonts w:hint="eastAsia"/>
                <w:b w:val="0"/>
                <w:bCs w:val="0"/>
                <w:sz w:val="20"/>
                <w:szCs w:val="20"/>
                <w:lang w:val="en-US" w:eastAsia="zh-CN"/>
              </w:rPr>
              <w:t>2.56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10.11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b w:val="0"/>
                <w:bCs w:val="0"/>
                <w:sz w:val="20"/>
                <w:szCs w:val="20"/>
                <w:lang w:val="en-US" w:eastAsia="zh-CN"/>
              </w:rPr>
            </w:pPr>
            <w:r>
              <w:rPr>
                <w:rFonts w:hint="eastAsia"/>
                <w:b w:val="0"/>
                <w:bCs w:val="0"/>
                <w:sz w:val="20"/>
                <w:szCs w:val="20"/>
                <w:lang w:val="en-US" w:eastAsia="zh-CN"/>
              </w:rPr>
              <w:t>10.11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b w:val="0"/>
                <w:bCs w:val="0"/>
                <w:sz w:val="20"/>
                <w:szCs w:val="20"/>
                <w:lang w:val="en-US" w:eastAsia="zh-CN"/>
              </w:rPr>
            </w:pPr>
            <w:r>
              <w:rPr>
                <w:rFonts w:hint="eastAsia"/>
                <w:b w:val="0"/>
                <w:bCs w:val="0"/>
                <w:sz w:val="20"/>
                <w:szCs w:val="20"/>
                <w:lang w:val="en-US" w:eastAsia="zh-CN"/>
              </w:rPr>
              <w:t>3.52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kern w:val="0"/>
                <w:sz w:val="20"/>
              </w:rPr>
            </w:pPr>
            <w:r>
              <w:rPr>
                <w:rFonts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35.57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b w:val="0"/>
                <w:bCs w:val="0"/>
                <w:sz w:val="20"/>
                <w:szCs w:val="20"/>
                <w:lang w:val="en-US" w:eastAsia="zh-CN"/>
              </w:rPr>
            </w:pPr>
            <w:r>
              <w:rPr>
                <w:rFonts w:hint="eastAsia"/>
                <w:b w:val="0"/>
                <w:bCs w:val="0"/>
                <w:sz w:val="20"/>
                <w:szCs w:val="20"/>
                <w:lang w:val="en-US" w:eastAsia="zh-CN"/>
              </w:rPr>
              <w:t>35.37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b w:val="0"/>
                <w:bCs w:val="0"/>
                <w:kern w:val="0"/>
                <w:sz w:val="20"/>
                <w:szCs w:val="20"/>
                <w:lang w:val="en-US" w:eastAsia="zh-CN"/>
              </w:rPr>
            </w:pPr>
            <w:r>
              <w:rPr>
                <w:rFonts w:hint="eastAsia" w:eastAsia="宋体"/>
                <w:b w:val="0"/>
                <w:bCs w:val="0"/>
                <w:kern w:val="0"/>
                <w:sz w:val="20"/>
                <w:szCs w:val="20"/>
                <w:lang w:val="en-US" w:eastAsia="zh-CN"/>
              </w:rPr>
              <w:t>3.92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b w:val="0"/>
                <w:bCs w:val="0"/>
                <w:sz w:val="20"/>
                <w:szCs w:val="20"/>
                <w:lang w:val="en-US" w:eastAsia="zh-CN"/>
              </w:rPr>
            </w:pPr>
            <w:r>
              <w:rPr>
                <w:rFonts w:hint="eastAsia"/>
                <w:b w:val="0"/>
                <w:bCs w:val="0"/>
                <w:sz w:val="20"/>
                <w:szCs w:val="20"/>
                <w:lang w:val="en-US" w:eastAsia="zh-CN"/>
              </w:rPr>
              <w:t>3.92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61.31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61.31</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6.85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6.85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eastAsia="宋体"/>
                <w:color w:val="000000"/>
                <w:kern w:val="0"/>
                <w:sz w:val="20"/>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1.00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手续费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0.05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sz w:val="20"/>
                <w:szCs w:val="20"/>
                <w:lang w:val="en-US" w:eastAsia="zh-CN"/>
              </w:rPr>
            </w:pPr>
            <w:r>
              <w:rPr>
                <w:rFonts w:hint="eastAsia"/>
                <w:sz w:val="20"/>
                <w:szCs w:val="20"/>
                <w:lang w:val="en-US" w:eastAsia="zh-CN"/>
              </w:rPr>
              <w:t>0.05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eastAsia="宋体"/>
                <w:color w:val="000000"/>
                <w:kern w:val="0"/>
                <w:sz w:val="20"/>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0.62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0.62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eastAsia="宋体"/>
                <w:color w:val="000000"/>
                <w:kern w:val="0"/>
                <w:sz w:val="20"/>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3.50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3.50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eastAsia="宋体"/>
                <w:color w:val="000000"/>
                <w:kern w:val="0"/>
                <w:sz w:val="20"/>
              </w:rPr>
              <w:t>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1.60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1.60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3.14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3.14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0.15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0.15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租赁费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0.50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1.75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1.75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3.27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3.27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0.40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3.16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3.16</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12.41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12.41</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公务用车运行维护费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3.33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3.33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16.72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0"/>
                <w:szCs w:val="20"/>
                <w:lang w:val="en-US" w:eastAsia="zh-CN"/>
              </w:rPr>
            </w:pPr>
            <w:r>
              <w:rPr>
                <w:rFonts w:hint="eastAsia"/>
                <w:sz w:val="20"/>
                <w:szCs w:val="20"/>
                <w:lang w:val="en-US" w:eastAsia="zh-CN"/>
              </w:rPr>
              <w:t>16.72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2.86</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仿宋_GB2312"/>
                <w:sz w:val="20"/>
                <w:szCs w:val="20"/>
                <w:lang w:val="en-US" w:eastAsia="zh-CN"/>
              </w:rPr>
            </w:pPr>
            <w:r>
              <w:rPr>
                <w:rFonts w:hint="eastAsia"/>
                <w:sz w:val="20"/>
                <w:szCs w:val="20"/>
                <w:lang w:val="en-US" w:eastAsia="zh-CN"/>
              </w:rPr>
              <w:t>2.86</w:t>
            </w:r>
          </w:p>
        </w:tc>
      </w:tr>
      <w:tr>
        <w:tblPrEx>
          <w:tblCellMar>
            <w:top w:w="0" w:type="dxa"/>
            <w:left w:w="108" w:type="dxa"/>
            <w:bottom w:w="0" w:type="dxa"/>
            <w:right w:w="108"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三、对个人和家庭的补助</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41.34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仿宋_GB2312"/>
                <w:sz w:val="20"/>
                <w:szCs w:val="20"/>
                <w:lang w:val="en-US" w:eastAsia="zh-CN"/>
              </w:rPr>
            </w:pPr>
            <w:r>
              <w:rPr>
                <w:rFonts w:hint="eastAsia"/>
                <w:sz w:val="20"/>
                <w:szCs w:val="20"/>
                <w:lang w:val="en-US" w:eastAsia="zh-CN"/>
              </w:rPr>
              <w:t>41.34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退休费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40.46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仿宋_GB2312"/>
                <w:sz w:val="20"/>
                <w:szCs w:val="20"/>
                <w:lang w:val="en-US" w:eastAsia="zh-CN"/>
              </w:rPr>
            </w:pPr>
            <w:r>
              <w:rPr>
                <w:rFonts w:hint="eastAsia"/>
                <w:sz w:val="20"/>
                <w:szCs w:val="20"/>
                <w:lang w:val="en-US" w:eastAsia="zh-CN"/>
              </w:rPr>
              <w:t>40.46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其他对个人和家庭的补助</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0.88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仿宋_GB2312"/>
                <w:sz w:val="20"/>
                <w:szCs w:val="20"/>
                <w:lang w:val="en-US" w:eastAsia="zh-CN"/>
              </w:rPr>
            </w:pPr>
            <w:r>
              <w:rPr>
                <w:rFonts w:hint="eastAsia"/>
                <w:sz w:val="20"/>
                <w:szCs w:val="20"/>
                <w:lang w:val="en-US" w:eastAsia="zh-CN"/>
              </w:rPr>
              <w:t>0.88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sz w:val="20"/>
                <w:szCs w:val="20"/>
              </w:rPr>
            </w:pPr>
          </w:p>
        </w:tc>
      </w:tr>
      <w:tr>
        <w:tblPrEx>
          <w:tblCellMar>
            <w:top w:w="0" w:type="dxa"/>
            <w:left w:w="108" w:type="dxa"/>
            <w:bottom w:w="0" w:type="dxa"/>
            <w:right w:w="108"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四、资本性支出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2.00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sz w:val="20"/>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仿宋_GB2312"/>
                <w:sz w:val="20"/>
                <w:szCs w:val="20"/>
                <w:lang w:val="en-US" w:eastAsia="zh-CN"/>
              </w:rPr>
            </w:pPr>
            <w:r>
              <w:rPr>
                <w:rFonts w:hint="eastAsia"/>
                <w:sz w:val="20"/>
                <w:szCs w:val="20"/>
                <w:lang w:val="en-US" w:eastAsia="zh-CN"/>
              </w:rPr>
              <w:t>2.00</w:t>
            </w:r>
          </w:p>
        </w:tc>
      </w:tr>
      <w:tr>
        <w:tblPrEx>
          <w:tblCellMar>
            <w:top w:w="0" w:type="dxa"/>
            <w:left w:w="108" w:type="dxa"/>
            <w:bottom w:w="0" w:type="dxa"/>
            <w:right w:w="108"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办公设备购置</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2.00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sz w:val="20"/>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仿宋_GB2312"/>
                <w:sz w:val="20"/>
                <w:szCs w:val="20"/>
                <w:lang w:val="en-US" w:eastAsia="zh-CN"/>
              </w:rPr>
            </w:pPr>
            <w:r>
              <w:rPr>
                <w:rFonts w:hint="eastAsia"/>
                <w:sz w:val="20"/>
                <w:szCs w:val="20"/>
                <w:lang w:val="en-US" w:eastAsia="zh-CN"/>
              </w:rPr>
              <w:t>2.00</w:t>
            </w:r>
          </w:p>
        </w:tc>
      </w:tr>
      <w:tr>
        <w:tblPrEx>
          <w:tblCellMar>
            <w:top w:w="0" w:type="dxa"/>
            <w:left w:w="108" w:type="dxa"/>
            <w:bottom w:w="0" w:type="dxa"/>
            <w:right w:w="108"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合计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宋体"/>
                <w:kern w:val="0"/>
                <w:sz w:val="20"/>
                <w:szCs w:val="20"/>
                <w:lang w:val="en-US" w:eastAsia="zh-CN"/>
              </w:rPr>
            </w:pPr>
            <w:r>
              <w:rPr>
                <w:rFonts w:hint="eastAsia" w:eastAsia="宋体"/>
                <w:kern w:val="0"/>
                <w:sz w:val="20"/>
                <w:szCs w:val="20"/>
                <w:lang w:val="en-US" w:eastAsia="zh-CN"/>
              </w:rPr>
              <w:t>446.54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仿宋_GB2312"/>
                <w:sz w:val="20"/>
                <w:szCs w:val="20"/>
                <w:lang w:val="en-US" w:eastAsia="zh-CN"/>
              </w:rPr>
            </w:pPr>
            <w:r>
              <w:rPr>
                <w:rFonts w:hint="eastAsia"/>
                <w:sz w:val="20"/>
                <w:szCs w:val="20"/>
                <w:lang w:val="en-US" w:eastAsia="zh-CN"/>
              </w:rPr>
              <w:t>383.23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right"/>
              <w:rPr>
                <w:rFonts w:hint="default" w:eastAsia="仿宋_GB2312"/>
                <w:sz w:val="20"/>
                <w:szCs w:val="20"/>
                <w:lang w:val="en-US" w:eastAsia="zh-CN"/>
              </w:rPr>
            </w:pPr>
            <w:r>
              <w:rPr>
                <w:rFonts w:hint="eastAsia"/>
                <w:sz w:val="20"/>
                <w:szCs w:val="20"/>
                <w:lang w:val="en-US" w:eastAsia="zh-CN"/>
              </w:rPr>
              <w:t>63.31</w:t>
            </w:r>
          </w:p>
        </w:tc>
      </w:tr>
    </w:tbl>
    <w:p>
      <w:pPr>
        <w:rPr>
          <w:sz w:val="16"/>
          <w:szCs w:val="16"/>
        </w:rPr>
      </w:pPr>
    </w:p>
    <w:p>
      <w:pPr>
        <w:rPr>
          <w:sz w:val="16"/>
          <w:szCs w:val="16"/>
        </w:rPr>
      </w:pPr>
    </w:p>
    <w:p>
      <w:pPr>
        <w:rPr>
          <w:sz w:val="16"/>
          <w:szCs w:val="16"/>
        </w:rPr>
      </w:pPr>
    </w:p>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3.73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0.40</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3.33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3.33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ind w:firstLine="400" w:firstLineChars="200"/>
              <w:jc w:val="both"/>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说明：</w:t>
            </w:r>
          </w:p>
          <w:p>
            <w:pPr>
              <w:widowControl/>
              <w:numPr>
                <w:ilvl w:val="0"/>
                <w:numId w:val="0"/>
              </w:numPr>
              <w:ind w:firstLine="800" w:firstLineChars="400"/>
              <w:jc w:val="both"/>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1、“2024年预算数”的单位范围包括单位本级1个预算单位。</w:t>
            </w:r>
            <w:bookmarkStart w:id="0" w:name="_GoBack"/>
            <w:bookmarkEnd w:id="0"/>
          </w:p>
          <w:p>
            <w:pPr>
              <w:widowControl/>
              <w:ind w:firstLine="800" w:firstLineChars="400"/>
              <w:jc w:val="both"/>
              <w:rPr>
                <w:rFonts w:hint="eastAsia" w:eastAsia="仿宋_GB2312"/>
                <w:color w:val="000000"/>
                <w:kern w:val="0"/>
                <w:sz w:val="28"/>
                <w:szCs w:val="28"/>
                <w:lang w:val="en-US" w:eastAsia="zh-CN"/>
              </w:rPr>
            </w:pPr>
            <w:r>
              <w:rPr>
                <w:rFonts w:hint="eastAsia" w:ascii="宋体" w:hAnsi="宋体" w:eastAsia="宋体" w:cs="宋体"/>
                <w:color w:val="000000"/>
                <w:kern w:val="0"/>
                <w:sz w:val="20"/>
                <w:szCs w:val="20"/>
                <w:lang w:val="en-US" w:eastAsia="zh-CN"/>
              </w:rPr>
              <w:t>2、“2024年预算数”的实有人员49人，其中：在职人员18人，离退休人员31人。</w:t>
            </w:r>
          </w:p>
        </w:tc>
      </w:tr>
    </w:tbl>
    <w:p>
      <w:pPr>
        <w:ind w:firstLine="640" w:firstLineChars="200"/>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41"/>
        <w:gridCol w:w="289"/>
        <w:gridCol w:w="543"/>
        <w:gridCol w:w="995"/>
        <w:gridCol w:w="1064"/>
        <w:gridCol w:w="709"/>
        <w:gridCol w:w="436"/>
        <w:gridCol w:w="423"/>
        <w:gridCol w:w="314"/>
        <w:gridCol w:w="286"/>
        <w:gridCol w:w="668"/>
        <w:gridCol w:w="368"/>
        <w:gridCol w:w="300"/>
        <w:gridCol w:w="409"/>
        <w:gridCol w:w="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30"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54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9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6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168"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067"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0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473"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995"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单位名称</w:t>
            </w:r>
          </w:p>
        </w:tc>
        <w:tc>
          <w:tcPr>
            <w:tcW w:w="1064"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168"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067"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09"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41"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32"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99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1064"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68"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14"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286"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36"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731"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909" w:type="dxa"/>
            <w:vMerge w:val="continue"/>
            <w:noWrap w:val="0"/>
            <w:vAlign w:val="center"/>
          </w:tcPr>
          <w:p>
            <w:pPr>
              <w:autoSpaceDN w:val="0"/>
              <w:jc w:val="center"/>
              <w:textAlignment w:val="center"/>
              <w:rPr>
                <w:rFonts w:ascii="Calibri" w:hAnsi="Calibri" w:eastAsia="华文细黑"/>
                <w:color w:val="000000"/>
                <w:sz w:val="20"/>
                <w:szCs w:val="22"/>
              </w:rPr>
            </w:pPr>
          </w:p>
        </w:tc>
        <w:tc>
          <w:tcPr>
            <w:tcW w:w="641" w:type="dxa"/>
            <w:vMerge w:val="continue"/>
            <w:noWrap w:val="0"/>
            <w:vAlign w:val="center"/>
          </w:tcPr>
          <w:p>
            <w:pPr>
              <w:autoSpaceDN w:val="0"/>
              <w:jc w:val="center"/>
              <w:textAlignment w:val="center"/>
              <w:rPr>
                <w:rFonts w:ascii="Calibri" w:hAnsi="Calibri" w:eastAsia="华文细黑"/>
                <w:color w:val="000000"/>
                <w:sz w:val="20"/>
                <w:szCs w:val="22"/>
              </w:rPr>
            </w:pPr>
          </w:p>
        </w:tc>
        <w:tc>
          <w:tcPr>
            <w:tcW w:w="832"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95" w:type="dxa"/>
            <w:vMerge w:val="continue"/>
            <w:noWrap w:val="0"/>
            <w:vAlign w:val="center"/>
          </w:tcPr>
          <w:p>
            <w:pPr>
              <w:autoSpaceDN w:val="0"/>
              <w:jc w:val="center"/>
              <w:textAlignment w:val="center"/>
              <w:rPr>
                <w:rFonts w:ascii="Calibri" w:hAnsi="Calibri" w:eastAsia="华文细黑"/>
                <w:color w:val="000000"/>
                <w:sz w:val="20"/>
                <w:szCs w:val="22"/>
              </w:rPr>
            </w:pPr>
          </w:p>
        </w:tc>
        <w:tc>
          <w:tcPr>
            <w:tcW w:w="1064" w:type="dxa"/>
            <w:vMerge w:val="continue"/>
            <w:noWrap w:val="0"/>
            <w:vAlign w:val="center"/>
          </w:tcPr>
          <w:p>
            <w:pPr>
              <w:autoSpaceDN w:val="0"/>
              <w:jc w:val="center"/>
              <w:textAlignment w:val="center"/>
              <w:rPr>
                <w:rFonts w:ascii="Calibri" w:hAnsi="Calibri" w:eastAsia="华文细黑"/>
                <w:color w:val="000000"/>
                <w:sz w:val="20"/>
                <w:szCs w:val="22"/>
              </w:rPr>
            </w:pPr>
          </w:p>
        </w:tc>
        <w:tc>
          <w:tcPr>
            <w:tcW w:w="709"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36"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23"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14"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286"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668"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68"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0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09"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22"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16"/>
                <w:szCs w:val="16"/>
                <w:lang w:eastAsia="zh-CN"/>
              </w:rPr>
            </w:pPr>
          </w:p>
        </w:tc>
        <w:tc>
          <w:tcPr>
            <w:tcW w:w="6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eastAsia="zh-CN"/>
              </w:rPr>
              <w:t>专项统计业务</w:t>
            </w:r>
          </w:p>
        </w:tc>
        <w:tc>
          <w:tcPr>
            <w:tcW w:w="832" w:type="dxa"/>
            <w:gridSpan w:val="2"/>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bidi="ar-SA"/>
              </w:rPr>
            </w:pPr>
          </w:p>
        </w:tc>
        <w:tc>
          <w:tcPr>
            <w:tcW w:w="995" w:type="dxa"/>
            <w:noWrap w:val="0"/>
            <w:vAlign w:val="center"/>
          </w:tcPr>
          <w:p>
            <w:pPr>
              <w:spacing w:line="700" w:lineRule="exact"/>
              <w:jc w:val="center"/>
              <w:rPr>
                <w:rFonts w:hint="eastAsia" w:asciiTheme="minorEastAsia" w:hAnsiTheme="minorEastAsia" w:eastAsiaTheme="minorEastAsia" w:cstheme="minorEastAsia"/>
                <w:kern w:val="0"/>
                <w:sz w:val="16"/>
                <w:szCs w:val="16"/>
                <w:lang w:val="en-US" w:eastAsia="zh-CN" w:bidi="ar-SA"/>
              </w:rPr>
            </w:pPr>
          </w:p>
        </w:tc>
        <w:tc>
          <w:tcPr>
            <w:tcW w:w="106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1.06</w:t>
            </w:r>
          </w:p>
        </w:tc>
        <w:tc>
          <w:tcPr>
            <w:tcW w:w="7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p>
        </w:tc>
        <w:tc>
          <w:tcPr>
            <w:tcW w:w="43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23"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1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28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6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1.06</w:t>
            </w:r>
          </w:p>
        </w:tc>
        <w:tc>
          <w:tcPr>
            <w:tcW w:w="3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00"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22"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16"/>
                <w:szCs w:val="16"/>
                <w:lang w:eastAsia="zh-CN"/>
              </w:rPr>
            </w:pPr>
          </w:p>
        </w:tc>
        <w:tc>
          <w:tcPr>
            <w:tcW w:w="641" w:type="dxa"/>
            <w:noWrap w:val="0"/>
            <w:vAlign w:val="center"/>
          </w:tcPr>
          <w:p>
            <w:pPr>
              <w:autoSpaceDN w:val="0"/>
              <w:jc w:val="center"/>
              <w:textAlignment w:val="center"/>
              <w:rPr>
                <w:rFonts w:hint="eastAsia" w:asciiTheme="minorEastAsia" w:hAnsiTheme="minorEastAsia" w:eastAsiaTheme="minorEastAsia" w:cstheme="minorEastAsia"/>
                <w:color w:val="000000"/>
                <w:kern w:val="2"/>
                <w:sz w:val="16"/>
                <w:szCs w:val="16"/>
                <w:lang w:val="en-US" w:eastAsia="zh-CN" w:bidi="ar-SA"/>
              </w:rPr>
            </w:pPr>
          </w:p>
        </w:tc>
        <w:tc>
          <w:tcPr>
            <w:tcW w:w="8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eastAsia="zh-CN"/>
              </w:rPr>
              <w:t>统计调查经费</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0"/>
                <w:sz w:val="16"/>
                <w:szCs w:val="16"/>
                <w:lang w:val="en-US" w:eastAsia="zh-CN" w:bidi="ar-SA"/>
              </w:rPr>
            </w:pPr>
            <w:r>
              <w:rPr>
                <w:rFonts w:hint="eastAsia" w:asciiTheme="minorEastAsia" w:hAnsiTheme="minorEastAsia" w:eastAsiaTheme="minorEastAsia" w:cstheme="minorEastAsia"/>
                <w:kern w:val="0"/>
                <w:sz w:val="16"/>
                <w:szCs w:val="16"/>
                <w:lang w:eastAsia="zh-CN"/>
              </w:rPr>
              <w:t>辽源市统计局（本级）</w:t>
            </w:r>
          </w:p>
        </w:tc>
        <w:tc>
          <w:tcPr>
            <w:tcW w:w="106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1.06</w:t>
            </w:r>
          </w:p>
        </w:tc>
        <w:tc>
          <w:tcPr>
            <w:tcW w:w="7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p>
        </w:tc>
        <w:tc>
          <w:tcPr>
            <w:tcW w:w="43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23"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1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28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6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1.06</w:t>
            </w:r>
          </w:p>
        </w:tc>
        <w:tc>
          <w:tcPr>
            <w:tcW w:w="3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00"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22"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专项业务支出</w:t>
            </w:r>
          </w:p>
        </w:tc>
        <w:tc>
          <w:tcPr>
            <w:tcW w:w="641"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832" w:type="dxa"/>
            <w:gridSpan w:val="2"/>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99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06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41.25</w:t>
            </w:r>
          </w:p>
        </w:tc>
        <w:tc>
          <w:tcPr>
            <w:tcW w:w="7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41.25</w:t>
            </w:r>
          </w:p>
        </w:tc>
        <w:tc>
          <w:tcPr>
            <w:tcW w:w="43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23"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1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28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6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p>
        </w:tc>
        <w:tc>
          <w:tcPr>
            <w:tcW w:w="3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00"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22"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6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专项普查活动</w:t>
            </w:r>
          </w:p>
        </w:tc>
        <w:tc>
          <w:tcPr>
            <w:tcW w:w="832" w:type="dxa"/>
            <w:gridSpan w:val="2"/>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99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06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3.79</w:t>
            </w:r>
          </w:p>
        </w:tc>
        <w:tc>
          <w:tcPr>
            <w:tcW w:w="7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3.79</w:t>
            </w:r>
          </w:p>
        </w:tc>
        <w:tc>
          <w:tcPr>
            <w:tcW w:w="43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23"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1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28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6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00"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22"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641"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8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第五次全国经济普查经费</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辽源市统计局（本级）</w:t>
            </w:r>
          </w:p>
        </w:tc>
        <w:tc>
          <w:tcPr>
            <w:tcW w:w="106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3.79</w:t>
            </w:r>
          </w:p>
        </w:tc>
        <w:tc>
          <w:tcPr>
            <w:tcW w:w="7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3.79</w:t>
            </w:r>
          </w:p>
        </w:tc>
        <w:tc>
          <w:tcPr>
            <w:tcW w:w="43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23"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1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28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6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00"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22"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9"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6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lang w:eastAsia="zh-CN"/>
              </w:rPr>
              <w:t>专项统计业务</w:t>
            </w:r>
          </w:p>
        </w:tc>
        <w:tc>
          <w:tcPr>
            <w:tcW w:w="832" w:type="dxa"/>
            <w:gridSpan w:val="2"/>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99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06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37.46</w:t>
            </w:r>
          </w:p>
        </w:tc>
        <w:tc>
          <w:tcPr>
            <w:tcW w:w="7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37.46</w:t>
            </w:r>
          </w:p>
        </w:tc>
        <w:tc>
          <w:tcPr>
            <w:tcW w:w="43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23"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1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28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6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p>
        </w:tc>
        <w:tc>
          <w:tcPr>
            <w:tcW w:w="3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00"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22"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9" w:type="dxa"/>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p>
        </w:tc>
        <w:tc>
          <w:tcPr>
            <w:tcW w:w="641" w:type="dxa"/>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p>
        </w:tc>
        <w:tc>
          <w:tcPr>
            <w:tcW w:w="8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lang w:eastAsia="zh-CN"/>
              </w:rPr>
              <w:t>统计调查经费</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lang w:eastAsia="zh-CN"/>
              </w:rPr>
              <w:t>辽源市统计局（本级）</w:t>
            </w:r>
          </w:p>
        </w:tc>
        <w:tc>
          <w:tcPr>
            <w:tcW w:w="106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37.46</w:t>
            </w:r>
          </w:p>
        </w:tc>
        <w:tc>
          <w:tcPr>
            <w:tcW w:w="7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37.46</w:t>
            </w:r>
          </w:p>
        </w:tc>
        <w:tc>
          <w:tcPr>
            <w:tcW w:w="43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23"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1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28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6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p>
        </w:tc>
        <w:tc>
          <w:tcPr>
            <w:tcW w:w="3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00"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4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c>
          <w:tcPr>
            <w:tcW w:w="322"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09" w:type="dxa"/>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合计</w:t>
            </w:r>
          </w:p>
        </w:tc>
        <w:tc>
          <w:tcPr>
            <w:tcW w:w="641" w:type="dxa"/>
            <w:noWrap w:val="0"/>
            <w:vAlign w:val="center"/>
          </w:tcPr>
          <w:p>
            <w:pPr>
              <w:autoSpaceDN w:val="0"/>
              <w:jc w:val="center"/>
              <w:textAlignment w:val="center"/>
              <w:rPr>
                <w:rFonts w:hint="eastAsia" w:asciiTheme="minorEastAsia" w:hAnsiTheme="minorEastAsia" w:eastAsiaTheme="minorEastAsia" w:cstheme="minorEastAsia"/>
                <w:color w:val="000000"/>
                <w:sz w:val="16"/>
                <w:szCs w:val="16"/>
              </w:rPr>
            </w:pPr>
          </w:p>
        </w:tc>
        <w:tc>
          <w:tcPr>
            <w:tcW w:w="832" w:type="dxa"/>
            <w:gridSpan w:val="2"/>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995" w:type="dxa"/>
            <w:noWrap w:val="0"/>
            <w:vAlign w:val="center"/>
          </w:tcPr>
          <w:p>
            <w:pPr>
              <w:spacing w:line="700" w:lineRule="exact"/>
              <w:jc w:val="center"/>
              <w:rPr>
                <w:rFonts w:hint="eastAsia" w:asciiTheme="minorEastAsia" w:hAnsiTheme="minorEastAsia" w:eastAsiaTheme="minorEastAsia" w:cstheme="minorEastAsia"/>
                <w:kern w:val="0"/>
                <w:sz w:val="16"/>
                <w:szCs w:val="16"/>
              </w:rPr>
            </w:pPr>
          </w:p>
        </w:tc>
        <w:tc>
          <w:tcPr>
            <w:tcW w:w="106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42.31</w:t>
            </w:r>
          </w:p>
        </w:tc>
        <w:tc>
          <w:tcPr>
            <w:tcW w:w="7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41.25</w:t>
            </w:r>
          </w:p>
        </w:tc>
        <w:tc>
          <w:tcPr>
            <w:tcW w:w="43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p>
        </w:tc>
        <w:tc>
          <w:tcPr>
            <w:tcW w:w="423"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p>
        </w:tc>
        <w:tc>
          <w:tcPr>
            <w:tcW w:w="314"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p>
        </w:tc>
        <w:tc>
          <w:tcPr>
            <w:tcW w:w="286"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p>
        </w:tc>
        <w:tc>
          <w:tcPr>
            <w:tcW w:w="6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1.06</w:t>
            </w:r>
          </w:p>
        </w:tc>
        <w:tc>
          <w:tcPr>
            <w:tcW w:w="368"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p>
        </w:tc>
        <w:tc>
          <w:tcPr>
            <w:tcW w:w="300"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p>
        </w:tc>
        <w:tc>
          <w:tcPr>
            <w:tcW w:w="409"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p>
        </w:tc>
        <w:tc>
          <w:tcPr>
            <w:tcW w:w="322" w:type="dxa"/>
            <w:noWrap w:val="0"/>
            <w:vAlign w:val="center"/>
          </w:tcPr>
          <w:p>
            <w:pPr>
              <w:keepNext w:val="0"/>
              <w:keepLines w:val="0"/>
              <w:pageBreakBefore w:val="0"/>
              <w:widowControl w:val="0"/>
              <w:kinsoku/>
              <w:wordWrap/>
              <w:overflowPunct/>
              <w:topLinePunct w:val="0"/>
              <w:autoSpaceDE/>
              <w:bidi w:val="0"/>
              <w:adjustRightInd/>
              <w:snapToGrid/>
              <w:spacing w:line="200" w:lineRule="exact"/>
              <w:jc w:val="right"/>
              <w:textAlignment w:val="auto"/>
              <w:rPr>
                <w:rFonts w:hint="default" w:ascii="Times New Roman" w:hAnsi="Times New Roman" w:eastAsia="楷体" w:cs="Times New Roman"/>
                <w:kern w:val="0"/>
                <w:sz w:val="20"/>
                <w:szCs w:val="20"/>
                <w:lang w:val="en-US" w:eastAsia="zh-CN"/>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54"/>
        <w:gridCol w:w="941"/>
        <w:gridCol w:w="1459"/>
        <w:gridCol w:w="628"/>
        <w:gridCol w:w="1050"/>
        <w:gridCol w:w="1091"/>
        <w:gridCol w:w="105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年度资金总额（万元）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辽源市统计局（本级）</w:t>
            </w:r>
          </w:p>
        </w:tc>
        <w:tc>
          <w:tcPr>
            <w:tcW w:w="65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第五次全国经济普查经费</w:t>
            </w:r>
          </w:p>
        </w:tc>
        <w:tc>
          <w:tcPr>
            <w:tcW w:w="94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3.79</w:t>
            </w:r>
          </w:p>
        </w:tc>
        <w:tc>
          <w:tcPr>
            <w:tcW w:w="145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开展投入产出调查单位数据填报业务培训、数据汇审培训及数据审核等工作，同时对填报数据质量进行核查，保证调查数据质量。全面调查全省第二产业和第三产业投入结构、产品使用去向和固定资产投资构成情况等。</w:t>
            </w:r>
          </w:p>
        </w:tc>
        <w:tc>
          <w:tcPr>
            <w:tcW w:w="62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成本指标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经济成本指标</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050" w:type="dxa"/>
            <w:tcBorders>
              <w:top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社会成本指标</w:t>
            </w:r>
          </w:p>
        </w:tc>
        <w:tc>
          <w:tcPr>
            <w:tcW w:w="1091" w:type="dxa"/>
            <w:tcBorders>
              <w:top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tcBorders>
              <w:top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050"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生态环境成本指标</w:t>
            </w:r>
          </w:p>
        </w:tc>
        <w:tc>
          <w:tcPr>
            <w:tcW w:w="1091" w:type="dxa"/>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restart"/>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产出指标</w:t>
            </w:r>
          </w:p>
        </w:tc>
        <w:tc>
          <w:tcPr>
            <w:tcW w:w="1050" w:type="dxa"/>
            <w:vMerge w:val="restart"/>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数量指标</w:t>
            </w:r>
          </w:p>
        </w:tc>
        <w:tc>
          <w:tcPr>
            <w:tcW w:w="1091"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印制培训教材册数</w:t>
            </w:r>
          </w:p>
        </w:tc>
        <w:tc>
          <w:tcPr>
            <w:tcW w:w="105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反映印制培训教材册数</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default" w:ascii="Arial" w:hAnsi="Arial" w:eastAsia="宋体" w:cs="Arial"/>
                <w:kern w:val="0"/>
                <w:sz w:val="21"/>
                <w:szCs w:val="21"/>
                <w:vertAlign w:val="baseline"/>
              </w:rPr>
              <w:t>≥</w:t>
            </w:r>
            <w:r>
              <w:rPr>
                <w:rFonts w:hint="eastAsia" w:ascii="宋体" w:hAnsi="宋体" w:eastAsia="宋体" w:cs="宋体"/>
                <w:i w:val="0"/>
                <w:iCs w:val="0"/>
                <w:color w:val="000000"/>
                <w:kern w:val="0"/>
                <w:sz w:val="16"/>
                <w:szCs w:val="16"/>
                <w:u w:val="none"/>
                <w:lang w:val="en-US" w:eastAsia="zh-CN" w:bidi="ar"/>
              </w:rPr>
              <w:t>100册</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sz w:val="16"/>
                <w:szCs w:val="16"/>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sz w:val="16"/>
                <w:szCs w:val="16"/>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sz w:val="16"/>
                <w:szCs w:val="16"/>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sz w:val="16"/>
                <w:szCs w:val="16"/>
              </w:rPr>
            </w:pPr>
          </w:p>
        </w:tc>
        <w:tc>
          <w:tcPr>
            <w:tcW w:w="628" w:type="dxa"/>
            <w:vMerge w:val="continue"/>
            <w:noWrap w:val="0"/>
            <w:vAlign w:val="center"/>
          </w:tcPr>
          <w:p>
            <w:pPr>
              <w:spacing w:line="240" w:lineRule="auto"/>
              <w:jc w:val="center"/>
              <w:rPr>
                <w:rFonts w:hint="eastAsia" w:ascii="宋体" w:hAnsi="宋体" w:eastAsia="宋体" w:cs="宋体"/>
                <w:sz w:val="16"/>
                <w:szCs w:val="16"/>
              </w:rPr>
            </w:pPr>
          </w:p>
        </w:tc>
        <w:tc>
          <w:tcPr>
            <w:tcW w:w="1050" w:type="dxa"/>
            <w:vMerge w:val="continue"/>
            <w:noWrap w:val="0"/>
            <w:vAlign w:val="center"/>
          </w:tcPr>
          <w:p>
            <w:pPr>
              <w:spacing w:line="240" w:lineRule="auto"/>
              <w:jc w:val="center"/>
              <w:rPr>
                <w:rFonts w:hint="eastAsia" w:ascii="宋体" w:hAnsi="宋体" w:eastAsia="宋体" w:cs="宋体"/>
                <w:sz w:val="16"/>
                <w:szCs w:val="16"/>
              </w:rPr>
            </w:pPr>
          </w:p>
        </w:tc>
        <w:tc>
          <w:tcPr>
            <w:tcW w:w="1091"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指导员和调查员培训人次</w:t>
            </w:r>
          </w:p>
        </w:tc>
        <w:tc>
          <w:tcPr>
            <w:tcW w:w="105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反映指导员和调查员培训人次情况。</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default" w:ascii="Arial" w:hAnsi="Arial" w:eastAsia="宋体" w:cs="Arial"/>
                <w:kern w:val="0"/>
                <w:sz w:val="21"/>
                <w:szCs w:val="21"/>
                <w:vertAlign w:val="baseline"/>
              </w:rPr>
              <w:t>≥</w:t>
            </w:r>
            <w:r>
              <w:rPr>
                <w:rFonts w:hint="eastAsia" w:ascii="宋体" w:hAnsi="宋体" w:eastAsia="宋体" w:cs="宋体"/>
                <w:i w:val="0"/>
                <w:iCs w:val="0"/>
                <w:color w:val="000000"/>
                <w:kern w:val="0"/>
                <w:sz w:val="16"/>
                <w:szCs w:val="16"/>
                <w:u w:val="none"/>
                <w:lang w:val="en-US" w:eastAsia="zh-CN" w:bidi="ar"/>
              </w:rPr>
              <w:t>100人次</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continue"/>
            <w:noWrap w:val="0"/>
            <w:vAlign w:val="center"/>
          </w:tcPr>
          <w:p>
            <w:pPr>
              <w:spacing w:line="240" w:lineRule="auto"/>
              <w:jc w:val="center"/>
              <w:rPr>
                <w:rFonts w:hint="eastAsia" w:ascii="宋体" w:hAnsi="宋体" w:eastAsia="宋体" w:cs="宋体"/>
                <w:kern w:val="0"/>
                <w:sz w:val="16"/>
                <w:szCs w:val="16"/>
                <w:vertAlign w:val="baseline"/>
              </w:rPr>
            </w:pPr>
          </w:p>
        </w:tc>
        <w:tc>
          <w:tcPr>
            <w:tcW w:w="1050"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质量指标</w:t>
            </w:r>
          </w:p>
        </w:tc>
        <w:tc>
          <w:tcPr>
            <w:tcW w:w="1091" w:type="dxa"/>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continue"/>
            <w:noWrap w:val="0"/>
            <w:vAlign w:val="center"/>
          </w:tcPr>
          <w:p>
            <w:pPr>
              <w:spacing w:line="240" w:lineRule="auto"/>
              <w:jc w:val="center"/>
              <w:rPr>
                <w:rFonts w:hint="eastAsia" w:ascii="宋体" w:hAnsi="宋体" w:eastAsia="宋体" w:cs="宋体"/>
                <w:kern w:val="0"/>
                <w:sz w:val="16"/>
                <w:szCs w:val="16"/>
                <w:vertAlign w:val="baseline"/>
              </w:rPr>
            </w:pPr>
          </w:p>
        </w:tc>
        <w:tc>
          <w:tcPr>
            <w:tcW w:w="1050"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时效指标</w:t>
            </w:r>
          </w:p>
        </w:tc>
        <w:tc>
          <w:tcPr>
            <w:tcW w:w="1091" w:type="dxa"/>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restart"/>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效益指标</w:t>
            </w:r>
          </w:p>
        </w:tc>
        <w:tc>
          <w:tcPr>
            <w:tcW w:w="1050"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经济效益指标</w:t>
            </w:r>
          </w:p>
        </w:tc>
        <w:tc>
          <w:tcPr>
            <w:tcW w:w="1091" w:type="dxa"/>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continue"/>
            <w:noWrap w:val="0"/>
            <w:vAlign w:val="center"/>
          </w:tcPr>
          <w:p>
            <w:pPr>
              <w:spacing w:line="240" w:lineRule="auto"/>
              <w:jc w:val="center"/>
              <w:rPr>
                <w:rFonts w:hint="eastAsia" w:ascii="宋体" w:hAnsi="宋体" w:eastAsia="宋体" w:cs="宋体"/>
                <w:kern w:val="0"/>
                <w:sz w:val="16"/>
                <w:szCs w:val="16"/>
                <w:vertAlign w:val="baseline"/>
              </w:rPr>
            </w:pPr>
          </w:p>
        </w:tc>
        <w:tc>
          <w:tcPr>
            <w:tcW w:w="1050"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社会效益指标</w:t>
            </w:r>
          </w:p>
        </w:tc>
        <w:tc>
          <w:tcPr>
            <w:tcW w:w="1091"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提供投入产出基础数据，为全省宏观经济决策提供参考依据。</w:t>
            </w:r>
          </w:p>
        </w:tc>
        <w:tc>
          <w:tcPr>
            <w:tcW w:w="105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通过投入产出调研，数据汇总分析，向上级机关提供本市投入产出数据，更好的为全省经济决策提供参考依据</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default" w:ascii="Arial" w:hAnsi="Arial" w:eastAsia="宋体" w:cs="Arial"/>
                <w:kern w:val="0"/>
                <w:sz w:val="21"/>
                <w:szCs w:val="21"/>
                <w:vertAlign w:val="baseline"/>
              </w:rPr>
              <w:t>≥</w:t>
            </w:r>
            <w:r>
              <w:rPr>
                <w:rFonts w:hint="eastAsia" w:ascii="宋体" w:hAnsi="宋体" w:eastAsia="宋体" w:cs="宋体"/>
                <w:i w:val="0"/>
                <w:iCs w:val="0"/>
                <w:color w:val="000000"/>
                <w:kern w:val="0"/>
                <w:sz w:val="16"/>
                <w:szCs w:val="16"/>
                <w:u w:val="none"/>
                <w:lang w:val="en-US" w:eastAsia="zh-CN" w:bidi="ar"/>
              </w:rPr>
              <w:t>1次</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continue"/>
            <w:noWrap w:val="0"/>
            <w:vAlign w:val="center"/>
          </w:tcPr>
          <w:p>
            <w:pPr>
              <w:spacing w:line="240" w:lineRule="auto"/>
              <w:jc w:val="center"/>
              <w:rPr>
                <w:rFonts w:hint="eastAsia" w:ascii="宋体" w:hAnsi="宋体" w:eastAsia="宋体" w:cs="宋体"/>
                <w:kern w:val="0"/>
                <w:sz w:val="16"/>
                <w:szCs w:val="16"/>
                <w:vertAlign w:val="baseline"/>
              </w:rPr>
            </w:pPr>
          </w:p>
        </w:tc>
        <w:tc>
          <w:tcPr>
            <w:tcW w:w="1050"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生态效益指标</w:t>
            </w:r>
          </w:p>
        </w:tc>
        <w:tc>
          <w:tcPr>
            <w:tcW w:w="1091" w:type="dxa"/>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满意度指标</w:t>
            </w:r>
          </w:p>
        </w:tc>
        <w:tc>
          <w:tcPr>
            <w:tcW w:w="1050"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服务对象满意度指标</w:t>
            </w:r>
          </w:p>
        </w:tc>
        <w:tc>
          <w:tcPr>
            <w:tcW w:w="1091" w:type="dxa"/>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both"/>
              <w:rPr>
                <w:rFonts w:hint="eastAsia" w:ascii="Calibri" w:hAnsi="Calibri" w:eastAsia="方正小标宋简体" w:cs="Times New Roman"/>
                <w:kern w:val="0"/>
                <w:sz w:val="44"/>
                <w:szCs w:val="44"/>
              </w:rPr>
            </w:pPr>
          </w:p>
          <w:p>
            <w:pPr>
              <w:widowControl/>
              <w:jc w:val="both"/>
              <w:rPr>
                <w:rFonts w:hint="eastAsia" w:ascii="Calibri" w:hAnsi="Calibri" w:eastAsia="方正小标宋简体" w:cs="Times New Roman"/>
                <w:kern w:val="0"/>
                <w:sz w:val="44"/>
                <w:szCs w:val="44"/>
              </w:rPr>
            </w:pPr>
          </w:p>
          <w:p>
            <w:pPr>
              <w:widowControl/>
              <w:jc w:val="both"/>
              <w:rPr>
                <w:rFonts w:hint="eastAsia" w:ascii="Calibri" w:hAnsi="Calibri" w:eastAsia="方正小标宋简体" w:cs="Times New Roman"/>
                <w:kern w:val="0"/>
                <w:sz w:val="44"/>
                <w:szCs w:val="44"/>
              </w:rPr>
            </w:pPr>
          </w:p>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称</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年度资金总额（万元）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辽源市统计局（本级）</w:t>
            </w:r>
          </w:p>
        </w:tc>
        <w:tc>
          <w:tcPr>
            <w:tcW w:w="65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统计调查经费</w:t>
            </w:r>
          </w:p>
        </w:tc>
        <w:tc>
          <w:tcPr>
            <w:tcW w:w="94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37.46</w:t>
            </w:r>
          </w:p>
        </w:tc>
        <w:tc>
          <w:tcPr>
            <w:tcW w:w="145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1.组织实施全年统计调查任务，全面、及时、准确地上报各专业统计报表；</w:t>
            </w:r>
          </w:p>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2.组织企业统计人员专业培训并印制专业培训手册，更好的向统计人员普及业务知识，增强统计人员的业务能力，夯实统计数据；</w:t>
            </w:r>
          </w:p>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3.完成2024年年鉴、统计月报，统计公报等统计资料的汇编印刷，为社会公众需要和政府决策提供翔实统计数据；</w:t>
            </w:r>
          </w:p>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4.组织统计宣传活动，通过发放宣传册、宣传品的方式，增加全民对统计知识的了解。</w:t>
            </w:r>
          </w:p>
          <w:p>
            <w:pPr>
              <w:spacing w:line="240" w:lineRule="auto"/>
              <w:jc w:val="center"/>
              <w:rPr>
                <w:rFonts w:hint="eastAsia" w:ascii="宋体" w:hAnsi="宋体" w:eastAsia="宋体" w:cs="宋体"/>
                <w:kern w:val="0"/>
                <w:sz w:val="16"/>
                <w:szCs w:val="16"/>
                <w:vertAlign w:val="baseline"/>
              </w:rPr>
            </w:pPr>
          </w:p>
        </w:tc>
        <w:tc>
          <w:tcPr>
            <w:tcW w:w="62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成本指标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经济成本指标</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050" w:type="dxa"/>
            <w:tcBorders>
              <w:top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社会成本指标</w:t>
            </w:r>
          </w:p>
        </w:tc>
        <w:tc>
          <w:tcPr>
            <w:tcW w:w="1091" w:type="dxa"/>
            <w:tcBorders>
              <w:top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tcBorders>
              <w:top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050"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生态环境成本指标</w:t>
            </w:r>
          </w:p>
        </w:tc>
        <w:tc>
          <w:tcPr>
            <w:tcW w:w="1091" w:type="dxa"/>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restart"/>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产出指标</w:t>
            </w:r>
          </w:p>
        </w:tc>
        <w:tc>
          <w:tcPr>
            <w:tcW w:w="1050" w:type="dxa"/>
            <w:vMerge w:val="restart"/>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数量指标</w:t>
            </w:r>
          </w:p>
        </w:tc>
        <w:tc>
          <w:tcPr>
            <w:tcW w:w="1091"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统计培训人次</w:t>
            </w:r>
          </w:p>
        </w:tc>
        <w:tc>
          <w:tcPr>
            <w:tcW w:w="105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反映培训各级统计机构及辅助调查人员数情况</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default" w:ascii="Arial" w:hAnsi="Arial" w:eastAsia="宋体" w:cs="Arial"/>
                <w:kern w:val="0"/>
                <w:sz w:val="21"/>
                <w:szCs w:val="21"/>
                <w:vertAlign w:val="baseline"/>
              </w:rPr>
              <w:t>≥</w:t>
            </w:r>
            <w:r>
              <w:rPr>
                <w:rFonts w:hint="eastAsia" w:ascii="宋体" w:hAnsi="宋体" w:eastAsia="宋体" w:cs="宋体"/>
                <w:i w:val="0"/>
                <w:iCs w:val="0"/>
                <w:color w:val="000000"/>
                <w:kern w:val="0"/>
                <w:sz w:val="16"/>
                <w:szCs w:val="16"/>
                <w:u w:val="none"/>
                <w:lang w:val="en-US" w:eastAsia="zh-CN" w:bidi="ar"/>
              </w:rPr>
              <w:t>200人</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8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p>
        </w:tc>
        <w:tc>
          <w:tcPr>
            <w:tcW w:w="654"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p>
        </w:tc>
        <w:tc>
          <w:tcPr>
            <w:tcW w:w="94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p>
        </w:tc>
        <w:tc>
          <w:tcPr>
            <w:tcW w:w="1459"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p>
        </w:tc>
        <w:tc>
          <w:tcPr>
            <w:tcW w:w="628" w:type="dxa"/>
            <w:vMerge w:val="continue"/>
            <w:noWrap w:val="0"/>
            <w:vAlign w:val="center"/>
          </w:tcPr>
          <w:p>
            <w:pPr>
              <w:keepNext w:val="0"/>
              <w:keepLines w:val="0"/>
              <w:widowControl/>
              <w:suppressLineNumbers w:val="0"/>
              <w:jc w:val="center"/>
              <w:textAlignment w:val="center"/>
              <w:rPr>
                <w:rFonts w:hint="eastAsia" w:ascii="宋体" w:hAnsi="宋体" w:eastAsia="宋体" w:cs="宋体"/>
                <w:sz w:val="16"/>
                <w:szCs w:val="16"/>
              </w:rPr>
            </w:pPr>
          </w:p>
        </w:tc>
        <w:tc>
          <w:tcPr>
            <w:tcW w:w="1050" w:type="dxa"/>
            <w:vMerge w:val="continue"/>
            <w:noWrap w:val="0"/>
            <w:vAlign w:val="center"/>
          </w:tcPr>
          <w:p>
            <w:pPr>
              <w:keepNext w:val="0"/>
              <w:keepLines w:val="0"/>
              <w:widowControl/>
              <w:suppressLineNumbers w:val="0"/>
              <w:jc w:val="center"/>
              <w:textAlignment w:val="center"/>
              <w:rPr>
                <w:rFonts w:hint="eastAsia" w:ascii="宋体" w:hAnsi="宋体" w:eastAsia="宋体" w:cs="宋体"/>
                <w:sz w:val="16"/>
                <w:szCs w:val="16"/>
              </w:rPr>
            </w:pPr>
          </w:p>
        </w:tc>
        <w:tc>
          <w:tcPr>
            <w:tcW w:w="109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统计分析报告篇数</w:t>
            </w:r>
          </w:p>
        </w:tc>
        <w:tc>
          <w:tcPr>
            <w:tcW w:w="10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反映统计分析报告篇数情况。</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Arial" w:hAnsi="Arial" w:eastAsia="宋体" w:cs="Arial"/>
                <w:kern w:val="0"/>
                <w:sz w:val="21"/>
                <w:szCs w:val="21"/>
                <w:vertAlign w:val="baseline"/>
              </w:rPr>
              <w:t>≥</w:t>
            </w:r>
            <w:r>
              <w:rPr>
                <w:rFonts w:hint="eastAsia" w:ascii="宋体" w:hAnsi="宋体" w:eastAsia="宋体" w:cs="宋体"/>
                <w:i w:val="0"/>
                <w:iCs w:val="0"/>
                <w:color w:val="000000"/>
                <w:kern w:val="0"/>
                <w:sz w:val="16"/>
                <w:szCs w:val="16"/>
                <w:u w:val="none"/>
                <w:lang w:val="en-US" w:eastAsia="zh-CN" w:bidi="ar"/>
              </w:rPr>
              <w:t>200篇</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sz w:val="16"/>
                <w:szCs w:val="16"/>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sz w:val="16"/>
                <w:szCs w:val="16"/>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sz w:val="16"/>
                <w:szCs w:val="16"/>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sz w:val="16"/>
                <w:szCs w:val="16"/>
              </w:rPr>
            </w:pPr>
          </w:p>
        </w:tc>
        <w:tc>
          <w:tcPr>
            <w:tcW w:w="628" w:type="dxa"/>
            <w:vMerge w:val="continue"/>
            <w:noWrap w:val="0"/>
            <w:vAlign w:val="center"/>
          </w:tcPr>
          <w:p>
            <w:pPr>
              <w:spacing w:line="240" w:lineRule="auto"/>
              <w:jc w:val="center"/>
              <w:rPr>
                <w:rFonts w:hint="eastAsia" w:ascii="宋体" w:hAnsi="宋体" w:eastAsia="宋体" w:cs="宋体"/>
                <w:sz w:val="16"/>
                <w:szCs w:val="16"/>
              </w:rPr>
            </w:pPr>
          </w:p>
        </w:tc>
        <w:tc>
          <w:tcPr>
            <w:tcW w:w="1050" w:type="dxa"/>
            <w:vMerge w:val="continue"/>
            <w:noWrap w:val="0"/>
            <w:vAlign w:val="center"/>
          </w:tcPr>
          <w:p>
            <w:pPr>
              <w:spacing w:line="240" w:lineRule="auto"/>
              <w:jc w:val="center"/>
              <w:rPr>
                <w:rFonts w:hint="eastAsia" w:ascii="宋体" w:hAnsi="宋体" w:eastAsia="宋体" w:cs="宋体"/>
                <w:sz w:val="16"/>
                <w:szCs w:val="16"/>
              </w:rPr>
            </w:pPr>
          </w:p>
        </w:tc>
        <w:tc>
          <w:tcPr>
            <w:tcW w:w="1091"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统计专报篇数</w:t>
            </w:r>
          </w:p>
        </w:tc>
        <w:tc>
          <w:tcPr>
            <w:tcW w:w="105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反映统计专报篇数情况</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default" w:ascii="Arial" w:hAnsi="Arial" w:eastAsia="宋体" w:cs="Arial"/>
                <w:kern w:val="0"/>
                <w:sz w:val="21"/>
                <w:szCs w:val="21"/>
                <w:vertAlign w:val="baseline"/>
              </w:rPr>
              <w:t>≥</w:t>
            </w:r>
            <w:r>
              <w:rPr>
                <w:rFonts w:hint="eastAsia" w:ascii="宋体" w:hAnsi="宋体" w:eastAsia="宋体" w:cs="宋体"/>
                <w:i w:val="0"/>
                <w:iCs w:val="0"/>
                <w:color w:val="000000"/>
                <w:kern w:val="0"/>
                <w:sz w:val="16"/>
                <w:szCs w:val="16"/>
                <w:u w:val="none"/>
                <w:lang w:val="en-US" w:eastAsia="zh-CN" w:bidi="ar"/>
              </w:rPr>
              <w:t>11篇</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8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p>
        </w:tc>
        <w:tc>
          <w:tcPr>
            <w:tcW w:w="654"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p>
        </w:tc>
        <w:tc>
          <w:tcPr>
            <w:tcW w:w="94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p>
        </w:tc>
        <w:tc>
          <w:tcPr>
            <w:tcW w:w="1459"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6"/>
                <w:szCs w:val="16"/>
              </w:rPr>
            </w:pPr>
          </w:p>
        </w:tc>
        <w:tc>
          <w:tcPr>
            <w:tcW w:w="628" w:type="dxa"/>
            <w:vMerge w:val="continue"/>
            <w:noWrap w:val="0"/>
            <w:vAlign w:val="center"/>
          </w:tcPr>
          <w:p>
            <w:pPr>
              <w:keepNext w:val="0"/>
              <w:keepLines w:val="0"/>
              <w:widowControl/>
              <w:suppressLineNumbers w:val="0"/>
              <w:jc w:val="center"/>
              <w:textAlignment w:val="center"/>
              <w:rPr>
                <w:rFonts w:hint="eastAsia" w:ascii="宋体" w:hAnsi="宋体" w:eastAsia="宋体" w:cs="宋体"/>
                <w:sz w:val="16"/>
                <w:szCs w:val="16"/>
              </w:rPr>
            </w:pPr>
          </w:p>
        </w:tc>
        <w:tc>
          <w:tcPr>
            <w:tcW w:w="1050" w:type="dxa"/>
            <w:vMerge w:val="continue"/>
            <w:noWrap w:val="0"/>
            <w:vAlign w:val="center"/>
          </w:tcPr>
          <w:p>
            <w:pPr>
              <w:keepNext w:val="0"/>
              <w:keepLines w:val="0"/>
              <w:widowControl/>
              <w:suppressLineNumbers w:val="0"/>
              <w:jc w:val="center"/>
              <w:textAlignment w:val="center"/>
              <w:rPr>
                <w:rFonts w:hint="eastAsia" w:ascii="宋体" w:hAnsi="宋体" w:eastAsia="宋体" w:cs="宋体"/>
                <w:sz w:val="16"/>
                <w:szCs w:val="16"/>
              </w:rPr>
            </w:pPr>
          </w:p>
        </w:tc>
        <w:tc>
          <w:tcPr>
            <w:tcW w:w="109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印发统计普法宣传品数</w:t>
            </w:r>
          </w:p>
        </w:tc>
        <w:tc>
          <w:tcPr>
            <w:tcW w:w="10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反应印发统计普法宣传品数</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Arial" w:hAnsi="Arial" w:eastAsia="宋体" w:cs="Arial"/>
                <w:kern w:val="0"/>
                <w:sz w:val="21"/>
                <w:szCs w:val="21"/>
                <w:vertAlign w:val="baseline"/>
              </w:rPr>
              <w:t>≥</w:t>
            </w:r>
            <w:r>
              <w:rPr>
                <w:rFonts w:hint="eastAsia" w:ascii="宋体" w:hAnsi="宋体" w:eastAsia="宋体" w:cs="宋体"/>
                <w:i w:val="0"/>
                <w:iCs w:val="0"/>
                <w:color w:val="000000"/>
                <w:kern w:val="0"/>
                <w:sz w:val="16"/>
                <w:szCs w:val="16"/>
                <w:u w:val="none"/>
                <w:lang w:val="en-US" w:eastAsia="zh-CN" w:bidi="ar"/>
              </w:rPr>
              <w:t>100份</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continue"/>
            <w:noWrap w:val="0"/>
            <w:vAlign w:val="center"/>
          </w:tcPr>
          <w:p>
            <w:pPr>
              <w:spacing w:line="240" w:lineRule="auto"/>
              <w:jc w:val="center"/>
              <w:rPr>
                <w:rFonts w:hint="eastAsia" w:ascii="宋体" w:hAnsi="宋体" w:eastAsia="宋体" w:cs="宋体"/>
                <w:kern w:val="0"/>
                <w:sz w:val="16"/>
                <w:szCs w:val="16"/>
                <w:vertAlign w:val="baseline"/>
              </w:rPr>
            </w:pPr>
          </w:p>
        </w:tc>
        <w:tc>
          <w:tcPr>
            <w:tcW w:w="1050" w:type="dxa"/>
            <w:vMerge w:val="restart"/>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质量指标</w:t>
            </w:r>
          </w:p>
        </w:tc>
        <w:tc>
          <w:tcPr>
            <w:tcW w:w="1091"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统计分析报告审核通过率</w:t>
            </w:r>
          </w:p>
        </w:tc>
        <w:tc>
          <w:tcPr>
            <w:tcW w:w="105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反映统计分析报告评审通过的情况。</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default" w:ascii="Arial" w:hAnsi="Arial" w:eastAsia="宋体" w:cs="Arial"/>
                <w:kern w:val="0"/>
                <w:sz w:val="21"/>
                <w:szCs w:val="21"/>
                <w:vertAlign w:val="baseline"/>
              </w:rPr>
              <w:t>≥</w:t>
            </w:r>
            <w:r>
              <w:rPr>
                <w:rFonts w:hint="eastAsia" w:ascii="宋体" w:hAnsi="宋体" w:eastAsia="宋体" w:cs="宋体"/>
                <w:i w:val="0"/>
                <w:iCs w:val="0"/>
                <w:color w:val="000000"/>
                <w:kern w:val="0"/>
                <w:sz w:val="16"/>
                <w:szCs w:val="16"/>
                <w:u w:val="none"/>
                <w:lang w:val="en-US" w:eastAsia="zh-CN" w:bidi="ar"/>
              </w:rPr>
              <w:t>75%</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sz w:val="16"/>
                <w:szCs w:val="16"/>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sz w:val="16"/>
                <w:szCs w:val="16"/>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sz w:val="16"/>
                <w:szCs w:val="16"/>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sz w:val="16"/>
                <w:szCs w:val="16"/>
              </w:rPr>
            </w:pPr>
          </w:p>
        </w:tc>
        <w:tc>
          <w:tcPr>
            <w:tcW w:w="628" w:type="dxa"/>
            <w:vMerge w:val="continue"/>
            <w:noWrap w:val="0"/>
            <w:vAlign w:val="center"/>
          </w:tcPr>
          <w:p>
            <w:pPr>
              <w:spacing w:line="240" w:lineRule="auto"/>
              <w:jc w:val="center"/>
              <w:rPr>
                <w:rFonts w:hint="eastAsia" w:ascii="宋体" w:hAnsi="宋体" w:eastAsia="宋体" w:cs="宋体"/>
                <w:sz w:val="16"/>
                <w:szCs w:val="16"/>
              </w:rPr>
            </w:pPr>
          </w:p>
        </w:tc>
        <w:tc>
          <w:tcPr>
            <w:tcW w:w="1050" w:type="dxa"/>
            <w:vMerge w:val="continue"/>
            <w:noWrap w:val="0"/>
            <w:vAlign w:val="center"/>
          </w:tcPr>
          <w:p>
            <w:pPr>
              <w:spacing w:line="240" w:lineRule="auto"/>
              <w:jc w:val="center"/>
              <w:rPr>
                <w:rFonts w:hint="eastAsia" w:ascii="宋体" w:hAnsi="宋体" w:eastAsia="宋体" w:cs="宋体"/>
                <w:sz w:val="16"/>
                <w:szCs w:val="16"/>
              </w:rPr>
            </w:pPr>
          </w:p>
        </w:tc>
        <w:tc>
          <w:tcPr>
            <w:tcW w:w="1091"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统计数据验收合格率</w:t>
            </w:r>
          </w:p>
        </w:tc>
        <w:tc>
          <w:tcPr>
            <w:tcW w:w="105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统计数据验收合格率</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default" w:ascii="Arial" w:hAnsi="Arial" w:eastAsia="宋体" w:cs="Arial"/>
                <w:kern w:val="0"/>
                <w:sz w:val="21"/>
                <w:szCs w:val="21"/>
                <w:vertAlign w:val="baseline"/>
              </w:rPr>
              <w:t>≥</w:t>
            </w:r>
            <w:r>
              <w:rPr>
                <w:rFonts w:hint="eastAsia" w:ascii="宋体" w:hAnsi="宋体" w:eastAsia="宋体" w:cs="宋体"/>
                <w:i w:val="0"/>
                <w:iCs w:val="0"/>
                <w:color w:val="000000"/>
                <w:kern w:val="0"/>
                <w:sz w:val="16"/>
                <w:szCs w:val="16"/>
                <w:u w:val="none"/>
                <w:lang w:val="en-US" w:eastAsia="zh-CN" w:bidi="ar"/>
              </w:rPr>
              <w:t>90%</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continue"/>
            <w:noWrap w:val="0"/>
            <w:vAlign w:val="center"/>
          </w:tcPr>
          <w:p>
            <w:pPr>
              <w:spacing w:line="240" w:lineRule="auto"/>
              <w:jc w:val="center"/>
              <w:rPr>
                <w:rFonts w:hint="eastAsia" w:ascii="宋体" w:hAnsi="宋体" w:eastAsia="宋体" w:cs="宋体"/>
                <w:kern w:val="0"/>
                <w:sz w:val="16"/>
                <w:szCs w:val="16"/>
                <w:vertAlign w:val="baseline"/>
              </w:rPr>
            </w:pPr>
          </w:p>
        </w:tc>
        <w:tc>
          <w:tcPr>
            <w:tcW w:w="1050"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时效指标</w:t>
            </w:r>
          </w:p>
        </w:tc>
        <w:tc>
          <w:tcPr>
            <w:tcW w:w="1091"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统计资料编印完成及时率</w:t>
            </w:r>
          </w:p>
        </w:tc>
        <w:tc>
          <w:tcPr>
            <w:tcW w:w="105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反映统计资料编印及时完成的情况。</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default" w:ascii="Arial" w:hAnsi="Arial" w:eastAsia="宋体" w:cs="Arial"/>
                <w:kern w:val="0"/>
                <w:sz w:val="21"/>
                <w:szCs w:val="21"/>
                <w:vertAlign w:val="baseline"/>
              </w:rPr>
              <w:t>≥</w:t>
            </w:r>
            <w:r>
              <w:rPr>
                <w:rFonts w:hint="eastAsia" w:ascii="宋体" w:hAnsi="宋体" w:eastAsia="宋体" w:cs="宋体"/>
                <w:i w:val="0"/>
                <w:iCs w:val="0"/>
                <w:color w:val="000000"/>
                <w:kern w:val="0"/>
                <w:sz w:val="16"/>
                <w:szCs w:val="16"/>
                <w:u w:val="none"/>
                <w:lang w:val="en-US" w:eastAsia="zh-CN" w:bidi="ar"/>
              </w:rPr>
              <w:t>95%</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restart"/>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效益指标</w:t>
            </w:r>
          </w:p>
        </w:tc>
        <w:tc>
          <w:tcPr>
            <w:tcW w:w="1050"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经济效益指标</w:t>
            </w:r>
          </w:p>
        </w:tc>
        <w:tc>
          <w:tcPr>
            <w:tcW w:w="1091" w:type="dxa"/>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continue"/>
            <w:noWrap w:val="0"/>
            <w:vAlign w:val="center"/>
          </w:tcPr>
          <w:p>
            <w:pPr>
              <w:spacing w:line="240" w:lineRule="auto"/>
              <w:jc w:val="center"/>
              <w:rPr>
                <w:rFonts w:hint="eastAsia" w:ascii="宋体" w:hAnsi="宋体" w:eastAsia="宋体" w:cs="宋体"/>
                <w:kern w:val="0"/>
                <w:sz w:val="16"/>
                <w:szCs w:val="16"/>
                <w:vertAlign w:val="baseline"/>
              </w:rPr>
            </w:pPr>
          </w:p>
        </w:tc>
        <w:tc>
          <w:tcPr>
            <w:tcW w:w="1050"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社会效益指标</w:t>
            </w:r>
          </w:p>
        </w:tc>
        <w:tc>
          <w:tcPr>
            <w:tcW w:w="1091"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编印当年月度经济运行的统计月报，为党政领导决策提供数据支撑</w:t>
            </w:r>
          </w:p>
        </w:tc>
        <w:tc>
          <w:tcPr>
            <w:tcW w:w="105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提供反映当年月度经济运行发展情况，为党政领导决策提供数据支撑，发挥统计参谋和助手作用的统计月报。</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default" w:ascii="Arial" w:hAnsi="Arial" w:eastAsia="宋体" w:cs="Arial"/>
                <w:kern w:val="0"/>
                <w:sz w:val="21"/>
                <w:szCs w:val="21"/>
                <w:vertAlign w:val="baseline"/>
              </w:rPr>
              <w:t>≥</w:t>
            </w:r>
            <w:r>
              <w:rPr>
                <w:rFonts w:hint="eastAsia" w:ascii="宋体" w:hAnsi="宋体" w:eastAsia="宋体" w:cs="宋体"/>
                <w:i w:val="0"/>
                <w:iCs w:val="0"/>
                <w:color w:val="000000"/>
                <w:kern w:val="0"/>
                <w:sz w:val="16"/>
                <w:szCs w:val="16"/>
                <w:u w:val="none"/>
                <w:lang w:val="en-US" w:eastAsia="zh-CN" w:bidi="ar"/>
              </w:rPr>
              <w:t>12篇</w:t>
            </w:r>
          </w:p>
        </w:tc>
        <w:tc>
          <w:tcPr>
            <w:tcW w:w="641"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vMerge w:val="continue"/>
            <w:noWrap w:val="0"/>
            <w:vAlign w:val="center"/>
          </w:tcPr>
          <w:p>
            <w:pPr>
              <w:spacing w:line="240" w:lineRule="auto"/>
              <w:jc w:val="center"/>
              <w:rPr>
                <w:rFonts w:hint="eastAsia" w:ascii="宋体" w:hAnsi="宋体" w:eastAsia="宋体" w:cs="宋体"/>
                <w:kern w:val="0"/>
                <w:sz w:val="16"/>
                <w:szCs w:val="16"/>
                <w:vertAlign w:val="baseline"/>
              </w:rPr>
            </w:pPr>
          </w:p>
        </w:tc>
        <w:tc>
          <w:tcPr>
            <w:tcW w:w="1050"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生态效益指标</w:t>
            </w:r>
          </w:p>
        </w:tc>
        <w:tc>
          <w:tcPr>
            <w:tcW w:w="1091" w:type="dxa"/>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85"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5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94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14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p>
        </w:tc>
        <w:tc>
          <w:tcPr>
            <w:tcW w:w="628"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满意度指标</w:t>
            </w:r>
          </w:p>
        </w:tc>
        <w:tc>
          <w:tcPr>
            <w:tcW w:w="1050" w:type="dxa"/>
            <w:noWrap w:val="0"/>
            <w:vAlign w:val="center"/>
          </w:tcPr>
          <w:p>
            <w:pPr>
              <w:spacing w:line="240" w:lineRule="auto"/>
              <w:jc w:val="center"/>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服务对象满意度指标</w:t>
            </w:r>
          </w:p>
        </w:tc>
        <w:tc>
          <w:tcPr>
            <w:tcW w:w="1091" w:type="dxa"/>
            <w:noWrap w:val="0"/>
            <w:vAlign w:val="center"/>
          </w:tcPr>
          <w:p>
            <w:pPr>
              <w:spacing w:line="240" w:lineRule="auto"/>
              <w:jc w:val="center"/>
              <w:rPr>
                <w:rFonts w:hint="eastAsia" w:ascii="宋体" w:hAnsi="宋体" w:eastAsia="宋体" w:cs="宋体"/>
                <w:kern w:val="0"/>
                <w:sz w:val="16"/>
                <w:szCs w:val="16"/>
                <w:vertAlign w:val="baseline"/>
              </w:rPr>
            </w:pPr>
          </w:p>
        </w:tc>
        <w:tc>
          <w:tcPr>
            <w:tcW w:w="105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c>
          <w:tcPr>
            <w:tcW w:w="641" w:type="dxa"/>
            <w:noWrap w:val="0"/>
            <w:vAlign w:val="center"/>
          </w:tcPr>
          <w:p>
            <w:pPr>
              <w:spacing w:line="240" w:lineRule="auto"/>
              <w:jc w:val="center"/>
              <w:rPr>
                <w:rFonts w:hint="eastAsia" w:ascii="宋体" w:hAnsi="宋体" w:eastAsia="宋体" w:cs="宋体"/>
                <w:kern w:val="0"/>
                <w:sz w:val="16"/>
                <w:szCs w:val="16"/>
                <w:vertAlign w:val="baseline"/>
              </w:rPr>
            </w:pPr>
          </w:p>
        </w:tc>
      </w:tr>
    </w:tbl>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highlight w:val="yellow"/>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w:t>
      </w:r>
      <w:r>
        <w:rPr>
          <w:rFonts w:hint="eastAsia"/>
          <w:szCs w:val="32"/>
        </w:rPr>
        <w:t>结余</w:t>
      </w:r>
      <w:r>
        <w:rPr>
          <w:szCs w:val="32"/>
        </w:rPr>
        <w:t>；支出包括：一般公共服务支出、社会保障和就业支出、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488.85</w:t>
      </w:r>
      <w:r>
        <w:rPr>
          <w:szCs w:val="32"/>
        </w:rPr>
        <w:t>万元</w:t>
      </w:r>
      <w:r>
        <w:rPr>
          <w:rFonts w:hint="eastAsia"/>
          <w:szCs w:val="32"/>
          <w:lang w:eastAsia="zh-CN"/>
        </w:rPr>
        <w:t>，其中：本年预算</w:t>
      </w:r>
      <w:r>
        <w:rPr>
          <w:rFonts w:hint="eastAsia"/>
          <w:szCs w:val="32"/>
          <w:lang w:val="en-US" w:eastAsia="zh-CN"/>
        </w:rPr>
        <w:t>429.50</w:t>
      </w:r>
      <w:r>
        <w:rPr>
          <w:rFonts w:hint="eastAsia"/>
          <w:szCs w:val="32"/>
          <w:lang w:eastAsia="zh-CN"/>
        </w:rPr>
        <w:t>万元；上年结转</w:t>
      </w:r>
      <w:r>
        <w:rPr>
          <w:rFonts w:hint="eastAsia"/>
          <w:szCs w:val="32"/>
          <w:lang w:val="en-US" w:eastAsia="zh-CN"/>
        </w:rPr>
        <w:t>59.35</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预算减少</w:t>
      </w:r>
      <w:r>
        <w:rPr>
          <w:rFonts w:hint="eastAsia"/>
          <w:szCs w:val="32"/>
          <w:lang w:val="en-US" w:eastAsia="zh-CN"/>
        </w:rPr>
        <w:t>10.4</w:t>
      </w:r>
      <w:r>
        <w:rPr>
          <w:szCs w:val="32"/>
        </w:rPr>
        <w:t>万元，</w:t>
      </w:r>
      <w:r>
        <w:rPr>
          <w:szCs w:val="32"/>
          <w:highlight w:val="none"/>
        </w:rPr>
        <w:t>主要原因是</w:t>
      </w:r>
      <w:r>
        <w:rPr>
          <w:rFonts w:hint="eastAsia"/>
          <w:szCs w:val="32"/>
        </w:rPr>
        <w:t>为</w:t>
      </w:r>
      <w:r>
        <w:rPr>
          <w:szCs w:val="32"/>
        </w:rPr>
        <w:t>落实财政“</w:t>
      </w:r>
      <w:r>
        <w:rPr>
          <w:rFonts w:hint="eastAsia"/>
          <w:szCs w:val="32"/>
        </w:rPr>
        <w:t>过紧日子</w:t>
      </w:r>
      <w:r>
        <w:rPr>
          <w:szCs w:val="32"/>
        </w:rPr>
        <w:t>”</w:t>
      </w:r>
      <w:r>
        <w:rPr>
          <w:rFonts w:hint="eastAsia"/>
          <w:szCs w:val="32"/>
        </w:rPr>
        <w:t>思想</w:t>
      </w:r>
      <w:r>
        <w:rPr>
          <w:szCs w:val="32"/>
        </w:rPr>
        <w:t>，我</w:t>
      </w:r>
      <w:r>
        <w:rPr>
          <w:rFonts w:hint="eastAsia"/>
          <w:szCs w:val="32"/>
          <w:lang w:eastAsia="zh-CN"/>
        </w:rPr>
        <w:t>单位压减公用经费预算</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eastAsia="楷体"/>
          <w:szCs w:val="30"/>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488.85</w:t>
      </w:r>
      <w:r>
        <w:rPr>
          <w:szCs w:val="32"/>
        </w:rPr>
        <w:t>万元，其中：本年收入</w:t>
      </w:r>
      <w:r>
        <w:rPr>
          <w:rFonts w:hint="eastAsia"/>
          <w:szCs w:val="32"/>
          <w:lang w:val="en-US" w:eastAsia="zh-CN"/>
        </w:rPr>
        <w:t>429.50</w:t>
      </w:r>
      <w:r>
        <w:rPr>
          <w:szCs w:val="32"/>
        </w:rPr>
        <w:t>万元，占</w:t>
      </w:r>
      <w:r>
        <w:rPr>
          <w:rFonts w:hint="eastAsia"/>
          <w:szCs w:val="32"/>
          <w:lang w:val="en-US" w:eastAsia="zh-CN"/>
        </w:rPr>
        <w:t>87.86</w:t>
      </w:r>
      <w:r>
        <w:rPr>
          <w:szCs w:val="32"/>
        </w:rPr>
        <w:t>%；上年结转</w:t>
      </w:r>
      <w:r>
        <w:rPr>
          <w:rFonts w:hint="eastAsia"/>
          <w:szCs w:val="32"/>
          <w:lang w:eastAsia="zh-CN"/>
        </w:rPr>
        <w:t>结余</w:t>
      </w:r>
      <w:r>
        <w:rPr>
          <w:rFonts w:hint="eastAsia"/>
          <w:szCs w:val="32"/>
          <w:lang w:val="en-US" w:eastAsia="zh-CN"/>
        </w:rPr>
        <w:t>59.35</w:t>
      </w:r>
      <w:r>
        <w:rPr>
          <w:szCs w:val="32"/>
        </w:rPr>
        <w:t>万元，占</w:t>
      </w:r>
      <w:r>
        <w:rPr>
          <w:rFonts w:hint="eastAsia"/>
          <w:szCs w:val="32"/>
          <w:lang w:val="en-US" w:eastAsia="zh-CN"/>
        </w:rPr>
        <w:t>12.14</w:t>
      </w:r>
      <w:r>
        <w:rPr>
          <w:szCs w:val="32"/>
        </w:rPr>
        <w:t>%。本年收入中，一般公共预算拨款收入</w:t>
      </w:r>
      <w:r>
        <w:rPr>
          <w:rFonts w:hint="eastAsia"/>
          <w:szCs w:val="32"/>
          <w:lang w:val="en-US" w:eastAsia="zh-CN"/>
        </w:rPr>
        <w:t>429.50</w:t>
      </w:r>
      <w:r>
        <w:rPr>
          <w:szCs w:val="32"/>
        </w:rPr>
        <w:t>万元，占</w:t>
      </w:r>
      <w:r>
        <w:rPr>
          <w:rFonts w:hint="eastAsia"/>
          <w:szCs w:val="32"/>
          <w:lang w:val="en-US" w:eastAsia="zh-CN"/>
        </w:rPr>
        <w:t>100.0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59.35</w:t>
      </w:r>
      <w:r>
        <w:rPr>
          <w:szCs w:val="32"/>
        </w:rPr>
        <w:t>万元，占</w:t>
      </w:r>
      <w:r>
        <w:rPr>
          <w:rFonts w:hint="eastAsia"/>
          <w:szCs w:val="32"/>
          <w:lang w:val="en-US" w:eastAsia="zh-CN"/>
        </w:rPr>
        <w:t>100.0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488.85</w:t>
      </w:r>
      <w:r>
        <w:rPr>
          <w:szCs w:val="32"/>
        </w:rPr>
        <w:t>万元，其中：基本支出</w:t>
      </w:r>
      <w:r>
        <w:rPr>
          <w:rFonts w:hint="eastAsia"/>
          <w:szCs w:val="32"/>
          <w:lang w:val="en-US" w:eastAsia="zh-CN"/>
        </w:rPr>
        <w:t>446.54</w:t>
      </w:r>
      <w:r>
        <w:rPr>
          <w:szCs w:val="32"/>
        </w:rPr>
        <w:t>万元，占</w:t>
      </w:r>
      <w:r>
        <w:rPr>
          <w:rFonts w:hint="eastAsia"/>
          <w:szCs w:val="32"/>
          <w:lang w:val="en-US" w:eastAsia="zh-CN"/>
        </w:rPr>
        <w:t>91.34</w:t>
      </w:r>
      <w:r>
        <w:rPr>
          <w:szCs w:val="32"/>
        </w:rPr>
        <w:t>%；项目支出</w:t>
      </w:r>
      <w:r>
        <w:rPr>
          <w:rFonts w:hint="eastAsia"/>
          <w:szCs w:val="32"/>
          <w:lang w:val="en-US" w:eastAsia="zh-CN"/>
        </w:rPr>
        <w:t>42.31</w:t>
      </w:r>
      <w:r>
        <w:rPr>
          <w:szCs w:val="32"/>
        </w:rPr>
        <w:t>万元，占</w:t>
      </w:r>
      <w:r>
        <w:rPr>
          <w:rFonts w:hint="eastAsia"/>
          <w:szCs w:val="32"/>
          <w:lang w:val="en-US" w:eastAsia="zh-CN"/>
        </w:rPr>
        <w:t>8.66</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488.85</w:t>
      </w:r>
      <w:r>
        <w:rPr>
          <w:szCs w:val="32"/>
        </w:rPr>
        <w:t>万元，其中：</w:t>
      </w:r>
      <w:r>
        <w:rPr>
          <w:rFonts w:hint="eastAsia"/>
          <w:szCs w:val="32"/>
        </w:rPr>
        <w:t>本年</w:t>
      </w:r>
      <w:r>
        <w:rPr>
          <w:rFonts w:hint="eastAsia"/>
          <w:szCs w:val="32"/>
          <w:lang w:eastAsia="zh-CN"/>
        </w:rPr>
        <w:t>预算</w:t>
      </w:r>
      <w:r>
        <w:rPr>
          <w:rFonts w:hint="eastAsia"/>
          <w:szCs w:val="32"/>
          <w:lang w:val="en-US" w:eastAsia="zh-CN"/>
        </w:rPr>
        <w:t>429.50</w:t>
      </w:r>
      <w:r>
        <w:rPr>
          <w:szCs w:val="32"/>
        </w:rPr>
        <w:t>万元</w:t>
      </w:r>
      <w:r>
        <w:rPr>
          <w:rFonts w:hint="eastAsia"/>
          <w:szCs w:val="32"/>
        </w:rPr>
        <w:t>，上年结转</w:t>
      </w:r>
      <w:r>
        <w:rPr>
          <w:rFonts w:hint="eastAsia"/>
          <w:szCs w:val="32"/>
          <w:lang w:val="en-US" w:eastAsia="zh-CN"/>
        </w:rPr>
        <w:t>59.35</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367.08</w:t>
      </w:r>
      <w:r>
        <w:rPr>
          <w:szCs w:val="32"/>
        </w:rPr>
        <w:t>万元，</w:t>
      </w:r>
      <w:r>
        <w:rPr>
          <w:kern w:val="0"/>
          <w:szCs w:val="32"/>
        </w:rPr>
        <w:t>社会保障和就业支出</w:t>
      </w:r>
      <w:r>
        <w:rPr>
          <w:rFonts w:hint="eastAsia"/>
          <w:szCs w:val="32"/>
          <w:lang w:val="en-US" w:eastAsia="zh-CN"/>
        </w:rPr>
        <w:t>75.98</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10.43</w:t>
      </w:r>
      <w:r>
        <w:rPr>
          <w:szCs w:val="32"/>
        </w:rPr>
        <w:t>万元，</w:t>
      </w:r>
      <w:r>
        <w:rPr>
          <w:kern w:val="0"/>
          <w:szCs w:val="32"/>
        </w:rPr>
        <w:t>住房保障支出</w:t>
      </w:r>
      <w:r>
        <w:rPr>
          <w:rFonts w:hint="eastAsia"/>
          <w:szCs w:val="32"/>
          <w:lang w:val="en-US" w:eastAsia="zh-CN"/>
        </w:rPr>
        <w:t>35.37</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488.85</w:t>
      </w:r>
      <w:r>
        <w:rPr>
          <w:szCs w:val="32"/>
        </w:rPr>
        <w:t>万元，其中：基本支出</w:t>
      </w:r>
      <w:r>
        <w:rPr>
          <w:rFonts w:hint="eastAsia"/>
          <w:szCs w:val="32"/>
          <w:lang w:val="en-US" w:eastAsia="zh-CN"/>
        </w:rPr>
        <w:t>446.54</w:t>
      </w:r>
      <w:r>
        <w:rPr>
          <w:szCs w:val="32"/>
        </w:rPr>
        <w:t>万元，占</w:t>
      </w:r>
      <w:r>
        <w:rPr>
          <w:rFonts w:hint="eastAsia"/>
          <w:szCs w:val="32"/>
          <w:lang w:val="en-US" w:eastAsia="zh-CN"/>
        </w:rPr>
        <w:t>91.34</w:t>
      </w:r>
      <w:r>
        <w:rPr>
          <w:szCs w:val="32"/>
        </w:rPr>
        <w:t>%；项目支出</w:t>
      </w:r>
      <w:r>
        <w:rPr>
          <w:rFonts w:hint="eastAsia"/>
          <w:szCs w:val="32"/>
          <w:lang w:val="en-US" w:eastAsia="zh-CN"/>
        </w:rPr>
        <w:t>42.31</w:t>
      </w:r>
      <w:r>
        <w:rPr>
          <w:szCs w:val="32"/>
        </w:rPr>
        <w:t>万元，占</w:t>
      </w:r>
      <w:r>
        <w:rPr>
          <w:rFonts w:hint="eastAsia"/>
          <w:szCs w:val="32"/>
          <w:lang w:val="en-US" w:eastAsia="zh-CN"/>
        </w:rPr>
        <w:t>8.66</w:t>
      </w:r>
      <w:r>
        <w:rPr>
          <w:szCs w:val="32"/>
        </w:rPr>
        <w:t>%。基本支出中，人员经费</w:t>
      </w:r>
      <w:r>
        <w:rPr>
          <w:rFonts w:hint="eastAsia"/>
          <w:szCs w:val="32"/>
          <w:lang w:val="en-US" w:eastAsia="zh-CN"/>
        </w:rPr>
        <w:t>383.23</w:t>
      </w:r>
      <w:r>
        <w:rPr>
          <w:szCs w:val="32"/>
        </w:rPr>
        <w:t>万元，占</w:t>
      </w:r>
      <w:r>
        <w:rPr>
          <w:rFonts w:hint="eastAsia"/>
          <w:szCs w:val="32"/>
          <w:lang w:val="en-US" w:eastAsia="zh-CN"/>
        </w:rPr>
        <w:t>85.82</w:t>
      </w:r>
      <w:r>
        <w:rPr>
          <w:szCs w:val="32"/>
        </w:rPr>
        <w:t>%；公用经费</w:t>
      </w:r>
      <w:r>
        <w:rPr>
          <w:rFonts w:hint="eastAsia"/>
          <w:szCs w:val="32"/>
          <w:lang w:val="en-US" w:eastAsia="zh-CN"/>
        </w:rPr>
        <w:t>63.31</w:t>
      </w:r>
      <w:r>
        <w:rPr>
          <w:szCs w:val="32"/>
        </w:rPr>
        <w:t>万元，占</w:t>
      </w:r>
      <w:r>
        <w:rPr>
          <w:rFonts w:hint="eastAsia"/>
          <w:szCs w:val="32"/>
          <w:lang w:val="en-US" w:eastAsia="zh-CN"/>
        </w:rPr>
        <w:t>14.18</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一般公共服务（类）支出</w:t>
      </w:r>
      <w:r>
        <w:rPr>
          <w:rFonts w:hint="eastAsia"/>
          <w:szCs w:val="32"/>
          <w:lang w:val="en-US" w:eastAsia="zh-CN"/>
        </w:rPr>
        <w:t>367.08</w:t>
      </w:r>
      <w:r>
        <w:rPr>
          <w:szCs w:val="32"/>
        </w:rPr>
        <w:t>万元，占</w:t>
      </w:r>
      <w:r>
        <w:rPr>
          <w:rFonts w:hint="eastAsia"/>
          <w:szCs w:val="32"/>
          <w:lang w:val="en-US" w:eastAsia="zh-CN"/>
        </w:rPr>
        <w:t>75.09</w:t>
      </w:r>
      <w:r>
        <w:rPr>
          <w:szCs w:val="32"/>
        </w:rPr>
        <w:t>%，主要用于单位机关正常运转和人员工资发放及统计工作项目支出。</w:t>
      </w:r>
    </w:p>
    <w:p>
      <w:pPr>
        <w:spacing w:line="520" w:lineRule="exact"/>
        <w:ind w:firstLine="640" w:firstLineChars="200"/>
        <w:rPr>
          <w:szCs w:val="32"/>
        </w:rPr>
      </w:pPr>
      <w:r>
        <w:rPr>
          <w:szCs w:val="32"/>
        </w:rPr>
        <w:t>社会保障和就业（类）支出</w:t>
      </w:r>
      <w:r>
        <w:rPr>
          <w:rFonts w:hint="eastAsia"/>
          <w:szCs w:val="32"/>
          <w:lang w:val="en-US" w:eastAsia="zh-CN"/>
        </w:rPr>
        <w:t>75.98</w:t>
      </w:r>
      <w:r>
        <w:rPr>
          <w:szCs w:val="32"/>
        </w:rPr>
        <w:t>万元，占</w:t>
      </w:r>
      <w:r>
        <w:rPr>
          <w:rFonts w:hint="eastAsia"/>
          <w:szCs w:val="32"/>
          <w:lang w:val="en-US" w:eastAsia="zh-CN"/>
        </w:rPr>
        <w:t>15.54</w:t>
      </w:r>
      <w:r>
        <w:rPr>
          <w:szCs w:val="32"/>
        </w:rPr>
        <w:t>%，主要用于单位职工养老保险支出。</w:t>
      </w:r>
    </w:p>
    <w:p>
      <w:pPr>
        <w:spacing w:line="520" w:lineRule="exact"/>
        <w:ind w:firstLine="640" w:firstLineChars="200"/>
        <w:rPr>
          <w:rFonts w:hint="eastAsia"/>
          <w:szCs w:val="32"/>
        </w:rPr>
      </w:pPr>
      <w:r>
        <w:rPr>
          <w:szCs w:val="32"/>
        </w:rPr>
        <w:t>卫生健康（类）支出</w:t>
      </w:r>
      <w:r>
        <w:rPr>
          <w:rFonts w:hint="eastAsia"/>
          <w:szCs w:val="32"/>
          <w:lang w:val="en-US" w:eastAsia="zh-CN"/>
        </w:rPr>
        <w:t>10.43</w:t>
      </w:r>
      <w:r>
        <w:rPr>
          <w:szCs w:val="32"/>
        </w:rPr>
        <w:t>万元，占</w:t>
      </w:r>
      <w:r>
        <w:rPr>
          <w:rFonts w:hint="eastAsia"/>
          <w:szCs w:val="32"/>
          <w:lang w:val="en-US" w:eastAsia="zh-CN"/>
        </w:rPr>
        <w:t>2.13</w:t>
      </w:r>
      <w:r>
        <w:rPr>
          <w:szCs w:val="32"/>
        </w:rPr>
        <w:t>%，主要用于单位医疗保险及其他社会保障缴费。</w:t>
      </w:r>
    </w:p>
    <w:p>
      <w:pPr>
        <w:spacing w:line="520" w:lineRule="exact"/>
        <w:ind w:firstLine="640" w:firstLineChars="200"/>
        <w:rPr>
          <w:szCs w:val="32"/>
        </w:rPr>
      </w:pPr>
      <w:r>
        <w:rPr>
          <w:szCs w:val="32"/>
        </w:rPr>
        <w:t>住房保障（类）支出</w:t>
      </w:r>
      <w:r>
        <w:rPr>
          <w:rFonts w:hint="eastAsia"/>
          <w:szCs w:val="32"/>
          <w:lang w:val="en-US" w:eastAsia="zh-CN"/>
        </w:rPr>
        <w:t>35.37</w:t>
      </w:r>
      <w:r>
        <w:rPr>
          <w:szCs w:val="32"/>
        </w:rPr>
        <w:t>万元，占</w:t>
      </w:r>
      <w:r>
        <w:rPr>
          <w:rFonts w:hint="eastAsia"/>
          <w:szCs w:val="32"/>
          <w:lang w:val="en-US" w:eastAsia="zh-CN"/>
        </w:rPr>
        <w:t>7.24</w:t>
      </w:r>
      <w:r>
        <w:rPr>
          <w:szCs w:val="32"/>
        </w:rPr>
        <w:t>%，主要用于本单</w:t>
      </w:r>
    </w:p>
    <w:p>
      <w:pPr>
        <w:spacing w:line="520" w:lineRule="exact"/>
        <w:rPr>
          <w:szCs w:val="32"/>
        </w:rPr>
      </w:pPr>
      <w:r>
        <w:rPr>
          <w:szCs w:val="32"/>
        </w:rPr>
        <w:t>位职工住房公积金缴纳。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446.54</w:t>
      </w:r>
      <w:r>
        <w:rPr>
          <w:szCs w:val="32"/>
        </w:rPr>
        <w:t>万元，其中：</w:t>
      </w:r>
    </w:p>
    <w:p>
      <w:pPr>
        <w:ind w:firstLine="640" w:firstLineChars="200"/>
        <w:rPr>
          <w:kern w:val="0"/>
          <w:szCs w:val="32"/>
        </w:rPr>
      </w:pPr>
      <w:r>
        <w:rPr>
          <w:szCs w:val="32"/>
        </w:rPr>
        <w:t>人员经费</w:t>
      </w:r>
      <w:r>
        <w:rPr>
          <w:rFonts w:hint="eastAsia"/>
          <w:szCs w:val="32"/>
          <w:lang w:val="en-US" w:eastAsia="zh-CN"/>
        </w:rPr>
        <w:t>383.23</w:t>
      </w:r>
      <w:r>
        <w:rPr>
          <w:szCs w:val="32"/>
        </w:rPr>
        <w:t>万元，主要包括：</w:t>
      </w:r>
      <w:r>
        <w:rPr>
          <w:kern w:val="0"/>
          <w:szCs w:val="32"/>
        </w:rPr>
        <w:t>基本工资、津贴补贴</w:t>
      </w:r>
      <w:r>
        <w:rPr>
          <w:szCs w:val="32"/>
        </w:rPr>
        <w:t>、</w:t>
      </w:r>
      <w:r>
        <w:rPr>
          <w:kern w:val="0"/>
          <w:szCs w:val="32"/>
        </w:rPr>
        <w:t>奖金</w:t>
      </w:r>
      <w:r>
        <w:rPr>
          <w:szCs w:val="32"/>
        </w:rPr>
        <w:t>、</w:t>
      </w:r>
      <w:r>
        <w:rPr>
          <w:rFonts w:hint="eastAsia"/>
          <w:kern w:val="0"/>
          <w:szCs w:val="32"/>
        </w:rPr>
        <w:t>机关事业</w:t>
      </w:r>
      <w:r>
        <w:rPr>
          <w:kern w:val="0"/>
          <w:szCs w:val="32"/>
        </w:rPr>
        <w:t>单位养老保险缴费</w:t>
      </w:r>
      <w:r>
        <w:rPr>
          <w:szCs w:val="32"/>
        </w:rPr>
        <w:t>、</w:t>
      </w:r>
      <w:r>
        <w:rPr>
          <w:rFonts w:hint="eastAsia"/>
          <w:szCs w:val="32"/>
        </w:rPr>
        <w:t>职工</w:t>
      </w:r>
      <w:r>
        <w:rPr>
          <w:szCs w:val="32"/>
        </w:rPr>
        <w:t>基本医疗保险缴费、</w:t>
      </w:r>
      <w:r>
        <w:rPr>
          <w:kern w:val="0"/>
          <w:szCs w:val="32"/>
        </w:rPr>
        <w:t>其他工资福利支出</w:t>
      </w:r>
      <w:r>
        <w:rPr>
          <w:szCs w:val="32"/>
        </w:rPr>
        <w:t>、</w:t>
      </w:r>
      <w:r>
        <w:rPr>
          <w:kern w:val="0"/>
          <w:szCs w:val="32"/>
        </w:rPr>
        <w:t>退休费</w:t>
      </w:r>
      <w:r>
        <w:rPr>
          <w:szCs w:val="32"/>
        </w:rPr>
        <w:t>、</w:t>
      </w:r>
      <w:r>
        <w:rPr>
          <w:rFonts w:hint="eastAsia"/>
          <w:kern w:val="0"/>
          <w:szCs w:val="32"/>
        </w:rPr>
        <w:t>医疗费</w:t>
      </w:r>
      <w:r>
        <w:rPr>
          <w:kern w:val="0"/>
          <w:szCs w:val="32"/>
        </w:rPr>
        <w:t>、住房公积金</w:t>
      </w:r>
      <w:r>
        <w:rPr>
          <w:szCs w:val="32"/>
        </w:rPr>
        <w:t>、</w:t>
      </w:r>
      <w:r>
        <w:rPr>
          <w:kern w:val="0"/>
          <w:szCs w:val="32"/>
        </w:rPr>
        <w:t>其他对个人和家庭的补助支出。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kern w:val="0"/>
          <w:szCs w:val="32"/>
          <w:lang w:val="en-US" w:eastAsia="zh-CN"/>
        </w:rPr>
      </w:pPr>
      <w:r>
        <w:rPr>
          <w:kern w:val="0"/>
          <w:szCs w:val="32"/>
        </w:rPr>
        <w:t>公用经费</w:t>
      </w:r>
      <w:r>
        <w:rPr>
          <w:rFonts w:hint="eastAsia"/>
          <w:szCs w:val="32"/>
          <w:lang w:val="en-US" w:eastAsia="zh-CN"/>
        </w:rPr>
        <w:t>63.31</w:t>
      </w:r>
      <w:r>
        <w:rPr>
          <w:szCs w:val="32"/>
        </w:rPr>
        <w:t>万元，主要包括：</w:t>
      </w:r>
      <w:r>
        <w:rPr>
          <w:kern w:val="0"/>
          <w:szCs w:val="32"/>
        </w:rPr>
        <w:t>办公费</w:t>
      </w:r>
      <w:r>
        <w:rPr>
          <w:szCs w:val="32"/>
        </w:rPr>
        <w:t>、</w:t>
      </w:r>
      <w:r>
        <w:rPr>
          <w:kern w:val="0"/>
          <w:szCs w:val="32"/>
        </w:rPr>
        <w:t>印刷费</w:t>
      </w:r>
      <w:r>
        <w:rPr>
          <w:szCs w:val="32"/>
        </w:rPr>
        <w:t>、</w:t>
      </w:r>
      <w:r>
        <w:rPr>
          <w:rFonts w:hint="eastAsia"/>
          <w:szCs w:val="32"/>
          <w:lang w:eastAsia="zh-CN"/>
        </w:rPr>
        <w:t>手续费、</w:t>
      </w:r>
      <w:r>
        <w:rPr>
          <w:kern w:val="0"/>
          <w:szCs w:val="32"/>
        </w:rPr>
        <w:t>电费</w:t>
      </w:r>
      <w:r>
        <w:rPr>
          <w:szCs w:val="32"/>
        </w:rPr>
        <w:t>、</w:t>
      </w:r>
      <w:r>
        <w:rPr>
          <w:kern w:val="0"/>
          <w:szCs w:val="32"/>
        </w:rPr>
        <w:t>邮电费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rFonts w:hint="eastAsia"/>
          <w:szCs w:val="32"/>
        </w:rPr>
        <w:t>租赁费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、公</w:t>
      </w:r>
      <w:r>
        <w:rPr>
          <w:kern w:val="0"/>
          <w:szCs w:val="32"/>
        </w:rPr>
        <w:t>务用车运行维护费</w:t>
      </w:r>
      <w:r>
        <w:rPr>
          <w:szCs w:val="32"/>
        </w:rPr>
        <w:t>、</w:t>
      </w:r>
      <w:r>
        <w:rPr>
          <w:kern w:val="0"/>
          <w:szCs w:val="32"/>
        </w:rPr>
        <w:t>其他交通</w:t>
      </w:r>
      <w:r>
        <w:rPr>
          <w:rFonts w:hint="eastAsia"/>
          <w:kern w:val="0"/>
          <w:szCs w:val="32"/>
        </w:rPr>
        <w:t>费用</w:t>
      </w:r>
      <w:r>
        <w:rPr>
          <w:szCs w:val="32"/>
        </w:rPr>
        <w:t>、</w:t>
      </w:r>
      <w:r>
        <w:rPr>
          <w:kern w:val="0"/>
          <w:szCs w:val="32"/>
        </w:rPr>
        <w:t>其他商品和服务支出</w:t>
      </w:r>
      <w:r>
        <w:rPr>
          <w:rFonts w:hint="eastAsia"/>
          <w:kern w:val="0"/>
          <w:szCs w:val="32"/>
        </w:rPr>
        <w:t>、</w:t>
      </w:r>
      <w:r>
        <w:rPr>
          <w:kern w:val="0"/>
          <w:szCs w:val="32"/>
        </w:rPr>
        <w:t>办公设备购置。</w:t>
      </w:r>
      <w:r>
        <w:rPr>
          <w:rFonts w:hint="eastAsia"/>
          <w:kern w:val="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eastAsia="黑体"/>
          <w:szCs w:val="32"/>
        </w:rPr>
      </w:pPr>
      <w:r>
        <w:rPr>
          <w:rFonts w:eastAsia="黑体"/>
          <w:szCs w:val="32"/>
        </w:rPr>
        <w:t>七、20</w:t>
      </w:r>
      <w:r>
        <w:rPr>
          <w:rFonts w:hint="eastAsia" w:eastAsia="黑体"/>
          <w:szCs w:val="32"/>
        </w:rPr>
        <w:t>2</w:t>
      </w:r>
      <w:r>
        <w:rPr>
          <w:rFonts w:hint="eastAsia" w:eastAsia="黑体"/>
          <w:szCs w:val="32"/>
          <w:lang w:val="en-US" w:eastAsia="zh-CN"/>
        </w:rPr>
        <w:t>4</w:t>
      </w:r>
      <w:r>
        <w:rPr>
          <w:rFonts w:eastAsia="黑体"/>
          <w:szCs w:val="32"/>
        </w:rPr>
        <w:t>年一般公共预算</w:t>
      </w:r>
      <w:r>
        <w:rPr>
          <w:rFonts w:hint="eastAsia" w:eastAsia="黑体"/>
          <w:szCs w:val="32"/>
        </w:rPr>
        <w:t>财政拨款</w:t>
      </w:r>
      <w:r>
        <w:rPr>
          <w:rFonts w:eastAsia="黑体"/>
          <w:szCs w:val="32"/>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3.73</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0.12</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szCs w:val="32"/>
        </w:rPr>
        <w:t>与202</w:t>
      </w:r>
      <w:r>
        <w:rPr>
          <w:rFonts w:hint="eastAsia"/>
          <w:szCs w:val="32"/>
          <w:lang w:val="en-US" w:eastAsia="zh-CN"/>
        </w:rPr>
        <w:t>3</w:t>
      </w:r>
      <w:r>
        <w:rPr>
          <w:szCs w:val="32"/>
        </w:rPr>
        <w:t>年</w:t>
      </w:r>
      <w:r>
        <w:rPr>
          <w:rFonts w:hint="eastAsia"/>
          <w:szCs w:val="32"/>
          <w:lang w:eastAsia="zh-CN"/>
        </w:rPr>
        <w:t>当年</w:t>
      </w:r>
      <w:r>
        <w:rPr>
          <w:szCs w:val="32"/>
        </w:rPr>
        <w:t>预算</w:t>
      </w:r>
      <w:r>
        <w:rPr>
          <w:rFonts w:hint="eastAsia"/>
          <w:szCs w:val="32"/>
          <w:lang w:eastAsia="zh-CN"/>
        </w:rPr>
        <w:t>数</w:t>
      </w:r>
      <w:r>
        <w:rPr>
          <w:szCs w:val="32"/>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0.40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0.12</w:t>
      </w:r>
      <w:r>
        <w:rPr>
          <w:szCs w:val="32"/>
        </w:rPr>
        <w:t>万元，主要原因是</w:t>
      </w:r>
      <w:r>
        <w:rPr>
          <w:rFonts w:hint="eastAsia"/>
          <w:szCs w:val="32"/>
        </w:rPr>
        <w:t>为落实财政“过紧日子”思想，</w:t>
      </w:r>
      <w:r>
        <w:rPr>
          <w:rFonts w:hint="eastAsia"/>
          <w:szCs w:val="32"/>
          <w:lang w:eastAsia="zh-CN"/>
        </w:rPr>
        <w:t>压减了公务接待预算</w:t>
      </w:r>
      <w:r>
        <w:rPr>
          <w:rFonts w:hint="eastAsia"/>
          <w:szCs w:val="32"/>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3.33</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3.33</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2024年当年预算数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jc w:val="both"/>
        <w:rPr>
          <w:rFonts w:hint="eastAsia"/>
          <w:szCs w:val="32"/>
          <w:lang w:val="en-US" w:eastAsia="zh-CN"/>
        </w:rPr>
      </w:pPr>
      <w:r>
        <w:rPr>
          <w:rFonts w:hint="eastAsia"/>
          <w:szCs w:val="32"/>
          <w:lang w:val="en-US"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jc w:val="both"/>
        <w:rPr>
          <w:rFonts w:hint="eastAsia"/>
          <w:szCs w:val="32"/>
          <w:lang w:val="en-US" w:eastAsia="zh-CN"/>
        </w:rPr>
      </w:pPr>
      <w:r>
        <w:rPr>
          <w:rFonts w:hint="eastAsia"/>
          <w:szCs w:val="32"/>
          <w:lang w:val="en-US" w:eastAsia="zh-CN"/>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单位本级一</w:t>
      </w:r>
      <w:r>
        <w:rPr>
          <w:szCs w:val="32"/>
        </w:rPr>
        <w:t>家行政单位的机关运行经费财政拨款预算</w:t>
      </w:r>
      <w:r>
        <w:rPr>
          <w:rFonts w:hint="eastAsia"/>
          <w:szCs w:val="32"/>
          <w:lang w:val="en-US" w:eastAsia="zh-CN"/>
        </w:rPr>
        <w:t>63.31</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8.8</w:t>
      </w:r>
      <w:r>
        <w:rPr>
          <w:szCs w:val="32"/>
        </w:rPr>
        <w:t>万元，下降</w:t>
      </w:r>
      <w:r>
        <w:rPr>
          <w:rFonts w:hint="eastAsia"/>
          <w:szCs w:val="32"/>
          <w:lang w:val="en-US" w:eastAsia="zh-CN"/>
        </w:rPr>
        <w:t>12.20</w:t>
      </w:r>
      <w:r>
        <w:rPr>
          <w:szCs w:val="32"/>
        </w:rPr>
        <w:t>%</w:t>
      </w:r>
      <w:r>
        <w:rPr>
          <w:rFonts w:hint="eastAsia"/>
          <w:szCs w:val="32"/>
        </w:rPr>
        <w:t>，</w:t>
      </w:r>
      <w:r>
        <w:rPr>
          <w:szCs w:val="32"/>
        </w:rPr>
        <w:t>主要原因是</w:t>
      </w:r>
      <w:r>
        <w:rPr>
          <w:rFonts w:hint="eastAsia"/>
          <w:szCs w:val="32"/>
        </w:rPr>
        <w:t>为</w:t>
      </w:r>
      <w:r>
        <w:rPr>
          <w:szCs w:val="32"/>
        </w:rPr>
        <w:t>落实财政“</w:t>
      </w:r>
      <w:r>
        <w:rPr>
          <w:rFonts w:hint="eastAsia"/>
          <w:szCs w:val="32"/>
        </w:rPr>
        <w:t>过紧日子</w:t>
      </w:r>
      <w:r>
        <w:rPr>
          <w:szCs w:val="32"/>
        </w:rPr>
        <w:t>”</w:t>
      </w:r>
      <w:r>
        <w:rPr>
          <w:rFonts w:hint="eastAsia"/>
          <w:szCs w:val="32"/>
        </w:rPr>
        <w:t>思想</w:t>
      </w:r>
      <w:r>
        <w:rPr>
          <w:szCs w:val="32"/>
        </w:rPr>
        <w:t>，我</w:t>
      </w:r>
      <w:r>
        <w:rPr>
          <w:rFonts w:hint="eastAsia"/>
          <w:szCs w:val="32"/>
          <w:lang w:eastAsia="zh-CN"/>
        </w:rPr>
        <w:t>单位压减机关运行经费预算</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本单位无政府采购情况。</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单位</w:t>
      </w:r>
      <w:r>
        <w:rPr>
          <w:rFonts w:hint="eastAsia"/>
          <w:szCs w:val="32"/>
        </w:rPr>
        <w:t>本级有车辆</w:t>
      </w:r>
      <w:r>
        <w:rPr>
          <w:rFonts w:hint="eastAsia"/>
          <w:szCs w:val="32"/>
          <w:lang w:val="en-US" w:eastAsia="zh-CN"/>
        </w:rPr>
        <w:t>1</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42.31</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41.25</w:t>
      </w:r>
      <w:r>
        <w:rPr>
          <w:szCs w:val="32"/>
        </w:rPr>
        <w:t>万元，</w:t>
      </w:r>
      <w:r>
        <w:rPr>
          <w:rFonts w:hint="eastAsia"/>
          <w:szCs w:val="32"/>
        </w:rPr>
        <w:t>财政拨款结转</w:t>
      </w:r>
      <w:r>
        <w:rPr>
          <w:rFonts w:hint="eastAsia"/>
          <w:szCs w:val="32"/>
          <w:lang w:val="en-US" w:eastAsia="zh-CN"/>
        </w:rPr>
        <w:t>1.06</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按照全面实施预算绩效管理的要求，结合本部门职能和重点工作，</w:t>
      </w:r>
      <w:r>
        <w:rPr>
          <w:rFonts w:hint="eastAsia"/>
        </w:rPr>
        <w:t>202</w:t>
      </w:r>
      <w:r>
        <w:rPr>
          <w:rFonts w:hint="eastAsia"/>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41.25</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r>
        <w:rPr>
          <w:rFonts w:eastAsia="楷体"/>
          <w:szCs w:val="32"/>
        </w:rPr>
        <w:br w:type="page"/>
      </w:r>
    </w:p>
    <w:p>
      <w:pPr>
        <w:ind w:firstLine="640" w:firstLineChars="200"/>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36C9569-FEA2-4A47-BD28-A2320B90E75F}"/>
  </w:font>
  <w:font w:name="黑体">
    <w:panose1 w:val="02010609060101010101"/>
    <w:charset w:val="86"/>
    <w:family w:val="auto"/>
    <w:pitch w:val="default"/>
    <w:sig w:usb0="800002BF" w:usb1="38CF7CFA" w:usb2="00000016" w:usb3="00000000" w:csb0="00040001" w:csb1="00000000"/>
    <w:embedRegular r:id="rId2" w:fontKey="{2604B744-F9FE-4845-A0EB-CC0BD4B2DD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31DE7C0-BFE3-4653-A721-6B6B408C965F}"/>
  </w:font>
  <w:font w:name="仿宋_GB2312">
    <w:altName w:val="仿宋"/>
    <w:panose1 w:val="02010609030101010101"/>
    <w:charset w:val="86"/>
    <w:family w:val="modern"/>
    <w:pitch w:val="default"/>
    <w:sig w:usb0="00000000" w:usb1="00000000" w:usb2="00000000" w:usb3="00000000" w:csb0="00040000" w:csb1="00000000"/>
    <w:embedRegular r:id="rId4" w:fontKey="{A939B9A7-83D5-4BAE-91BD-98F219F4C029}"/>
  </w:font>
  <w:font w:name="华文细黑">
    <w:panose1 w:val="02010600040101010101"/>
    <w:charset w:val="86"/>
    <w:family w:val="auto"/>
    <w:pitch w:val="default"/>
    <w:sig w:usb0="00000287" w:usb1="080F0000" w:usb2="00000000" w:usb3="00000000" w:csb0="0004009F" w:csb1="DFD70000"/>
    <w:embedRegular r:id="rId5" w:fontKey="{AA1EDC1C-6DD3-47CC-AC0E-55501A1BB8A2}"/>
  </w:font>
  <w:font w:name="方正小标宋简体">
    <w:panose1 w:val="02000000000000000000"/>
    <w:charset w:val="86"/>
    <w:family w:val="auto"/>
    <w:pitch w:val="default"/>
    <w:sig w:usb0="00000001" w:usb1="08000000" w:usb2="00000000" w:usb3="00000000" w:csb0="00040000" w:csb1="00000000"/>
    <w:embedRegular r:id="rId6" w:fontKey="{B7374BC7-A0E4-4B19-8F46-93323E954A94}"/>
  </w:font>
  <w:font w:name="楷体_GB2312">
    <w:altName w:val="楷体"/>
    <w:panose1 w:val="02010609030101010101"/>
    <w:charset w:val="86"/>
    <w:family w:val="modern"/>
    <w:pitch w:val="default"/>
    <w:sig w:usb0="00000000" w:usb1="00000000" w:usb2="00000000" w:usb3="00000000" w:csb0="00040000" w:csb1="00000000"/>
    <w:embedRegular r:id="rId7" w:fontKey="{E16F1099-CB67-414C-877B-8E3DC6FA3B43}"/>
  </w:font>
  <w:font w:name="楷体">
    <w:panose1 w:val="02010609060101010101"/>
    <w:charset w:val="86"/>
    <w:family w:val="modern"/>
    <w:pitch w:val="default"/>
    <w:sig w:usb0="800002BF" w:usb1="38CF7CFA" w:usb2="00000016" w:usb3="00000000" w:csb0="00040001" w:csb1="00000000"/>
    <w:embedRegular r:id="rId8" w:fontKey="{D732CAE3-C284-460A-98C3-56738B53411D}"/>
  </w:font>
  <w:font w:name="仿宋">
    <w:panose1 w:val="02010609060101010101"/>
    <w:charset w:val="86"/>
    <w:family w:val="modern"/>
    <w:pitch w:val="default"/>
    <w:sig w:usb0="800002BF" w:usb1="38CF7CFA" w:usb2="00000016" w:usb3="00000000" w:csb0="00040001" w:csb1="00000000"/>
    <w:embedRegular r:id="rId9" w:fontKey="{86B19192-027E-442F-9372-594027AC6A7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MjZkZjY2ZmM0YWYyNzY2ZmI3OTkyZTYxNGM5NmM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3C74AB"/>
    <w:rsid w:val="09421190"/>
    <w:rsid w:val="09A0082A"/>
    <w:rsid w:val="0A00435B"/>
    <w:rsid w:val="0AAA1697"/>
    <w:rsid w:val="0ABA06FE"/>
    <w:rsid w:val="0B176ED1"/>
    <w:rsid w:val="0B49202F"/>
    <w:rsid w:val="0B5F5ADA"/>
    <w:rsid w:val="0C2A5C84"/>
    <w:rsid w:val="0C4F64D9"/>
    <w:rsid w:val="0C583939"/>
    <w:rsid w:val="0C6D1BAE"/>
    <w:rsid w:val="0D2A2435"/>
    <w:rsid w:val="0DA001B0"/>
    <w:rsid w:val="0DEB170B"/>
    <w:rsid w:val="0E440F6D"/>
    <w:rsid w:val="0E4C7841"/>
    <w:rsid w:val="0E97506F"/>
    <w:rsid w:val="0F3E0406"/>
    <w:rsid w:val="0F980230"/>
    <w:rsid w:val="0FD62F63"/>
    <w:rsid w:val="0FDE2A27"/>
    <w:rsid w:val="10AE7F82"/>
    <w:rsid w:val="10C93B35"/>
    <w:rsid w:val="11177619"/>
    <w:rsid w:val="112605C8"/>
    <w:rsid w:val="11A6707B"/>
    <w:rsid w:val="11B35B2F"/>
    <w:rsid w:val="12296A3A"/>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AF76AC3"/>
    <w:rsid w:val="1B8A03E4"/>
    <w:rsid w:val="1B9C1459"/>
    <w:rsid w:val="1C852172"/>
    <w:rsid w:val="1CA40C0C"/>
    <w:rsid w:val="1CFF4A32"/>
    <w:rsid w:val="1D833200"/>
    <w:rsid w:val="1E3A3FD0"/>
    <w:rsid w:val="1E3F286F"/>
    <w:rsid w:val="1EB55C07"/>
    <w:rsid w:val="1F351A10"/>
    <w:rsid w:val="1F857EA5"/>
    <w:rsid w:val="1FED47E9"/>
    <w:rsid w:val="206816AC"/>
    <w:rsid w:val="21134335"/>
    <w:rsid w:val="226E581D"/>
    <w:rsid w:val="22A4003E"/>
    <w:rsid w:val="22D60519"/>
    <w:rsid w:val="23135C25"/>
    <w:rsid w:val="231E77CA"/>
    <w:rsid w:val="23EC61F6"/>
    <w:rsid w:val="244C543C"/>
    <w:rsid w:val="24624768"/>
    <w:rsid w:val="259B5BC5"/>
    <w:rsid w:val="25F62C4E"/>
    <w:rsid w:val="26643D6C"/>
    <w:rsid w:val="26FE109D"/>
    <w:rsid w:val="27073E1E"/>
    <w:rsid w:val="27B04AB3"/>
    <w:rsid w:val="27E75FDC"/>
    <w:rsid w:val="282C3BA1"/>
    <w:rsid w:val="28A63332"/>
    <w:rsid w:val="28C96E8E"/>
    <w:rsid w:val="29C45F24"/>
    <w:rsid w:val="2CA50AD6"/>
    <w:rsid w:val="2D9038E4"/>
    <w:rsid w:val="2DF8796C"/>
    <w:rsid w:val="2E46003B"/>
    <w:rsid w:val="2EB22F18"/>
    <w:rsid w:val="2EE12108"/>
    <w:rsid w:val="2EED35E3"/>
    <w:rsid w:val="2F0B5068"/>
    <w:rsid w:val="2F250383"/>
    <w:rsid w:val="2F63610B"/>
    <w:rsid w:val="2F6D280B"/>
    <w:rsid w:val="2FBC646B"/>
    <w:rsid w:val="300965A3"/>
    <w:rsid w:val="30730D6E"/>
    <w:rsid w:val="308B20C9"/>
    <w:rsid w:val="30B91A70"/>
    <w:rsid w:val="30F84C22"/>
    <w:rsid w:val="310C6AA2"/>
    <w:rsid w:val="31793674"/>
    <w:rsid w:val="31894469"/>
    <w:rsid w:val="320125D0"/>
    <w:rsid w:val="32332703"/>
    <w:rsid w:val="32CF2C5D"/>
    <w:rsid w:val="32E0267F"/>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E42AA7"/>
    <w:rsid w:val="3DF23324"/>
    <w:rsid w:val="3EA14040"/>
    <w:rsid w:val="3EAA6B3A"/>
    <w:rsid w:val="3EE8108D"/>
    <w:rsid w:val="3F8201A3"/>
    <w:rsid w:val="3F946A9A"/>
    <w:rsid w:val="402675EA"/>
    <w:rsid w:val="40B80EFF"/>
    <w:rsid w:val="41A35364"/>
    <w:rsid w:val="41C31686"/>
    <w:rsid w:val="41C837BC"/>
    <w:rsid w:val="421643AC"/>
    <w:rsid w:val="421A52B7"/>
    <w:rsid w:val="42982B4E"/>
    <w:rsid w:val="429F5D0C"/>
    <w:rsid w:val="42D83665"/>
    <w:rsid w:val="434A6B47"/>
    <w:rsid w:val="436B1E42"/>
    <w:rsid w:val="43816C9E"/>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C92297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3E27DAD"/>
    <w:rsid w:val="5402190B"/>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0660DC"/>
    <w:rsid w:val="5D5A7C63"/>
    <w:rsid w:val="5E256F6F"/>
    <w:rsid w:val="5F6235A9"/>
    <w:rsid w:val="60DC439E"/>
    <w:rsid w:val="614125C2"/>
    <w:rsid w:val="61AA1D1F"/>
    <w:rsid w:val="61B920A1"/>
    <w:rsid w:val="624C5C52"/>
    <w:rsid w:val="63DF08E4"/>
    <w:rsid w:val="64C04AFD"/>
    <w:rsid w:val="65440F0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AF44665"/>
    <w:rsid w:val="6B11024D"/>
    <w:rsid w:val="6B7D5B36"/>
    <w:rsid w:val="6C834DAA"/>
    <w:rsid w:val="6C993CCE"/>
    <w:rsid w:val="6CF120A8"/>
    <w:rsid w:val="6D72413D"/>
    <w:rsid w:val="6FF50B81"/>
    <w:rsid w:val="700D682A"/>
    <w:rsid w:val="70330B9C"/>
    <w:rsid w:val="710B447F"/>
    <w:rsid w:val="714213DD"/>
    <w:rsid w:val="717F272E"/>
    <w:rsid w:val="72783A23"/>
    <w:rsid w:val="728027C6"/>
    <w:rsid w:val="73D62FA6"/>
    <w:rsid w:val="73FE7ACC"/>
    <w:rsid w:val="74556746"/>
    <w:rsid w:val="74743258"/>
    <w:rsid w:val="761B13C4"/>
    <w:rsid w:val="764B6A8A"/>
    <w:rsid w:val="76C17E06"/>
    <w:rsid w:val="76CA67BD"/>
    <w:rsid w:val="76D80302"/>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661436"/>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1</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11</cp:lastModifiedBy>
  <cp:lastPrinted>2024-01-23T03:39:00Z</cp:lastPrinted>
  <dcterms:modified xsi:type="dcterms:W3CDTF">2024-02-26T03:16:50Z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