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lang w:eastAsia="zh-CN"/>
        </w:rPr>
        <w:t>辽源市统计局普查中心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p>
    <w:p>
      <w:pPr>
        <w:ind w:firstLine="640" w:firstLineChars="200"/>
        <w:rPr>
          <w:rFonts w:hint="eastAsia"/>
          <w:color w:val="000000"/>
          <w:szCs w:val="32"/>
        </w:rPr>
      </w:pPr>
      <w:r>
        <w:rPr>
          <w:color w:val="000000"/>
          <w:szCs w:val="32"/>
        </w:rPr>
        <w:t>1</w:t>
      </w:r>
      <w:r>
        <w:rPr>
          <w:rFonts w:hint="eastAsia"/>
          <w:color w:val="000000"/>
          <w:szCs w:val="32"/>
        </w:rPr>
        <w:t>、全面</w:t>
      </w:r>
      <w:r>
        <w:rPr>
          <w:color w:val="000000"/>
          <w:szCs w:val="32"/>
        </w:rPr>
        <w:t>完成省</w:t>
      </w:r>
      <w:r>
        <w:rPr>
          <w:rFonts w:hint="eastAsia"/>
          <w:color w:val="000000"/>
          <w:szCs w:val="32"/>
        </w:rPr>
        <w:t>普查</w:t>
      </w:r>
      <w:r>
        <w:rPr>
          <w:color w:val="000000"/>
          <w:szCs w:val="32"/>
        </w:rPr>
        <w:t>中心交办</w:t>
      </w:r>
      <w:r>
        <w:rPr>
          <w:rFonts w:hint="eastAsia"/>
          <w:color w:val="000000"/>
          <w:szCs w:val="32"/>
        </w:rPr>
        <w:t>的</w:t>
      </w:r>
      <w:r>
        <w:rPr>
          <w:color w:val="000000"/>
          <w:szCs w:val="32"/>
        </w:rPr>
        <w:t>各项工作任务，组织指导与各种普查和专项统计调查相关的统计基础工作，并负责对有关人员进行培训。</w:t>
      </w:r>
    </w:p>
    <w:p>
      <w:pPr>
        <w:ind w:firstLine="640" w:firstLineChars="200"/>
        <w:rPr>
          <w:rFonts w:hint="eastAsia"/>
          <w:color w:val="000000"/>
          <w:szCs w:val="32"/>
        </w:rPr>
      </w:pPr>
      <w:r>
        <w:rPr>
          <w:color w:val="000000"/>
          <w:szCs w:val="32"/>
        </w:rPr>
        <w:t>2</w:t>
      </w:r>
      <w:r>
        <w:rPr>
          <w:rFonts w:hint="eastAsia"/>
          <w:color w:val="000000"/>
          <w:szCs w:val="32"/>
        </w:rPr>
        <w:t>、</w:t>
      </w:r>
      <w:r>
        <w:rPr>
          <w:color w:val="000000"/>
          <w:szCs w:val="32"/>
        </w:rPr>
        <w:t>负责研究和提出重大</w:t>
      </w:r>
      <w:r>
        <w:rPr>
          <w:rFonts w:hint="eastAsia"/>
          <w:color w:val="000000"/>
          <w:szCs w:val="32"/>
        </w:rPr>
        <w:t>市</w:t>
      </w:r>
      <w:r>
        <w:rPr>
          <w:color w:val="000000"/>
          <w:szCs w:val="32"/>
        </w:rPr>
        <w:t>情市力的普查方案，研究解决普查专业技术方面的各类问题；</w:t>
      </w:r>
    </w:p>
    <w:p>
      <w:pPr>
        <w:ind w:firstLine="640" w:firstLineChars="200"/>
        <w:rPr>
          <w:color w:val="000000"/>
          <w:szCs w:val="32"/>
        </w:rPr>
      </w:pPr>
      <w:r>
        <w:rPr>
          <w:color w:val="000000"/>
          <w:szCs w:val="32"/>
        </w:rPr>
        <w:t>3</w:t>
      </w:r>
      <w:r>
        <w:rPr>
          <w:rFonts w:hint="eastAsia"/>
          <w:color w:val="000000"/>
          <w:szCs w:val="32"/>
        </w:rPr>
        <w:t>、</w:t>
      </w:r>
      <w:r>
        <w:rPr>
          <w:color w:val="000000"/>
          <w:szCs w:val="32"/>
        </w:rPr>
        <w:t>组织实施国务院部署的我市经济普查</w:t>
      </w:r>
      <w:r>
        <w:rPr>
          <w:rFonts w:hint="eastAsia"/>
          <w:color w:val="000000"/>
          <w:szCs w:val="32"/>
        </w:rPr>
        <w:t>、农业</w:t>
      </w:r>
      <w:r>
        <w:rPr>
          <w:color w:val="000000"/>
          <w:szCs w:val="32"/>
        </w:rPr>
        <w:t>普查、人口普查、工业、三产业普查和基础单位普查及其他大型调查任务；</w:t>
      </w:r>
    </w:p>
    <w:p>
      <w:pPr>
        <w:ind w:firstLine="640" w:firstLineChars="200"/>
        <w:rPr>
          <w:color w:val="000000"/>
          <w:szCs w:val="32"/>
        </w:rPr>
      </w:pPr>
      <w:r>
        <w:rPr>
          <w:color w:val="000000"/>
          <w:szCs w:val="32"/>
        </w:rPr>
        <w:t>4</w:t>
      </w:r>
      <w:r>
        <w:rPr>
          <w:rFonts w:hint="eastAsia"/>
          <w:color w:val="000000"/>
          <w:szCs w:val="32"/>
        </w:rPr>
        <w:t>、</w:t>
      </w:r>
      <w:r>
        <w:rPr>
          <w:color w:val="000000"/>
          <w:szCs w:val="32"/>
        </w:rPr>
        <w:t>组织实施我市基本单位名录库</w:t>
      </w:r>
      <w:r>
        <w:rPr>
          <w:rFonts w:hint="eastAsia"/>
          <w:color w:val="000000"/>
          <w:szCs w:val="32"/>
        </w:rPr>
        <w:t>的</w:t>
      </w:r>
      <w:r>
        <w:rPr>
          <w:color w:val="000000"/>
          <w:szCs w:val="32"/>
        </w:rPr>
        <w:t>更新和维护。负责</w:t>
      </w:r>
      <w:r>
        <w:rPr>
          <w:rFonts w:hint="eastAsia"/>
          <w:color w:val="000000"/>
          <w:szCs w:val="32"/>
        </w:rPr>
        <w:t>对</w:t>
      </w:r>
      <w:r>
        <w:rPr>
          <w:color w:val="000000"/>
          <w:szCs w:val="32"/>
        </w:rPr>
        <w:t>省普查中心的各项定期报表。</w:t>
      </w:r>
    </w:p>
    <w:p>
      <w:pPr>
        <w:ind w:firstLine="640" w:firstLineChars="200"/>
        <w:rPr>
          <w:rFonts w:hint="eastAsia"/>
          <w:color w:val="000000"/>
          <w:szCs w:val="32"/>
        </w:rPr>
      </w:pPr>
      <w:r>
        <w:rPr>
          <w:color w:val="000000"/>
          <w:szCs w:val="32"/>
        </w:rPr>
        <w:t>5</w:t>
      </w:r>
      <w:r>
        <w:rPr>
          <w:rFonts w:hint="eastAsia"/>
          <w:color w:val="000000"/>
          <w:szCs w:val="32"/>
        </w:rPr>
        <w:t>、</w:t>
      </w:r>
      <w:r>
        <w:rPr>
          <w:color w:val="000000"/>
          <w:szCs w:val="32"/>
        </w:rPr>
        <w:t>负责对各种普查及大型统计调查资料的数据汇总、资料分析、开发和管理及提供咨询服务。</w:t>
      </w:r>
    </w:p>
    <w:p>
      <w:pPr>
        <w:ind w:firstLine="640" w:firstLineChars="200"/>
      </w:pPr>
      <w:r>
        <w:rPr>
          <w:rFonts w:eastAsia="楷体_GB2312"/>
        </w:rPr>
        <w:t>二、机构设置</w:t>
      </w:r>
    </w:p>
    <w:p>
      <w:pPr>
        <w:pStyle w:val="48"/>
        <w:ind w:firstLine="640" w:firstLineChars="200"/>
        <w:rPr>
          <w:rFonts w:hint="eastAsia" w:eastAsia="仿宋_GB2312"/>
        </w:rPr>
      </w:pPr>
      <w:r>
        <w:rPr>
          <w:rFonts w:hint="eastAsia" w:eastAsia="仿宋_GB2312"/>
        </w:rPr>
        <w:t>根据上述职责，辽源市统计局普查中心无内设机构。</w:t>
      </w:r>
    </w:p>
    <w:p>
      <w:pPr>
        <w:pStyle w:val="48"/>
        <w:ind w:firstLine="640" w:firstLineChars="200"/>
        <w:rPr>
          <w:rFonts w:eastAsia="楷体"/>
        </w:rPr>
      </w:pPr>
      <w:r>
        <w:rPr>
          <w:rFonts w:hint="eastAsia" w:eastAsia="仿宋_GB2312"/>
        </w:rPr>
        <w:t>本单位无三定方案。</w:t>
      </w:r>
    </w:p>
    <w:p>
      <w:pPr>
        <w:pStyle w:val="48"/>
        <w:ind w:firstLine="640" w:firstLineChars="200"/>
        <w:rPr>
          <w:rFonts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pStyle w:val="48"/>
        <w:ind w:firstLine="640" w:firstLineChars="200"/>
        <w:rPr>
          <w:rFonts w:hAnsi="楷体" w:eastAsia="楷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316.73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271.73</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45.00</w:t>
            </w:r>
          </w:p>
        </w:tc>
        <w:tc>
          <w:tcPr>
            <w:tcW w:w="1342"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248.02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211.38</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36.64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316.73</w:t>
            </w:r>
          </w:p>
        </w:tc>
        <w:tc>
          <w:tcPr>
            <w:tcW w:w="984"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271.73</w:t>
            </w:r>
          </w:p>
        </w:tc>
        <w:tc>
          <w:tcPr>
            <w:tcW w:w="1134" w:type="dxa"/>
            <w:tcBorders>
              <w:top w:val="nil"/>
              <w:left w:val="single" w:color="auto" w:sz="4" w:space="0"/>
              <w:bottom w:val="single" w:color="auto" w:sz="4" w:space="0"/>
              <w:right w:val="nil"/>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45.00</w:t>
            </w:r>
          </w:p>
        </w:tc>
        <w:tc>
          <w:tcPr>
            <w:tcW w:w="1342" w:type="dxa"/>
            <w:tcBorders>
              <w:top w:val="nil"/>
              <w:left w:val="single" w:color="auto" w:sz="4" w:space="0"/>
              <w:bottom w:val="single" w:color="auto" w:sz="4" w:space="0"/>
              <w:right w:val="single" w:color="auto" w:sz="4" w:space="0"/>
            </w:tcBorders>
            <w:noWrap w:val="0"/>
            <w:vAlign w:val="center"/>
          </w:tcPr>
          <w:p>
            <w:pPr>
              <w:jc w:val="left"/>
              <w:rPr>
                <w:rFonts w:eastAsia="宋体"/>
                <w:color w:val="000000"/>
                <w:kern w:val="0"/>
                <w:sz w:val="20"/>
              </w:rPr>
            </w:pPr>
            <w:r>
              <w:rPr>
                <w:rFonts w:eastAsia="宋体"/>
                <w:sz w:val="20"/>
              </w:rPr>
              <w:t>二、社会保障和就业支出　</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33.09</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29.04</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4.05</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jc w:val="left"/>
              <w:rPr>
                <w:rFonts w:eastAsia="宋体"/>
                <w:color w:val="000000"/>
                <w:kern w:val="0"/>
                <w:sz w:val="20"/>
              </w:rPr>
            </w:pPr>
            <w:r>
              <w:rPr>
                <w:rFonts w:eastAsia="宋体"/>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9.48</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9.48</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jc w:val="left"/>
              <w:rPr>
                <w:rFonts w:eastAsia="宋体"/>
                <w:color w:val="000000"/>
                <w:kern w:val="0"/>
                <w:sz w:val="20"/>
              </w:rPr>
            </w:pPr>
            <w:r>
              <w:rPr>
                <w:rFonts w:eastAsia="宋体"/>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26.14</w:t>
            </w:r>
          </w:p>
        </w:tc>
        <w:tc>
          <w:tcPr>
            <w:tcW w:w="1182" w:type="dxa"/>
            <w:gridSpan w:val="2"/>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21.83</w:t>
            </w:r>
          </w:p>
        </w:tc>
        <w:tc>
          <w:tcPr>
            <w:tcW w:w="1158" w:type="dxa"/>
            <w:tcBorders>
              <w:top w:val="nil"/>
              <w:left w:val="nil"/>
              <w:bottom w:val="single" w:color="auto" w:sz="4" w:space="0"/>
              <w:right w:val="single" w:color="auto" w:sz="4" w:space="0"/>
            </w:tcBorders>
            <w:noWrap w:val="0"/>
            <w:vAlign w:val="center"/>
          </w:tcPr>
          <w:p>
            <w:pPr>
              <w:jc w:val="center"/>
              <w:rPr>
                <w:rFonts w:hint="default" w:eastAsia="宋体"/>
                <w:kern w:val="0"/>
                <w:sz w:val="20"/>
                <w:lang w:val="en-US" w:eastAsia="zh-CN"/>
              </w:rPr>
            </w:pPr>
            <w:r>
              <w:rPr>
                <w:rFonts w:hint="eastAsia" w:eastAsia="宋体"/>
                <w:kern w:val="0"/>
                <w:sz w:val="20"/>
                <w:lang w:val="en-US" w:eastAsia="zh-CN"/>
              </w:rPr>
              <w:t>4.31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316.73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271.73</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45.00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316.73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271.73</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45.00</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316.73</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271.73</w:t>
            </w: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45.00</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316.73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271.73</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lang w:val="en-US" w:eastAsia="zh-CN"/>
              </w:rPr>
            </w:pPr>
            <w:r>
              <w:rPr>
                <w:rFonts w:hint="eastAsia" w:eastAsia="宋体"/>
                <w:kern w:val="0"/>
                <w:sz w:val="20"/>
                <w:lang w:val="en-US" w:eastAsia="zh-CN"/>
              </w:rPr>
              <w:t>45.00</w:t>
            </w:r>
          </w:p>
        </w:tc>
      </w:tr>
    </w:tbl>
    <w:p>
      <w:pPr>
        <w:ind w:firstLine="640" w:firstLineChars="200"/>
        <w:rPr>
          <w:rFonts w:eastAsia="楷体_GB2312"/>
          <w:strike/>
        </w:rPr>
      </w:pPr>
    </w:p>
    <w:p>
      <w:pPr>
        <w:ind w:firstLine="640" w:firstLineChars="200"/>
        <w:rPr>
          <w:rFonts w:eastAsia="楷体_GB2312"/>
        </w:rPr>
      </w:pPr>
    </w:p>
    <w:p>
      <w:pPr>
        <w:rPr>
          <w:rFonts w:hAnsi="楷体" w:eastAsia="楷体"/>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476" w:type="dxa"/>
        <w:jc w:val="center"/>
        <w:tblLayout w:type="fixed"/>
        <w:tblCellMar>
          <w:top w:w="0" w:type="dxa"/>
          <w:left w:w="108" w:type="dxa"/>
          <w:bottom w:w="0" w:type="dxa"/>
          <w:right w:w="108" w:type="dxa"/>
        </w:tblCellMar>
      </w:tblPr>
      <w:tblGrid>
        <w:gridCol w:w="1382"/>
        <w:gridCol w:w="826"/>
        <w:gridCol w:w="857"/>
        <w:gridCol w:w="778"/>
        <w:gridCol w:w="327"/>
        <w:gridCol w:w="368"/>
        <w:gridCol w:w="382"/>
        <w:gridCol w:w="333"/>
        <w:gridCol w:w="335"/>
        <w:gridCol w:w="328"/>
        <w:gridCol w:w="331"/>
        <w:gridCol w:w="241"/>
        <w:gridCol w:w="257"/>
        <w:gridCol w:w="480"/>
        <w:gridCol w:w="736"/>
        <w:gridCol w:w="330"/>
        <w:gridCol w:w="49"/>
        <w:gridCol w:w="369"/>
        <w:gridCol w:w="368"/>
        <w:gridCol w:w="335"/>
        <w:gridCol w:w="64"/>
      </w:tblGrid>
      <w:tr>
        <w:tblPrEx>
          <w:tblCellMar>
            <w:top w:w="0" w:type="dxa"/>
            <w:left w:w="108" w:type="dxa"/>
            <w:bottom w:w="0" w:type="dxa"/>
            <w:right w:w="108" w:type="dxa"/>
          </w:tblCellMar>
        </w:tblPrEx>
        <w:trPr>
          <w:trHeight w:val="335" w:hRule="atLeast"/>
          <w:jc w:val="center"/>
        </w:trPr>
        <w:tc>
          <w:tcPr>
            <w:tcW w:w="1382" w:type="dxa"/>
            <w:tcBorders>
              <w:bottom w:val="single" w:color="000000" w:sz="4" w:space="0"/>
            </w:tcBorders>
            <w:noWrap w:val="0"/>
            <w:vAlign w:val="top"/>
          </w:tcPr>
          <w:p>
            <w:pPr>
              <w:autoSpaceDN w:val="0"/>
              <w:jc w:val="left"/>
              <w:textAlignment w:val="center"/>
              <w:rPr>
                <w:rFonts w:eastAsia="华文细黑"/>
                <w:color w:val="000000"/>
                <w:sz w:val="20"/>
              </w:rPr>
            </w:pPr>
          </w:p>
        </w:tc>
        <w:tc>
          <w:tcPr>
            <w:tcW w:w="3871" w:type="dxa"/>
            <w:gridSpan w:val="7"/>
            <w:tcBorders>
              <w:bottom w:val="single" w:color="000000" w:sz="4" w:space="0"/>
            </w:tcBorders>
            <w:noWrap w:val="0"/>
            <w:vAlign w:val="center"/>
          </w:tcPr>
          <w:p>
            <w:pPr>
              <w:autoSpaceDN w:val="0"/>
              <w:jc w:val="left"/>
              <w:textAlignment w:val="center"/>
              <w:rPr>
                <w:rFonts w:eastAsia="华文细黑"/>
                <w:color w:val="000000"/>
                <w:sz w:val="20"/>
              </w:rPr>
            </w:pPr>
          </w:p>
        </w:tc>
        <w:tc>
          <w:tcPr>
            <w:tcW w:w="994" w:type="dxa"/>
            <w:gridSpan w:val="3"/>
            <w:noWrap w:val="0"/>
            <w:vAlign w:val="center"/>
          </w:tcPr>
          <w:p>
            <w:pPr>
              <w:autoSpaceDN w:val="0"/>
              <w:jc w:val="left"/>
              <w:textAlignment w:val="center"/>
              <w:rPr>
                <w:rFonts w:eastAsia="华文细黑"/>
                <w:color w:val="000000"/>
                <w:sz w:val="20"/>
              </w:rPr>
            </w:pPr>
          </w:p>
        </w:tc>
        <w:tc>
          <w:tcPr>
            <w:tcW w:w="498" w:type="dxa"/>
            <w:gridSpan w:val="2"/>
            <w:noWrap w:val="0"/>
            <w:vAlign w:val="center"/>
          </w:tcPr>
          <w:p>
            <w:pPr>
              <w:autoSpaceDN w:val="0"/>
              <w:jc w:val="left"/>
              <w:textAlignment w:val="center"/>
              <w:rPr>
                <w:rFonts w:eastAsia="华文细黑"/>
                <w:color w:val="000000"/>
                <w:sz w:val="20"/>
              </w:rPr>
            </w:pPr>
          </w:p>
        </w:tc>
        <w:tc>
          <w:tcPr>
            <w:tcW w:w="1216" w:type="dxa"/>
            <w:gridSpan w:val="2"/>
            <w:noWrap w:val="0"/>
            <w:vAlign w:val="center"/>
          </w:tcPr>
          <w:p>
            <w:pPr>
              <w:autoSpaceDN w:val="0"/>
              <w:jc w:val="left"/>
              <w:textAlignment w:val="center"/>
              <w:rPr>
                <w:rFonts w:eastAsia="华文细黑"/>
                <w:color w:val="000000"/>
                <w:sz w:val="20"/>
              </w:rPr>
            </w:pPr>
          </w:p>
        </w:tc>
        <w:tc>
          <w:tcPr>
            <w:tcW w:w="330" w:type="dxa"/>
            <w:noWrap w:val="0"/>
            <w:vAlign w:val="bottom"/>
          </w:tcPr>
          <w:p>
            <w:pPr>
              <w:autoSpaceDN w:val="0"/>
              <w:jc w:val="right"/>
              <w:textAlignment w:val="bottom"/>
              <w:rPr>
                <w:rFonts w:eastAsia="宋体"/>
                <w:color w:val="000000"/>
                <w:sz w:val="20"/>
              </w:rPr>
            </w:pPr>
          </w:p>
        </w:tc>
        <w:tc>
          <w:tcPr>
            <w:tcW w:w="1185" w:type="dxa"/>
            <w:gridSpan w:val="5"/>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gridAfter w:val="1"/>
          <w:wAfter w:w="64" w:type="dxa"/>
          <w:trHeight w:val="517" w:hRule="atLeast"/>
          <w:jc w:val="center"/>
        </w:trPr>
        <w:tc>
          <w:tcPr>
            <w:tcW w:w="138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单位名称</w:t>
            </w:r>
          </w:p>
        </w:tc>
        <w:tc>
          <w:tcPr>
            <w:tcW w:w="82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280"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24" w:type="dxa"/>
            <w:gridSpan w:val="8"/>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gridAfter w:val="1"/>
          <w:wAfter w:w="64" w:type="dxa"/>
          <w:trHeight w:val="517" w:hRule="atLeast"/>
          <w:jc w:val="center"/>
        </w:trPr>
        <w:tc>
          <w:tcPr>
            <w:tcW w:w="138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57"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3"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82"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568"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37"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84" w:type="dxa"/>
            <w:gridSpan w:val="4"/>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70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gridAfter w:val="1"/>
          <w:wAfter w:w="64" w:type="dxa"/>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5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7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27"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82"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24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37"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79"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6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6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6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辽源市统计局普查中心</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316.73</w:t>
            </w: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271.73</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271.73</w:t>
            </w:r>
          </w:p>
        </w:tc>
        <w:tc>
          <w:tcPr>
            <w:tcW w:w="3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45.00</w:t>
            </w:r>
          </w:p>
        </w:tc>
        <w:tc>
          <w:tcPr>
            <w:tcW w:w="7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45.00</w:t>
            </w:r>
          </w:p>
        </w:tc>
        <w:tc>
          <w:tcPr>
            <w:tcW w:w="37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6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6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64" w:type="dxa"/>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7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7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gridAfter w:val="1"/>
          <w:wAfter w:w="64" w:type="dxa"/>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316.73</w:t>
            </w:r>
          </w:p>
        </w:tc>
        <w:tc>
          <w:tcPr>
            <w:tcW w:w="85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271.73</w:t>
            </w:r>
          </w:p>
        </w:tc>
        <w:tc>
          <w:tcPr>
            <w:tcW w:w="7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271.73</w:t>
            </w:r>
          </w:p>
        </w:tc>
        <w:tc>
          <w:tcPr>
            <w:tcW w:w="327"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82"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3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2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737"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45.00</w:t>
            </w:r>
          </w:p>
        </w:tc>
        <w:tc>
          <w:tcPr>
            <w:tcW w:w="7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lang w:val="en-US" w:eastAsia="zh-CN"/>
              </w:rPr>
              <w:t>45.00</w:t>
            </w:r>
          </w:p>
        </w:tc>
        <w:tc>
          <w:tcPr>
            <w:tcW w:w="37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p>
        </w:tc>
        <w:tc>
          <w:tcPr>
            <w:tcW w:w="3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hAnsi="楷体" w:eastAsia="楷体"/>
        </w:rPr>
      </w:pPr>
    </w:p>
    <w:p>
      <w:pPr>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0"/>
        <w:gridCol w:w="5"/>
      </w:tblGrid>
      <w:tr>
        <w:tblPrEx>
          <w:tblCellMar>
            <w:top w:w="0" w:type="dxa"/>
            <w:left w:w="108" w:type="dxa"/>
            <w:bottom w:w="0" w:type="dxa"/>
            <w:right w:w="108" w:type="dxa"/>
          </w:tblCellMar>
        </w:tblPrEx>
        <w:trPr>
          <w:gridAfter w:val="1"/>
          <w:wAfter w:w="5" w:type="dxa"/>
          <w:trHeight w:val="90" w:hRule="atLeast"/>
          <w:jc w:val="center"/>
        </w:trPr>
        <w:tc>
          <w:tcPr>
            <w:tcW w:w="10400" w:type="dxa"/>
            <w:gridSpan w:val="2"/>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hint="eastAsia" w:eastAsia="宋体"/>
                      <w:color w:val="000000"/>
                      <w:kern w:val="0"/>
                      <w:sz w:val="20"/>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248.02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248.02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248.02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248.02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248.02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248.02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33.09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33.09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33.09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 xml:space="preserve">事业单位离退休 </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30.35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30.35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hint="eastAsia" w:ascii="宋体" w:hAnsi="宋体" w:eastAsia="宋体" w:cs="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eastAsia="宋体"/>
                      <w:color w:val="000000"/>
                      <w:kern w:val="0"/>
                      <w:sz w:val="20"/>
                    </w:rPr>
                  </w:pPr>
                  <w:r>
                    <w:rPr>
                      <w:rFonts w:hint="eastAsia" w:ascii="宋体" w:hAnsi="宋体" w:eastAsia="宋体" w:cs="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eastAsia="宋体"/>
                      <w:color w:val="000000"/>
                      <w:kern w:val="0"/>
                      <w:sz w:val="20"/>
                    </w:rPr>
                  </w:pPr>
                  <w:r>
                    <w:rPr>
                      <w:rFonts w:hint="eastAsia" w:ascii="宋体" w:hAnsi="宋体" w:eastAsia="宋体" w:cs="宋体"/>
                      <w:color w:val="000000"/>
                      <w:kern w:val="0"/>
                      <w:sz w:val="20"/>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316.73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r>
        <w:tblPrEx>
          <w:tblCellMar>
            <w:top w:w="0" w:type="dxa"/>
            <w:left w:w="108" w:type="dxa"/>
            <w:bottom w:w="0" w:type="dxa"/>
            <w:right w:w="108" w:type="dxa"/>
          </w:tblCellMar>
        </w:tblPrEx>
        <w:trPr>
          <w:gridAfter w:val="1"/>
          <w:wAfter w:w="5" w:type="dxa"/>
          <w:trHeight w:val="90" w:hRule="atLeast"/>
          <w:jc w:val="center"/>
        </w:trPr>
        <w:tc>
          <w:tcPr>
            <w:tcW w:w="10400" w:type="dxa"/>
            <w:gridSpan w:val="2"/>
            <w:tcBorders>
              <w:top w:val="nil"/>
              <w:left w:val="nil"/>
              <w:bottom w:val="nil"/>
              <w:right w:val="nil"/>
            </w:tcBorders>
            <w:noWrap w:val="0"/>
            <w:vAlign w:val="bottom"/>
          </w:tcPr>
          <w:p>
            <w:pPr>
              <w:widowControl/>
              <w:jc w:val="both"/>
              <w:rPr>
                <w:rFonts w:eastAsia="方正小标宋简体"/>
                <w:kern w:val="0"/>
                <w:sz w:val="44"/>
                <w:szCs w:val="44"/>
              </w:rPr>
            </w:pPr>
          </w:p>
        </w:tc>
      </w:tr>
      <w:tr>
        <w:tblPrEx>
          <w:tblCellMar>
            <w:top w:w="0" w:type="dxa"/>
            <w:left w:w="108" w:type="dxa"/>
            <w:bottom w:w="0" w:type="dxa"/>
            <w:right w:w="108" w:type="dxa"/>
          </w:tblCellMar>
        </w:tblPrEx>
        <w:trPr>
          <w:gridAfter w:val="2"/>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74"/>
              <w:gridCol w:w="10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4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316.73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271.73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45.00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316.73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271.73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szCs w:val="22"/>
                      <w:lang w:val="en-US" w:eastAsia="zh-CN"/>
                    </w:rPr>
                  </w:pPr>
                  <w:r>
                    <w:rPr>
                      <w:rFonts w:hint="eastAsia" w:eastAsia="宋体"/>
                      <w:kern w:val="0"/>
                      <w:sz w:val="20"/>
                      <w:szCs w:val="22"/>
                      <w:lang w:val="en-US" w:eastAsia="zh-CN"/>
                    </w:rPr>
                    <w:t>45.00</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316.73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271.73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45.00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rPr>
                    <w:t>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248.02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211.38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36.64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（二）</w:t>
                  </w:r>
                  <w:r>
                    <w:rPr>
                      <w:rFonts w:hint="eastAsia" w:eastAsia="宋体"/>
                      <w:color w:val="000000"/>
                      <w:sz w:val="20"/>
                    </w:rPr>
                    <w:t>社会保障</w:t>
                  </w:r>
                  <w:r>
                    <w:rPr>
                      <w:rFonts w:eastAsia="宋体"/>
                      <w:color w:val="000000"/>
                      <w:sz w:val="20"/>
                    </w:rPr>
                    <w:t>和就业支出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33.09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29.04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4.05</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（三）</w:t>
                  </w:r>
                  <w:r>
                    <w:rPr>
                      <w:rFonts w:hint="eastAsia" w:eastAsia="宋体"/>
                      <w:color w:val="000000"/>
                      <w:sz w:val="20"/>
                    </w:rPr>
                    <w:t>卫生健康支出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9.48</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9.48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eastAsia="宋体"/>
                      <w:color w:val="000000"/>
                      <w:kern w:val="0"/>
                      <w:sz w:val="20"/>
                    </w:rPr>
                    <w:t>住房保障支出</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26.14</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21.83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4.31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r>
                    <w:rPr>
                      <w:rFonts w:hint="eastAsia" w:eastAsia="黑体"/>
                      <w:kern w:val="0"/>
                      <w:sz w:val="20"/>
                      <w:lang w:val="en-US" w:eastAsia="zh-CN"/>
                    </w:rPr>
                    <w:t>316.73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271.73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黑体"/>
                      <w:kern w:val="0"/>
                      <w:sz w:val="20"/>
                      <w:lang w:val="en-US" w:eastAsia="zh-CN"/>
                    </w:rPr>
                  </w:pPr>
                  <w:r>
                    <w:rPr>
                      <w:rFonts w:hint="eastAsia" w:eastAsia="黑体"/>
                      <w:kern w:val="0"/>
                      <w:sz w:val="20"/>
                      <w:lang w:val="en-US" w:eastAsia="zh-CN"/>
                    </w:rPr>
                    <w:t>45.00</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r>
                    <w:rPr>
                      <w:rFonts w:hint="eastAsia" w:eastAsia="宋体"/>
                      <w:kern w:val="0"/>
                      <w:sz w:val="20"/>
                      <w:lang w:val="en-US" w:eastAsia="zh-CN"/>
                    </w:rPr>
                    <w:t>316.73</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271.73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lang w:val="en-US" w:eastAsia="zh-CN"/>
                    </w:rPr>
                  </w:pPr>
                  <w:r>
                    <w:rPr>
                      <w:rFonts w:hint="eastAsia" w:eastAsia="宋体"/>
                      <w:kern w:val="0"/>
                      <w:sz w:val="20"/>
                      <w:lang w:val="en-US" w:eastAsia="zh-CN"/>
                    </w:rPr>
                    <w:t>45.00</w:t>
                  </w:r>
                </w:p>
              </w:tc>
            </w:tr>
          </w:tbl>
          <w:p>
            <w:pPr>
              <w:widowControl/>
              <w:rPr>
                <w:rFonts w:eastAsia="方正小标宋简体"/>
                <w:kern w:val="0"/>
                <w:sz w:val="44"/>
                <w:szCs w:val="44"/>
              </w:rPr>
            </w:pPr>
          </w:p>
        </w:tc>
      </w:tr>
      <w:tr>
        <w:tblPrEx>
          <w:tblCellMar>
            <w:top w:w="0" w:type="dxa"/>
            <w:left w:w="108" w:type="dxa"/>
            <w:bottom w:w="0" w:type="dxa"/>
            <w:right w:w="108" w:type="dxa"/>
          </w:tblCellMar>
        </w:tblPrEx>
        <w:trPr>
          <w:trHeight w:val="6081" w:hRule="atLeast"/>
          <w:jc w:val="center"/>
        </w:trPr>
        <w:tc>
          <w:tcPr>
            <w:tcW w:w="10405" w:type="dxa"/>
            <w:gridSpan w:val="3"/>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ascii="宋体" w:hAnsi="宋体" w:eastAsia="宋体" w:cs="Times New Roman"/>
                      <w:color w:val="000000"/>
                      <w:kern w:val="0"/>
                      <w:sz w:val="20"/>
                      <w:lang w:val="en-US" w:eastAsia="zh-CN" w:bidi="ar-SA"/>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32.49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 xml:space="preserve">      </w:t>
                  </w:r>
                  <w:r>
                    <w:rPr>
                      <w:rFonts w:hint="eastAsia" w:ascii="宋体" w:hAnsi="宋体" w:eastAsia="宋体"/>
                      <w:color w:val="000000"/>
                      <w:kern w:val="0"/>
                      <w:sz w:val="20"/>
                    </w:rPr>
                    <w:t>事业</w:t>
                  </w:r>
                  <w:r>
                    <w:rPr>
                      <w:rFonts w:ascii="宋体" w:hAnsi="宋体"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248.02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215.53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32.49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33.09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宋体" w:hAnsi="宋体" w:eastAsia="宋体" w:cs="Times New Roman"/>
                      <w:color w:val="000000"/>
                      <w:kern w:val="0"/>
                      <w:sz w:val="20"/>
                      <w:lang w:val="en-US" w:eastAsia="zh-CN" w:bidi="ar-SA"/>
                    </w:rPr>
                  </w:pPr>
                  <w:r>
                    <w:rPr>
                      <w:rFonts w:hint="eastAsia" w:ascii="宋体" w:hAnsi="宋体" w:eastAsia="宋体"/>
                      <w:color w:val="000000"/>
                      <w:kern w:val="0"/>
                      <w:sz w:val="20"/>
                    </w:rPr>
                    <w:t>事业</w:t>
                  </w:r>
                  <w:r>
                    <w:rPr>
                      <w:rFonts w:ascii="宋体" w:hAnsi="宋体" w:eastAsia="宋体"/>
                      <w:color w:val="000000"/>
                      <w:kern w:val="0"/>
                      <w:sz w:val="20"/>
                    </w:rPr>
                    <w:t>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r>
                    <w:rPr>
                      <w:rFonts w:hint="eastAsia" w:eastAsia="宋体"/>
                      <w:color w:val="000000"/>
                      <w:kern w:val="0"/>
                      <w:sz w:val="20"/>
                      <w:lang w:val="en-US" w:eastAsia="zh-CN"/>
                    </w:rPr>
                    <w:t>30.35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left"/>
                    <w:rPr>
                      <w:rFonts w:ascii="宋体" w:hAnsi="宋体" w:eastAsia="宋体" w:cs="Times New Roman"/>
                      <w:color w:val="000000"/>
                      <w:kern w:val="0"/>
                      <w:sz w:val="20"/>
                      <w:lang w:val="en-US" w:eastAsia="zh-CN" w:bidi="ar-SA"/>
                    </w:rPr>
                  </w:pPr>
                  <w:r>
                    <w:rPr>
                      <w:rFonts w:hint="eastAsia" w:ascii="宋体" w:hAnsi="宋体" w:eastAsia="宋体"/>
                      <w:color w:val="000000"/>
                      <w:kern w:val="0"/>
                      <w:sz w:val="20"/>
                    </w:rPr>
                    <w:t>事业</w:t>
                  </w:r>
                  <w:r>
                    <w:rPr>
                      <w:rFonts w:ascii="宋体" w:hAnsi="宋体" w:eastAsia="宋体"/>
                      <w:color w:val="000000"/>
                      <w:kern w:val="0"/>
                      <w:sz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ascii="宋体" w:hAnsi="宋体" w:eastAsia="宋体" w:cs="Times New Roman"/>
                      <w:color w:val="000000"/>
                      <w:kern w:val="0"/>
                      <w:sz w:val="20"/>
                      <w:lang w:val="en-US" w:eastAsia="zh-CN" w:bidi="ar-SA"/>
                    </w:rPr>
                  </w:pPr>
                  <w:r>
                    <w:rPr>
                      <w:rFonts w:ascii="宋体" w:hAnsi="宋体" w:eastAsia="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300" w:firstLineChars="150"/>
                    <w:rPr>
                      <w:rFonts w:ascii="宋体" w:hAnsi="宋体" w:eastAsia="宋体" w:cs="Times New Roman"/>
                      <w:color w:val="000000"/>
                      <w:kern w:val="0"/>
                      <w:sz w:val="20"/>
                      <w:lang w:val="en-US" w:eastAsia="zh-CN" w:bidi="ar-SA"/>
                    </w:rPr>
                  </w:pPr>
                  <w:r>
                    <w:rPr>
                      <w:rFonts w:ascii="宋体" w:hAnsi="宋体"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rPr>
                      <w:rFonts w:ascii="宋体" w:hAnsi="宋体" w:eastAsia="宋体" w:cs="Times New Roman"/>
                      <w:color w:val="000000"/>
                      <w:kern w:val="0"/>
                      <w:sz w:val="20"/>
                      <w:lang w:val="en-US" w:eastAsia="zh-CN" w:bidi="ar-SA"/>
                    </w:rPr>
                  </w:pPr>
                  <w:r>
                    <w:rPr>
                      <w:rFonts w:ascii="宋体" w:hAnsi="宋体"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ascii="宋体" w:hAnsi="宋体" w:eastAsia="宋体" w:cs="Times New Roman"/>
                      <w:color w:val="000000"/>
                      <w:kern w:val="0"/>
                      <w:sz w:val="20"/>
                      <w:lang w:val="en-US" w:eastAsia="zh-CN" w:bidi="ar-SA"/>
                    </w:rPr>
                  </w:pPr>
                  <w:r>
                    <w:rPr>
                      <w:rFonts w:ascii="宋体" w:hAnsi="宋体" w:eastAsia="宋体"/>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284.24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32.49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278.62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278.62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103.85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103.85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0.53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0.53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33.51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33.51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绩效</w:t>
            </w:r>
            <w:r>
              <w:rPr>
                <w:rFonts w:eastAsia="宋体"/>
                <w:color w:val="000000"/>
                <w:sz w:val="20"/>
              </w:rPr>
              <w:t>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64.49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64.49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30.35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30.35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2.89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9.19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1"/>
                <w:szCs w:val="21"/>
                <w:lang w:val="en-US" w:eastAsia="zh-CN"/>
              </w:rPr>
            </w:pPr>
            <w:r>
              <w:rPr>
                <w:rFonts w:hint="eastAsia"/>
                <w:sz w:val="21"/>
                <w:szCs w:val="21"/>
                <w:lang w:val="en-US" w:eastAsia="zh-CN"/>
              </w:rPr>
              <w:t>9.19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5.43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5.43</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26.14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26.14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2.24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2.24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32.49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32.49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7.00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7.00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lang w:eastAsia="zh-CN"/>
              </w:rPr>
            </w:pPr>
            <w:r>
              <w:rPr>
                <w:rFonts w:hint="eastAsia" w:eastAsia="宋体"/>
                <w:color w:val="000000"/>
                <w:kern w:val="0"/>
                <w:sz w:val="20"/>
                <w:lang w:eastAsia="zh-CN"/>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0.05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0.05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0.50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0.50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3.14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3.14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1.94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1.94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2.44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劳务</w:t>
            </w:r>
            <w:r>
              <w:rPr>
                <w:rFonts w:eastAsia="宋体"/>
                <w:color w:val="000000"/>
                <w:kern w:val="0"/>
                <w:sz w:val="20"/>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7.50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7.50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2.87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2.87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5.81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5.81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0.24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1"/>
                <w:szCs w:val="21"/>
                <w:lang w:val="en-US" w:eastAsia="zh-CN" w:bidi="ar-SA"/>
              </w:rPr>
            </w:pPr>
            <w:r>
              <w:rPr>
                <w:rFonts w:hint="eastAsia" w:eastAsia="宋体"/>
                <w:kern w:val="0"/>
                <w:sz w:val="21"/>
                <w:szCs w:val="21"/>
                <w:lang w:val="en-US" w:eastAsia="zh-CN"/>
              </w:rPr>
              <w:t>0.24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5.62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5.62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2.74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2.74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2.88</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2.88</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1"/>
                <w:szCs w:val="21"/>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1"/>
                <w:szCs w:val="21"/>
                <w:lang w:val="en-US" w:eastAsia="zh-CN"/>
              </w:rPr>
            </w:pPr>
            <w:r>
              <w:rPr>
                <w:rFonts w:hint="eastAsia" w:eastAsia="宋体"/>
                <w:kern w:val="0"/>
                <w:sz w:val="21"/>
                <w:szCs w:val="21"/>
                <w:lang w:val="en-US" w:eastAsia="zh-CN"/>
              </w:rPr>
              <w:t>316.73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284.24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1"/>
                <w:szCs w:val="21"/>
                <w:lang w:val="en-US" w:eastAsia="zh-CN"/>
              </w:rPr>
            </w:pPr>
            <w:r>
              <w:rPr>
                <w:rFonts w:hint="eastAsia"/>
                <w:sz w:val="21"/>
                <w:szCs w:val="21"/>
                <w:lang w:val="en-US" w:eastAsia="zh-CN"/>
              </w:rPr>
              <w:t>32.49</w:t>
            </w:r>
          </w:p>
        </w:tc>
      </w:tr>
    </w:tbl>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ind w:firstLine="400" w:firstLineChars="200"/>
              <w:jc w:val="both"/>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说明：</w:t>
            </w:r>
          </w:p>
          <w:p>
            <w:pPr>
              <w:widowControl/>
              <w:numPr>
                <w:ilvl w:val="0"/>
                <w:numId w:val="0"/>
              </w:numPr>
              <w:ind w:firstLine="800" w:firstLineChars="40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1、“2024年预算数”的单位范围包括本单位1个预算单位。</w:t>
            </w:r>
            <w:bookmarkStart w:id="0" w:name="_GoBack"/>
            <w:bookmarkEnd w:id="0"/>
          </w:p>
          <w:p>
            <w:pPr>
              <w:widowControl/>
              <w:ind w:firstLine="800" w:firstLineChars="400"/>
              <w:jc w:val="both"/>
              <w:rPr>
                <w:rFonts w:hint="eastAsia" w:eastAsia="仿宋_GB2312"/>
                <w:color w:val="000000"/>
                <w:kern w:val="0"/>
                <w:sz w:val="28"/>
                <w:szCs w:val="28"/>
                <w:lang w:val="en-US" w:eastAsia="zh-CN"/>
              </w:rPr>
            </w:pPr>
            <w:r>
              <w:rPr>
                <w:rFonts w:hint="eastAsia" w:ascii="宋体" w:hAnsi="宋体" w:eastAsia="宋体" w:cs="宋体"/>
                <w:color w:val="000000"/>
                <w:kern w:val="0"/>
                <w:sz w:val="20"/>
                <w:szCs w:val="20"/>
                <w:lang w:val="en-US" w:eastAsia="zh-CN"/>
              </w:rPr>
              <w:t>2、“2024年预算数”的实有人员28人，其中：在职人员24人，离退休人员4人。</w:t>
            </w:r>
          </w:p>
        </w:tc>
      </w:tr>
    </w:tbl>
    <w:p>
      <w:pPr>
        <w:ind w:firstLine="640" w:firstLineChars="200"/>
        <w:rPr>
          <w:rFonts w:hAnsi="楷体" w:eastAsia="楷体"/>
        </w:rPr>
      </w:pPr>
    </w:p>
    <w:p>
      <w:pPr>
        <w:ind w:firstLine="640" w:firstLineChars="200"/>
        <w:rPr>
          <w:rFonts w:hAnsi="楷体" w:eastAsia="楷体"/>
        </w:rPr>
      </w:pPr>
    </w:p>
    <w:p>
      <w:pPr>
        <w:ind w:firstLine="640" w:firstLineChars="200"/>
        <w:rPr>
          <w:rFonts w:eastAsia="楷体"/>
          <w:kern w:val="0"/>
          <w:szCs w:val="32"/>
        </w:rPr>
      </w:pPr>
      <w:r>
        <w:rPr>
          <w:rFonts w:eastAsia="楷体"/>
          <w:kern w:val="0"/>
          <w:szCs w:val="32"/>
        </w:rPr>
        <w:t xml:space="preserve">    </w:t>
      </w:r>
    </w:p>
    <w:p>
      <w:pPr>
        <w:ind w:firstLine="640" w:firstLineChars="200"/>
        <w:rPr>
          <w:rFonts w:eastAsia="楷体"/>
          <w:kern w:val="0"/>
          <w:szCs w:val="32"/>
        </w:rPr>
      </w:pPr>
    </w:p>
    <w:p>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ind w:firstLine="640" w:firstLineChars="200"/>
        <w:rPr>
          <w:rFonts w:eastAsia="楷体"/>
          <w:kern w:val="0"/>
          <w:szCs w:val="32"/>
        </w:rPr>
      </w:pPr>
    </w:p>
    <w:p>
      <w:pPr>
        <w:spacing w:line="700" w:lineRule="exact"/>
        <w:jc w:val="center"/>
        <w:rPr>
          <w:rFonts w:eastAsia="楷体"/>
          <w:kern w:val="0"/>
          <w:szCs w:val="32"/>
        </w:rPr>
      </w:pPr>
    </w:p>
    <w:p>
      <w:pPr>
        <w:spacing w:line="700" w:lineRule="exact"/>
        <w:jc w:val="center"/>
        <w:rPr>
          <w:rFonts w:eastAsia="楷体"/>
          <w:kern w:val="0"/>
          <w:szCs w:val="32"/>
        </w:rPr>
      </w:pPr>
    </w:p>
    <w:p>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625"/>
        <w:gridCol w:w="540"/>
        <w:gridCol w:w="527"/>
        <w:gridCol w:w="527"/>
        <w:gridCol w:w="528"/>
        <w:gridCol w:w="552"/>
        <w:gridCol w:w="540"/>
        <w:gridCol w:w="468"/>
        <w:gridCol w:w="552"/>
        <w:gridCol w:w="504"/>
        <w:gridCol w:w="68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625"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54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0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625"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540"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674"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758"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80"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827"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625"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582"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55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40"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524"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234"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pPr>
              <w:autoSpaceDN w:val="0"/>
              <w:jc w:val="center"/>
              <w:textAlignment w:val="center"/>
              <w:rPr>
                <w:rFonts w:ascii="Calibri" w:hAnsi="Calibri" w:eastAsia="华文细黑"/>
                <w:color w:val="000000"/>
                <w:sz w:val="20"/>
                <w:szCs w:val="22"/>
              </w:rPr>
            </w:pPr>
          </w:p>
        </w:tc>
        <w:tc>
          <w:tcPr>
            <w:tcW w:w="780" w:type="dxa"/>
            <w:vMerge w:val="continue"/>
            <w:noWrap w:val="0"/>
            <w:vAlign w:val="center"/>
          </w:tcPr>
          <w:p>
            <w:pPr>
              <w:autoSpaceDN w:val="0"/>
              <w:jc w:val="center"/>
              <w:textAlignment w:val="center"/>
              <w:rPr>
                <w:rFonts w:ascii="Calibri" w:hAnsi="Calibri" w:eastAsia="华文细黑"/>
                <w:color w:val="000000"/>
                <w:sz w:val="20"/>
                <w:szCs w:val="22"/>
              </w:rPr>
            </w:pPr>
          </w:p>
        </w:tc>
        <w:tc>
          <w:tcPr>
            <w:tcW w:w="827"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625" w:type="dxa"/>
            <w:vMerge w:val="continue"/>
            <w:noWrap w:val="0"/>
            <w:vAlign w:val="center"/>
          </w:tcPr>
          <w:p>
            <w:pPr>
              <w:autoSpaceDN w:val="0"/>
              <w:jc w:val="center"/>
              <w:textAlignment w:val="center"/>
              <w:rPr>
                <w:rFonts w:ascii="Calibri" w:hAnsi="Calibri" w:eastAsia="华文细黑"/>
                <w:color w:val="000000"/>
                <w:sz w:val="20"/>
                <w:szCs w:val="22"/>
              </w:rPr>
            </w:pPr>
          </w:p>
        </w:tc>
        <w:tc>
          <w:tcPr>
            <w:tcW w:w="540" w:type="dxa"/>
            <w:vMerge w:val="continue"/>
            <w:noWrap w:val="0"/>
            <w:vAlign w:val="center"/>
          </w:tcPr>
          <w:p>
            <w:pPr>
              <w:autoSpaceDN w:val="0"/>
              <w:jc w:val="center"/>
              <w:textAlignment w:val="center"/>
              <w:rPr>
                <w:rFonts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2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52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55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540"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468"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52"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04"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680"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554"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spacing w:line="700" w:lineRule="exact"/>
              <w:jc w:val="center"/>
              <w:rPr>
                <w:rFonts w:ascii="Calibri" w:hAnsi="Calibri" w:eastAsia="楷体"/>
                <w:kern w:val="0"/>
                <w:szCs w:val="32"/>
              </w:rPr>
            </w:pPr>
          </w:p>
        </w:tc>
        <w:tc>
          <w:tcPr>
            <w:tcW w:w="780" w:type="dxa"/>
            <w:noWrap w:val="0"/>
            <w:vAlign w:val="center"/>
          </w:tcPr>
          <w:p>
            <w:pPr>
              <w:spacing w:line="700" w:lineRule="exact"/>
              <w:jc w:val="center"/>
              <w:rPr>
                <w:rFonts w:ascii="Calibri" w:hAnsi="Calibri" w:eastAsia="楷体"/>
                <w:kern w:val="0"/>
                <w:szCs w:val="3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pPr>
              <w:autoSpaceDN w:val="0"/>
              <w:jc w:val="center"/>
              <w:textAlignment w:val="center"/>
              <w:rPr>
                <w:rFonts w:ascii="Calibri" w:hAnsi="Calibri" w:eastAsia="华文细黑"/>
                <w:color w:val="000000"/>
                <w:sz w:val="20"/>
                <w:szCs w:val="22"/>
              </w:rPr>
            </w:pPr>
          </w:p>
        </w:tc>
        <w:tc>
          <w:tcPr>
            <w:tcW w:w="827" w:type="dxa"/>
            <w:gridSpan w:val="2"/>
            <w:noWrap w:val="0"/>
            <w:vAlign w:val="center"/>
          </w:tcPr>
          <w:p>
            <w:pPr>
              <w:spacing w:line="700" w:lineRule="exact"/>
              <w:jc w:val="center"/>
              <w:rPr>
                <w:rFonts w:ascii="Calibri" w:hAnsi="Calibri" w:eastAsia="楷体"/>
                <w:kern w:val="0"/>
                <w:szCs w:val="32"/>
              </w:rPr>
            </w:pPr>
          </w:p>
        </w:tc>
        <w:tc>
          <w:tcPr>
            <w:tcW w:w="625"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52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40" w:type="dxa"/>
            <w:noWrap w:val="0"/>
            <w:vAlign w:val="center"/>
          </w:tcPr>
          <w:p>
            <w:pPr>
              <w:spacing w:line="700" w:lineRule="exact"/>
              <w:jc w:val="center"/>
              <w:rPr>
                <w:rFonts w:ascii="Calibri" w:hAnsi="Calibri" w:eastAsia="楷体"/>
                <w:kern w:val="0"/>
                <w:szCs w:val="32"/>
              </w:rPr>
            </w:pPr>
          </w:p>
        </w:tc>
        <w:tc>
          <w:tcPr>
            <w:tcW w:w="468" w:type="dxa"/>
            <w:noWrap w:val="0"/>
            <w:vAlign w:val="center"/>
          </w:tcPr>
          <w:p>
            <w:pPr>
              <w:spacing w:line="700" w:lineRule="exact"/>
              <w:jc w:val="center"/>
              <w:rPr>
                <w:rFonts w:ascii="Calibri" w:hAnsi="Calibri" w:eastAsia="楷体"/>
                <w:kern w:val="0"/>
                <w:szCs w:val="32"/>
              </w:rPr>
            </w:pPr>
          </w:p>
        </w:tc>
        <w:tc>
          <w:tcPr>
            <w:tcW w:w="552" w:type="dxa"/>
            <w:noWrap w:val="0"/>
            <w:vAlign w:val="center"/>
          </w:tcPr>
          <w:p>
            <w:pPr>
              <w:spacing w:line="700" w:lineRule="exact"/>
              <w:jc w:val="center"/>
              <w:rPr>
                <w:rFonts w:ascii="Calibri" w:hAnsi="Calibri" w:eastAsia="楷体"/>
                <w:kern w:val="0"/>
                <w:szCs w:val="32"/>
              </w:rPr>
            </w:pPr>
          </w:p>
        </w:tc>
        <w:tc>
          <w:tcPr>
            <w:tcW w:w="504" w:type="dxa"/>
            <w:noWrap w:val="0"/>
            <w:vAlign w:val="center"/>
          </w:tcPr>
          <w:p>
            <w:pPr>
              <w:spacing w:line="700" w:lineRule="exact"/>
              <w:jc w:val="center"/>
              <w:rPr>
                <w:rFonts w:ascii="Calibri" w:hAnsi="Calibri" w:eastAsia="楷体"/>
                <w:kern w:val="0"/>
                <w:szCs w:val="32"/>
              </w:rPr>
            </w:pPr>
          </w:p>
        </w:tc>
        <w:tc>
          <w:tcPr>
            <w:tcW w:w="680"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r>
    </w:tbl>
    <w:p>
      <w:pPr>
        <w:ind w:firstLine="640" w:firstLineChars="200"/>
        <w:rPr>
          <w:rFonts w:hAnsi="楷体" w:eastAsia="楷体"/>
        </w:rPr>
      </w:pPr>
    </w:p>
    <w:p>
      <w:pPr>
        <w:ind w:firstLine="640" w:firstLineChars="200"/>
        <w:rPr>
          <w:rFonts w:hAnsi="楷体" w:eastAsia="楷体"/>
        </w:rPr>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ind w:firstLine="640" w:firstLineChars="200"/>
        <w:rPr>
          <w:rFonts w:eastAsia="楷体"/>
          <w:kern w:val="0"/>
          <w:szCs w:val="32"/>
        </w:rPr>
      </w:pPr>
    </w:p>
    <w:p>
      <w:pPr>
        <w:ind w:firstLine="640" w:firstLineChars="200"/>
        <w:rPr>
          <w:rFonts w:hAnsi="楷体" w:eastAsia="楷体"/>
        </w:rPr>
      </w:pPr>
    </w:p>
    <w:p>
      <w:pPr>
        <w:ind w:firstLine="640" w:firstLineChars="200"/>
        <w:rPr>
          <w:rFonts w:hAnsi="楷体" w:eastAsia="楷体"/>
        </w:rPr>
      </w:pPr>
    </w:p>
    <w:p>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pPr>
              <w:spacing w:line="240" w:lineRule="auto"/>
              <w:jc w:val="center"/>
              <w:rPr>
                <w:rFonts w:hint="eastAsia" w:ascii="华文细黑" w:hAnsi="华文细黑" w:eastAsia="华文细黑" w:cs="华文细黑"/>
                <w:kern w:val="0"/>
                <w:sz w:val="20"/>
                <w:szCs w:val="20"/>
                <w:vertAlign w:val="baseline"/>
              </w:rPr>
            </w:pPr>
          </w:p>
        </w:tc>
      </w:tr>
    </w:tbl>
    <w:p>
      <w:pPr>
        <w:spacing w:line="700" w:lineRule="exact"/>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hint="eastAsia" w:ascii="楷体" w:hAnsi="楷体" w:eastAsia="楷体" w:cs="楷体"/>
          <w:kern w:val="0"/>
          <w:szCs w:val="32"/>
        </w:rPr>
      </w:pP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jc w:val="left"/>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w:t>
      </w:r>
      <w:r>
        <w:rPr>
          <w:rFonts w:hint="eastAsia"/>
          <w:szCs w:val="32"/>
        </w:rPr>
        <w:t>结余</w:t>
      </w:r>
      <w:r>
        <w:rPr>
          <w:szCs w:val="32"/>
        </w:rPr>
        <w:t>；支出包括：一般公共服务支出、社会保障和就业支出、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316.73</w:t>
      </w:r>
      <w:r>
        <w:rPr>
          <w:szCs w:val="32"/>
        </w:rPr>
        <w:t>万元</w:t>
      </w:r>
      <w:r>
        <w:rPr>
          <w:rFonts w:hint="eastAsia"/>
          <w:szCs w:val="32"/>
          <w:lang w:eastAsia="zh-CN"/>
        </w:rPr>
        <w:t>，其中：本年预算</w:t>
      </w:r>
      <w:r>
        <w:rPr>
          <w:rFonts w:hint="eastAsia"/>
          <w:szCs w:val="32"/>
          <w:lang w:val="en-US" w:eastAsia="zh-CN"/>
        </w:rPr>
        <w:t>271.73</w:t>
      </w:r>
      <w:r>
        <w:rPr>
          <w:rFonts w:hint="eastAsia"/>
          <w:szCs w:val="32"/>
          <w:lang w:eastAsia="zh-CN"/>
        </w:rPr>
        <w:t>万元；上年结转</w:t>
      </w:r>
      <w:r>
        <w:rPr>
          <w:rFonts w:hint="eastAsia"/>
          <w:szCs w:val="32"/>
          <w:lang w:val="en-US" w:eastAsia="zh-CN"/>
        </w:rPr>
        <w:t>45.00</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预算增加</w:t>
      </w:r>
      <w:r>
        <w:rPr>
          <w:rFonts w:hint="eastAsia"/>
          <w:szCs w:val="32"/>
          <w:lang w:val="en-US" w:eastAsia="zh-CN"/>
        </w:rPr>
        <w:t>10.32</w:t>
      </w:r>
      <w:r>
        <w:rPr>
          <w:szCs w:val="32"/>
        </w:rPr>
        <w:t>万元，主要原因是</w:t>
      </w:r>
      <w:r>
        <w:rPr>
          <w:rFonts w:hint="eastAsia"/>
          <w:szCs w:val="32"/>
          <w:lang w:eastAsia="zh-CN"/>
        </w:rPr>
        <w:t>本年度人员经费预算增多</w:t>
      </w:r>
      <w:r>
        <w:rPr>
          <w:szCs w:val="32"/>
        </w:rPr>
        <w:t>。</w:t>
      </w:r>
    </w:p>
    <w:p>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316.73</w:t>
      </w:r>
      <w:r>
        <w:rPr>
          <w:szCs w:val="32"/>
        </w:rPr>
        <w:t>万元，其中：本年收入</w:t>
      </w:r>
      <w:r>
        <w:rPr>
          <w:rFonts w:hint="eastAsia"/>
          <w:szCs w:val="32"/>
          <w:lang w:val="en-US" w:eastAsia="zh-CN"/>
        </w:rPr>
        <w:t>271.73</w:t>
      </w:r>
      <w:r>
        <w:rPr>
          <w:szCs w:val="32"/>
        </w:rPr>
        <w:t>万元，占</w:t>
      </w:r>
      <w:r>
        <w:rPr>
          <w:rFonts w:hint="eastAsia"/>
          <w:szCs w:val="32"/>
          <w:lang w:val="en-US" w:eastAsia="zh-CN"/>
        </w:rPr>
        <w:t>85.79</w:t>
      </w:r>
      <w:r>
        <w:rPr>
          <w:szCs w:val="32"/>
        </w:rPr>
        <w:t>%；上年结转</w:t>
      </w:r>
      <w:r>
        <w:rPr>
          <w:rFonts w:hint="eastAsia"/>
          <w:szCs w:val="32"/>
          <w:lang w:val="en-US" w:eastAsia="zh-CN"/>
        </w:rPr>
        <w:t>45.00</w:t>
      </w:r>
      <w:r>
        <w:rPr>
          <w:szCs w:val="32"/>
        </w:rPr>
        <w:t>万元，占</w:t>
      </w:r>
      <w:r>
        <w:rPr>
          <w:rFonts w:hint="eastAsia"/>
          <w:szCs w:val="32"/>
          <w:lang w:val="en-US" w:eastAsia="zh-CN"/>
        </w:rPr>
        <w:t>14.21</w:t>
      </w:r>
      <w:r>
        <w:rPr>
          <w:szCs w:val="32"/>
        </w:rPr>
        <w:t>%。本年收入中，一般公共预算拨款收入</w:t>
      </w:r>
      <w:r>
        <w:rPr>
          <w:rFonts w:hint="eastAsia"/>
          <w:szCs w:val="32"/>
          <w:lang w:val="en-US" w:eastAsia="zh-CN"/>
        </w:rPr>
        <w:t>271.73</w:t>
      </w:r>
      <w:r>
        <w:rPr>
          <w:szCs w:val="32"/>
        </w:rPr>
        <w:t>万元，占</w:t>
      </w:r>
      <w:r>
        <w:rPr>
          <w:rFonts w:hint="eastAsia"/>
          <w:szCs w:val="32"/>
          <w:lang w:val="en-US" w:eastAsia="zh-CN"/>
        </w:rPr>
        <w:t>100.0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45.00</w:t>
      </w:r>
      <w:r>
        <w:rPr>
          <w:szCs w:val="32"/>
        </w:rPr>
        <w:t>万元，占</w:t>
      </w:r>
      <w:r>
        <w:rPr>
          <w:rFonts w:hint="eastAsia"/>
          <w:szCs w:val="32"/>
          <w:lang w:val="en-US" w:eastAsia="zh-CN"/>
        </w:rPr>
        <w:t>100.0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316.73</w:t>
      </w:r>
      <w:r>
        <w:rPr>
          <w:szCs w:val="32"/>
        </w:rPr>
        <w:t>万元，其中：基本支出</w:t>
      </w:r>
      <w:r>
        <w:rPr>
          <w:rFonts w:hint="eastAsia"/>
          <w:szCs w:val="32"/>
          <w:lang w:val="en-US" w:eastAsia="zh-CN"/>
        </w:rPr>
        <w:t>316.73</w:t>
      </w:r>
      <w:r>
        <w:rPr>
          <w:szCs w:val="32"/>
        </w:rPr>
        <w:t>万元，占</w:t>
      </w:r>
      <w:r>
        <w:rPr>
          <w:rFonts w:hint="eastAsia"/>
          <w:szCs w:val="32"/>
          <w:lang w:val="en-US" w:eastAsia="zh-CN"/>
        </w:rPr>
        <w:t>100.0</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316.73</w:t>
      </w:r>
      <w:r>
        <w:rPr>
          <w:szCs w:val="32"/>
        </w:rPr>
        <w:t>万元，其中：</w:t>
      </w:r>
      <w:r>
        <w:rPr>
          <w:rFonts w:hint="eastAsia"/>
          <w:szCs w:val="32"/>
        </w:rPr>
        <w:t>本年</w:t>
      </w:r>
      <w:r>
        <w:rPr>
          <w:rFonts w:hint="eastAsia"/>
          <w:szCs w:val="32"/>
          <w:lang w:eastAsia="zh-CN"/>
        </w:rPr>
        <w:t>预算</w:t>
      </w:r>
      <w:r>
        <w:rPr>
          <w:rFonts w:hint="eastAsia"/>
          <w:szCs w:val="32"/>
          <w:lang w:val="en-US" w:eastAsia="zh-CN"/>
        </w:rPr>
        <w:t>271.73</w:t>
      </w:r>
      <w:r>
        <w:rPr>
          <w:szCs w:val="32"/>
        </w:rPr>
        <w:t>万元</w:t>
      </w:r>
      <w:r>
        <w:rPr>
          <w:rFonts w:hint="eastAsia"/>
          <w:szCs w:val="32"/>
        </w:rPr>
        <w:t>，上年结转</w:t>
      </w:r>
      <w:r>
        <w:rPr>
          <w:rFonts w:hint="eastAsia"/>
          <w:szCs w:val="32"/>
          <w:lang w:val="en-US" w:eastAsia="zh-CN"/>
        </w:rPr>
        <w:t>45.00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248.02</w:t>
      </w:r>
      <w:r>
        <w:rPr>
          <w:szCs w:val="32"/>
        </w:rPr>
        <w:t>万元，</w:t>
      </w:r>
      <w:r>
        <w:rPr>
          <w:kern w:val="0"/>
          <w:szCs w:val="32"/>
        </w:rPr>
        <w:t>社会保障和就业支出</w:t>
      </w:r>
      <w:r>
        <w:rPr>
          <w:rFonts w:hint="eastAsia"/>
          <w:szCs w:val="32"/>
          <w:lang w:val="en-US" w:eastAsia="zh-CN"/>
        </w:rPr>
        <w:t>33.09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9.48</w:t>
      </w:r>
      <w:r>
        <w:rPr>
          <w:szCs w:val="32"/>
        </w:rPr>
        <w:t>万元，</w:t>
      </w:r>
      <w:r>
        <w:rPr>
          <w:kern w:val="0"/>
          <w:szCs w:val="32"/>
        </w:rPr>
        <w:t>住房保障支出</w:t>
      </w:r>
      <w:r>
        <w:rPr>
          <w:rFonts w:hint="eastAsia"/>
          <w:szCs w:val="32"/>
          <w:lang w:val="en-US" w:eastAsia="zh-CN"/>
        </w:rPr>
        <w:t>26.14</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316.73</w:t>
      </w:r>
      <w:r>
        <w:rPr>
          <w:szCs w:val="32"/>
        </w:rPr>
        <w:t>万元，其中：基本支出</w:t>
      </w:r>
      <w:r>
        <w:rPr>
          <w:rFonts w:hint="eastAsia"/>
          <w:szCs w:val="32"/>
          <w:lang w:val="en-US" w:eastAsia="zh-CN"/>
        </w:rPr>
        <w:t>316.73</w:t>
      </w:r>
      <w:r>
        <w:rPr>
          <w:szCs w:val="32"/>
        </w:rPr>
        <w:t>万元，占</w:t>
      </w:r>
      <w:r>
        <w:rPr>
          <w:rFonts w:hint="eastAsia"/>
          <w:szCs w:val="32"/>
          <w:lang w:val="en-US" w:eastAsia="zh-CN"/>
        </w:rPr>
        <w:t>100.0</w:t>
      </w:r>
      <w:r>
        <w:rPr>
          <w:szCs w:val="32"/>
        </w:rPr>
        <w:t>%。基本支出中，人员经费</w:t>
      </w:r>
      <w:r>
        <w:rPr>
          <w:rFonts w:hint="eastAsia"/>
          <w:szCs w:val="32"/>
          <w:lang w:val="en-US" w:eastAsia="zh-CN"/>
        </w:rPr>
        <w:t>284.24</w:t>
      </w:r>
      <w:r>
        <w:rPr>
          <w:szCs w:val="32"/>
        </w:rPr>
        <w:t>万元，占</w:t>
      </w:r>
      <w:r>
        <w:rPr>
          <w:rFonts w:hint="eastAsia"/>
          <w:szCs w:val="32"/>
          <w:lang w:val="en-US" w:eastAsia="zh-CN"/>
        </w:rPr>
        <w:t>89.74</w:t>
      </w:r>
      <w:r>
        <w:rPr>
          <w:szCs w:val="32"/>
        </w:rPr>
        <w:t>%；公用经费</w:t>
      </w:r>
      <w:r>
        <w:rPr>
          <w:rFonts w:hint="eastAsia"/>
          <w:szCs w:val="32"/>
          <w:lang w:val="en-US" w:eastAsia="zh-CN"/>
        </w:rPr>
        <w:t>32.49</w:t>
      </w:r>
      <w:r>
        <w:rPr>
          <w:szCs w:val="32"/>
        </w:rPr>
        <w:t>万元，占</w:t>
      </w:r>
      <w:r>
        <w:rPr>
          <w:rFonts w:hint="eastAsia"/>
          <w:szCs w:val="32"/>
          <w:lang w:val="en-US" w:eastAsia="zh-CN"/>
        </w:rPr>
        <w:t>10.26</w:t>
      </w:r>
      <w:r>
        <w:rPr>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Cs w:val="32"/>
        </w:rPr>
      </w:pPr>
      <w:r>
        <w:rPr>
          <w:szCs w:val="32"/>
        </w:rPr>
        <w:t>一般公共服务（类）支出</w:t>
      </w:r>
      <w:r>
        <w:rPr>
          <w:rFonts w:hint="eastAsia"/>
          <w:szCs w:val="32"/>
          <w:lang w:val="en-US" w:eastAsia="zh-CN"/>
        </w:rPr>
        <w:t>248.02</w:t>
      </w:r>
      <w:r>
        <w:rPr>
          <w:szCs w:val="32"/>
        </w:rPr>
        <w:t>万元，占</w:t>
      </w:r>
      <w:r>
        <w:rPr>
          <w:rFonts w:hint="eastAsia"/>
          <w:szCs w:val="32"/>
          <w:lang w:val="en-US" w:eastAsia="zh-CN"/>
        </w:rPr>
        <w:t>78.31</w:t>
      </w:r>
      <w:r>
        <w:rPr>
          <w:szCs w:val="32"/>
        </w:rPr>
        <w:t>%，主要用于</w:t>
      </w:r>
      <w:r>
        <w:rPr>
          <w:rFonts w:hint="eastAsia"/>
          <w:szCs w:val="32"/>
        </w:rPr>
        <w:t>单位机关正常运转和人员工资发放及统计工作项目支出</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33.09</w:t>
      </w:r>
      <w:r>
        <w:rPr>
          <w:szCs w:val="32"/>
        </w:rPr>
        <w:t>万元，占</w:t>
      </w:r>
      <w:r>
        <w:rPr>
          <w:rFonts w:hint="eastAsia"/>
          <w:szCs w:val="32"/>
          <w:lang w:val="en-US" w:eastAsia="zh-CN"/>
        </w:rPr>
        <w:t>10.45</w:t>
      </w:r>
      <w:r>
        <w:rPr>
          <w:szCs w:val="32"/>
        </w:rPr>
        <w:t>%，主要用于</w:t>
      </w:r>
      <w:r>
        <w:rPr>
          <w:rFonts w:hint="eastAsia"/>
          <w:szCs w:val="32"/>
        </w:rPr>
        <w:t>单位职工养老保险支出。</w:t>
      </w:r>
    </w:p>
    <w:p>
      <w:pPr>
        <w:spacing w:line="520" w:lineRule="exact"/>
        <w:ind w:firstLine="640" w:firstLineChars="200"/>
        <w:rPr>
          <w:szCs w:val="32"/>
        </w:rPr>
      </w:pPr>
      <w:r>
        <w:rPr>
          <w:rFonts w:hint="eastAsia"/>
          <w:szCs w:val="32"/>
        </w:rPr>
        <w:t>卫生健康</w:t>
      </w:r>
      <w:r>
        <w:rPr>
          <w:szCs w:val="32"/>
        </w:rPr>
        <w:t>（类）支出</w:t>
      </w:r>
      <w:r>
        <w:rPr>
          <w:rFonts w:hint="eastAsia"/>
          <w:szCs w:val="32"/>
          <w:lang w:val="en-US" w:eastAsia="zh-CN"/>
        </w:rPr>
        <w:t>9.48</w:t>
      </w:r>
      <w:r>
        <w:rPr>
          <w:szCs w:val="32"/>
        </w:rPr>
        <w:t>万元，占</w:t>
      </w:r>
      <w:r>
        <w:rPr>
          <w:rFonts w:hint="eastAsia"/>
          <w:szCs w:val="32"/>
          <w:lang w:val="en-US" w:eastAsia="zh-CN"/>
        </w:rPr>
        <w:t>2.99</w:t>
      </w:r>
      <w:r>
        <w:rPr>
          <w:szCs w:val="32"/>
        </w:rPr>
        <w:t>%，主要用于</w:t>
      </w:r>
      <w:r>
        <w:rPr>
          <w:rFonts w:hint="eastAsia"/>
          <w:szCs w:val="32"/>
        </w:rPr>
        <w:t>单位医疗保险及其他社会保障缴费</w:t>
      </w:r>
      <w:r>
        <w:rPr>
          <w:szCs w:val="32"/>
        </w:rPr>
        <w:t>。</w:t>
      </w:r>
    </w:p>
    <w:p>
      <w:pPr>
        <w:spacing w:line="520" w:lineRule="exact"/>
        <w:ind w:firstLine="640" w:firstLineChars="200"/>
        <w:rPr>
          <w:rFonts w:eastAsia="楷体"/>
          <w:szCs w:val="32"/>
        </w:rPr>
      </w:pPr>
      <w:r>
        <w:rPr>
          <w:szCs w:val="32"/>
        </w:rPr>
        <w:t>住房保障（类）支出</w:t>
      </w:r>
      <w:r>
        <w:rPr>
          <w:rFonts w:hint="eastAsia"/>
          <w:szCs w:val="32"/>
          <w:lang w:val="en-US" w:eastAsia="zh-CN"/>
        </w:rPr>
        <w:t>26.14</w:t>
      </w:r>
      <w:r>
        <w:rPr>
          <w:szCs w:val="32"/>
        </w:rPr>
        <w:t>万元，占</w:t>
      </w:r>
      <w:r>
        <w:rPr>
          <w:rFonts w:hint="eastAsia"/>
          <w:szCs w:val="32"/>
          <w:lang w:val="en-US" w:eastAsia="zh-CN"/>
        </w:rPr>
        <w:t>8.25</w:t>
      </w:r>
      <w:r>
        <w:rPr>
          <w:szCs w:val="32"/>
        </w:rPr>
        <w:t>%，主要用于</w:t>
      </w:r>
      <w:r>
        <w:rPr>
          <w:rFonts w:hint="eastAsia"/>
          <w:szCs w:val="32"/>
        </w:rPr>
        <w:t>单位职工住房公积金缴纳。</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316.73</w:t>
      </w:r>
      <w:r>
        <w:rPr>
          <w:szCs w:val="32"/>
        </w:rPr>
        <w:t>万元，其中：</w:t>
      </w:r>
    </w:p>
    <w:p>
      <w:pPr>
        <w:ind w:firstLine="640" w:firstLineChars="200"/>
        <w:rPr>
          <w:kern w:val="0"/>
          <w:szCs w:val="32"/>
        </w:rPr>
      </w:pPr>
      <w:r>
        <w:rPr>
          <w:szCs w:val="32"/>
        </w:rPr>
        <w:t>人员经费</w:t>
      </w:r>
      <w:r>
        <w:rPr>
          <w:rFonts w:hint="eastAsia"/>
          <w:szCs w:val="32"/>
          <w:lang w:val="en-US" w:eastAsia="zh-CN"/>
        </w:rPr>
        <w:t>284.24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绩效工资、机关事业单位养老保险缴费、职工基本医疗保险缴费、其他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szCs w:val="32"/>
        </w:rPr>
        <w:t>、</w:t>
      </w:r>
      <w:r>
        <w:rPr>
          <w:kern w:val="0"/>
          <w:szCs w:val="32"/>
        </w:rPr>
        <w:t>退休费</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szCs w:val="32"/>
          <w:lang w:val="en-US" w:eastAsia="zh-CN"/>
        </w:rPr>
        <w:t>32.49</w:t>
      </w:r>
      <w:r>
        <w:rPr>
          <w:szCs w:val="32"/>
        </w:rPr>
        <w:t>万元，主要包括：</w:t>
      </w:r>
      <w:r>
        <w:rPr>
          <w:kern w:val="0"/>
          <w:szCs w:val="32"/>
        </w:rPr>
        <w:t>办公费</w:t>
      </w:r>
      <w:r>
        <w:rPr>
          <w:szCs w:val="32"/>
        </w:rPr>
        <w:t>、</w:t>
      </w:r>
      <w:r>
        <w:rPr>
          <w:rFonts w:hint="eastAsia"/>
          <w:kern w:val="0"/>
          <w:szCs w:val="32"/>
          <w:lang w:eastAsia="zh-CN"/>
        </w:rPr>
        <w:t>手续</w:t>
      </w:r>
      <w:r>
        <w:rPr>
          <w:kern w:val="0"/>
          <w:szCs w:val="32"/>
        </w:rPr>
        <w:t>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w:t>
      </w:r>
      <w:r>
        <w:rPr>
          <w:rFonts w:hint="eastAsia"/>
          <w:szCs w:val="32"/>
        </w:rPr>
        <w:t>费、</w:t>
      </w:r>
      <w:r>
        <w:rPr>
          <w:kern w:val="0"/>
          <w:szCs w:val="32"/>
        </w:rPr>
        <w:t>工会经费、福利费</w:t>
      </w:r>
      <w:r>
        <w:rPr>
          <w:szCs w:val="32"/>
        </w:rPr>
        <w:t>、</w:t>
      </w:r>
      <w:r>
        <w:rPr>
          <w:kern w:val="0"/>
          <w:szCs w:val="32"/>
        </w:rPr>
        <w:t>其他商品和服务支出。</w:t>
      </w:r>
    </w:p>
    <w:p>
      <w:pPr>
        <w:ind w:firstLine="640" w:firstLineChars="200"/>
        <w:rPr>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0"/>
        </w:rPr>
      </w:pPr>
      <w:r>
        <w:rPr>
          <w:rFonts w:eastAsia="楷体"/>
          <w:szCs w:val="32"/>
        </w:rPr>
        <w:br w:type="page"/>
      </w: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rPr>
          <w:rFonts w:hint="eastAsia"/>
          <w:szCs w:val="32"/>
        </w:rPr>
      </w:pPr>
      <w:r>
        <w:rPr>
          <w:rFonts w:hint="eastAsia"/>
          <w:szCs w:val="32"/>
        </w:rPr>
        <w:t>本单位无政府性基金预算拨款</w:t>
      </w:r>
      <w:r>
        <w:rPr>
          <w:szCs w:val="32"/>
        </w:rPr>
        <w:t>。</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rFonts w:hint="eastAsia"/>
          <w:szCs w:val="32"/>
        </w:rPr>
        <w:t>本单位无国有资本经营预算拨款。</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rFonts w:hint="eastAsia"/>
          <w:szCs w:val="32"/>
        </w:rPr>
        <w:t>本单位无</w:t>
      </w:r>
      <w:r>
        <w:rPr>
          <w:szCs w:val="32"/>
        </w:rPr>
        <w:t>机关运行经费。</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rFonts w:hint="eastAsia"/>
          <w:szCs w:val="32"/>
        </w:rPr>
        <w:t>本单位无政府采购情况。</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年部门项目支出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w:t>
      </w:r>
      <w:r>
        <w:rPr>
          <w:rFonts w:hint="eastAsia"/>
        </w:rPr>
        <w:t>202</w:t>
      </w:r>
      <w:r>
        <w:rPr>
          <w:rFonts w:hint="eastAsia"/>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ADF4E4-9C6C-4047-BA8B-BDC1E4FFB2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D967B44-4649-404B-A60F-FD9666C0B38E}"/>
  </w:font>
  <w:font w:name="仿宋_GB2312">
    <w:altName w:val="仿宋"/>
    <w:panose1 w:val="02010609030101010101"/>
    <w:charset w:val="86"/>
    <w:family w:val="modern"/>
    <w:pitch w:val="default"/>
    <w:sig w:usb0="00000000" w:usb1="00000000" w:usb2="00000000" w:usb3="00000000" w:csb0="00040000" w:csb1="00000000"/>
    <w:embedRegular r:id="rId3" w:fontKey="{1C7773E5-5AA0-47C5-9A40-6F104103726C}"/>
  </w:font>
  <w:font w:name="华文细黑">
    <w:panose1 w:val="02010600040101010101"/>
    <w:charset w:val="86"/>
    <w:family w:val="auto"/>
    <w:pitch w:val="default"/>
    <w:sig w:usb0="00000287" w:usb1="080F0000" w:usb2="00000000" w:usb3="00000000" w:csb0="0004009F" w:csb1="DFD70000"/>
    <w:embedRegular r:id="rId4" w:fontKey="{5B46BB7A-FB07-4CE7-8426-1A5DFAFA89BA}"/>
  </w:font>
  <w:font w:name="方正小标宋简体">
    <w:panose1 w:val="02000000000000000000"/>
    <w:charset w:val="86"/>
    <w:family w:val="auto"/>
    <w:pitch w:val="default"/>
    <w:sig w:usb0="00000001" w:usb1="08000000" w:usb2="00000000" w:usb3="00000000" w:csb0="00040000" w:csb1="00000000"/>
    <w:embedRegular r:id="rId5" w:fontKey="{A39006A2-C0C8-49AF-A17D-BA7676F749FC}"/>
  </w:font>
  <w:font w:name="楷体_GB2312">
    <w:altName w:val="楷体"/>
    <w:panose1 w:val="02010609030101010101"/>
    <w:charset w:val="86"/>
    <w:family w:val="modern"/>
    <w:pitch w:val="default"/>
    <w:sig w:usb0="00000000" w:usb1="00000000" w:usb2="00000000" w:usb3="00000000" w:csb0="00040000" w:csb1="00000000"/>
    <w:embedRegular r:id="rId6" w:fontKey="{A4BDEFC8-562C-4041-908A-7080341FC037}"/>
  </w:font>
  <w:font w:name="楷体">
    <w:panose1 w:val="02010609060101010101"/>
    <w:charset w:val="86"/>
    <w:family w:val="modern"/>
    <w:pitch w:val="default"/>
    <w:sig w:usb0="800002BF" w:usb1="38CF7CFA" w:usb2="00000016" w:usb3="00000000" w:csb0="00040001" w:csb1="00000000"/>
    <w:embedRegular r:id="rId7" w:fontKey="{AC1E8EC6-11CF-4515-940F-FC44A41E0045}"/>
  </w:font>
  <w:font w:name="仿宋">
    <w:panose1 w:val="02010609060101010101"/>
    <w:charset w:val="86"/>
    <w:family w:val="modern"/>
    <w:pitch w:val="default"/>
    <w:sig w:usb0="800002BF" w:usb1="38CF7CFA" w:usb2="00000016" w:usb3="00000000" w:csb0="00040001" w:csb1="00000000"/>
    <w:embedRegular r:id="rId8" w:fontKey="{4EED9CC1-A4DB-46C7-9132-5CF7E61E9CC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jZkZjY2ZmM0YWYyNzY2ZmI3OTkyZTYxNGM5Nm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0806B1"/>
    <w:rsid w:val="031D7D4B"/>
    <w:rsid w:val="037F2004"/>
    <w:rsid w:val="04531FA4"/>
    <w:rsid w:val="0486486A"/>
    <w:rsid w:val="04954460"/>
    <w:rsid w:val="04B818D1"/>
    <w:rsid w:val="050D06DA"/>
    <w:rsid w:val="05310B72"/>
    <w:rsid w:val="05513E94"/>
    <w:rsid w:val="056F5A6D"/>
    <w:rsid w:val="059B3770"/>
    <w:rsid w:val="063949A0"/>
    <w:rsid w:val="06BD5BC7"/>
    <w:rsid w:val="06F008FF"/>
    <w:rsid w:val="079E5032"/>
    <w:rsid w:val="09015F14"/>
    <w:rsid w:val="091C5C63"/>
    <w:rsid w:val="09421190"/>
    <w:rsid w:val="09A0082A"/>
    <w:rsid w:val="0A00435B"/>
    <w:rsid w:val="0AAA1697"/>
    <w:rsid w:val="0ABA06FE"/>
    <w:rsid w:val="0B49202F"/>
    <w:rsid w:val="0B5F5ADA"/>
    <w:rsid w:val="0C2A5C84"/>
    <w:rsid w:val="0C4F64D9"/>
    <w:rsid w:val="0C583939"/>
    <w:rsid w:val="0C6D1BAE"/>
    <w:rsid w:val="0D2A2435"/>
    <w:rsid w:val="0DA001B0"/>
    <w:rsid w:val="0DEB170B"/>
    <w:rsid w:val="0E4C7841"/>
    <w:rsid w:val="0E97506F"/>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A027D8"/>
    <w:rsid w:val="17CC2625"/>
    <w:rsid w:val="19132BE0"/>
    <w:rsid w:val="191F4716"/>
    <w:rsid w:val="1954649C"/>
    <w:rsid w:val="1A817DF8"/>
    <w:rsid w:val="1A8A6135"/>
    <w:rsid w:val="1ADC594E"/>
    <w:rsid w:val="1AEB5252"/>
    <w:rsid w:val="1B8A03E4"/>
    <w:rsid w:val="1B9C1459"/>
    <w:rsid w:val="1C852172"/>
    <w:rsid w:val="1CA40C0C"/>
    <w:rsid w:val="1CFF4A32"/>
    <w:rsid w:val="1D833200"/>
    <w:rsid w:val="1E3A3FD0"/>
    <w:rsid w:val="1EB55C07"/>
    <w:rsid w:val="1F351A10"/>
    <w:rsid w:val="1F857EA5"/>
    <w:rsid w:val="1FED47E9"/>
    <w:rsid w:val="206816AC"/>
    <w:rsid w:val="21134335"/>
    <w:rsid w:val="21D71041"/>
    <w:rsid w:val="226E581D"/>
    <w:rsid w:val="22A4003E"/>
    <w:rsid w:val="23135C25"/>
    <w:rsid w:val="23EC61F6"/>
    <w:rsid w:val="244C543C"/>
    <w:rsid w:val="24624768"/>
    <w:rsid w:val="259B5BC5"/>
    <w:rsid w:val="25F62C4E"/>
    <w:rsid w:val="26643D6C"/>
    <w:rsid w:val="268B6A43"/>
    <w:rsid w:val="26FE109D"/>
    <w:rsid w:val="27073E1E"/>
    <w:rsid w:val="27B04AB3"/>
    <w:rsid w:val="282C3BA1"/>
    <w:rsid w:val="28A63332"/>
    <w:rsid w:val="28C96E8E"/>
    <w:rsid w:val="295F0CD4"/>
    <w:rsid w:val="29C45F24"/>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5402B5"/>
    <w:rsid w:val="339466B2"/>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2675EA"/>
    <w:rsid w:val="407056B1"/>
    <w:rsid w:val="40B80EFF"/>
    <w:rsid w:val="41A35364"/>
    <w:rsid w:val="41C31686"/>
    <w:rsid w:val="41C837BC"/>
    <w:rsid w:val="421643AC"/>
    <w:rsid w:val="42982B4E"/>
    <w:rsid w:val="429F5D0C"/>
    <w:rsid w:val="42D83665"/>
    <w:rsid w:val="434A6B47"/>
    <w:rsid w:val="436B1E42"/>
    <w:rsid w:val="456D114B"/>
    <w:rsid w:val="45EB670F"/>
    <w:rsid w:val="46AB7C0D"/>
    <w:rsid w:val="46D44808"/>
    <w:rsid w:val="46ED776B"/>
    <w:rsid w:val="479D2523"/>
    <w:rsid w:val="47CF49E6"/>
    <w:rsid w:val="48674ED2"/>
    <w:rsid w:val="487708E6"/>
    <w:rsid w:val="48B540F2"/>
    <w:rsid w:val="493F6F72"/>
    <w:rsid w:val="49645F71"/>
    <w:rsid w:val="499F5C68"/>
    <w:rsid w:val="49F25DBB"/>
    <w:rsid w:val="4A2E6EA2"/>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2071113"/>
    <w:rsid w:val="52085509"/>
    <w:rsid w:val="522774C4"/>
    <w:rsid w:val="522A7431"/>
    <w:rsid w:val="525A440D"/>
    <w:rsid w:val="52626449"/>
    <w:rsid w:val="544E511A"/>
    <w:rsid w:val="54741940"/>
    <w:rsid w:val="54810E66"/>
    <w:rsid w:val="54C063E4"/>
    <w:rsid w:val="54C2556E"/>
    <w:rsid w:val="55480EEF"/>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A7C63"/>
    <w:rsid w:val="5E256F6F"/>
    <w:rsid w:val="5F6235A9"/>
    <w:rsid w:val="60DC439E"/>
    <w:rsid w:val="614125C2"/>
    <w:rsid w:val="61AA1D1F"/>
    <w:rsid w:val="624C5C52"/>
    <w:rsid w:val="63DF08E4"/>
    <w:rsid w:val="64C04AFD"/>
    <w:rsid w:val="64C86340"/>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14213DD"/>
    <w:rsid w:val="717F272E"/>
    <w:rsid w:val="72783A23"/>
    <w:rsid w:val="728027C6"/>
    <w:rsid w:val="73D62FA6"/>
    <w:rsid w:val="73FE7ACC"/>
    <w:rsid w:val="74556746"/>
    <w:rsid w:val="74743258"/>
    <w:rsid w:val="761B13C4"/>
    <w:rsid w:val="763A080C"/>
    <w:rsid w:val="764B6A8A"/>
    <w:rsid w:val="76C17E06"/>
    <w:rsid w:val="76CA67BD"/>
    <w:rsid w:val="774E6400"/>
    <w:rsid w:val="775B0046"/>
    <w:rsid w:val="79700BEF"/>
    <w:rsid w:val="798D552B"/>
    <w:rsid w:val="7A090695"/>
    <w:rsid w:val="7A1D5951"/>
    <w:rsid w:val="7AE175F4"/>
    <w:rsid w:val="7B417685"/>
    <w:rsid w:val="7B5220F0"/>
    <w:rsid w:val="7BA169C0"/>
    <w:rsid w:val="7BC55243"/>
    <w:rsid w:val="7C2F4A9A"/>
    <w:rsid w:val="7C735E05"/>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1513</Words>
  <Characters>8625</Characters>
  <Lines>71</Lines>
  <Paragraphs>20</Paragraphs>
  <TotalTime>0</TotalTime>
  <ScaleCrop>false</ScaleCrop>
  <LinksUpToDate>false</LinksUpToDate>
  <CharactersWithSpaces>10118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11</cp:lastModifiedBy>
  <cp:lastPrinted>2024-01-23T03:39:00Z</cp:lastPrinted>
  <dcterms:modified xsi:type="dcterms:W3CDTF">2024-02-26T03:15:59Z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2778DE0D3D1747E5A61F757C22D63E49_13</vt:lpwstr>
  </property>
</Properties>
</file>