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吉林省统计局柳河县农村社会经济调查队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lang w:eastAsia="zh-CN"/>
        </w:rPr>
      </w:pPr>
      <w:r>
        <w:rPr>
          <w:rFonts w:hint="eastAsia"/>
          <w:lang w:eastAsia="zh-CN"/>
        </w:rPr>
        <w:t>十一、财政拨款委托业务费支出预算表</w:t>
      </w:r>
    </w:p>
    <w:p>
      <w:pPr>
        <w:ind w:firstLine="640" w:firstLineChars="200"/>
        <w:rPr>
          <w:rFonts w:hint="eastAsia"/>
          <w:lang w:eastAsia="zh-CN"/>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24" w:firstLineChars="200"/>
        <w:rPr>
          <w:rFonts w:hint="eastAsia"/>
          <w:color w:val="000000"/>
          <w:spacing w:val="-4"/>
          <w:szCs w:val="21"/>
        </w:rPr>
      </w:pPr>
      <w:r>
        <w:rPr>
          <w:rFonts w:hint="eastAsia"/>
          <w:color w:val="000000"/>
          <w:spacing w:val="-4"/>
          <w:szCs w:val="21"/>
        </w:rPr>
        <w:t>（一）农村综合统计，负责全县农村经济综合资料的搜集，整理和上报，综合性的调查、研究、分析和预测；农产量统计，负责全市农林牧渔业、生产条件、产品产量等资料的搜集、审核、汇总和上报及农产量和畜牧业抽样的建立和调查工作。</w:t>
      </w:r>
    </w:p>
    <w:p>
      <w:pPr>
        <w:ind w:firstLine="624" w:firstLineChars="200"/>
        <w:rPr>
          <w:rFonts w:hint="eastAsia"/>
        </w:rPr>
      </w:pPr>
      <w:r>
        <w:rPr>
          <w:rFonts w:hint="eastAsia"/>
          <w:color w:val="000000"/>
          <w:spacing w:val="-4"/>
          <w:szCs w:val="21"/>
        </w:rPr>
        <w:t>（二）对农业统计人员的培训、检查和指导，对全市农业生产情况的调查、研究、分析和预测；农村经济调查统计。</w:t>
      </w:r>
    </w:p>
    <w:p>
      <w:pPr>
        <w:ind w:firstLine="624" w:firstLineChars="200"/>
        <w:rPr>
          <w:rFonts w:hint="eastAsia"/>
        </w:rPr>
      </w:pPr>
      <w:r>
        <w:rPr>
          <w:rFonts w:hint="eastAsia"/>
          <w:color w:val="000000"/>
          <w:spacing w:val="-4"/>
          <w:szCs w:val="21"/>
        </w:rPr>
        <w:t>（三）负责全县样本点住户资料的收集、审核、录入、上报工作，样本点农产品、产量调查、汇总、上报，各级样本点记账质量的检查、评比及辅助调查员的业务培训工作；组织、指导农村统计网络基础建设，对有关统计数据进行核查评估。</w:t>
      </w:r>
    </w:p>
    <w:p>
      <w:pPr>
        <w:ind w:firstLine="624" w:firstLineChars="200"/>
        <w:rPr>
          <w:rFonts w:eastAsia="楷体_GB2312"/>
        </w:rPr>
      </w:pPr>
      <w:r>
        <w:rPr>
          <w:rFonts w:hint="eastAsia"/>
          <w:color w:val="000000"/>
          <w:spacing w:val="-4"/>
          <w:szCs w:val="21"/>
        </w:rPr>
        <w:t>（四）承办县委、县政府和上级业务部门交办的其他工作。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二、机构设置</w:t>
      </w:r>
    </w:p>
    <w:p>
      <w:pPr>
        <w:pStyle w:val="48"/>
        <w:ind w:firstLine="640" w:firstLineChars="200"/>
        <w:rPr>
          <w:rFonts w:eastAsia="仿宋_GB2312"/>
        </w:rPr>
      </w:pPr>
      <w:r>
        <w:rPr>
          <w:rFonts w:hint="eastAsia" w:eastAsia="仿宋_GB2312"/>
        </w:rPr>
        <w:t>本单位无内设机构，无下</w:t>
      </w:r>
      <w:r>
        <w:rPr>
          <w:rFonts w:eastAsia="仿宋_GB2312"/>
        </w:rPr>
        <w:t>设</w:t>
      </w:r>
      <w:r>
        <w:rPr>
          <w:rFonts w:hint="eastAsia" w:eastAsia="仿宋_GB2312"/>
        </w:rPr>
        <w:t>预算单位</w:t>
      </w:r>
      <w:r>
        <w:rPr>
          <w:rFonts w:eastAsia="仿宋_GB2312"/>
        </w:rPr>
        <w:t>。</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553" w:tblpY="698"/>
        <w:tblOverlap w:val="never"/>
        <w:tblW w:w="10481" w:type="dxa"/>
        <w:tblInd w:w="0" w:type="dxa"/>
        <w:tblLayout w:type="fixed"/>
        <w:tblCellMar>
          <w:top w:w="0" w:type="dxa"/>
          <w:left w:w="108" w:type="dxa"/>
          <w:bottom w:w="0" w:type="dxa"/>
          <w:right w:w="108" w:type="dxa"/>
        </w:tblCellMar>
      </w:tblPr>
      <w:tblGrid>
        <w:gridCol w:w="3286"/>
        <w:gridCol w:w="846"/>
        <w:gridCol w:w="311"/>
        <w:gridCol w:w="493"/>
        <w:gridCol w:w="655"/>
        <w:gridCol w:w="2332"/>
        <w:gridCol w:w="886"/>
        <w:gridCol w:w="900"/>
        <w:gridCol w:w="772"/>
      </w:tblGrid>
      <w:tr>
        <w:tblPrEx>
          <w:tblCellMar>
            <w:top w:w="0" w:type="dxa"/>
            <w:left w:w="108" w:type="dxa"/>
            <w:bottom w:w="0" w:type="dxa"/>
            <w:right w:w="108" w:type="dxa"/>
          </w:tblCellMar>
        </w:tblPrEx>
        <w:trPr>
          <w:trHeight w:val="525" w:hRule="atLeast"/>
        </w:trPr>
        <w:tc>
          <w:tcPr>
            <w:tcW w:w="10481"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4443" w:type="dxa"/>
            <w:gridSpan w:val="3"/>
            <w:tcBorders>
              <w:top w:val="nil"/>
              <w:left w:val="nil"/>
              <w:bottom w:val="nil"/>
              <w:right w:val="nil"/>
            </w:tcBorders>
            <w:noWrap w:val="0"/>
            <w:vAlign w:val="center"/>
          </w:tcPr>
          <w:p>
            <w:pPr>
              <w:widowControl/>
              <w:jc w:val="center"/>
              <w:rPr>
                <w:rFonts w:eastAsia="宋体"/>
                <w:kern w:val="0"/>
                <w:sz w:val="20"/>
              </w:rPr>
            </w:pPr>
          </w:p>
        </w:tc>
        <w:tc>
          <w:tcPr>
            <w:tcW w:w="1148" w:type="dxa"/>
            <w:gridSpan w:val="2"/>
            <w:tcBorders>
              <w:top w:val="nil"/>
              <w:left w:val="nil"/>
              <w:bottom w:val="nil"/>
              <w:right w:val="nil"/>
            </w:tcBorders>
            <w:noWrap w:val="0"/>
            <w:vAlign w:val="center"/>
          </w:tcPr>
          <w:p>
            <w:pPr>
              <w:widowControl/>
              <w:jc w:val="center"/>
              <w:rPr>
                <w:rFonts w:eastAsia="宋体"/>
                <w:kern w:val="0"/>
                <w:sz w:val="20"/>
              </w:rPr>
            </w:pPr>
          </w:p>
        </w:tc>
        <w:tc>
          <w:tcPr>
            <w:tcW w:w="3218" w:type="dxa"/>
            <w:gridSpan w:val="2"/>
            <w:tcBorders>
              <w:top w:val="nil"/>
              <w:left w:val="nil"/>
              <w:bottom w:val="nil"/>
              <w:right w:val="nil"/>
            </w:tcBorders>
            <w:noWrap w:val="0"/>
            <w:vAlign w:val="center"/>
          </w:tcPr>
          <w:p>
            <w:pPr>
              <w:widowControl/>
              <w:jc w:val="center"/>
              <w:rPr>
                <w:rFonts w:eastAsia="宋体"/>
                <w:kern w:val="0"/>
                <w:sz w:val="20"/>
              </w:rPr>
            </w:pPr>
          </w:p>
        </w:tc>
        <w:tc>
          <w:tcPr>
            <w:tcW w:w="1672"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8" w:hRule="atLeast"/>
        </w:trPr>
        <w:tc>
          <w:tcPr>
            <w:tcW w:w="559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9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328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65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233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8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77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一、财政拨款收入</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80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655"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c>
          <w:tcPr>
            <w:tcW w:w="2332" w:type="dxa"/>
            <w:tcBorders>
              <w:top w:val="nil"/>
              <w:left w:val="single" w:color="auto" w:sz="4" w:space="0"/>
              <w:bottom w:val="single" w:color="auto" w:sz="4" w:space="0"/>
              <w:right w:val="single" w:color="auto" w:sz="4" w:space="0"/>
            </w:tcBorders>
            <w:noWrap w:val="0"/>
            <w:vAlign w:val="center"/>
          </w:tcPr>
          <w:p>
            <w:pPr>
              <w:widowControl/>
              <w:jc w:val="both"/>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45.51</w:t>
            </w:r>
          </w:p>
        </w:tc>
        <w:tc>
          <w:tcPr>
            <w:tcW w:w="90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43.72</w:t>
            </w:r>
          </w:p>
        </w:tc>
        <w:tc>
          <w:tcPr>
            <w:tcW w:w="77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一般公共预算拨款收入</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80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51.44</w:t>
            </w:r>
          </w:p>
        </w:tc>
        <w:tc>
          <w:tcPr>
            <w:tcW w:w="655"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1.79</w:t>
            </w:r>
          </w:p>
        </w:tc>
        <w:tc>
          <w:tcPr>
            <w:tcW w:w="233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s="宋体"/>
                <w:color w:val="000000"/>
                <w:sz w:val="20"/>
              </w:rPr>
              <w:t>二、</w:t>
            </w:r>
            <w:r>
              <w:rPr>
                <w:rFonts w:hint="eastAsia" w:ascii="宋体" w:hAnsi="宋体" w:eastAsia="宋体" w:cs="宋体"/>
                <w:color w:val="000000"/>
                <w:kern w:val="0"/>
                <w:sz w:val="20"/>
                <w:lang w:bidi="ar"/>
              </w:rPr>
              <w:t>社会保障和就业支出</w:t>
            </w:r>
          </w:p>
        </w:tc>
        <w:tc>
          <w:tcPr>
            <w:tcW w:w="88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5.06</w:t>
            </w:r>
          </w:p>
        </w:tc>
        <w:tc>
          <w:tcPr>
            <w:tcW w:w="900"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5.06</w:t>
            </w:r>
          </w:p>
        </w:tc>
        <w:tc>
          <w:tcPr>
            <w:tcW w:w="77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政府性基金预算拨款收入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s="宋体"/>
                <w:color w:val="000000"/>
                <w:sz w:val="20"/>
              </w:rPr>
              <w:t>三、</w:t>
            </w:r>
            <w:r>
              <w:rPr>
                <w:rFonts w:hint="eastAsia" w:ascii="宋体" w:hAnsi="宋体" w:eastAsia="宋体" w:cs="宋体"/>
                <w:color w:val="000000"/>
                <w:kern w:val="0"/>
                <w:sz w:val="20"/>
                <w:lang w:bidi="ar"/>
              </w:rPr>
              <w:t>卫生健康支出</w:t>
            </w:r>
          </w:p>
        </w:tc>
        <w:tc>
          <w:tcPr>
            <w:tcW w:w="88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0.88</w:t>
            </w:r>
          </w:p>
        </w:tc>
        <w:tc>
          <w:tcPr>
            <w:tcW w:w="900"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0.88</w:t>
            </w: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lang w:val="en-US" w:eastAsia="zh-CN"/>
              </w:rPr>
              <w:t xml:space="preserve">  </w:t>
            </w:r>
            <w:r>
              <w:rPr>
                <w:rFonts w:hint="eastAsia" w:eastAsia="宋体"/>
                <w:sz w:val="20"/>
              </w:rPr>
              <w:t>国有资本经营预算拨款收入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88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1.78</w:t>
            </w:r>
          </w:p>
        </w:tc>
        <w:tc>
          <w:tcPr>
            <w:tcW w:w="900"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1.78</w:t>
            </w:r>
          </w:p>
        </w:tc>
        <w:tc>
          <w:tcPr>
            <w:tcW w:w="77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shd w:val="solid" w:color="FFFFFF" w:fill="auto"/>
            <w:noWrap w:val="0"/>
            <w:vAlign w:val="center"/>
          </w:tcPr>
          <w:p>
            <w:pPr>
              <w:jc w:val="left"/>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hint="eastAsia" w:eastAsia="宋体"/>
                <w:sz w:val="20"/>
              </w:rPr>
            </w:pPr>
            <w:r>
              <w:rPr>
                <w:rFonts w:hint="eastAsia" w:eastAsia="宋体"/>
                <w:sz w:val="20"/>
              </w:rPr>
              <w:t>三、单位资金收入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事业收入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事业单位经营收入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上级补助收入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附属单位上缴收入</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其他收入</w:t>
            </w:r>
          </w:p>
        </w:tc>
        <w:tc>
          <w:tcPr>
            <w:tcW w:w="846"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655"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23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88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90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772"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本年收入合计</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80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655"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本年支出合计</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val="0"/>
                <w:bCs w:val="0"/>
                <w:kern w:val="0"/>
                <w:sz w:val="20"/>
                <w:lang w:val="en-US" w:eastAsia="zh-CN"/>
              </w:rPr>
              <w:t>53.23</w:t>
            </w:r>
          </w:p>
        </w:tc>
        <w:tc>
          <w:tcPr>
            <w:tcW w:w="90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77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sz w:val="20"/>
              </w:rPr>
              <w:t>财政拨款结转</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00"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sz w:val="20"/>
                <w:lang w:eastAsia="zh-CN"/>
              </w:rPr>
              <w:t>非财政拨款</w:t>
            </w:r>
            <w:r>
              <w:rPr>
                <w:rFonts w:hint="eastAsia" w:eastAsia="宋体"/>
                <w:sz w:val="20"/>
              </w:rPr>
              <w:t>结转结余</w:t>
            </w:r>
          </w:p>
        </w:tc>
        <w:tc>
          <w:tcPr>
            <w:tcW w:w="846"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80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655"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0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77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3286"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846"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80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655"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c>
          <w:tcPr>
            <w:tcW w:w="23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88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90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77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67" w:type="dxa"/>
        <w:jc w:val="center"/>
        <w:tblLayout w:type="fixed"/>
        <w:tblCellMar>
          <w:top w:w="0" w:type="dxa"/>
          <w:left w:w="108" w:type="dxa"/>
          <w:bottom w:w="0" w:type="dxa"/>
          <w:right w:w="108" w:type="dxa"/>
        </w:tblCellMar>
      </w:tblPr>
      <w:tblGrid>
        <w:gridCol w:w="1427"/>
        <w:gridCol w:w="859"/>
        <w:gridCol w:w="791"/>
        <w:gridCol w:w="833"/>
        <w:gridCol w:w="463"/>
        <w:gridCol w:w="542"/>
        <w:gridCol w:w="421"/>
        <w:gridCol w:w="421"/>
        <w:gridCol w:w="421"/>
        <w:gridCol w:w="99"/>
        <w:gridCol w:w="321"/>
        <w:gridCol w:w="421"/>
        <w:gridCol w:w="252"/>
        <w:gridCol w:w="102"/>
        <w:gridCol w:w="396"/>
        <w:gridCol w:w="176"/>
        <w:gridCol w:w="614"/>
        <w:gridCol w:w="236"/>
        <w:gridCol w:w="202"/>
        <w:gridCol w:w="436"/>
        <w:gridCol w:w="464"/>
        <w:gridCol w:w="539"/>
        <w:gridCol w:w="31"/>
      </w:tblGrid>
      <w:tr>
        <w:tblPrEx>
          <w:tblCellMar>
            <w:top w:w="0" w:type="dxa"/>
            <w:left w:w="108" w:type="dxa"/>
            <w:bottom w:w="0" w:type="dxa"/>
            <w:right w:w="108" w:type="dxa"/>
          </w:tblCellMar>
        </w:tblPrEx>
        <w:trPr>
          <w:trHeight w:val="335" w:hRule="atLeast"/>
          <w:jc w:val="center"/>
        </w:trPr>
        <w:tc>
          <w:tcPr>
            <w:tcW w:w="1427" w:type="dxa"/>
            <w:tcBorders>
              <w:bottom w:val="single" w:color="000000" w:sz="4" w:space="0"/>
            </w:tcBorders>
            <w:noWrap w:val="0"/>
            <w:vAlign w:val="top"/>
          </w:tcPr>
          <w:p>
            <w:pPr>
              <w:autoSpaceDN w:val="0"/>
              <w:jc w:val="left"/>
              <w:textAlignment w:val="center"/>
              <w:rPr>
                <w:rFonts w:eastAsia="华文细黑"/>
                <w:color w:val="000000"/>
                <w:sz w:val="20"/>
              </w:rPr>
            </w:pPr>
          </w:p>
        </w:tc>
        <w:tc>
          <w:tcPr>
            <w:tcW w:w="4850" w:type="dxa"/>
            <w:gridSpan w:val="9"/>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790"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31" w:type="dxa"/>
          <w:trHeight w:val="517" w:hRule="atLeast"/>
          <w:jc w:val="center"/>
        </w:trPr>
        <w:tc>
          <w:tcPr>
            <w:tcW w:w="1427"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59"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087"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063"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31" w:type="dxa"/>
          <w:trHeight w:val="517" w:hRule="atLeast"/>
          <w:jc w:val="center"/>
        </w:trPr>
        <w:tc>
          <w:tcPr>
            <w:tcW w:w="1427"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59"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1"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838"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2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037"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572"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88"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1003"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31" w:type="dxa"/>
          <w:trHeight w:val="2818" w:hRule="atLeast"/>
          <w:jc w:val="center"/>
        </w:trPr>
        <w:tc>
          <w:tcPr>
            <w:tcW w:w="142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59"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3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63"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72"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36"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6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31"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吉林省统计局柳河县农村社会经济调查队</w:t>
            </w: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53.23</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51.44</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51.44</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1.79</w:t>
            </w: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1.79</w:t>
            </w: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20"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1" w:type="dxa"/>
          <w:trHeight w:val="530"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53.23</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51.44</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51.44</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57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1.79</w:t>
            </w: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1.79</w:t>
            </w:r>
          </w:p>
        </w:tc>
        <w:tc>
          <w:tcPr>
            <w:tcW w:w="4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10100" w:type="dxa"/>
              <w:tblInd w:w="185" w:type="dxa"/>
              <w:tblLayout w:type="fixed"/>
              <w:tblCellMar>
                <w:top w:w="15" w:type="dxa"/>
                <w:left w:w="15" w:type="dxa"/>
                <w:bottom w:w="15" w:type="dxa"/>
                <w:right w:w="15" w:type="dxa"/>
              </w:tblCellMar>
            </w:tblPr>
            <w:tblGrid>
              <w:gridCol w:w="240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607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587" w:hRule="atLeast"/>
              </w:trPr>
              <w:tc>
                <w:tcPr>
                  <w:tcW w:w="240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26"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spacing w:line="240" w:lineRule="auto"/>
                    <w:jc w:val="left"/>
                    <w:textAlignment w:val="center"/>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right"/>
                    <w:rPr>
                      <w:rFonts w:hint="default" w:eastAsia="宋体"/>
                      <w:color w:val="000000"/>
                      <w:kern w:val="0"/>
                      <w:sz w:val="20"/>
                      <w:lang w:val="en-US" w:eastAsia="zh-CN"/>
                    </w:rPr>
                  </w:pPr>
                  <w:r>
                    <w:rPr>
                      <w:rFonts w:hint="eastAsia" w:eastAsia="宋体"/>
                      <w:color w:val="000000"/>
                      <w:kern w:val="0"/>
                      <w:sz w:val="20"/>
                      <w:lang w:val="en-US" w:eastAsia="zh-CN"/>
                    </w:rPr>
                    <w:t>45.51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right"/>
                    <w:rPr>
                      <w:rFonts w:hint="default" w:eastAsia="宋体"/>
                      <w:color w:val="000000"/>
                      <w:kern w:val="0"/>
                      <w:sz w:val="20"/>
                      <w:lang w:val="en-US" w:eastAsia="zh-CN"/>
                    </w:rPr>
                  </w:pPr>
                  <w:r>
                    <w:rPr>
                      <w:rFonts w:hint="eastAsia" w:eastAsia="宋体"/>
                      <w:color w:val="000000"/>
                      <w:kern w:val="0"/>
                      <w:sz w:val="20"/>
                      <w:lang w:val="en-US" w:eastAsia="zh-CN"/>
                    </w:rPr>
                    <w:t>24.51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both"/>
                    <w:rPr>
                      <w:rFonts w:hint="eastAsia" w:eastAsia="宋体"/>
                      <w:color w:val="000000"/>
                      <w:kern w:val="0"/>
                      <w:sz w:val="20"/>
                      <w:lang w:val="en-US" w:eastAsia="zh-CN"/>
                    </w:rPr>
                  </w:pPr>
                </w:p>
                <w:p>
                  <w:pPr>
                    <w:widowControl/>
                    <w:spacing w:line="240" w:lineRule="auto"/>
                    <w:jc w:val="right"/>
                    <w:rPr>
                      <w:rFonts w:hint="eastAsia" w:eastAsia="宋体"/>
                      <w:color w:val="000000"/>
                      <w:kern w:val="0"/>
                      <w:sz w:val="20"/>
                      <w:lang w:val="en-US" w:eastAsia="zh-CN"/>
                    </w:rPr>
                  </w:pPr>
                  <w:r>
                    <w:rPr>
                      <w:rFonts w:hint="eastAsia" w:eastAsia="宋体"/>
                      <w:color w:val="000000"/>
                      <w:kern w:val="0"/>
                      <w:sz w:val="20"/>
                      <w:lang w:val="en-US" w:eastAsia="zh-CN"/>
                    </w:rPr>
                    <w:t>21.00</w:t>
                  </w:r>
                </w:p>
                <w:p>
                  <w:pPr>
                    <w:widowControl/>
                    <w:spacing w:line="240" w:lineRule="auto"/>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jc w:val="center"/>
                    <w:rPr>
                      <w:rFonts w:hint="default" w:eastAsia="宋体"/>
                      <w:color w:val="000000"/>
                      <w:kern w:val="0"/>
                      <w:sz w:val="20"/>
                      <w:lang w:val="en-US"/>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21"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2"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02"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89"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03"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09"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4"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9"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6"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3"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3"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7"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40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53.23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310" w:tblpY="706"/>
              <w:tblOverlap w:val="never"/>
              <w:tblW w:w="9960" w:type="dxa"/>
              <w:tblInd w:w="0" w:type="dxa"/>
              <w:tblLayout w:type="fixed"/>
              <w:tblCellMar>
                <w:top w:w="0" w:type="dxa"/>
                <w:left w:w="108" w:type="dxa"/>
                <w:bottom w:w="0" w:type="dxa"/>
                <w:right w:w="108" w:type="dxa"/>
              </w:tblCellMar>
            </w:tblPr>
            <w:tblGrid>
              <w:gridCol w:w="2580"/>
              <w:gridCol w:w="917"/>
              <w:gridCol w:w="692"/>
              <w:gridCol w:w="733"/>
              <w:gridCol w:w="2453"/>
              <w:gridCol w:w="944"/>
              <w:gridCol w:w="822"/>
              <w:gridCol w:w="819"/>
            </w:tblGrid>
            <w:tr>
              <w:tblPrEx>
                <w:tblCellMar>
                  <w:top w:w="0" w:type="dxa"/>
                  <w:left w:w="108" w:type="dxa"/>
                  <w:bottom w:w="0" w:type="dxa"/>
                  <w:right w:w="108" w:type="dxa"/>
                </w:tblCellMar>
              </w:tblPrEx>
              <w:trPr>
                <w:trHeight w:val="677" w:hRule="atLeast"/>
              </w:trPr>
              <w:tc>
                <w:tcPr>
                  <w:tcW w:w="996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481" w:hRule="atLeast"/>
              </w:trPr>
              <w:tc>
                <w:tcPr>
                  <w:tcW w:w="996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512" w:hRule="atLeast"/>
              </w:trPr>
              <w:tc>
                <w:tcPr>
                  <w:tcW w:w="492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50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46" w:hRule="atLeast"/>
              </w:trPr>
              <w:tc>
                <w:tcPr>
                  <w:tcW w:w="258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17"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69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733"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2453"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44"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82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713"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1.79</w:t>
                  </w: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51.44</w:t>
                  </w: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1.79</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eastAsia="zh-CN"/>
                    </w:rPr>
                    <w:t>支出</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45.51</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43.72</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r>
            <w:tr>
              <w:tblPrEx>
                <w:tblCellMar>
                  <w:top w:w="0" w:type="dxa"/>
                  <w:left w:w="108" w:type="dxa"/>
                  <w:bottom w:w="0" w:type="dxa"/>
                  <w:right w:w="108" w:type="dxa"/>
                </w:tblCellMar>
              </w:tblPrEx>
              <w:trPr>
                <w:trHeight w:val="543"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5.06</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5.06</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543"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713" w:hRule="atLeast"/>
              </w:trPr>
              <w:tc>
                <w:tcPr>
                  <w:tcW w:w="258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（四）住房保障支出</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1.78</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1.78</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82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2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2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1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2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2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2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82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4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822"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r>
            <w:tr>
              <w:tblPrEx>
                <w:tblCellMar>
                  <w:top w:w="0" w:type="dxa"/>
                  <w:left w:w="108" w:type="dxa"/>
                  <w:bottom w:w="0" w:type="dxa"/>
                  <w:right w:w="108" w:type="dxa"/>
                </w:tblCellMar>
              </w:tblPrEx>
              <w:trPr>
                <w:trHeight w:val="558"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53.23</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51.44</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1.79</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53.23</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51.44</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eastAsia" w:eastAsia="宋体"/>
                      <w:color w:val="000000"/>
                      <w:kern w:val="0"/>
                      <w:sz w:val="20"/>
                      <w:lang w:eastAsia="zh-CN"/>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rPr>
                      <w:rFonts w:eastAsia="宋体"/>
                      <w:color w:val="000000"/>
                      <w:kern w:val="0"/>
                      <w:sz w:val="20"/>
                    </w:rPr>
                  </w:pPr>
                  <w:r>
                    <w:rPr>
                      <w:rFonts w:hint="eastAsia" w:ascii="宋体" w:hAnsi="宋体" w:eastAsia="宋体" w:cs="宋体"/>
                      <w:color w:val="000000"/>
                      <w:kern w:val="0"/>
                      <w:sz w:val="20"/>
                      <w:lang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21.00</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p>
    <w:tbl>
      <w:tblPr>
        <w:tblStyle w:val="9"/>
        <w:tblW w:w="5100" w:type="pct"/>
        <w:jc w:val="center"/>
        <w:tblLayout w:type="autofit"/>
        <w:tblCellMar>
          <w:top w:w="0" w:type="dxa"/>
          <w:left w:w="108" w:type="dxa"/>
          <w:bottom w:w="0" w:type="dxa"/>
          <w:right w:w="108" w:type="dxa"/>
        </w:tblCellMar>
      </w:tblPr>
      <w:tblGrid>
        <w:gridCol w:w="3438"/>
        <w:gridCol w:w="2269"/>
        <w:gridCol w:w="1745"/>
        <w:gridCol w:w="1907"/>
      </w:tblGrid>
      <w:tr>
        <w:tblPrEx>
          <w:tblCellMar>
            <w:top w:w="0" w:type="dxa"/>
            <w:left w:w="108" w:type="dxa"/>
            <w:bottom w:w="0" w:type="dxa"/>
            <w:right w:w="108" w:type="dxa"/>
          </w:tblCellMar>
        </w:tblPrEx>
        <w:trPr>
          <w:trHeight w:val="943" w:hRule="atLeast"/>
          <w:jc w:val="center"/>
        </w:trPr>
        <w:tc>
          <w:tcPr>
            <w:tcW w:w="5000" w:type="pct"/>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1837" w:type="pct"/>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212" w:type="pct"/>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1949" w:type="pct"/>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607" w:hRule="atLeast"/>
          <w:jc w:val="center"/>
        </w:trPr>
        <w:tc>
          <w:tcPr>
            <w:tcW w:w="1837" w:type="pct"/>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212" w:type="pct"/>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932" w:type="pct"/>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017" w:type="pct"/>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426"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24.68</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24.68</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90"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9.54</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9.54</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62"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5.40</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5.40</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157"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25"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53"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0.85</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0.85</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56"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其他社会保障缴费</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48" w:hRule="atLeast"/>
          <w:jc w:val="center"/>
        </w:trPr>
        <w:tc>
          <w:tcPr>
            <w:tcW w:w="18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住房公积金</w:t>
            </w:r>
          </w:p>
        </w:tc>
        <w:tc>
          <w:tcPr>
            <w:tcW w:w="22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7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9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9"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eastAsia="宋体"/>
                <w:kern w:val="0"/>
                <w:sz w:val="20"/>
              </w:rPr>
              <w:t>医疗费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183"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其他工资福利支出</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0.22</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12"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二、商品和服务支出</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4.44</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4.44</w:t>
            </w:r>
          </w:p>
        </w:tc>
      </w:tr>
      <w:tr>
        <w:tblPrEx>
          <w:tblCellMar>
            <w:top w:w="0" w:type="dxa"/>
            <w:left w:w="108" w:type="dxa"/>
            <w:bottom w:w="0" w:type="dxa"/>
            <w:right w:w="108" w:type="dxa"/>
          </w:tblCellMar>
        </w:tblPrEx>
        <w:trPr>
          <w:trHeight w:val="253"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0.28</w:t>
            </w:r>
          </w:p>
        </w:tc>
      </w:tr>
      <w:tr>
        <w:tblPrEx>
          <w:tblCellMar>
            <w:top w:w="0" w:type="dxa"/>
            <w:left w:w="108" w:type="dxa"/>
            <w:bottom w:w="0" w:type="dxa"/>
            <w:right w:w="108" w:type="dxa"/>
          </w:tblCellMar>
        </w:tblPrEx>
        <w:trPr>
          <w:trHeight w:val="222"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手续费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0.04</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0.04</w:t>
            </w:r>
          </w:p>
        </w:tc>
      </w:tr>
      <w:tr>
        <w:tblPrEx>
          <w:tblCellMar>
            <w:top w:w="0" w:type="dxa"/>
            <w:left w:w="108" w:type="dxa"/>
            <w:bottom w:w="0" w:type="dxa"/>
            <w:right w:w="108" w:type="dxa"/>
          </w:tblCellMar>
        </w:tblPrEx>
        <w:trPr>
          <w:trHeight w:val="234"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物业管理费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0.64</w:t>
            </w:r>
          </w:p>
        </w:tc>
      </w:tr>
      <w:tr>
        <w:tblPrEx>
          <w:tblCellMar>
            <w:top w:w="0" w:type="dxa"/>
            <w:left w:w="108" w:type="dxa"/>
            <w:bottom w:w="0" w:type="dxa"/>
            <w:right w:w="108" w:type="dxa"/>
          </w:tblCellMar>
        </w:tblPrEx>
        <w:trPr>
          <w:trHeight w:val="90"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244"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维修（护）费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267"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培训费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276"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工会经费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0.27</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0.27</w:t>
            </w:r>
          </w:p>
        </w:tc>
      </w:tr>
      <w:tr>
        <w:tblPrEx>
          <w:tblCellMar>
            <w:top w:w="0" w:type="dxa"/>
            <w:left w:w="108" w:type="dxa"/>
            <w:bottom w:w="0" w:type="dxa"/>
            <w:right w:w="108" w:type="dxa"/>
          </w:tblCellMar>
        </w:tblPrEx>
        <w:trPr>
          <w:trHeight w:val="249"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福利费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0.91</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0.91</w:t>
            </w:r>
          </w:p>
        </w:tc>
      </w:tr>
      <w:tr>
        <w:tblPrEx>
          <w:tblCellMar>
            <w:top w:w="0" w:type="dxa"/>
            <w:left w:w="108" w:type="dxa"/>
            <w:bottom w:w="0" w:type="dxa"/>
            <w:right w:w="108" w:type="dxa"/>
          </w:tblCellMar>
        </w:tblPrEx>
        <w:trPr>
          <w:trHeight w:val="221"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其他交通费用</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1.20</w:t>
            </w:r>
          </w:p>
        </w:tc>
      </w:tr>
      <w:tr>
        <w:tblPrEx>
          <w:tblCellMar>
            <w:top w:w="0" w:type="dxa"/>
            <w:left w:w="108" w:type="dxa"/>
            <w:bottom w:w="0" w:type="dxa"/>
            <w:right w:w="108" w:type="dxa"/>
          </w:tblCellMar>
        </w:tblPrEx>
        <w:trPr>
          <w:trHeight w:val="212"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其他商品和服务支出</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263"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三、对个人和家庭的补助</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62"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08"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17"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235"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办公设备购置</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276" w:hRule="atLeast"/>
          <w:jc w:val="center"/>
        </w:trPr>
        <w:tc>
          <w:tcPr>
            <w:tcW w:w="1837" w:type="pct"/>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center"/>
              <w:textAlignment w:val="center"/>
              <w:rPr>
                <w:rFonts w:hint="eastAsia" w:eastAsia="宋体"/>
                <w:color w:val="000000"/>
                <w:kern w:val="0"/>
                <w:sz w:val="20"/>
                <w:lang w:eastAsia="zh-CN"/>
              </w:rPr>
            </w:pPr>
            <w:r>
              <w:rPr>
                <w:rFonts w:hint="eastAsia" w:eastAsia="宋体"/>
                <w:color w:val="000000"/>
                <w:kern w:val="0"/>
                <w:sz w:val="20"/>
              </w:rPr>
              <w:t>合    计</w:t>
            </w:r>
          </w:p>
        </w:tc>
        <w:tc>
          <w:tcPr>
            <w:tcW w:w="1212"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32.23</w:t>
            </w:r>
          </w:p>
        </w:tc>
        <w:tc>
          <w:tcPr>
            <w:tcW w:w="932"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仿宋_GB2312" w:cs="Times New Roman"/>
                <w:sz w:val="20"/>
                <w:szCs w:val="20"/>
                <w:lang w:val="en-US" w:eastAsia="zh-CN"/>
              </w:rPr>
            </w:pPr>
            <w:r>
              <w:rPr>
                <w:rFonts w:hint="default" w:ascii="Times New Roman" w:hAnsi="Times New Roman" w:cs="Times New Roman"/>
                <w:sz w:val="20"/>
                <w:szCs w:val="20"/>
                <w:lang w:val="en-US" w:eastAsia="zh-CN"/>
              </w:rPr>
              <w:t>27.29</w:t>
            </w:r>
          </w:p>
        </w:tc>
        <w:tc>
          <w:tcPr>
            <w:tcW w:w="1017" w:type="pct"/>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仿宋_GB2312" w:cs="Times New Roman"/>
                <w:sz w:val="20"/>
                <w:szCs w:val="20"/>
                <w:lang w:val="en-US" w:eastAsia="zh-CN"/>
              </w:rPr>
            </w:pPr>
            <w:r>
              <w:rPr>
                <w:rFonts w:hint="default" w:ascii="Times New Roman" w:hAnsi="Times New Roman" w:cs="Times New Roman"/>
                <w:sz w:val="20"/>
                <w:szCs w:val="20"/>
                <w:lang w:val="en-US" w:eastAsia="zh-CN"/>
              </w:rPr>
              <w:t>4.94</w:t>
            </w:r>
          </w:p>
        </w:tc>
      </w:tr>
      <w:tr>
        <w:tblPrEx>
          <w:tblCellMar>
            <w:top w:w="0" w:type="dxa"/>
            <w:left w:w="108" w:type="dxa"/>
            <w:bottom w:w="0" w:type="dxa"/>
            <w:right w:w="108" w:type="dxa"/>
          </w:tblCellMar>
        </w:tblPrEx>
        <w:trPr>
          <w:trHeight w:val="583" w:hRule="atLeast"/>
          <w:jc w:val="center"/>
        </w:trPr>
        <w:tc>
          <w:tcPr>
            <w:tcW w:w="0" w:type="auto"/>
            <w:vAlign w:val="center"/>
          </w:tcPr>
          <w:p>
            <w:pPr>
              <w:autoSpaceDN w:val="0"/>
              <w:jc w:val="center"/>
              <w:textAlignment w:val="center"/>
              <w:rPr>
                <w:rFonts w:hint="eastAsia" w:ascii="Times New Roman" w:hAnsi="Times New Roman" w:eastAsia="宋体" w:cs="Times New Roman"/>
                <w:color w:val="000000"/>
                <w:kern w:val="0"/>
                <w:sz w:val="20"/>
                <w:lang w:val="en-US" w:eastAsia="zh-CN" w:bidi="ar-SA"/>
              </w:rPr>
            </w:pPr>
          </w:p>
        </w:tc>
        <w:tc>
          <w:tcPr>
            <w:tcW w:w="0" w:type="auto"/>
          </w:tcPr>
          <w:p>
            <w:pPr>
              <w:widowControl/>
              <w:jc w:val="right"/>
              <w:rPr>
                <w:rFonts w:eastAsia="宋体"/>
                <w:kern w:val="0"/>
                <w:sz w:val="20"/>
              </w:rPr>
            </w:pPr>
          </w:p>
        </w:tc>
        <w:tc>
          <w:tcPr>
            <w:tcW w:w="0" w:type="auto"/>
          </w:tcPr>
          <w:p>
            <w:pPr>
              <w:widowControl/>
              <w:jc w:val="right"/>
            </w:pPr>
          </w:p>
        </w:tc>
        <w:tc>
          <w:tcPr>
            <w:tcW w:w="0" w:type="auto"/>
          </w:tcPr>
          <w:p>
            <w:pPr>
              <w:widowControl/>
              <w:jc w:val="right"/>
            </w:pPr>
          </w:p>
        </w:tc>
      </w:tr>
    </w:tbl>
    <w:p>
      <w:pPr>
        <w:rPr>
          <w:rFonts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both"/>
              <w:rPr>
                <w:rFonts w:hint="eastAsia"/>
                <w:color w:val="000000"/>
                <w:kern w:val="0"/>
                <w:sz w:val="28"/>
                <w:szCs w:val="28"/>
                <w:lang w:val="en-US" w:eastAsia="zh-CN"/>
              </w:rPr>
            </w:pPr>
            <w:r>
              <w:rPr>
                <w:rFonts w:hint="eastAsia"/>
                <w:color w:val="000000"/>
                <w:kern w:val="0"/>
                <w:sz w:val="28"/>
                <w:szCs w:val="28"/>
                <w:lang w:val="en-US" w:eastAsia="zh-CN"/>
              </w:rPr>
              <w:t>2.“2024年预算数”的实有人员4人，其中：在职人员2人，离退休人员2</w:t>
            </w:r>
            <w:bookmarkStart w:id="0" w:name="_GoBack"/>
            <w:bookmarkEnd w:id="0"/>
            <w:r>
              <w:rPr>
                <w:rFonts w:hint="eastAsia"/>
                <w:color w:val="000000"/>
                <w:kern w:val="0"/>
                <w:sz w:val="28"/>
                <w:szCs w:val="28"/>
                <w:lang w:val="en-US" w:eastAsia="zh-CN"/>
              </w:rPr>
              <w:t>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rPr>
          <w:rFonts w:eastAsia="楷体"/>
          <w:kern w:val="0"/>
          <w:szCs w:val="32"/>
        </w:rPr>
      </w:pPr>
      <w:r>
        <w:rPr>
          <w:rFonts w:eastAsia="楷体"/>
          <w:kern w:val="0"/>
          <w:szCs w:val="32"/>
        </w:rPr>
        <w:br w:type="page"/>
      </w:r>
    </w:p>
    <w:tbl>
      <w:tblPr>
        <w:tblStyle w:val="9"/>
        <w:tblpPr w:leftFromText="180" w:rightFromText="180" w:vertAnchor="text" w:horzAnchor="page" w:tblpX="562" w:tblpY="429"/>
        <w:tblOverlap w:val="never"/>
        <w:tblW w:w="11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96"/>
        <w:gridCol w:w="1861"/>
        <w:gridCol w:w="1306"/>
        <w:gridCol w:w="683"/>
        <w:gridCol w:w="667"/>
        <w:gridCol w:w="447"/>
        <w:gridCol w:w="450"/>
        <w:gridCol w:w="598"/>
        <w:gridCol w:w="438"/>
        <w:gridCol w:w="611"/>
        <w:gridCol w:w="447"/>
        <w:gridCol w:w="449"/>
        <w:gridCol w:w="59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100" w:type="dxa"/>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7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9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6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0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8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0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7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7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657"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306"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83"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600"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87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96"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861"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1306"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83"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64"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598"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38"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5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68"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9" w:type="dxa"/>
            <w:vMerge w:val="continue"/>
            <w:noWrap w:val="0"/>
            <w:vAlign w:val="center"/>
          </w:tcPr>
          <w:p>
            <w:pPr>
              <w:autoSpaceDN w:val="0"/>
              <w:jc w:val="center"/>
              <w:textAlignment w:val="center"/>
              <w:rPr>
                <w:rFonts w:ascii="Calibri" w:hAnsi="Calibri" w:eastAsia="华文细黑"/>
                <w:color w:val="000000"/>
                <w:sz w:val="20"/>
                <w:szCs w:val="22"/>
              </w:rPr>
            </w:pPr>
          </w:p>
        </w:tc>
        <w:tc>
          <w:tcPr>
            <w:tcW w:w="796" w:type="dxa"/>
            <w:vMerge w:val="continue"/>
            <w:noWrap w:val="0"/>
            <w:vAlign w:val="center"/>
          </w:tcPr>
          <w:p>
            <w:pPr>
              <w:autoSpaceDN w:val="0"/>
              <w:jc w:val="center"/>
              <w:textAlignment w:val="center"/>
              <w:rPr>
                <w:rFonts w:ascii="Calibri" w:hAnsi="Calibri" w:eastAsia="华文细黑"/>
                <w:color w:val="000000"/>
                <w:sz w:val="20"/>
                <w:szCs w:val="22"/>
              </w:rPr>
            </w:pPr>
          </w:p>
        </w:tc>
        <w:tc>
          <w:tcPr>
            <w:tcW w:w="1861"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306" w:type="dxa"/>
            <w:vMerge w:val="continue"/>
            <w:noWrap w:val="0"/>
            <w:vAlign w:val="center"/>
          </w:tcPr>
          <w:p>
            <w:pPr>
              <w:autoSpaceDN w:val="0"/>
              <w:jc w:val="center"/>
              <w:textAlignment w:val="center"/>
              <w:rPr>
                <w:rFonts w:ascii="Calibri" w:hAnsi="Calibri" w:eastAsia="华文细黑"/>
                <w:color w:val="000000"/>
                <w:sz w:val="20"/>
                <w:szCs w:val="22"/>
              </w:rPr>
            </w:pPr>
          </w:p>
        </w:tc>
        <w:tc>
          <w:tcPr>
            <w:tcW w:w="683" w:type="dxa"/>
            <w:vMerge w:val="continue"/>
            <w:noWrap w:val="0"/>
            <w:vAlign w:val="center"/>
          </w:tcPr>
          <w:p>
            <w:pPr>
              <w:autoSpaceDN w:val="0"/>
              <w:jc w:val="center"/>
              <w:textAlignment w:val="center"/>
              <w:rPr>
                <w:rFonts w:ascii="Calibri" w:hAnsi="Calibri" w:eastAsia="华文细黑"/>
                <w:color w:val="000000"/>
                <w:sz w:val="20"/>
                <w:szCs w:val="22"/>
              </w:rPr>
            </w:pPr>
          </w:p>
        </w:tc>
        <w:tc>
          <w:tcPr>
            <w:tcW w:w="66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4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59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3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611"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47"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49"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98"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770"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79" w:type="dxa"/>
            <w:noWrap w:val="0"/>
            <w:vAlign w:val="center"/>
          </w:tcPr>
          <w:p>
            <w:pPr>
              <w:spacing w:line="360" w:lineRule="auto"/>
              <w:jc w:val="center"/>
              <w:rPr>
                <w:rFonts w:hint="eastAsia" w:ascii="Times New Roman" w:hAnsi="Times New Roman" w:eastAsia="仿宋_GB2312" w:cs="Times New Roman"/>
                <w:kern w:val="2"/>
                <w:sz w:val="32"/>
                <w:lang w:val="en-US" w:eastAsia="zh-CN" w:bidi="ar-SA"/>
              </w:rPr>
            </w:pPr>
            <w:r>
              <w:rPr>
                <w:rFonts w:hint="eastAsia" w:ascii="宋体" w:hAnsi="宋体" w:eastAsia="宋体" w:cs="宋体"/>
                <w:kern w:val="0"/>
                <w:sz w:val="20"/>
                <w:szCs w:val="20"/>
                <w:lang w:eastAsia="zh-CN"/>
              </w:rPr>
              <w:t>专项业务支出</w:t>
            </w:r>
          </w:p>
        </w:tc>
        <w:tc>
          <w:tcPr>
            <w:tcW w:w="796" w:type="dxa"/>
            <w:noWrap w:val="0"/>
            <w:vAlign w:val="center"/>
          </w:tcPr>
          <w:p>
            <w:pPr>
              <w:spacing w:line="360" w:lineRule="auto"/>
              <w:jc w:val="center"/>
              <w:rPr>
                <w:rFonts w:hint="eastAsia" w:ascii="宋体" w:hAnsi="宋体" w:eastAsia="宋体" w:cs="宋体"/>
                <w:kern w:val="0"/>
                <w:sz w:val="20"/>
                <w:szCs w:val="20"/>
              </w:rPr>
            </w:pPr>
          </w:p>
        </w:tc>
        <w:tc>
          <w:tcPr>
            <w:tcW w:w="1861" w:type="dxa"/>
            <w:noWrap w:val="0"/>
            <w:vAlign w:val="center"/>
          </w:tcPr>
          <w:p>
            <w:pPr>
              <w:spacing w:line="360" w:lineRule="auto"/>
              <w:jc w:val="center"/>
              <w:rPr>
                <w:rFonts w:hint="eastAsia" w:ascii="宋体" w:hAnsi="宋体" w:eastAsia="宋体" w:cs="宋体"/>
                <w:kern w:val="0"/>
                <w:sz w:val="20"/>
                <w:szCs w:val="20"/>
              </w:rPr>
            </w:pPr>
          </w:p>
        </w:tc>
        <w:tc>
          <w:tcPr>
            <w:tcW w:w="1306" w:type="dxa"/>
            <w:noWrap w:val="0"/>
            <w:vAlign w:val="center"/>
          </w:tcPr>
          <w:p>
            <w:pPr>
              <w:spacing w:line="360" w:lineRule="auto"/>
              <w:jc w:val="center"/>
              <w:rPr>
                <w:rFonts w:hint="eastAsia" w:ascii="宋体" w:hAnsi="宋体" w:eastAsia="宋体" w:cs="宋体"/>
                <w:kern w:val="0"/>
                <w:sz w:val="20"/>
                <w:szCs w:val="20"/>
              </w:rPr>
            </w:pPr>
          </w:p>
        </w:tc>
        <w:tc>
          <w:tcPr>
            <w:tcW w:w="683"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667"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447" w:type="dxa"/>
            <w:noWrap w:val="0"/>
            <w:vAlign w:val="center"/>
          </w:tcPr>
          <w:p>
            <w:pPr>
              <w:spacing w:line="360" w:lineRule="auto"/>
              <w:jc w:val="center"/>
              <w:rPr>
                <w:rFonts w:hint="default" w:eastAsia="宋体" w:cs="Times New Roman"/>
                <w:kern w:val="0"/>
                <w:sz w:val="20"/>
                <w:szCs w:val="20"/>
                <w:lang w:val="en-US" w:eastAsia="zh-CN"/>
              </w:rPr>
            </w:pPr>
          </w:p>
        </w:tc>
        <w:tc>
          <w:tcPr>
            <w:tcW w:w="450"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3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61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70"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79" w:type="dxa"/>
            <w:noWrap w:val="0"/>
            <w:vAlign w:val="center"/>
          </w:tcPr>
          <w:p>
            <w:pPr>
              <w:spacing w:line="360" w:lineRule="auto"/>
              <w:jc w:val="center"/>
              <w:rPr>
                <w:rFonts w:hint="eastAsia" w:ascii="宋体" w:hAnsi="宋体" w:eastAsia="宋体" w:cs="宋体"/>
                <w:kern w:val="0"/>
                <w:sz w:val="20"/>
                <w:szCs w:val="20"/>
              </w:rPr>
            </w:pPr>
          </w:p>
        </w:tc>
        <w:tc>
          <w:tcPr>
            <w:tcW w:w="796" w:type="dxa"/>
            <w:noWrap w:val="0"/>
            <w:vAlign w:val="center"/>
          </w:tcPr>
          <w:p>
            <w:pPr>
              <w:spacing w:line="36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统计抽样调查</w:t>
            </w:r>
          </w:p>
        </w:tc>
        <w:tc>
          <w:tcPr>
            <w:tcW w:w="1861" w:type="dxa"/>
            <w:noWrap w:val="0"/>
            <w:vAlign w:val="center"/>
          </w:tcPr>
          <w:p>
            <w:pPr>
              <w:spacing w:line="360" w:lineRule="auto"/>
              <w:jc w:val="center"/>
              <w:rPr>
                <w:rFonts w:hint="eastAsia" w:ascii="宋体" w:hAnsi="宋体" w:eastAsia="宋体" w:cs="宋体"/>
                <w:kern w:val="0"/>
                <w:sz w:val="20"/>
                <w:szCs w:val="20"/>
              </w:rPr>
            </w:pPr>
          </w:p>
        </w:tc>
        <w:tc>
          <w:tcPr>
            <w:tcW w:w="1306" w:type="dxa"/>
            <w:noWrap w:val="0"/>
            <w:vAlign w:val="center"/>
          </w:tcPr>
          <w:p>
            <w:pPr>
              <w:spacing w:line="360" w:lineRule="auto"/>
              <w:jc w:val="center"/>
              <w:rPr>
                <w:rFonts w:hint="eastAsia" w:ascii="宋体" w:hAnsi="宋体" w:eastAsia="宋体" w:cs="宋体"/>
                <w:kern w:val="0"/>
                <w:sz w:val="20"/>
                <w:szCs w:val="20"/>
              </w:rPr>
            </w:pPr>
          </w:p>
        </w:tc>
        <w:tc>
          <w:tcPr>
            <w:tcW w:w="683"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667"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447"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50"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3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61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70"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79" w:type="dxa"/>
            <w:noWrap w:val="0"/>
            <w:vAlign w:val="center"/>
          </w:tcPr>
          <w:p>
            <w:pPr>
              <w:spacing w:line="360" w:lineRule="auto"/>
              <w:jc w:val="center"/>
              <w:rPr>
                <w:rFonts w:hint="eastAsia" w:ascii="宋体" w:hAnsi="宋体" w:eastAsia="宋体" w:cs="宋体"/>
                <w:kern w:val="0"/>
                <w:sz w:val="20"/>
                <w:szCs w:val="20"/>
              </w:rPr>
            </w:pPr>
          </w:p>
        </w:tc>
        <w:tc>
          <w:tcPr>
            <w:tcW w:w="796" w:type="dxa"/>
            <w:noWrap w:val="0"/>
            <w:vAlign w:val="center"/>
          </w:tcPr>
          <w:p>
            <w:pPr>
              <w:spacing w:line="360" w:lineRule="auto"/>
              <w:jc w:val="center"/>
              <w:rPr>
                <w:rFonts w:hint="eastAsia" w:ascii="宋体" w:hAnsi="宋体" w:eastAsia="宋体" w:cs="宋体"/>
                <w:kern w:val="0"/>
                <w:sz w:val="20"/>
                <w:szCs w:val="20"/>
              </w:rPr>
            </w:pPr>
          </w:p>
        </w:tc>
        <w:tc>
          <w:tcPr>
            <w:tcW w:w="1861" w:type="dxa"/>
            <w:noWrap w:val="0"/>
            <w:vAlign w:val="center"/>
          </w:tcPr>
          <w:p>
            <w:pPr>
              <w:spacing w:line="36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全省地方点城乡居民住户调查及专项调查工作经费</w:t>
            </w:r>
          </w:p>
        </w:tc>
        <w:tc>
          <w:tcPr>
            <w:tcW w:w="1306" w:type="dxa"/>
            <w:noWrap w:val="0"/>
            <w:vAlign w:val="center"/>
          </w:tcPr>
          <w:p>
            <w:pPr>
              <w:spacing w:line="360" w:lineRule="auto"/>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吉林省统计局柳河县农村社会经济调查队</w:t>
            </w:r>
          </w:p>
        </w:tc>
        <w:tc>
          <w:tcPr>
            <w:tcW w:w="683"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667"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447"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50"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3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61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70" w:type="dxa"/>
            <w:noWrap w:val="0"/>
            <w:vAlign w:val="center"/>
          </w:tcPr>
          <w:p>
            <w:pPr>
              <w:spacing w:line="360" w:lineRule="auto"/>
              <w:jc w:val="center"/>
              <w:rPr>
                <w:rFonts w:hint="default"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9" w:type="dxa"/>
            <w:noWrap w:val="0"/>
            <w:vAlign w:val="center"/>
          </w:tcPr>
          <w:p>
            <w:pPr>
              <w:autoSpaceDN w:val="0"/>
              <w:spacing w:line="36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796" w:type="dxa"/>
            <w:noWrap w:val="0"/>
            <w:vAlign w:val="center"/>
          </w:tcPr>
          <w:p>
            <w:pPr>
              <w:autoSpaceDN w:val="0"/>
              <w:spacing w:line="360" w:lineRule="auto"/>
              <w:jc w:val="center"/>
              <w:textAlignment w:val="center"/>
              <w:rPr>
                <w:rFonts w:hint="eastAsia" w:ascii="宋体" w:hAnsi="宋体" w:eastAsia="宋体" w:cs="宋体"/>
                <w:color w:val="000000"/>
                <w:sz w:val="20"/>
                <w:szCs w:val="20"/>
              </w:rPr>
            </w:pPr>
          </w:p>
        </w:tc>
        <w:tc>
          <w:tcPr>
            <w:tcW w:w="1861" w:type="dxa"/>
            <w:noWrap w:val="0"/>
            <w:vAlign w:val="center"/>
          </w:tcPr>
          <w:p>
            <w:pPr>
              <w:spacing w:line="360" w:lineRule="auto"/>
              <w:jc w:val="center"/>
              <w:rPr>
                <w:rFonts w:hint="eastAsia" w:ascii="宋体" w:hAnsi="宋体" w:eastAsia="宋体" w:cs="宋体"/>
                <w:kern w:val="0"/>
                <w:sz w:val="20"/>
                <w:szCs w:val="20"/>
              </w:rPr>
            </w:pPr>
          </w:p>
        </w:tc>
        <w:tc>
          <w:tcPr>
            <w:tcW w:w="1306" w:type="dxa"/>
            <w:noWrap w:val="0"/>
            <w:vAlign w:val="center"/>
          </w:tcPr>
          <w:p>
            <w:pPr>
              <w:spacing w:line="360" w:lineRule="auto"/>
              <w:jc w:val="center"/>
              <w:rPr>
                <w:rFonts w:hint="eastAsia" w:ascii="宋体" w:hAnsi="宋体" w:eastAsia="宋体" w:cs="宋体"/>
                <w:kern w:val="0"/>
                <w:sz w:val="20"/>
                <w:szCs w:val="20"/>
              </w:rPr>
            </w:pPr>
          </w:p>
        </w:tc>
        <w:tc>
          <w:tcPr>
            <w:tcW w:w="683"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667"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21.00</w:t>
            </w:r>
          </w:p>
        </w:tc>
        <w:tc>
          <w:tcPr>
            <w:tcW w:w="447" w:type="dxa"/>
            <w:noWrap w:val="0"/>
            <w:vAlign w:val="center"/>
          </w:tcPr>
          <w:p>
            <w:pPr>
              <w:spacing w:line="360" w:lineRule="auto"/>
              <w:jc w:val="center"/>
              <w:rPr>
                <w:rFonts w:hint="default" w:ascii="Times New Roman" w:hAnsi="Times New Roman" w:eastAsia="宋体" w:cs="Times New Roman"/>
                <w:kern w:val="0"/>
                <w:sz w:val="20"/>
                <w:szCs w:val="20"/>
                <w:lang w:val="en-US" w:eastAsia="zh-CN"/>
              </w:rPr>
            </w:pPr>
          </w:p>
        </w:tc>
        <w:tc>
          <w:tcPr>
            <w:tcW w:w="450"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3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611"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7" w:type="dxa"/>
            <w:noWrap w:val="0"/>
            <w:vAlign w:val="center"/>
          </w:tcPr>
          <w:p>
            <w:pPr>
              <w:spacing w:line="360" w:lineRule="auto"/>
              <w:jc w:val="center"/>
              <w:rPr>
                <w:rFonts w:hint="default" w:ascii="Times New Roman" w:hAnsi="Times New Roman" w:eastAsia="宋体" w:cs="Times New Roman"/>
                <w:kern w:val="0"/>
                <w:sz w:val="20"/>
                <w:szCs w:val="20"/>
              </w:rPr>
            </w:pPr>
          </w:p>
        </w:tc>
        <w:tc>
          <w:tcPr>
            <w:tcW w:w="449" w:type="dxa"/>
            <w:noWrap w:val="0"/>
            <w:vAlign w:val="center"/>
          </w:tcPr>
          <w:p>
            <w:pPr>
              <w:spacing w:line="360" w:lineRule="auto"/>
              <w:jc w:val="center"/>
              <w:rPr>
                <w:rFonts w:hint="default" w:ascii="Times New Roman" w:hAnsi="Times New Roman" w:eastAsia="宋体" w:cs="Times New Roman"/>
                <w:kern w:val="0"/>
                <w:sz w:val="20"/>
                <w:szCs w:val="20"/>
              </w:rPr>
            </w:pPr>
          </w:p>
        </w:tc>
        <w:tc>
          <w:tcPr>
            <w:tcW w:w="598" w:type="dxa"/>
            <w:noWrap w:val="0"/>
            <w:vAlign w:val="center"/>
          </w:tcPr>
          <w:p>
            <w:pPr>
              <w:spacing w:line="360" w:lineRule="auto"/>
              <w:jc w:val="center"/>
              <w:rPr>
                <w:rFonts w:hint="default" w:ascii="Times New Roman" w:hAnsi="Times New Roman" w:eastAsia="宋体" w:cs="Times New Roman"/>
                <w:kern w:val="0"/>
                <w:sz w:val="20"/>
                <w:szCs w:val="20"/>
              </w:rPr>
            </w:pPr>
          </w:p>
        </w:tc>
        <w:tc>
          <w:tcPr>
            <w:tcW w:w="770" w:type="dxa"/>
            <w:noWrap w:val="0"/>
            <w:vAlign w:val="center"/>
          </w:tcPr>
          <w:p>
            <w:pPr>
              <w:spacing w:line="360" w:lineRule="auto"/>
              <w:jc w:val="center"/>
              <w:rPr>
                <w:rFonts w:hint="default" w:ascii="Times New Roman" w:hAnsi="Times New Roman" w:eastAsia="宋体" w:cs="Times New Roman"/>
                <w:kern w:val="0"/>
                <w:sz w:val="20"/>
                <w:szCs w:val="20"/>
              </w:rPr>
            </w:pPr>
          </w:p>
        </w:tc>
      </w:tr>
    </w:tbl>
    <w:p>
      <w:pPr>
        <w:rPr>
          <w:rFonts w:eastAsia="楷体"/>
          <w:kern w:val="0"/>
          <w:szCs w:val="32"/>
        </w:rPr>
      </w:pPr>
    </w:p>
    <w:tbl>
      <w:tblPr>
        <w:tblStyle w:val="10"/>
        <w:tblpPr w:leftFromText="180" w:rightFromText="180" w:vertAnchor="text" w:horzAnchor="page" w:tblpX="1085" w:tblpY="-8375"/>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459"/>
        <w:gridCol w:w="758"/>
        <w:gridCol w:w="756"/>
        <w:gridCol w:w="814"/>
        <w:gridCol w:w="833"/>
        <w:gridCol w:w="1208"/>
        <w:gridCol w:w="117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10000" w:type="dxa"/>
            <w:gridSpan w:val="9"/>
            <w:tcBorders>
              <w:top w:val="nil"/>
              <w:left w:val="nil"/>
              <w:bottom w:val="nil"/>
              <w:right w:val="nil"/>
            </w:tcBorders>
            <w:noWrap w:val="0"/>
            <w:vAlign w:val="center"/>
          </w:tcPr>
          <w:p>
            <w:pPr>
              <w:spacing w:line="240" w:lineRule="auto"/>
              <w:jc w:val="both"/>
              <w:rPr>
                <w:rFonts w:hint="eastAsia" w:ascii="Calibri" w:hAnsi="Calibri" w:eastAsia="方正小标宋简体" w:cs="Times New Roman"/>
                <w:kern w:val="0"/>
                <w:sz w:val="44"/>
                <w:szCs w:val="44"/>
                <w:lang w:eastAsia="zh-CN"/>
              </w:rPr>
            </w:pPr>
          </w:p>
          <w:p>
            <w:pPr>
              <w:spacing w:line="240" w:lineRule="auto"/>
              <w:jc w:val="both"/>
              <w:rPr>
                <w:rFonts w:hint="eastAsia" w:ascii="Calibri" w:hAnsi="Calibri" w:eastAsia="方正小标宋简体" w:cs="Times New Roman"/>
                <w:kern w:val="0"/>
                <w:sz w:val="44"/>
                <w:szCs w:val="44"/>
                <w:lang w:eastAsia="zh-CN"/>
              </w:rPr>
            </w:pPr>
          </w:p>
          <w:p>
            <w:pPr>
              <w:spacing w:line="240" w:lineRule="auto"/>
              <w:jc w:val="both"/>
              <w:rPr>
                <w:rFonts w:hint="eastAsia" w:ascii="Calibri" w:hAnsi="Calibri" w:eastAsia="方正小标宋简体" w:cs="Times New Roman"/>
                <w:kern w:val="0"/>
                <w:sz w:val="44"/>
                <w:szCs w:val="44"/>
                <w:lang w:eastAsia="zh-CN"/>
              </w:rPr>
            </w:pPr>
          </w:p>
          <w:p>
            <w:pPr>
              <w:spacing w:line="240" w:lineRule="auto"/>
              <w:jc w:val="both"/>
              <w:rPr>
                <w:rFonts w:hint="eastAsia" w:ascii="Calibri" w:hAnsi="Calibri" w:eastAsia="方正小标宋简体" w:cs="Times New Roman"/>
                <w:kern w:val="0"/>
                <w:sz w:val="44"/>
                <w:szCs w:val="44"/>
                <w:lang w:eastAsia="zh-CN"/>
              </w:rPr>
            </w:pPr>
          </w:p>
          <w:p>
            <w:pPr>
              <w:spacing w:line="240" w:lineRule="auto"/>
              <w:jc w:val="both"/>
              <w:rPr>
                <w:rFonts w:hint="eastAsia" w:ascii="Calibri" w:hAnsi="Calibri" w:eastAsia="方正小标宋简体" w:cs="Times New Roman"/>
                <w:kern w:val="0"/>
                <w:sz w:val="44"/>
                <w:szCs w:val="44"/>
                <w:lang w:eastAsia="zh-CN"/>
              </w:rPr>
            </w:pPr>
          </w:p>
          <w:p>
            <w:pPr>
              <w:spacing w:line="240" w:lineRule="auto"/>
              <w:ind w:firstLine="2200" w:firstLineChars="500"/>
              <w:jc w:val="both"/>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00" w:type="dxa"/>
            <w:gridSpan w:val="9"/>
            <w:tcBorders>
              <w:top w:val="nil"/>
              <w:left w:val="nil"/>
              <w:bottom w:val="single" w:color="auto" w:sz="4" w:space="0"/>
              <w:right w:val="nil"/>
            </w:tcBorders>
            <w:noWrap w:val="0"/>
            <w:vAlign w:val="bottom"/>
          </w:tcPr>
          <w:p>
            <w:pPr>
              <w:spacing w:line="240" w:lineRule="auto"/>
              <w:jc w:val="right"/>
              <w:rPr>
                <w:rFonts w:ascii="Calibri" w:hAnsi="Calibri" w:eastAsia="华文细黑" w:cs="Times New Roman"/>
                <w:color w:val="000000"/>
                <w:kern w:val="0"/>
                <w:sz w:val="20"/>
                <w:szCs w:val="22"/>
              </w:rPr>
            </w:pPr>
          </w:p>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065"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459"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委托事项内容</w:t>
            </w:r>
          </w:p>
        </w:tc>
        <w:tc>
          <w:tcPr>
            <w:tcW w:w="3161"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208"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177"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930"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2065"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59"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75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814"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833"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208"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177"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930"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65"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65"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459"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5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1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3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20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17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rPr>
          <w:rFonts w:hAnsi="楷体" w:eastAsia="楷体"/>
        </w:rPr>
      </w:pPr>
    </w:p>
    <w:tbl>
      <w:tblPr>
        <w:tblStyle w:val="10"/>
        <w:tblW w:w="10728"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00"/>
        <w:gridCol w:w="1066"/>
        <w:gridCol w:w="1284"/>
        <w:gridCol w:w="800"/>
        <w:gridCol w:w="716"/>
        <w:gridCol w:w="667"/>
        <w:gridCol w:w="2743"/>
        <w:gridCol w:w="72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0728"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方正小标宋简体" w:cs="Times New Roman"/>
                <w:kern w:val="0"/>
                <w:sz w:val="44"/>
                <w:szCs w:val="44"/>
              </w:rPr>
            </w:pP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00"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吉林省统计局柳河县农村社会经济调查队</w:t>
            </w:r>
          </w:p>
        </w:tc>
        <w:tc>
          <w:tcPr>
            <w:tcW w:w="1100"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全省地方点城乡居民住户调查及专项调查工作经费</w:t>
            </w:r>
          </w:p>
        </w:tc>
        <w:tc>
          <w:tcPr>
            <w:tcW w:w="1066"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21.00</w:t>
            </w:r>
          </w:p>
        </w:tc>
        <w:tc>
          <w:tcPr>
            <w:tcW w:w="1284"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为了更好的完成城乡住户调查工作，保质保量完成两项收入调查工作，为政府决策提供依据。</w:t>
            </w:r>
          </w:p>
        </w:tc>
        <w:tc>
          <w:tcPr>
            <w:tcW w:w="80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1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67"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调查户登记补贴发放人数</w:t>
            </w:r>
          </w:p>
        </w:tc>
        <w:tc>
          <w:tcPr>
            <w:tcW w:w="2743"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反映发放调查户登记补贴的人数情况。</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170人</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0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67"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调查户登记补贴发放准确率</w:t>
            </w:r>
          </w:p>
        </w:tc>
        <w:tc>
          <w:tcPr>
            <w:tcW w:w="2743"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反映调查户登记补贴发放对象和数额准确的情况</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=100%</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0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1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67"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发放补助费时间</w:t>
            </w:r>
          </w:p>
        </w:tc>
        <w:tc>
          <w:tcPr>
            <w:tcW w:w="2743"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反映12月31日前按季度发放记账户、辅助调查员补助费时间</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12月31日前</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0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16"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67"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调查户登记补贴发放覆盖率</w:t>
            </w:r>
          </w:p>
        </w:tc>
        <w:tc>
          <w:tcPr>
            <w:tcW w:w="2743"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反映调查户登记补贴发放覆盖的情况</w:t>
            </w:r>
          </w:p>
        </w:tc>
        <w:tc>
          <w:tcPr>
            <w:tcW w:w="720"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=100%</w:t>
            </w:r>
          </w:p>
        </w:tc>
        <w:tc>
          <w:tcPr>
            <w:tcW w:w="73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40</w:t>
            </w:r>
          </w:p>
        </w:tc>
      </w:tr>
    </w:tbl>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szCs w:val="32"/>
          <w:lang w:val="en-US" w:eastAsia="zh-CN"/>
        </w:rPr>
      </w:pPr>
      <w:r>
        <w:rPr>
          <w:szCs w:val="32"/>
        </w:rPr>
        <w:t>按照综合预算的原则，所有收入和支出全部纳入</w:t>
      </w:r>
      <w:r>
        <w:rPr>
          <w:rFonts w:hint="eastAsia"/>
          <w:szCs w:val="32"/>
          <w:lang w:eastAsia="zh-CN"/>
        </w:rPr>
        <w:t>单位</w:t>
      </w:r>
      <w:r>
        <w:rPr>
          <w:szCs w:val="32"/>
        </w:rPr>
        <w:t>预算管理。收入包括：一般公共预算拨款收入</w:t>
      </w:r>
      <w:r>
        <w:rPr>
          <w:rFonts w:hint="eastAsia"/>
          <w:szCs w:val="32"/>
          <w:lang w:eastAsia="zh-CN"/>
        </w:rPr>
        <w:t>、上年结转</w:t>
      </w:r>
      <w:r>
        <w:rPr>
          <w:szCs w:val="32"/>
        </w:rPr>
        <w:t>；支出包括：一般公共服务支出、社会保障和就业支出、</w:t>
      </w:r>
      <w:r>
        <w:rPr>
          <w:rFonts w:hint="eastAsia"/>
          <w:szCs w:val="32"/>
          <w:lang w:eastAsia="zh-CN"/>
        </w:rPr>
        <w:t>卫生健康</w:t>
      </w:r>
      <w:r>
        <w:rPr>
          <w:szCs w:val="32"/>
        </w:rPr>
        <w:t>支出、住房保障支出。20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53.23</w:t>
      </w:r>
      <w:r>
        <w:rPr>
          <w:szCs w:val="32"/>
        </w:rPr>
        <w:t>万元</w:t>
      </w:r>
      <w:r>
        <w:rPr>
          <w:rFonts w:hint="eastAsia"/>
          <w:szCs w:val="32"/>
          <w:lang w:eastAsia="zh-CN"/>
        </w:rPr>
        <w:t>，其中：本年预算</w:t>
      </w:r>
      <w:r>
        <w:rPr>
          <w:rFonts w:hint="eastAsia"/>
          <w:szCs w:val="32"/>
          <w:lang w:val="en-US" w:eastAsia="zh-CN"/>
        </w:rPr>
        <w:t>51.44</w:t>
      </w:r>
      <w:r>
        <w:rPr>
          <w:rFonts w:hint="eastAsia"/>
          <w:szCs w:val="32"/>
          <w:lang w:eastAsia="zh-CN"/>
        </w:rPr>
        <w:t>万元；上年结转</w:t>
      </w:r>
      <w:r>
        <w:rPr>
          <w:rFonts w:hint="eastAsia"/>
          <w:szCs w:val="32"/>
          <w:lang w:val="en-US" w:eastAsia="zh-CN"/>
        </w:rPr>
        <w:t>1.79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2.78</w:t>
      </w:r>
      <w:r>
        <w:rPr>
          <w:szCs w:val="32"/>
        </w:rPr>
        <w:t>万元，主要原因是</w:t>
      </w:r>
      <w:r>
        <w:rPr>
          <w:rFonts w:hint="eastAsia"/>
          <w:szCs w:val="32"/>
          <w:lang w:eastAsia="zh-CN"/>
        </w:rPr>
        <w:t>本年预算中人员经费增加</w:t>
      </w:r>
      <w:r>
        <w:rPr>
          <w:rFonts w:hint="eastAsia"/>
          <w:szCs w:val="32"/>
          <w:lang w:val="en-US" w:eastAsia="zh-CN"/>
        </w:rPr>
        <w:t xml:space="preserve">。    </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53.23</w:t>
      </w:r>
      <w:r>
        <w:rPr>
          <w:szCs w:val="32"/>
        </w:rPr>
        <w:t>万元，其中：本年收入</w:t>
      </w:r>
      <w:r>
        <w:rPr>
          <w:rFonts w:hint="eastAsia"/>
          <w:szCs w:val="32"/>
          <w:lang w:val="en-US" w:eastAsia="zh-CN"/>
        </w:rPr>
        <w:t>51.44</w:t>
      </w:r>
      <w:r>
        <w:rPr>
          <w:szCs w:val="32"/>
        </w:rPr>
        <w:t>万元，占</w:t>
      </w:r>
      <w:r>
        <w:rPr>
          <w:rFonts w:hint="eastAsia"/>
          <w:szCs w:val="32"/>
          <w:lang w:val="en-US" w:eastAsia="zh-CN"/>
        </w:rPr>
        <w:t>96.64</w:t>
      </w:r>
      <w:r>
        <w:rPr>
          <w:szCs w:val="32"/>
        </w:rPr>
        <w:t>%；上年结转</w:t>
      </w:r>
      <w:r>
        <w:rPr>
          <w:rFonts w:hint="eastAsia"/>
          <w:szCs w:val="32"/>
          <w:lang w:eastAsia="zh-CN"/>
        </w:rPr>
        <w:t>结余</w:t>
      </w:r>
      <w:r>
        <w:rPr>
          <w:rFonts w:hint="eastAsia"/>
          <w:szCs w:val="32"/>
          <w:lang w:val="en-US" w:eastAsia="zh-CN"/>
        </w:rPr>
        <w:t>1.79</w:t>
      </w:r>
      <w:r>
        <w:rPr>
          <w:szCs w:val="32"/>
        </w:rPr>
        <w:t>万元，占</w:t>
      </w:r>
      <w:r>
        <w:rPr>
          <w:rFonts w:hint="eastAsia"/>
          <w:szCs w:val="32"/>
          <w:lang w:val="en-US" w:eastAsia="zh-CN"/>
        </w:rPr>
        <w:t>3.36</w:t>
      </w:r>
      <w:r>
        <w:rPr>
          <w:szCs w:val="32"/>
        </w:rPr>
        <w:t>%。本年收入中，一般公共预算拨款收入</w:t>
      </w:r>
      <w:r>
        <w:rPr>
          <w:rFonts w:hint="eastAsia"/>
          <w:szCs w:val="32"/>
          <w:lang w:val="en-US" w:eastAsia="zh-CN"/>
        </w:rPr>
        <w:t>51.44</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rPr>
        <w:t>中，一般公共预算拨款结转</w:t>
      </w:r>
      <w:r>
        <w:rPr>
          <w:rFonts w:hint="eastAsia"/>
          <w:szCs w:val="32"/>
          <w:lang w:val="en-US" w:eastAsia="zh-CN"/>
        </w:rPr>
        <w:t>1.79</w:t>
      </w:r>
      <w:r>
        <w:rPr>
          <w:szCs w:val="32"/>
        </w:rPr>
        <w:t>万元，占</w:t>
      </w:r>
      <w:r>
        <w:rPr>
          <w:rFonts w:hint="eastAsia"/>
          <w:szCs w:val="32"/>
          <w:lang w:val="en-US" w:eastAsia="zh-CN"/>
        </w:rPr>
        <w:t>100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53.23</w:t>
      </w:r>
      <w:r>
        <w:rPr>
          <w:szCs w:val="32"/>
        </w:rPr>
        <w:t>万元，其中：基本支出</w:t>
      </w:r>
      <w:r>
        <w:rPr>
          <w:rFonts w:hint="eastAsia"/>
          <w:szCs w:val="32"/>
          <w:lang w:val="en-US" w:eastAsia="zh-CN"/>
        </w:rPr>
        <w:t>32.23</w:t>
      </w:r>
      <w:r>
        <w:rPr>
          <w:szCs w:val="32"/>
        </w:rPr>
        <w:t>万元，占</w:t>
      </w:r>
      <w:r>
        <w:rPr>
          <w:rFonts w:hint="eastAsia"/>
          <w:szCs w:val="32"/>
          <w:lang w:val="en-US" w:eastAsia="zh-CN"/>
        </w:rPr>
        <w:t>60.55</w:t>
      </w:r>
      <w:r>
        <w:rPr>
          <w:szCs w:val="32"/>
        </w:rPr>
        <w:t>%；项目支出</w:t>
      </w:r>
      <w:r>
        <w:rPr>
          <w:rFonts w:hint="eastAsia"/>
          <w:szCs w:val="32"/>
          <w:lang w:val="en-US" w:eastAsia="zh-CN"/>
        </w:rPr>
        <w:t>21.00</w:t>
      </w:r>
      <w:r>
        <w:rPr>
          <w:szCs w:val="32"/>
        </w:rPr>
        <w:t>万元，占</w:t>
      </w:r>
      <w:r>
        <w:rPr>
          <w:rFonts w:hint="eastAsia"/>
          <w:szCs w:val="32"/>
          <w:lang w:val="en-US" w:eastAsia="zh-CN"/>
        </w:rPr>
        <w:t>39.45</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rFonts w:eastAsia="楷体"/>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53.23</w:t>
      </w:r>
      <w:r>
        <w:rPr>
          <w:szCs w:val="32"/>
        </w:rPr>
        <w:t>万元，其中：</w:t>
      </w:r>
      <w:r>
        <w:rPr>
          <w:rFonts w:hint="eastAsia"/>
          <w:szCs w:val="32"/>
        </w:rPr>
        <w:t>本年</w:t>
      </w:r>
      <w:r>
        <w:rPr>
          <w:rFonts w:hint="eastAsia"/>
          <w:szCs w:val="32"/>
          <w:lang w:eastAsia="zh-CN"/>
        </w:rPr>
        <w:t>预算</w:t>
      </w:r>
      <w:r>
        <w:rPr>
          <w:rFonts w:hint="eastAsia"/>
          <w:szCs w:val="32"/>
          <w:lang w:val="en-US" w:eastAsia="zh-CN"/>
        </w:rPr>
        <w:t>51.44</w:t>
      </w:r>
      <w:r>
        <w:rPr>
          <w:szCs w:val="32"/>
        </w:rPr>
        <w:t>万元</w:t>
      </w:r>
      <w:r>
        <w:rPr>
          <w:rFonts w:hint="eastAsia"/>
          <w:szCs w:val="32"/>
        </w:rPr>
        <w:t>，上年结转</w:t>
      </w:r>
      <w:r>
        <w:rPr>
          <w:rFonts w:hint="eastAsia"/>
          <w:szCs w:val="32"/>
          <w:lang w:val="en-US" w:eastAsia="zh-CN"/>
        </w:rPr>
        <w:t>1.79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45.51</w:t>
      </w:r>
      <w:r>
        <w:rPr>
          <w:szCs w:val="32"/>
        </w:rPr>
        <w:t>万元，</w:t>
      </w:r>
      <w:r>
        <w:rPr>
          <w:kern w:val="0"/>
          <w:szCs w:val="32"/>
        </w:rPr>
        <w:t>社会保障和就业支出</w:t>
      </w:r>
      <w:r>
        <w:rPr>
          <w:rFonts w:hint="eastAsia"/>
          <w:szCs w:val="32"/>
          <w:lang w:val="en-US" w:eastAsia="zh-CN"/>
        </w:rPr>
        <w:t>5.06</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0.88</w:t>
      </w:r>
      <w:r>
        <w:rPr>
          <w:szCs w:val="32"/>
        </w:rPr>
        <w:t>万元，</w:t>
      </w:r>
      <w:r>
        <w:rPr>
          <w:kern w:val="0"/>
          <w:szCs w:val="32"/>
        </w:rPr>
        <w:t>住房保障支出</w:t>
      </w:r>
      <w:r>
        <w:rPr>
          <w:rFonts w:hint="eastAsia"/>
          <w:szCs w:val="32"/>
          <w:lang w:val="en-US" w:eastAsia="zh-CN"/>
        </w:rPr>
        <w:t>1.78</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53.23</w:t>
      </w:r>
      <w:r>
        <w:rPr>
          <w:szCs w:val="32"/>
        </w:rPr>
        <w:t>万元，其中：基本支出</w:t>
      </w:r>
      <w:r>
        <w:rPr>
          <w:rFonts w:hint="eastAsia"/>
          <w:szCs w:val="32"/>
          <w:lang w:val="en-US" w:eastAsia="zh-CN"/>
        </w:rPr>
        <w:t>32.23</w:t>
      </w:r>
      <w:r>
        <w:rPr>
          <w:szCs w:val="32"/>
        </w:rPr>
        <w:t>万元，占</w:t>
      </w:r>
      <w:r>
        <w:rPr>
          <w:rFonts w:hint="eastAsia"/>
          <w:szCs w:val="32"/>
          <w:lang w:val="en-US" w:eastAsia="zh-CN"/>
        </w:rPr>
        <w:t>60.55</w:t>
      </w:r>
      <w:r>
        <w:rPr>
          <w:szCs w:val="32"/>
        </w:rPr>
        <w:t>%；项目支出</w:t>
      </w:r>
      <w:r>
        <w:rPr>
          <w:rFonts w:hint="eastAsia"/>
          <w:szCs w:val="32"/>
          <w:lang w:val="en-US" w:eastAsia="zh-CN"/>
        </w:rPr>
        <w:t>21.00</w:t>
      </w:r>
      <w:r>
        <w:rPr>
          <w:szCs w:val="32"/>
        </w:rPr>
        <w:t>万元，占</w:t>
      </w:r>
      <w:r>
        <w:rPr>
          <w:rFonts w:hint="eastAsia"/>
          <w:szCs w:val="32"/>
          <w:lang w:val="en-US" w:eastAsia="zh-CN"/>
        </w:rPr>
        <w:t>39.45</w:t>
      </w:r>
      <w:r>
        <w:rPr>
          <w:szCs w:val="32"/>
        </w:rPr>
        <w:t>%。基本支出中，人员经费</w:t>
      </w:r>
      <w:r>
        <w:rPr>
          <w:rFonts w:hint="eastAsia"/>
          <w:szCs w:val="32"/>
          <w:lang w:val="en-US" w:eastAsia="zh-CN"/>
        </w:rPr>
        <w:t>27.29</w:t>
      </w:r>
      <w:r>
        <w:rPr>
          <w:szCs w:val="32"/>
        </w:rPr>
        <w:t>万元，占</w:t>
      </w:r>
      <w:r>
        <w:rPr>
          <w:rFonts w:hint="eastAsia"/>
          <w:szCs w:val="32"/>
          <w:lang w:val="en-US" w:eastAsia="zh-CN"/>
        </w:rPr>
        <w:t>84.67</w:t>
      </w:r>
      <w:r>
        <w:rPr>
          <w:szCs w:val="32"/>
        </w:rPr>
        <w:t>%；公用经费</w:t>
      </w:r>
      <w:r>
        <w:rPr>
          <w:rFonts w:hint="eastAsia"/>
          <w:szCs w:val="32"/>
          <w:lang w:val="en-US" w:eastAsia="zh-CN"/>
        </w:rPr>
        <w:t>4.94</w:t>
      </w:r>
      <w:r>
        <w:rPr>
          <w:szCs w:val="32"/>
        </w:rPr>
        <w:t>万元，占</w:t>
      </w:r>
      <w:r>
        <w:rPr>
          <w:rFonts w:hint="eastAsia"/>
          <w:szCs w:val="32"/>
          <w:lang w:val="en-US" w:eastAsia="zh-CN"/>
        </w:rPr>
        <w:t>15.33</w:t>
      </w:r>
      <w:r>
        <w:rPr>
          <w:szCs w:val="32"/>
        </w:rPr>
        <w:t>%。</w:t>
      </w:r>
    </w:p>
    <w:p>
      <w:pPr>
        <w:spacing w:line="520" w:lineRule="exact"/>
        <w:ind w:firstLine="640" w:firstLineChars="200"/>
        <w:rPr>
          <w:rFonts w:hint="eastAsia" w:ascii="仿宋_GB2312"/>
          <w:szCs w:val="32"/>
        </w:rPr>
      </w:pPr>
      <w:r>
        <w:rPr>
          <w:szCs w:val="32"/>
        </w:rPr>
        <w:t>一般公共服务（类）支出</w:t>
      </w:r>
      <w:r>
        <w:rPr>
          <w:rFonts w:hint="eastAsia"/>
          <w:szCs w:val="32"/>
          <w:lang w:val="en-US" w:eastAsia="zh-CN"/>
        </w:rPr>
        <w:t>45.51</w:t>
      </w:r>
      <w:r>
        <w:rPr>
          <w:szCs w:val="32"/>
        </w:rPr>
        <w:t>万元，占</w:t>
      </w:r>
      <w:r>
        <w:rPr>
          <w:rFonts w:hint="eastAsia"/>
          <w:szCs w:val="32"/>
          <w:lang w:val="en-US" w:eastAsia="zh-CN"/>
        </w:rPr>
        <w:t>85.50</w:t>
      </w:r>
      <w:r>
        <w:rPr>
          <w:szCs w:val="32"/>
        </w:rPr>
        <w:t>%，主要用于</w:t>
      </w:r>
      <w:r>
        <w:rPr>
          <w:rFonts w:hint="eastAsia" w:ascii="仿宋_GB2312" w:hAnsi="仿宋"/>
          <w:szCs w:val="32"/>
        </w:rPr>
        <w:t>保障职工工资，维持机关正常运转，完成年度统计工作任务</w:t>
      </w:r>
      <w:r>
        <w:rPr>
          <w:rFonts w:hint="eastAsia" w:ascii="仿宋_GB2312"/>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5.06</w:t>
      </w:r>
      <w:r>
        <w:rPr>
          <w:szCs w:val="32"/>
        </w:rPr>
        <w:t>万元，占</w:t>
      </w:r>
      <w:r>
        <w:rPr>
          <w:rFonts w:hint="eastAsia"/>
          <w:szCs w:val="32"/>
          <w:lang w:val="en-US" w:eastAsia="zh-CN"/>
        </w:rPr>
        <w:t>9.51</w:t>
      </w:r>
      <w:r>
        <w:rPr>
          <w:szCs w:val="32"/>
        </w:rPr>
        <w:t>%，主要用于行政单位离退休取暖费、缴纳机关事业单位基本养老保险。</w:t>
      </w:r>
    </w:p>
    <w:p>
      <w:pPr>
        <w:spacing w:line="520" w:lineRule="exact"/>
        <w:ind w:firstLine="640" w:firstLineChars="200"/>
        <w:rPr>
          <w:szCs w:val="32"/>
        </w:rPr>
      </w:pPr>
      <w:r>
        <w:rPr>
          <w:rFonts w:hint="eastAsia"/>
          <w:szCs w:val="32"/>
        </w:rPr>
        <w:t>卫生健康支出</w:t>
      </w:r>
      <w:r>
        <w:rPr>
          <w:szCs w:val="32"/>
        </w:rPr>
        <w:t>（类）支出</w:t>
      </w:r>
      <w:r>
        <w:rPr>
          <w:rFonts w:hint="eastAsia"/>
          <w:szCs w:val="32"/>
          <w:lang w:val="en-US" w:eastAsia="zh-CN"/>
        </w:rPr>
        <w:t>0.88</w:t>
      </w:r>
      <w:r>
        <w:rPr>
          <w:szCs w:val="32"/>
        </w:rPr>
        <w:t>万元，占</w:t>
      </w:r>
      <w:r>
        <w:rPr>
          <w:rFonts w:hint="eastAsia"/>
          <w:szCs w:val="32"/>
          <w:lang w:val="en-US" w:eastAsia="zh-CN"/>
        </w:rPr>
        <w:t>1.65</w:t>
      </w:r>
      <w:r>
        <w:rPr>
          <w:szCs w:val="32"/>
        </w:rPr>
        <w:t>%，主要用于</w:t>
      </w:r>
      <w:r>
        <w:rPr>
          <w:rFonts w:hint="eastAsia"/>
          <w:szCs w:val="32"/>
        </w:rPr>
        <w:t>缴纳职工的医疗保险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1.78</w:t>
      </w:r>
      <w:r>
        <w:rPr>
          <w:szCs w:val="32"/>
        </w:rPr>
        <w:t>万元，占</w:t>
      </w:r>
      <w:r>
        <w:rPr>
          <w:rFonts w:hint="eastAsia"/>
          <w:szCs w:val="32"/>
          <w:lang w:val="en-US" w:eastAsia="zh-CN"/>
        </w:rPr>
        <w:t>3.34</w:t>
      </w:r>
      <w:r>
        <w:rPr>
          <w:szCs w:val="32"/>
        </w:rPr>
        <w:t>%，主要用于</w:t>
      </w:r>
      <w:r>
        <w:rPr>
          <w:rFonts w:hint="eastAsia"/>
          <w:szCs w:val="32"/>
        </w:rPr>
        <w:t>缴纳职工的住房公积金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32.23</w:t>
      </w:r>
      <w:r>
        <w:rPr>
          <w:szCs w:val="32"/>
        </w:rPr>
        <w:t>万元，其中：</w:t>
      </w:r>
    </w:p>
    <w:p>
      <w:pPr>
        <w:ind w:firstLine="640" w:firstLineChars="200"/>
        <w:rPr>
          <w:kern w:val="0"/>
          <w:szCs w:val="32"/>
        </w:rPr>
      </w:pPr>
      <w:r>
        <w:rPr>
          <w:szCs w:val="32"/>
        </w:rPr>
        <w:t>人员经费</w:t>
      </w:r>
      <w:r>
        <w:rPr>
          <w:rFonts w:hint="eastAsia"/>
          <w:szCs w:val="32"/>
          <w:lang w:val="en-US" w:eastAsia="zh-CN"/>
        </w:rPr>
        <w:t>27.29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机关事业单位基本养老保险、职工基本医疗保险缴费、其他</w:t>
      </w:r>
      <w:r>
        <w:rPr>
          <w:kern w:val="0"/>
          <w:szCs w:val="32"/>
        </w:rPr>
        <w:t>社会保障缴费</w:t>
      </w:r>
      <w:r>
        <w:rPr>
          <w:szCs w:val="32"/>
        </w:rPr>
        <w:t>、</w:t>
      </w:r>
      <w:r>
        <w:rPr>
          <w:kern w:val="0"/>
          <w:szCs w:val="32"/>
        </w:rPr>
        <w:t>住房公积金</w:t>
      </w:r>
      <w:r>
        <w:rPr>
          <w:rFonts w:hint="eastAsia"/>
          <w:kern w:val="0"/>
          <w:szCs w:val="32"/>
          <w:lang w:eastAsia="zh-CN"/>
        </w:rPr>
        <w:t>、</w:t>
      </w:r>
      <w:r>
        <w:rPr>
          <w:rFonts w:hint="eastAsia"/>
          <w:szCs w:val="32"/>
        </w:rPr>
        <w:t>医疗费、</w:t>
      </w:r>
      <w:r>
        <w:rPr>
          <w:kern w:val="0"/>
          <w:szCs w:val="32"/>
        </w:rPr>
        <w:t>其他工资福利支出</w:t>
      </w:r>
      <w:r>
        <w:rPr>
          <w:szCs w:val="32"/>
        </w:rPr>
        <w:t>、</w:t>
      </w:r>
      <w:r>
        <w:rPr>
          <w:rFonts w:hint="eastAsia"/>
          <w:szCs w:val="32"/>
        </w:rPr>
        <w:t>退休费</w:t>
      </w:r>
      <w:r>
        <w:rPr>
          <w:rFonts w:hint="eastAsia"/>
          <w:kern w:val="0"/>
          <w:szCs w:val="32"/>
        </w:rPr>
        <w:t>、其他对个人和家庭的补助</w:t>
      </w:r>
      <w:r>
        <w:rPr>
          <w:kern w:val="0"/>
          <w:szCs w:val="32"/>
        </w:rPr>
        <w:t>。</w:t>
      </w:r>
    </w:p>
    <w:p>
      <w:pPr>
        <w:ind w:firstLine="640" w:firstLineChars="200"/>
        <w:rPr>
          <w:kern w:val="0"/>
          <w:szCs w:val="32"/>
        </w:rPr>
      </w:pPr>
      <w:r>
        <w:rPr>
          <w:kern w:val="0"/>
          <w:szCs w:val="32"/>
        </w:rPr>
        <w:t>公用经费</w:t>
      </w:r>
      <w:r>
        <w:rPr>
          <w:rFonts w:hint="eastAsia"/>
          <w:szCs w:val="32"/>
          <w:lang w:val="en-US" w:eastAsia="zh-CN"/>
        </w:rPr>
        <w:t>4.94</w:t>
      </w:r>
      <w:r>
        <w:rPr>
          <w:szCs w:val="32"/>
        </w:rPr>
        <w:t>万元，主要包括：</w:t>
      </w:r>
      <w:r>
        <w:rPr>
          <w:kern w:val="0"/>
          <w:szCs w:val="32"/>
        </w:rPr>
        <w:t>办公费</w:t>
      </w:r>
      <w:r>
        <w:rPr>
          <w:szCs w:val="32"/>
        </w:rPr>
        <w:t>、</w:t>
      </w:r>
      <w:r>
        <w:rPr>
          <w:rFonts w:hint="eastAsia"/>
          <w:kern w:val="0"/>
          <w:szCs w:val="32"/>
          <w:lang w:eastAsia="zh-CN"/>
        </w:rPr>
        <w:t>手续费</w:t>
      </w:r>
      <w:r>
        <w:rPr>
          <w:szCs w:val="32"/>
        </w:rPr>
        <w:t>、</w:t>
      </w:r>
      <w:r>
        <w:rPr>
          <w:rFonts w:hint="eastAsia"/>
          <w:kern w:val="0"/>
          <w:szCs w:val="32"/>
          <w:lang w:eastAsia="zh-CN"/>
        </w:rPr>
        <w:t>物业管理</w:t>
      </w:r>
      <w:r>
        <w:rPr>
          <w:kern w:val="0"/>
          <w:szCs w:val="32"/>
        </w:rPr>
        <w:t>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0.05</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0.05</w:t>
      </w:r>
      <w:r>
        <w:rPr>
          <w:szCs w:val="32"/>
        </w:rPr>
        <w:t>万元，主要原因是</w:t>
      </w:r>
      <w:r>
        <w:rPr>
          <w:rFonts w:hint="eastAsia"/>
          <w:szCs w:val="32"/>
          <w:lang w:val="en-US" w:eastAsia="zh-CN"/>
        </w:rPr>
        <w:t>认真贯彻落实中共中央八项规定精神和省财政厅“过紧日子”有关要求，厉行节约，压减公务接待费预算。</w:t>
      </w:r>
    </w:p>
    <w:p>
      <w:pPr>
        <w:ind w:firstLine="640" w:firstLineChars="200"/>
        <w:jc w:val="both"/>
        <w:rPr>
          <w:rFonts w:eastAsia="楷体"/>
          <w:szCs w:val="32"/>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rFonts w:hint="eastAsia" w:ascii="仿宋_GB2312" w:hAnsi="仿宋_GB2312" w:eastAsia="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黑体"/>
          <w:szCs w:val="32"/>
        </w:rPr>
      </w:pPr>
      <w:r>
        <w:rPr>
          <w:rFonts w:hint="eastAsia" w:ascii="仿宋_GB2312" w:hAnsi="仿宋_GB2312" w:eastAsia="仿宋_GB2312" w:cs="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吉林省统计局柳河县农村社会经济调查队</w:t>
      </w:r>
      <w:r>
        <w:rPr>
          <w:rFonts w:hint="eastAsia"/>
          <w:szCs w:val="32"/>
          <w:lang w:val="en-US" w:eastAsia="zh-CN"/>
        </w:rPr>
        <w:t>1</w:t>
      </w:r>
      <w:r>
        <w:rPr>
          <w:szCs w:val="32"/>
        </w:rPr>
        <w:t>家</w:t>
      </w:r>
      <w:r>
        <w:rPr>
          <w:rFonts w:hint="eastAsia" w:ascii="仿宋_GB2312" w:hAnsi="仿宋_GB2312" w:cs="仿宋_GB2312"/>
          <w:szCs w:val="32"/>
        </w:rPr>
        <w:t>参照公务员法管理事业</w:t>
      </w:r>
      <w:r>
        <w:rPr>
          <w:szCs w:val="32"/>
        </w:rPr>
        <w:t>单位</w:t>
      </w:r>
      <w:r>
        <w:rPr>
          <w:rFonts w:hint="eastAsia"/>
          <w:szCs w:val="32"/>
          <w:lang w:eastAsia="zh-CN"/>
        </w:rPr>
        <w:t>，</w:t>
      </w:r>
      <w:r>
        <w:rPr>
          <w:szCs w:val="32"/>
        </w:rPr>
        <w:t>机关运行经费财政拨款预算</w:t>
      </w:r>
      <w:r>
        <w:rPr>
          <w:rFonts w:hint="eastAsia"/>
          <w:szCs w:val="32"/>
          <w:lang w:val="en-US" w:eastAsia="zh-CN"/>
        </w:rPr>
        <w:t>4.94</w:t>
      </w:r>
      <w:r>
        <w:rPr>
          <w:szCs w:val="32"/>
        </w:rPr>
        <w:t>万元，比20</w:t>
      </w:r>
      <w:r>
        <w:rPr>
          <w:rFonts w:hint="eastAsia"/>
          <w:szCs w:val="32"/>
        </w:rPr>
        <w:t>2</w:t>
      </w:r>
      <w:r>
        <w:rPr>
          <w:rFonts w:hint="eastAsia"/>
          <w:szCs w:val="32"/>
          <w:lang w:val="en-US" w:eastAsia="zh-CN"/>
        </w:rPr>
        <w:t>3</w:t>
      </w:r>
      <w:r>
        <w:rPr>
          <w:szCs w:val="32"/>
        </w:rPr>
        <w:t>年预算</w:t>
      </w:r>
      <w:r>
        <w:rPr>
          <w:rFonts w:hint="eastAsia"/>
          <w:szCs w:val="32"/>
          <w:lang w:eastAsia="zh-CN"/>
        </w:rPr>
        <w:t>减少</w:t>
      </w:r>
      <w:r>
        <w:rPr>
          <w:rFonts w:hint="eastAsia"/>
          <w:szCs w:val="32"/>
          <w:lang w:val="en-US" w:eastAsia="zh-CN"/>
        </w:rPr>
        <w:t>0.41</w:t>
      </w:r>
      <w:r>
        <w:rPr>
          <w:szCs w:val="32"/>
        </w:rPr>
        <w:t>万元，</w:t>
      </w:r>
      <w:r>
        <w:rPr>
          <w:rFonts w:hint="eastAsia"/>
          <w:szCs w:val="32"/>
          <w:lang w:eastAsia="zh-CN"/>
        </w:rPr>
        <w:t>下降</w:t>
      </w:r>
      <w:r>
        <w:rPr>
          <w:rFonts w:hint="eastAsia"/>
          <w:szCs w:val="32"/>
          <w:lang w:val="en-US" w:eastAsia="zh-CN"/>
        </w:rPr>
        <w:t xml:space="preserve">7.66 </w:t>
      </w:r>
      <w:r>
        <w:rPr>
          <w:szCs w:val="32"/>
        </w:rPr>
        <w:t>%</w:t>
      </w:r>
      <w:r>
        <w:rPr>
          <w:rFonts w:hint="eastAsia"/>
          <w:szCs w:val="32"/>
        </w:rPr>
        <w:t>，主要原因是</w:t>
      </w:r>
      <w:r>
        <w:rPr>
          <w:rFonts w:hint="eastAsia"/>
          <w:szCs w:val="32"/>
          <w:lang w:eastAsia="zh-CN"/>
        </w:rPr>
        <w:t>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w:t>
      </w:r>
      <w:r>
        <w:rPr>
          <w:rFonts w:eastAsia="楷体"/>
          <w:szCs w:val="32"/>
        </w:rPr>
        <w:t>无</w:t>
      </w:r>
      <w:r>
        <w:rPr>
          <w:szCs w:val="32"/>
        </w:rPr>
        <w:t>政府采购预算</w:t>
      </w:r>
      <w:r>
        <w:rPr>
          <w:rFonts w:hint="eastAsia"/>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default" w:eastAsia="仿宋_GB2312"/>
          <w:lang w:val="en-US" w:eastAsia="zh-CN"/>
        </w:rPr>
      </w:pPr>
      <w:r>
        <w:t>202</w:t>
      </w:r>
      <w:r>
        <w:rPr>
          <w:rFonts w:hint="eastAsia"/>
          <w:lang w:val="en-US" w:eastAsia="zh-CN"/>
        </w:rPr>
        <w:t>4</w:t>
      </w:r>
      <w:r>
        <w:t>年</w:t>
      </w:r>
      <w:r>
        <w:rPr>
          <w:rFonts w:hint="eastAsia"/>
          <w:lang w:eastAsia="zh-CN"/>
        </w:rPr>
        <w:t>单位</w:t>
      </w:r>
      <w:r>
        <w:t>项目支出</w:t>
      </w:r>
      <w:r>
        <w:rPr>
          <w:rFonts w:hint="eastAsia"/>
          <w:szCs w:val="32"/>
          <w:lang w:val="en-US" w:eastAsia="zh-CN"/>
        </w:rPr>
        <w:t>21.00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21.00</w:t>
      </w:r>
      <w:r>
        <w:rPr>
          <w:szCs w:val="32"/>
        </w:rPr>
        <w:t>万元</w:t>
      </w:r>
      <w:r>
        <w:rPr>
          <w:rFonts w:hint="eastAsia"/>
          <w:szCs w:val="32"/>
          <w:lang w:eastAsia="zh-CN"/>
        </w:rPr>
        <w:t>，财政拨款结转</w:t>
      </w:r>
      <w:r>
        <w:rPr>
          <w:rFonts w:hint="eastAsia"/>
          <w:szCs w:val="32"/>
          <w:lang w:val="en-US" w:eastAsia="zh-CN"/>
        </w:rPr>
        <w:t>0.00万元。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21.00</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940D61"/>
    <w:rsid w:val="02C44267"/>
    <w:rsid w:val="030E48E0"/>
    <w:rsid w:val="031D7D4B"/>
    <w:rsid w:val="037F2004"/>
    <w:rsid w:val="038E6EFC"/>
    <w:rsid w:val="03A753D5"/>
    <w:rsid w:val="03F23D0A"/>
    <w:rsid w:val="0402453D"/>
    <w:rsid w:val="0486486A"/>
    <w:rsid w:val="04954460"/>
    <w:rsid w:val="04B818D1"/>
    <w:rsid w:val="050D06DA"/>
    <w:rsid w:val="05310B72"/>
    <w:rsid w:val="05513E94"/>
    <w:rsid w:val="056F5A6D"/>
    <w:rsid w:val="059B3770"/>
    <w:rsid w:val="05C309EF"/>
    <w:rsid w:val="063949A0"/>
    <w:rsid w:val="06637A6A"/>
    <w:rsid w:val="06BD5BC7"/>
    <w:rsid w:val="06F008FF"/>
    <w:rsid w:val="075239E7"/>
    <w:rsid w:val="079E5032"/>
    <w:rsid w:val="08191757"/>
    <w:rsid w:val="081E2193"/>
    <w:rsid w:val="08E05CF0"/>
    <w:rsid w:val="09015F14"/>
    <w:rsid w:val="091C5C63"/>
    <w:rsid w:val="09421190"/>
    <w:rsid w:val="09A0082A"/>
    <w:rsid w:val="0A00435B"/>
    <w:rsid w:val="0A6B7AF1"/>
    <w:rsid w:val="0AAA1697"/>
    <w:rsid w:val="0ABA06FE"/>
    <w:rsid w:val="0AF33A92"/>
    <w:rsid w:val="0B49202F"/>
    <w:rsid w:val="0B5F5ADA"/>
    <w:rsid w:val="0C2A5C84"/>
    <w:rsid w:val="0C4F64D9"/>
    <w:rsid w:val="0C583939"/>
    <w:rsid w:val="0C6D1BAE"/>
    <w:rsid w:val="0D2A2435"/>
    <w:rsid w:val="0D5E30A2"/>
    <w:rsid w:val="0D885D4B"/>
    <w:rsid w:val="0DA001B0"/>
    <w:rsid w:val="0DEB170B"/>
    <w:rsid w:val="0E4C7841"/>
    <w:rsid w:val="0E53733C"/>
    <w:rsid w:val="0E97506F"/>
    <w:rsid w:val="0F3E0406"/>
    <w:rsid w:val="0F980230"/>
    <w:rsid w:val="0FD62F63"/>
    <w:rsid w:val="0FDE2A27"/>
    <w:rsid w:val="10AE7F82"/>
    <w:rsid w:val="10C93B35"/>
    <w:rsid w:val="11177619"/>
    <w:rsid w:val="112605C8"/>
    <w:rsid w:val="11A6707B"/>
    <w:rsid w:val="11B35B2F"/>
    <w:rsid w:val="12422203"/>
    <w:rsid w:val="12E711B7"/>
    <w:rsid w:val="133B4C77"/>
    <w:rsid w:val="136D62BD"/>
    <w:rsid w:val="136E4388"/>
    <w:rsid w:val="13D13F08"/>
    <w:rsid w:val="13F21722"/>
    <w:rsid w:val="141168F3"/>
    <w:rsid w:val="1441443C"/>
    <w:rsid w:val="145D49CE"/>
    <w:rsid w:val="14C12787"/>
    <w:rsid w:val="15593E10"/>
    <w:rsid w:val="159F7E25"/>
    <w:rsid w:val="15F848D0"/>
    <w:rsid w:val="160E1FA5"/>
    <w:rsid w:val="160F2600"/>
    <w:rsid w:val="16C829AB"/>
    <w:rsid w:val="16DD34F5"/>
    <w:rsid w:val="17765BCA"/>
    <w:rsid w:val="17A027D8"/>
    <w:rsid w:val="17CC2625"/>
    <w:rsid w:val="17F72B74"/>
    <w:rsid w:val="1850261B"/>
    <w:rsid w:val="19132BE0"/>
    <w:rsid w:val="191F4716"/>
    <w:rsid w:val="1954649C"/>
    <w:rsid w:val="1A817DF8"/>
    <w:rsid w:val="1A8A6135"/>
    <w:rsid w:val="1ADC594E"/>
    <w:rsid w:val="1AEB5252"/>
    <w:rsid w:val="1B8A03E4"/>
    <w:rsid w:val="1B9C1459"/>
    <w:rsid w:val="1C852172"/>
    <w:rsid w:val="1CA40C0C"/>
    <w:rsid w:val="1CD10E9D"/>
    <w:rsid w:val="1CFF4A32"/>
    <w:rsid w:val="1D196D0A"/>
    <w:rsid w:val="1D26250C"/>
    <w:rsid w:val="1D833200"/>
    <w:rsid w:val="1E3A3FD0"/>
    <w:rsid w:val="1EB55C07"/>
    <w:rsid w:val="1F02393F"/>
    <w:rsid w:val="1F351A10"/>
    <w:rsid w:val="1F4D782C"/>
    <w:rsid w:val="1F857EA5"/>
    <w:rsid w:val="1FED47E9"/>
    <w:rsid w:val="203C484F"/>
    <w:rsid w:val="206816AC"/>
    <w:rsid w:val="21134335"/>
    <w:rsid w:val="226E581D"/>
    <w:rsid w:val="22A4003E"/>
    <w:rsid w:val="23135C25"/>
    <w:rsid w:val="23EC61F6"/>
    <w:rsid w:val="244C543C"/>
    <w:rsid w:val="245F0D77"/>
    <w:rsid w:val="24624768"/>
    <w:rsid w:val="259B5BC5"/>
    <w:rsid w:val="25F62C4E"/>
    <w:rsid w:val="265D7EFE"/>
    <w:rsid w:val="26643D6C"/>
    <w:rsid w:val="26FD0CCF"/>
    <w:rsid w:val="26FE109D"/>
    <w:rsid w:val="27073E1E"/>
    <w:rsid w:val="2755674F"/>
    <w:rsid w:val="27B04AB3"/>
    <w:rsid w:val="27C5255F"/>
    <w:rsid w:val="27CD5EFE"/>
    <w:rsid w:val="282C3BA1"/>
    <w:rsid w:val="28A63332"/>
    <w:rsid w:val="28C96E8E"/>
    <w:rsid w:val="28D02BD2"/>
    <w:rsid w:val="28D110E4"/>
    <w:rsid w:val="28E51116"/>
    <w:rsid w:val="29C45F24"/>
    <w:rsid w:val="2A04060E"/>
    <w:rsid w:val="2A152FFA"/>
    <w:rsid w:val="2B885423"/>
    <w:rsid w:val="2C997B98"/>
    <w:rsid w:val="2D9038E4"/>
    <w:rsid w:val="2DF8796C"/>
    <w:rsid w:val="2E0501DA"/>
    <w:rsid w:val="2EB22F18"/>
    <w:rsid w:val="2EE12108"/>
    <w:rsid w:val="2EED35E3"/>
    <w:rsid w:val="2EEF7454"/>
    <w:rsid w:val="2F0B5068"/>
    <w:rsid w:val="2F250383"/>
    <w:rsid w:val="2F63610B"/>
    <w:rsid w:val="2FBC646B"/>
    <w:rsid w:val="300965A3"/>
    <w:rsid w:val="30730D6E"/>
    <w:rsid w:val="308B20C9"/>
    <w:rsid w:val="30B91A70"/>
    <w:rsid w:val="30F84C22"/>
    <w:rsid w:val="310C6AA2"/>
    <w:rsid w:val="31793674"/>
    <w:rsid w:val="317F7A17"/>
    <w:rsid w:val="31894469"/>
    <w:rsid w:val="32332703"/>
    <w:rsid w:val="32CF2C5D"/>
    <w:rsid w:val="32EE2C61"/>
    <w:rsid w:val="335402B5"/>
    <w:rsid w:val="339466B2"/>
    <w:rsid w:val="34521C5F"/>
    <w:rsid w:val="34555AF5"/>
    <w:rsid w:val="34CC5FFC"/>
    <w:rsid w:val="34F46A9D"/>
    <w:rsid w:val="34FF687B"/>
    <w:rsid w:val="354C4987"/>
    <w:rsid w:val="35616772"/>
    <w:rsid w:val="35EA1663"/>
    <w:rsid w:val="362B222B"/>
    <w:rsid w:val="364C598E"/>
    <w:rsid w:val="368A3622"/>
    <w:rsid w:val="36B543E5"/>
    <w:rsid w:val="36CC2B0F"/>
    <w:rsid w:val="36D1788F"/>
    <w:rsid w:val="36FC762F"/>
    <w:rsid w:val="38162211"/>
    <w:rsid w:val="3838492F"/>
    <w:rsid w:val="383A009B"/>
    <w:rsid w:val="3887374F"/>
    <w:rsid w:val="38CB0ABC"/>
    <w:rsid w:val="39041A07"/>
    <w:rsid w:val="39043B77"/>
    <w:rsid w:val="39514343"/>
    <w:rsid w:val="39670895"/>
    <w:rsid w:val="397B4EE2"/>
    <w:rsid w:val="39B615B1"/>
    <w:rsid w:val="3A387943"/>
    <w:rsid w:val="3A657F9A"/>
    <w:rsid w:val="3A9113D4"/>
    <w:rsid w:val="3AC54F32"/>
    <w:rsid w:val="3AE8378E"/>
    <w:rsid w:val="3B144A0A"/>
    <w:rsid w:val="3B254018"/>
    <w:rsid w:val="3B5257F8"/>
    <w:rsid w:val="3BC92948"/>
    <w:rsid w:val="3BE370D4"/>
    <w:rsid w:val="3C1A026D"/>
    <w:rsid w:val="3C29381E"/>
    <w:rsid w:val="3C711E1D"/>
    <w:rsid w:val="3C7F463D"/>
    <w:rsid w:val="3CAE3960"/>
    <w:rsid w:val="3CEF6494"/>
    <w:rsid w:val="3D2A32DC"/>
    <w:rsid w:val="3D365BF6"/>
    <w:rsid w:val="3D42082D"/>
    <w:rsid w:val="3D4A03C5"/>
    <w:rsid w:val="3D7F7007"/>
    <w:rsid w:val="3DB008AA"/>
    <w:rsid w:val="3DF23324"/>
    <w:rsid w:val="3EA14040"/>
    <w:rsid w:val="3EE8108D"/>
    <w:rsid w:val="3F4350C6"/>
    <w:rsid w:val="3F462EC2"/>
    <w:rsid w:val="3F8201A3"/>
    <w:rsid w:val="3FBA0980"/>
    <w:rsid w:val="3FBD2DDF"/>
    <w:rsid w:val="402675EA"/>
    <w:rsid w:val="40B80EFF"/>
    <w:rsid w:val="40D82DFB"/>
    <w:rsid w:val="41A35364"/>
    <w:rsid w:val="41C31686"/>
    <w:rsid w:val="41C837BC"/>
    <w:rsid w:val="41EE0BD1"/>
    <w:rsid w:val="421643AC"/>
    <w:rsid w:val="42982B4E"/>
    <w:rsid w:val="429F5D0C"/>
    <w:rsid w:val="42D83665"/>
    <w:rsid w:val="434A6B47"/>
    <w:rsid w:val="436B1E42"/>
    <w:rsid w:val="43737125"/>
    <w:rsid w:val="449C6AC5"/>
    <w:rsid w:val="44D05D78"/>
    <w:rsid w:val="450C3B6F"/>
    <w:rsid w:val="45207B69"/>
    <w:rsid w:val="456D114B"/>
    <w:rsid w:val="458540FB"/>
    <w:rsid w:val="45EB670F"/>
    <w:rsid w:val="46AB7C0D"/>
    <w:rsid w:val="46BF5523"/>
    <w:rsid w:val="46D44808"/>
    <w:rsid w:val="46ED776B"/>
    <w:rsid w:val="471450A0"/>
    <w:rsid w:val="479D2523"/>
    <w:rsid w:val="47CF49E6"/>
    <w:rsid w:val="47ED75E7"/>
    <w:rsid w:val="48674ED2"/>
    <w:rsid w:val="487708E6"/>
    <w:rsid w:val="48B540F2"/>
    <w:rsid w:val="493F6F72"/>
    <w:rsid w:val="49645F71"/>
    <w:rsid w:val="499F5C68"/>
    <w:rsid w:val="49AD65CC"/>
    <w:rsid w:val="49F02BB9"/>
    <w:rsid w:val="4A52465C"/>
    <w:rsid w:val="4A5C4AC6"/>
    <w:rsid w:val="4A662FBF"/>
    <w:rsid w:val="4AB95C4C"/>
    <w:rsid w:val="4AF16062"/>
    <w:rsid w:val="4B0A57E5"/>
    <w:rsid w:val="4B646DDD"/>
    <w:rsid w:val="4B7F44F8"/>
    <w:rsid w:val="4BA16BCB"/>
    <w:rsid w:val="4BAC24C5"/>
    <w:rsid w:val="4BFA0656"/>
    <w:rsid w:val="4D3439E8"/>
    <w:rsid w:val="4D474293"/>
    <w:rsid w:val="4D4E2809"/>
    <w:rsid w:val="4D730507"/>
    <w:rsid w:val="4D741DD3"/>
    <w:rsid w:val="4DA60D17"/>
    <w:rsid w:val="4DBA3F5F"/>
    <w:rsid w:val="4DC93207"/>
    <w:rsid w:val="4DD97461"/>
    <w:rsid w:val="4E010C4C"/>
    <w:rsid w:val="4E214B2B"/>
    <w:rsid w:val="4E6D63C6"/>
    <w:rsid w:val="4E8D5761"/>
    <w:rsid w:val="4EF54A85"/>
    <w:rsid w:val="4EF972C6"/>
    <w:rsid w:val="4F1D07B2"/>
    <w:rsid w:val="501B3C66"/>
    <w:rsid w:val="504B40C5"/>
    <w:rsid w:val="50987DC2"/>
    <w:rsid w:val="50A4703E"/>
    <w:rsid w:val="51282B99"/>
    <w:rsid w:val="5136104F"/>
    <w:rsid w:val="51465EDE"/>
    <w:rsid w:val="52071113"/>
    <w:rsid w:val="52085509"/>
    <w:rsid w:val="522774C4"/>
    <w:rsid w:val="522A7431"/>
    <w:rsid w:val="523B0325"/>
    <w:rsid w:val="525A440D"/>
    <w:rsid w:val="52626449"/>
    <w:rsid w:val="52C8036A"/>
    <w:rsid w:val="53C41376"/>
    <w:rsid w:val="544E511A"/>
    <w:rsid w:val="54741940"/>
    <w:rsid w:val="54810E66"/>
    <w:rsid w:val="54C063E4"/>
    <w:rsid w:val="54C2556E"/>
    <w:rsid w:val="55144405"/>
    <w:rsid w:val="55393E6B"/>
    <w:rsid w:val="55480EEF"/>
    <w:rsid w:val="5671296F"/>
    <w:rsid w:val="569B7F91"/>
    <w:rsid w:val="56D21BED"/>
    <w:rsid w:val="572651B2"/>
    <w:rsid w:val="57AE5C26"/>
    <w:rsid w:val="57DD75A9"/>
    <w:rsid w:val="5801059F"/>
    <w:rsid w:val="58256ABD"/>
    <w:rsid w:val="58C27FDB"/>
    <w:rsid w:val="591E3F20"/>
    <w:rsid w:val="594468E6"/>
    <w:rsid w:val="59472AC7"/>
    <w:rsid w:val="59D514A6"/>
    <w:rsid w:val="59EC6E09"/>
    <w:rsid w:val="5AB343F7"/>
    <w:rsid w:val="5ABF50F2"/>
    <w:rsid w:val="5ACD4402"/>
    <w:rsid w:val="5AF25D13"/>
    <w:rsid w:val="5AF76904"/>
    <w:rsid w:val="5B052E7A"/>
    <w:rsid w:val="5B3D7F7E"/>
    <w:rsid w:val="5B7C7777"/>
    <w:rsid w:val="5BEC6771"/>
    <w:rsid w:val="5C712AAD"/>
    <w:rsid w:val="5CA506B9"/>
    <w:rsid w:val="5CF74CE4"/>
    <w:rsid w:val="5D5A7C63"/>
    <w:rsid w:val="5E256F6F"/>
    <w:rsid w:val="5F6235A9"/>
    <w:rsid w:val="60C035FD"/>
    <w:rsid w:val="60DC439E"/>
    <w:rsid w:val="614125C2"/>
    <w:rsid w:val="61543B1C"/>
    <w:rsid w:val="61AA1D1F"/>
    <w:rsid w:val="623E1855"/>
    <w:rsid w:val="624C5C52"/>
    <w:rsid w:val="624E23E2"/>
    <w:rsid w:val="63DF08E4"/>
    <w:rsid w:val="64C04AFD"/>
    <w:rsid w:val="652447E0"/>
    <w:rsid w:val="655B219F"/>
    <w:rsid w:val="661A7B69"/>
    <w:rsid w:val="66455323"/>
    <w:rsid w:val="664909C1"/>
    <w:rsid w:val="66635AE4"/>
    <w:rsid w:val="6695111E"/>
    <w:rsid w:val="66C63EB5"/>
    <w:rsid w:val="67592674"/>
    <w:rsid w:val="679461D3"/>
    <w:rsid w:val="67CD7020"/>
    <w:rsid w:val="6858287E"/>
    <w:rsid w:val="68593A1E"/>
    <w:rsid w:val="68B54FCF"/>
    <w:rsid w:val="68C04D52"/>
    <w:rsid w:val="68D33DE9"/>
    <w:rsid w:val="69157114"/>
    <w:rsid w:val="691A443E"/>
    <w:rsid w:val="6921243C"/>
    <w:rsid w:val="694C778B"/>
    <w:rsid w:val="69E203A0"/>
    <w:rsid w:val="6A5B6D7D"/>
    <w:rsid w:val="6A765FBC"/>
    <w:rsid w:val="6A80735F"/>
    <w:rsid w:val="6AC17181"/>
    <w:rsid w:val="6ACC5E47"/>
    <w:rsid w:val="6AD43ED1"/>
    <w:rsid w:val="6B11024D"/>
    <w:rsid w:val="6B35677D"/>
    <w:rsid w:val="6B7D5B36"/>
    <w:rsid w:val="6BC94BE1"/>
    <w:rsid w:val="6BCD6931"/>
    <w:rsid w:val="6C834DAA"/>
    <w:rsid w:val="6C993CCE"/>
    <w:rsid w:val="6CF120A8"/>
    <w:rsid w:val="6D72413D"/>
    <w:rsid w:val="6EDF2D7F"/>
    <w:rsid w:val="6F8B5A14"/>
    <w:rsid w:val="6FF50B81"/>
    <w:rsid w:val="70330B9C"/>
    <w:rsid w:val="704C6F53"/>
    <w:rsid w:val="714213DD"/>
    <w:rsid w:val="717F272E"/>
    <w:rsid w:val="71911B75"/>
    <w:rsid w:val="719A2A46"/>
    <w:rsid w:val="71BD3F0D"/>
    <w:rsid w:val="72783A23"/>
    <w:rsid w:val="728027C6"/>
    <w:rsid w:val="73D62FA6"/>
    <w:rsid w:val="73FE7ACC"/>
    <w:rsid w:val="74556746"/>
    <w:rsid w:val="74743258"/>
    <w:rsid w:val="7497007F"/>
    <w:rsid w:val="761B13C4"/>
    <w:rsid w:val="764B6A8A"/>
    <w:rsid w:val="767F77D9"/>
    <w:rsid w:val="76C17E06"/>
    <w:rsid w:val="76CA67BD"/>
    <w:rsid w:val="774E6400"/>
    <w:rsid w:val="775B0046"/>
    <w:rsid w:val="78CA7C12"/>
    <w:rsid w:val="79700BEF"/>
    <w:rsid w:val="798D552B"/>
    <w:rsid w:val="7A090695"/>
    <w:rsid w:val="7A1D5951"/>
    <w:rsid w:val="7AE175F4"/>
    <w:rsid w:val="7B417685"/>
    <w:rsid w:val="7B5220F0"/>
    <w:rsid w:val="7B5951B2"/>
    <w:rsid w:val="7BA169C0"/>
    <w:rsid w:val="7BC55243"/>
    <w:rsid w:val="7C2F4A9A"/>
    <w:rsid w:val="7CAD595B"/>
    <w:rsid w:val="7CF65D07"/>
    <w:rsid w:val="7D2975D1"/>
    <w:rsid w:val="7D2F3083"/>
    <w:rsid w:val="7D906046"/>
    <w:rsid w:val="7DCC0CD6"/>
    <w:rsid w:val="7E520CB9"/>
    <w:rsid w:val="7E6B0DF0"/>
    <w:rsid w:val="7F4014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2024-02-26T02:03:08Z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