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通化市统计局（本级）</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4</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二十六</w:t>
      </w:r>
      <w:r>
        <w:rPr>
          <w:rFonts w:eastAsia="华文细黑"/>
        </w:rPr>
        <w:t>日</w:t>
      </w: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（一）贯彻执行国家统计方针、政策以及法律、法规，制定全市统计规划及统计调查计划；监督检查统计法律、法规的实施。组织领导全市统计工作，承担确保统计数据真实、准确、及时的责任。</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二）根据国家统一的基本统计制度，建立健全全市国民经济核算体系和统计指标体系，贯彻执行全省统一的基本统计报表制度和统计标准；汇编提供全市国民经济核算资料，监督管理各县（市、区）统计机关国民经济核算工作。</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单位提供统计信息和咨询建议；收集、整理、提供省及外市（州）统计资料，并进行分析和研究。</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（四）统一核定、管理、公布全市基本统计资料，定期向社会公布全市国民经济和社会发展情况统计信息。</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（五）建立、完善和管理全市统计信息化系统和统计数据库体系；组织指导各县（市、区）统计信息化网格和数据库系统建设。</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六）依法管理全市统计调查项目和统计标准，指导专业统计基础工作、统计基层业务基础建设；组织建立服务业统计信息管理制度，建立健全统计数据质量审核、监控和评估制度，负责重要统计数据的审核、监控和评估，依法监督管理涉外调查活动。</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（七）负责全市统计系统的干部人事、劳动工资、机构编制和财务经费、审计监督及资产设施管理。</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（八）领导局属事业单位，协调中省直统计调查机构和事业单位。</w:t>
      </w:r>
    </w:p>
    <w:p>
      <w:pPr>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（九）承办省统计局和市政府交办的其他事项。</w:t>
      </w:r>
    </w:p>
    <w:p>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根据上述职责，通化市统计局（本级）内设机构，分别为：</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办公室</w:t>
      </w:r>
    </w:p>
    <w:p>
      <w:pPr>
        <w:pStyle w:val="48"/>
        <w:ind w:firstLine="960" w:firstLineChars="300"/>
        <w:rPr>
          <w:rFonts w:hint="eastAsia" w:ascii="仿宋_GB2312" w:hAnsi="仿宋_GB2312" w:eastAsia="仿宋_GB2312" w:cs="仿宋_GB2312"/>
        </w:rPr>
      </w:pPr>
      <w:r>
        <w:rPr>
          <w:rFonts w:hint="eastAsia" w:ascii="仿宋_GB2312" w:hAnsi="仿宋_GB2312" w:eastAsia="仿宋_GB2312" w:cs="仿宋_GB2312"/>
        </w:rPr>
        <w:t>负责综合协调、管理局内行政工作；协助局领导处理局机关日常行政事务，负责文电、会务、机要、保密、档案文印、政务信息、信访等工作；统一管理市统计局及分局的财务经费和国有资产，监督指导各县（市、区）统计局的财务工作；指导本系统政府采购工作；编制全市统计事业费预算、决算。</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国民经济综合与核算科</w:t>
      </w:r>
    </w:p>
    <w:p>
      <w:pPr>
        <w:pStyle w:val="48"/>
        <w:rPr>
          <w:rFonts w:hint="eastAsia" w:ascii="仿宋_GB2312" w:hAnsi="仿宋_GB2312" w:eastAsia="仿宋_GB2312" w:cs="仿宋_GB2312"/>
        </w:rPr>
      </w:pPr>
      <w:r>
        <w:rPr>
          <w:rFonts w:hint="eastAsia" w:ascii="仿宋_GB2312" w:hAnsi="仿宋_GB2312" w:eastAsia="仿宋_GB2312" w:cs="仿宋_GB2312"/>
        </w:rPr>
        <w:t xml:space="preserve">    依据职责分工，监测预警全市国民经济运行并进行综合分析，提出相关咨询建议；统一整理、核定、管理、使用全市综合性统计资料，定期向社会公布国民经济和社会发展情况统计信息；负责全局统计业务的综合协调和统计分析资料以及社会统计信息的审核。负责全市国内生产总值、资金流量、资产负债核算工作，组织开展投入产出调查。</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法规科</w:t>
      </w:r>
    </w:p>
    <w:p>
      <w:pPr>
        <w:pStyle w:val="48"/>
        <w:ind w:firstLine="960" w:firstLineChars="300"/>
        <w:rPr>
          <w:rFonts w:hint="eastAsia" w:ascii="仿宋_GB2312" w:hAnsi="仿宋_GB2312" w:eastAsia="仿宋_GB2312" w:cs="仿宋_GB2312"/>
        </w:rPr>
      </w:pPr>
      <w:r>
        <w:rPr>
          <w:rFonts w:hint="eastAsia" w:ascii="仿宋_GB2312" w:hAnsi="仿宋_GB2312" w:eastAsia="仿宋_GB2312" w:cs="仿宋_GB2312"/>
        </w:rPr>
        <w:t>组织实施统计制度；负责统计法律法规的宣传贯彻和执行情况的监督检查，依法检查、处理重大的统计违法案件；负责机关有关规范性文件的合法性审核工作。负责统计工作有关行政审批事项的受理和审批；组织协调行政审批事项的论证、审核等相关工作；承办统计行政复议、行政应诉和其他法律性事务。</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工业交通与能源统计科</w:t>
      </w:r>
    </w:p>
    <w:p>
      <w:pPr>
        <w:pStyle w:val="48"/>
        <w:ind w:firstLine="960" w:firstLineChars="300"/>
        <w:rPr>
          <w:rFonts w:hint="eastAsia" w:ascii="仿宋_GB2312" w:hAnsi="仿宋_GB2312" w:eastAsia="仿宋_GB2312" w:cs="仿宋_GB2312"/>
        </w:rPr>
      </w:pPr>
      <w:r>
        <w:rPr>
          <w:rFonts w:hint="eastAsia" w:ascii="仿宋_GB2312" w:hAnsi="仿宋_GB2312" w:eastAsia="仿宋_GB2312" w:cs="仿宋_GB2312"/>
        </w:rPr>
        <w:t>负责组织全市工业、交通和能源统计调查，收集、整理和提供有关调查统计数据，对统计数据质量进行检查和评估；组织指导县（市、区）和市直有关单位的统计基础建设；建立、完善、管理全市工业和能源统计数据库；组织实施全市及各县（市、区）全社会能源消耗总量核算，为地方政府节能降耗进行跟踪监测和提供服务；开展全市工业、交通、邮电、电讯和能源的统计分析和咨询服务，指导各县（市、区）开展相关统计工作。</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固定资产投资统计科</w:t>
      </w:r>
    </w:p>
    <w:p>
      <w:pPr>
        <w:pStyle w:val="48"/>
        <w:rPr>
          <w:rFonts w:hint="eastAsia" w:ascii="仿宋_GB2312" w:hAnsi="仿宋_GB2312" w:eastAsia="仿宋_GB2312" w:cs="仿宋_GB2312"/>
        </w:rPr>
      </w:pPr>
      <w:r>
        <w:rPr>
          <w:rFonts w:hint="eastAsia" w:ascii="仿宋_GB2312" w:hAnsi="仿宋_GB2312" w:eastAsia="仿宋_GB2312" w:cs="仿宋_GB2312"/>
        </w:rPr>
        <w:t xml:space="preserve">      组织实施全市固定资产投资、建筑业、房地产业、招商引资的统计调查，收集、整理和提供有关调查统计数据，对有关统计数据质量进行检查和评估；指导县（市、区）和市直有关单位固定资产投资、建筑业、房地产业、招商引资统计调查基础工作；建立、完善、管理全市固定资产投资、建筑业、房地产业、招商引资统计调查数据库；进行统计分析和统计咨询。</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农业贸易与服务业统计科</w:t>
      </w:r>
    </w:p>
    <w:p>
      <w:pPr>
        <w:pStyle w:val="48"/>
        <w:rPr>
          <w:rFonts w:hint="eastAsia" w:ascii="仿宋_GB2312" w:hAnsi="仿宋_GB2312" w:eastAsia="仿宋_GB2312" w:cs="仿宋_GB2312"/>
        </w:rPr>
      </w:pPr>
      <w:r>
        <w:rPr>
          <w:rFonts w:hint="eastAsia" w:ascii="仿宋_GB2312" w:hAnsi="仿宋_GB2312" w:eastAsia="仿宋_GB2312" w:cs="仿宋_GB2312"/>
        </w:rPr>
        <w:t xml:space="preserve">      组织实施全市农业（包括林、牧、渔业等）、批发零售贸易业、住宿餐饮业、外贸、外经、旅游及商品市场运行状况统计调查；收集、整理和提供有关调查统计数据，建立、完善、管理相关的统计数据库；开展服务业统计抽样调查；指导有关专业统计基础工作，对统计数据质量进行检查和评估；进行统计分析和统计咨询。</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人口就业与社会科技统计科</w:t>
      </w:r>
    </w:p>
    <w:p>
      <w:pPr>
        <w:pStyle w:val="48"/>
        <w:ind w:firstLine="640" w:firstLineChars="200"/>
        <w:rPr>
          <w:rFonts w:hint="eastAsia" w:ascii="仿宋_GB2312" w:hAnsi="仿宋_GB2312" w:eastAsia="仿宋_GB2312" w:cs="仿宋_GB2312"/>
        </w:rPr>
      </w:pPr>
      <w:r>
        <w:rPr>
          <w:rFonts w:hint="eastAsia" w:ascii="仿宋_GB2312" w:hAnsi="仿宋_GB2312" w:eastAsia="仿宋_GB2312" w:cs="仿宋_GB2312"/>
        </w:rPr>
        <w:t>负责组织实施全市人口、劳动就业、社会、科技统计调查和妇女儿童发展规划监测；收集、整理和提供有关调查统计数据，建立、完善、管理相关的统计数据库；指导有关专业统计基础工作，对统计数据质量进行检查评估；进行统计分析和统计咨询。</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人事监察科</w:t>
      </w:r>
    </w:p>
    <w:p>
      <w:pPr>
        <w:pStyle w:val="48"/>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负责全市统计系统机关、直属单位的干部人事、劳动工资、机构编制的管理以及离退休干部的管理服务工作；负责全市统计系统干部党风廉政建设和纪检监察工作。</w:t>
      </w:r>
    </w:p>
    <w:p>
      <w:pPr>
        <w:pStyle w:val="48"/>
        <w:numPr>
          <w:ilvl w:val="0"/>
          <w:numId w:val="1"/>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机关党总支</w:t>
      </w:r>
    </w:p>
    <w:p>
      <w:pPr>
        <w:pStyle w:val="48"/>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负责局机关、派出机构和直属单位的党群工作。 </w:t>
      </w:r>
    </w:p>
    <w:p>
      <w:pPr>
        <w:pStyle w:val="48"/>
        <w:numPr>
          <w:ilvl w:val="0"/>
          <w:numId w:val="0"/>
        </w:numPr>
        <w:ind w:firstLine="640" w:firstLineChars="200"/>
        <w:rPr>
          <w:rFonts w:ascii="仿宋_GB2312" w:hAnsi="仿宋_GB2312" w:eastAsia="仿宋_GB2312" w:cs="仿宋_GB2312"/>
        </w:rPr>
      </w:pPr>
      <w:r>
        <w:rPr>
          <w:rFonts w:hint="eastAsia" w:ascii="仿宋_GB2312" w:hAnsi="仿宋_GB2312" w:eastAsia="仿宋_GB2312" w:cs="仿宋_GB2312"/>
        </w:rPr>
        <w:t>本单位无下设预算单位。</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gridSpan w:val="2"/>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bottom"/>
          </w:tcPr>
          <w:p>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379.22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339.35</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39.87</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92.50</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79.39</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13.11</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eastAsia" w:eastAsia="宋体"/>
                <w:color w:val="000000"/>
                <w:kern w:val="0"/>
                <w:sz w:val="20"/>
                <w:lang w:eastAsia="zh-CN"/>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13.29</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30.98</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14.74</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pPr>
              <w:widowControl/>
              <w:jc w:val="center"/>
              <w:rPr>
                <w:rFonts w:hint="default" w:ascii="Times New Roman" w:hAnsi="Times New Roman" w:eastAsia="宋体" w:cs="Times New Roman"/>
                <w:kern w:val="0"/>
                <w:sz w:val="20"/>
                <w:szCs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98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34" w:type="dxa"/>
            <w:tcBorders>
              <w:top w:val="nil"/>
              <w:left w:val="single" w:color="auto" w:sz="4" w:space="0"/>
              <w:bottom w:val="single" w:color="auto" w:sz="4" w:space="0"/>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82"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r>
    </w:tbl>
    <w:p>
      <w:pPr>
        <w:ind w:firstLine="640" w:firstLineChars="200"/>
        <w:rPr>
          <w:rFonts w:eastAsia="楷体_GB2312"/>
          <w:strike/>
        </w:rPr>
      </w:pPr>
    </w:p>
    <w:p>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656" w:type="dxa"/>
        <w:jc w:val="center"/>
        <w:tblLayout w:type="fixed"/>
        <w:tblCellMar>
          <w:top w:w="0" w:type="dxa"/>
          <w:left w:w="108" w:type="dxa"/>
          <w:bottom w:w="0" w:type="dxa"/>
          <w:right w:w="108" w:type="dxa"/>
        </w:tblCellMar>
      </w:tblPr>
      <w:tblGrid>
        <w:gridCol w:w="1312"/>
        <w:gridCol w:w="846"/>
        <w:gridCol w:w="833"/>
        <w:gridCol w:w="870"/>
        <w:gridCol w:w="330"/>
        <w:gridCol w:w="270"/>
        <w:gridCol w:w="360"/>
        <w:gridCol w:w="315"/>
        <w:gridCol w:w="345"/>
        <w:gridCol w:w="420"/>
        <w:gridCol w:w="375"/>
        <w:gridCol w:w="135"/>
        <w:gridCol w:w="285"/>
        <w:gridCol w:w="225"/>
        <w:gridCol w:w="480"/>
        <w:gridCol w:w="705"/>
        <w:gridCol w:w="375"/>
        <w:gridCol w:w="255"/>
        <w:gridCol w:w="365"/>
        <w:gridCol w:w="555"/>
      </w:tblGrid>
      <w:tr>
        <w:tblPrEx>
          <w:tblCellMar>
            <w:top w:w="0" w:type="dxa"/>
            <w:left w:w="108" w:type="dxa"/>
            <w:bottom w:w="0" w:type="dxa"/>
            <w:right w:w="108" w:type="dxa"/>
          </w:tblCellMar>
        </w:tblPrEx>
        <w:trPr>
          <w:trHeight w:val="475" w:hRule="atLeast"/>
          <w:jc w:val="center"/>
        </w:trPr>
        <w:tc>
          <w:tcPr>
            <w:tcW w:w="1312" w:type="dxa"/>
            <w:tcBorders>
              <w:bottom w:val="single" w:color="000000" w:sz="4" w:space="0"/>
            </w:tcBorders>
            <w:noWrap w:val="0"/>
            <w:vAlign w:val="top"/>
          </w:tcPr>
          <w:p>
            <w:pPr>
              <w:autoSpaceDN w:val="0"/>
              <w:jc w:val="left"/>
              <w:textAlignment w:val="center"/>
              <w:rPr>
                <w:rFonts w:eastAsia="华文细黑"/>
                <w:color w:val="000000"/>
                <w:sz w:val="20"/>
              </w:rPr>
            </w:pPr>
          </w:p>
        </w:tc>
        <w:tc>
          <w:tcPr>
            <w:tcW w:w="4169"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930" w:type="dxa"/>
            <w:gridSpan w:val="3"/>
            <w:noWrap w:val="0"/>
            <w:vAlign w:val="center"/>
          </w:tcPr>
          <w:p>
            <w:pPr>
              <w:autoSpaceDN w:val="0"/>
              <w:jc w:val="left"/>
              <w:textAlignment w:val="center"/>
              <w:rPr>
                <w:rFonts w:eastAsia="华文细黑"/>
                <w:color w:val="000000"/>
                <w:sz w:val="20"/>
              </w:rPr>
            </w:pPr>
          </w:p>
        </w:tc>
        <w:tc>
          <w:tcPr>
            <w:tcW w:w="510" w:type="dxa"/>
            <w:gridSpan w:val="2"/>
            <w:noWrap w:val="0"/>
            <w:vAlign w:val="center"/>
          </w:tcPr>
          <w:p>
            <w:pPr>
              <w:autoSpaceDN w:val="0"/>
              <w:jc w:val="left"/>
              <w:textAlignment w:val="center"/>
              <w:rPr>
                <w:rFonts w:eastAsia="华文细黑"/>
                <w:color w:val="000000"/>
                <w:sz w:val="20"/>
              </w:rPr>
            </w:pPr>
          </w:p>
        </w:tc>
        <w:tc>
          <w:tcPr>
            <w:tcW w:w="1185" w:type="dxa"/>
            <w:gridSpan w:val="2"/>
            <w:noWrap w:val="0"/>
            <w:vAlign w:val="center"/>
          </w:tcPr>
          <w:p>
            <w:pPr>
              <w:autoSpaceDN w:val="0"/>
              <w:jc w:val="left"/>
              <w:textAlignment w:val="center"/>
              <w:rPr>
                <w:rFonts w:eastAsia="华文细黑"/>
                <w:color w:val="000000"/>
                <w:sz w:val="20"/>
              </w:rPr>
            </w:pPr>
          </w:p>
        </w:tc>
        <w:tc>
          <w:tcPr>
            <w:tcW w:w="375" w:type="dxa"/>
            <w:noWrap w:val="0"/>
            <w:vAlign w:val="bottom"/>
          </w:tcPr>
          <w:p>
            <w:pPr>
              <w:autoSpaceDN w:val="0"/>
              <w:jc w:val="right"/>
              <w:textAlignment w:val="bottom"/>
              <w:rPr>
                <w:rFonts w:eastAsia="宋体"/>
                <w:color w:val="000000"/>
                <w:sz w:val="20"/>
              </w:rPr>
            </w:pPr>
          </w:p>
        </w:tc>
        <w:tc>
          <w:tcPr>
            <w:tcW w:w="1175" w:type="dxa"/>
            <w:gridSpan w:val="3"/>
            <w:noWrap w:val="0"/>
            <w:vAlign w:val="bottom"/>
          </w:tcPr>
          <w:p>
            <w:pPr>
              <w:wordWrap/>
              <w:autoSpaceDN w:val="0"/>
              <w:jc w:val="right"/>
              <w:textAlignment w:val="center"/>
              <w:rPr>
                <w:rFonts w:eastAsia="宋体"/>
                <w:color w:val="000000"/>
                <w:sz w:val="20"/>
              </w:rPr>
            </w:pPr>
            <w:r>
              <w:rPr>
                <w:rFonts w:eastAsia="宋体"/>
                <w:color w:val="000000"/>
                <w:sz w:val="20"/>
              </w:rPr>
              <w:t>单位：万元</w:t>
            </w:r>
          </w:p>
        </w:tc>
      </w:tr>
      <w:tr>
        <w:tblPrEx>
          <w:tblCellMar>
            <w:top w:w="0" w:type="dxa"/>
            <w:left w:w="108" w:type="dxa"/>
            <w:bottom w:w="0" w:type="dxa"/>
            <w:right w:w="108" w:type="dxa"/>
          </w:tblCellMar>
        </w:tblPrEx>
        <w:trPr>
          <w:trHeight w:val="760" w:hRule="atLeast"/>
          <w:jc w:val="center"/>
        </w:trPr>
        <w:tc>
          <w:tcPr>
            <w:tcW w:w="1312"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46"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538" w:type="dxa"/>
            <w:gridSpan w:val="11"/>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60" w:type="dxa"/>
            <w:gridSpan w:val="7"/>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tblPrEx>
          <w:tblCellMar>
            <w:top w:w="0" w:type="dxa"/>
            <w:left w:w="108" w:type="dxa"/>
            <w:bottom w:w="0" w:type="dxa"/>
            <w:right w:w="108" w:type="dxa"/>
          </w:tblCellMar>
        </w:tblPrEx>
        <w:trPr>
          <w:trHeight w:val="1132" w:hRule="atLeast"/>
          <w:jc w:val="center"/>
        </w:trPr>
        <w:tc>
          <w:tcPr>
            <w:tcW w:w="1312"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000000"/>
                <w:sz w:val="20"/>
                <w:lang w:eastAsia="zh-CN"/>
              </w:rPr>
            </w:pPr>
          </w:p>
        </w:tc>
        <w:tc>
          <w:tcPr>
            <w:tcW w:w="846" w:type="dxa"/>
            <w:vMerge w:val="continue"/>
            <w:tcBorders>
              <w:left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p>
        </w:tc>
        <w:tc>
          <w:tcPr>
            <w:tcW w:w="833"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60"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875" w:type="dxa"/>
            <w:gridSpan w:val="6"/>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335"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财政拨款结转</w:t>
            </w:r>
          </w:p>
        </w:tc>
        <w:tc>
          <w:tcPr>
            <w:tcW w:w="920"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tblPrEx>
          <w:tblCellMar>
            <w:top w:w="0" w:type="dxa"/>
            <w:left w:w="108" w:type="dxa"/>
            <w:bottom w:w="0" w:type="dxa"/>
            <w:right w:w="108" w:type="dxa"/>
          </w:tblCellMar>
        </w:tblPrEx>
        <w:trPr>
          <w:trHeight w:val="4035" w:hRule="atLeast"/>
          <w:jc w:val="center"/>
        </w:trPr>
        <w:tc>
          <w:tcPr>
            <w:tcW w:w="1312"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3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87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30"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25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6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tblPrEx>
          <w:tblCellMar>
            <w:top w:w="0" w:type="dxa"/>
            <w:left w:w="108" w:type="dxa"/>
            <w:bottom w:w="0" w:type="dxa"/>
            <w:right w:w="108" w:type="dxa"/>
          </w:tblCellMar>
        </w:tblPrEx>
        <w:trPr>
          <w:trHeight w:val="762"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通化市统计局（本级）</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lang w:val="en-US" w:eastAsia="zh-CN"/>
              </w:rPr>
            </w:pPr>
            <w:r>
              <w:rPr>
                <w:rFonts w:hint="default" w:ascii="Times New Roman" w:hAnsi="Times New Roman" w:eastAsia="宋体" w:cs="Times New Roman"/>
                <w:color w:val="000000"/>
                <w:sz w:val="20"/>
                <w:szCs w:val="20"/>
                <w:shd w:val="clear" w:color="auto" w:fill="FFFFFF"/>
                <w:lang w:val="en-US" w:eastAsia="zh-CN"/>
              </w:rPr>
              <w:t>463.01</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760"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宋体" w:hAnsi="宋体" w:eastAsia="宋体" w:cs="宋体"/>
                <w:color w:val="000000"/>
                <w:sz w:val="20"/>
                <w:shd w:val="clear" w:color="auto" w:fill="FFFFFF"/>
              </w:rPr>
            </w:pP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804" w:hRule="atLeast"/>
          <w:jc w:val="center"/>
        </w:trPr>
        <w:tc>
          <w:tcPr>
            <w:tcW w:w="1312"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kern w:val="0"/>
                <w:sz w:val="20"/>
              </w:rPr>
              <w:t>合计</w:t>
            </w:r>
          </w:p>
        </w:tc>
        <w:tc>
          <w:tcPr>
            <w:tcW w:w="8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8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color w:val="000000"/>
                <w:sz w:val="20"/>
                <w:szCs w:val="20"/>
                <w:shd w:val="clear" w:color="auto" w:fill="FFFFFF"/>
                <w:lang w:val="en-US" w:eastAsia="zh-CN"/>
              </w:rPr>
              <w:t>463.01</w:t>
            </w:r>
          </w:p>
        </w:tc>
        <w:tc>
          <w:tcPr>
            <w:tcW w:w="33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4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7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bottom"/>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379.22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379.22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机关服务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专项普查活动</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486.10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tbl>
      <w:tblPr>
        <w:tblStyle w:val="9"/>
        <w:tblW w:w="0" w:type="auto"/>
        <w:jc w:val="center"/>
        <w:tblLayout w:type="fixed"/>
        <w:tblCellMar>
          <w:top w:w="0" w:type="dxa"/>
          <w:left w:w="108" w:type="dxa"/>
          <w:bottom w:w="0" w:type="dxa"/>
          <w:right w:w="108" w:type="dxa"/>
        </w:tblCellMar>
      </w:tblPr>
      <w:tblGrid>
        <w:gridCol w:w="9960"/>
      </w:tblGrid>
      <w:tr>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379.22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339.35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39.87</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92.50</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79.39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13.11</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4.36</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14.74</w:t>
                  </w: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535.09</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463.01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72.08</w:t>
                  </w:r>
                </w:p>
              </w:tc>
            </w:tr>
          </w:tbl>
          <w:p>
            <w:pPr>
              <w:widowControl/>
              <w:rPr>
                <w:rFonts w:eastAsia="方正小标宋简体"/>
                <w:kern w:val="0"/>
                <w:sz w:val="44"/>
                <w:szCs w:val="44"/>
              </w:rPr>
            </w:pPr>
          </w:p>
        </w:tc>
      </w:tr>
    </w:tbl>
    <w:p>
      <w:pPr>
        <w:ind w:firstLine="640" w:firstLineChars="200"/>
        <w:rPr>
          <w:rFonts w:hAnsi="楷体" w:eastAsia="楷体"/>
        </w:rPr>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379.22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245.75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84.49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379.22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245.75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84.49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330.24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245.75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84.49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92.49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17.65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0"/>
                      <w:sz w:val="20"/>
                      <w:szCs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535.08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486.10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84.49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852"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351.90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351.90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63.80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59.55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59.55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11.01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45.72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77.04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77.04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3.87</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0.49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1.32</w:t>
            </w:r>
          </w:p>
        </w:tc>
      </w:tr>
    </w:tbl>
    <w:p>
      <w:pPr>
        <w:rPr>
          <w:sz w:val="16"/>
          <w:szCs w:val="16"/>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4.41</w:t>
            </w:r>
          </w:p>
        </w:tc>
      </w:tr>
      <w:tr>
        <w:tblPrEx>
          <w:tblCellMar>
            <w:top w:w="0" w:type="dxa"/>
            <w:left w:w="108" w:type="dxa"/>
            <w:bottom w:w="0" w:type="dxa"/>
            <w:right w:w="108" w:type="dxa"/>
          </w:tblCellMar>
        </w:tblPrEx>
        <w:trPr>
          <w:trHeight w:val="57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0.23</w:t>
            </w:r>
          </w:p>
        </w:tc>
      </w:tr>
      <w:tr>
        <w:tblPrEx>
          <w:tblCellMar>
            <w:top w:w="0" w:type="dxa"/>
            <w:left w:w="108" w:type="dxa"/>
            <w:bottom w:w="0" w:type="dxa"/>
            <w:right w:w="108" w:type="dxa"/>
          </w:tblCellMar>
        </w:tblPrEx>
        <w:trPr>
          <w:trHeight w:val="56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4.20</w:t>
            </w:r>
          </w:p>
        </w:tc>
      </w:tr>
      <w:tr>
        <w:tblPrEx>
          <w:tblCellMar>
            <w:top w:w="0" w:type="dxa"/>
            <w:left w:w="108" w:type="dxa"/>
            <w:bottom w:w="0" w:type="dxa"/>
            <w:right w:w="108" w:type="dxa"/>
          </w:tblCellMar>
        </w:tblPrEx>
        <w:trPr>
          <w:trHeight w:val="5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CellMar>
            <w:top w:w="0" w:type="dxa"/>
            <w:left w:w="108" w:type="dxa"/>
            <w:bottom w:w="0" w:type="dxa"/>
            <w:right w:w="108" w:type="dxa"/>
          </w:tblCellMar>
        </w:tblPrEx>
        <w:trPr>
          <w:trHeight w:val="5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3.12</w:t>
            </w:r>
          </w:p>
        </w:tc>
      </w:tr>
      <w:tr>
        <w:tblPrEx>
          <w:tblCellMar>
            <w:top w:w="0" w:type="dxa"/>
            <w:left w:w="108" w:type="dxa"/>
            <w:bottom w:w="0" w:type="dxa"/>
            <w:right w:w="108" w:type="dxa"/>
          </w:tblCellMar>
        </w:tblPrEx>
        <w:trPr>
          <w:trHeight w:val="54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20.53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3.33</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19.24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19.24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1.97</w:t>
            </w:r>
          </w:p>
        </w:tc>
      </w:tr>
      <w:tr>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49.71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49.71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14.92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14.92</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33.85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33.85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0.94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0.94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7.45</w:t>
            </w:r>
          </w:p>
        </w:tc>
      </w:tr>
      <w:tr>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7.45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486.10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401.61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84.49</w:t>
            </w:r>
          </w:p>
        </w:tc>
      </w:tr>
    </w:tbl>
    <w:p>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3.63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0.30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3.33</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r>
      <w:tr>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pPr>
              <w:widowControl/>
              <w:jc w:val="both"/>
              <w:rPr>
                <w:rFonts w:hint="eastAsia"/>
                <w:color w:val="000000"/>
                <w:kern w:val="0"/>
                <w:sz w:val="28"/>
                <w:szCs w:val="28"/>
                <w:lang w:val="en-US" w:eastAsia="zh-CN"/>
              </w:rPr>
            </w:pPr>
            <w:r>
              <w:rPr>
                <w:rFonts w:hint="eastAsia"/>
                <w:color w:val="000000"/>
                <w:kern w:val="0"/>
                <w:sz w:val="28"/>
                <w:szCs w:val="28"/>
                <w:lang w:val="en-US" w:eastAsia="zh-CN"/>
              </w:rPr>
              <w:t>说明：</w:t>
            </w:r>
          </w:p>
          <w:p>
            <w:pPr>
              <w:widowControl/>
              <w:ind w:firstLine="560"/>
              <w:jc w:val="both"/>
              <w:rPr>
                <w:rFonts w:hint="eastAsia"/>
                <w:color w:val="000000"/>
                <w:kern w:val="0"/>
                <w:sz w:val="28"/>
                <w:szCs w:val="28"/>
                <w:lang w:val="en-US" w:eastAsia="zh-CN"/>
              </w:rPr>
            </w:pPr>
            <w:r>
              <w:rPr>
                <w:rFonts w:hint="eastAsia"/>
                <w:color w:val="000000"/>
                <w:kern w:val="0"/>
                <w:sz w:val="28"/>
                <w:szCs w:val="28"/>
                <w:lang w:val="en-US" w:eastAsia="zh-CN"/>
              </w:rPr>
              <w:t>1.“2024年预算数”的单位范围包括本单位1个预算单位。</w:t>
            </w:r>
          </w:p>
          <w:p>
            <w:pPr>
              <w:widowControl/>
              <w:ind w:firstLine="560"/>
              <w:jc w:val="both"/>
              <w:rPr>
                <w:rFonts w:hint="default"/>
                <w:color w:val="000000"/>
                <w:kern w:val="0"/>
                <w:sz w:val="28"/>
                <w:szCs w:val="28"/>
                <w:lang w:val="en-US" w:eastAsia="zh-CN"/>
              </w:rPr>
            </w:pPr>
            <w:r>
              <w:rPr>
                <w:rFonts w:hint="eastAsia"/>
                <w:color w:val="000000"/>
                <w:kern w:val="0"/>
                <w:sz w:val="28"/>
                <w:szCs w:val="28"/>
                <w:lang w:val="en-US" w:eastAsia="zh-CN"/>
              </w:rPr>
              <w:t>2.“2024年预算数”的实有人员46人，其中：在职人员20人，离退休人员26人。</w:t>
            </w:r>
          </w:p>
        </w:tc>
      </w:tr>
    </w:tbl>
    <w:p>
      <w:pPr>
        <w:rPr>
          <w:rFonts w:eastAsia="楷体"/>
          <w:kern w:val="0"/>
          <w:szCs w:val="32"/>
        </w:rPr>
      </w:pPr>
      <w:r>
        <w:rPr>
          <w:rFonts w:eastAsia="楷体"/>
          <w:kern w:val="0"/>
          <w:szCs w:val="32"/>
        </w:rPr>
        <w:t xml:space="preserve">    </w:t>
      </w: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p>
      <w:pPr>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p>
    <w:p>
      <w:pPr>
        <w:spacing w:line="700" w:lineRule="exact"/>
        <w:jc w:val="both"/>
        <w:rPr>
          <w:rFonts w:eastAsia="楷体"/>
          <w:kern w:val="0"/>
          <w:szCs w:val="32"/>
        </w:rPr>
      </w:pPr>
      <w:bookmarkStart w:id="0" w:name="_GoBack"/>
      <w:bookmarkEnd w:id="0"/>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pPr>
              <w:autoSpaceDN w:val="0"/>
              <w:jc w:val="center"/>
              <w:textAlignment w:val="center"/>
              <w:rPr>
                <w:rFonts w:ascii="Calibri" w:hAnsi="Calibri" w:eastAsia="华文细黑"/>
                <w:color w:val="000000"/>
                <w:sz w:val="20"/>
                <w:szCs w:val="22"/>
              </w:rPr>
            </w:pPr>
          </w:p>
        </w:tc>
        <w:tc>
          <w:tcPr>
            <w:tcW w:w="7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16"/>
                <w:szCs w:val="16"/>
                <w:u w:val="none"/>
                <w:lang w:val="en-US" w:eastAsia="zh-CN" w:bidi="ar-SA"/>
              </w:rPr>
              <w:t>专项业务支出</w:t>
            </w:r>
          </w:p>
        </w:tc>
        <w:tc>
          <w:tcPr>
            <w:tcW w:w="879" w:type="dxa"/>
            <w:noWrap w:val="0"/>
            <w:vAlign w:val="center"/>
          </w:tcPr>
          <w:p>
            <w:pPr>
              <w:spacing w:line="700" w:lineRule="exact"/>
              <w:jc w:val="center"/>
              <w:rPr>
                <w:rFonts w:hint="eastAsia" w:ascii="宋体" w:hAnsi="宋体" w:eastAsia="宋体" w:cs="宋体"/>
                <w:kern w:val="0"/>
                <w:sz w:val="20"/>
                <w:szCs w:val="20"/>
              </w:rPr>
            </w:pP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专项普查活动</w:t>
            </w: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jc w:val="left"/>
              <w:rPr>
                <w:rFonts w:hint="eastAsia" w:ascii="宋体" w:hAnsi="宋体" w:eastAsia="宋体" w:cs="宋体"/>
                <w:kern w:val="0"/>
                <w:sz w:val="20"/>
                <w:szCs w:val="20"/>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第五次全国经济普查经费</w:t>
            </w:r>
          </w:p>
        </w:tc>
        <w:tc>
          <w:tcPr>
            <w:tcW w:w="704" w:type="dxa"/>
            <w:noWrap w:val="0"/>
            <w:vAlign w:val="center"/>
          </w:tcPr>
          <w:p>
            <w:pPr>
              <w:spacing w:line="240" w:lineRule="auto"/>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通化市统计局</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本级）</w:t>
            </w: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专项统计业务</w:t>
            </w: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统计调查经费</w:t>
            </w:r>
          </w:p>
        </w:tc>
        <w:tc>
          <w:tcPr>
            <w:tcW w:w="704" w:type="dxa"/>
            <w:noWrap w:val="0"/>
            <w:vAlign w:val="center"/>
          </w:tcPr>
          <w:p>
            <w:pPr>
              <w:spacing w:line="240" w:lineRule="auto"/>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通化市统计局</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lang w:eastAsia="zh-CN"/>
              </w:rPr>
              <w:t>本级）</w:t>
            </w: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34.78</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统计综合业务管理</w:t>
            </w:r>
          </w:p>
        </w:tc>
        <w:tc>
          <w:tcPr>
            <w:tcW w:w="931" w:type="dxa"/>
            <w:gridSpan w:val="2"/>
            <w:noWrap w:val="0"/>
            <w:vAlign w:val="center"/>
          </w:tcPr>
          <w:p>
            <w:pPr>
              <w:spacing w:line="700" w:lineRule="exact"/>
              <w:jc w:val="center"/>
              <w:rPr>
                <w:rFonts w:hint="eastAsia" w:ascii="宋体" w:hAnsi="宋体" w:eastAsia="宋体" w:cs="宋体"/>
                <w:kern w:val="0"/>
                <w:sz w:val="20"/>
                <w:szCs w:val="20"/>
              </w:rPr>
            </w:pPr>
          </w:p>
        </w:tc>
        <w:tc>
          <w:tcPr>
            <w:tcW w:w="704" w:type="dxa"/>
            <w:noWrap w:val="0"/>
            <w:vAlign w:val="center"/>
          </w:tcPr>
          <w:p>
            <w:pPr>
              <w:spacing w:line="700" w:lineRule="exact"/>
              <w:jc w:val="center"/>
              <w:rPr>
                <w:rFonts w:hint="eastAsia" w:ascii="宋体" w:hAnsi="宋体" w:eastAsia="宋体" w:cs="宋体"/>
                <w:kern w:val="0"/>
                <w:sz w:val="20"/>
                <w:szCs w:val="20"/>
              </w:rPr>
            </w:pPr>
          </w:p>
        </w:tc>
        <w:tc>
          <w:tcPr>
            <w:tcW w:w="722"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pPr>
              <w:spacing w:line="700" w:lineRule="exact"/>
              <w:jc w:val="center"/>
              <w:rPr>
                <w:rFonts w:hint="eastAsia" w:ascii="宋体" w:hAnsi="宋体" w:eastAsia="宋体" w:cs="宋体"/>
                <w:kern w:val="0"/>
                <w:sz w:val="20"/>
                <w:szCs w:val="20"/>
              </w:rPr>
            </w:pPr>
          </w:p>
        </w:tc>
        <w:tc>
          <w:tcPr>
            <w:tcW w:w="8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员额人员经费</w:t>
            </w:r>
          </w:p>
        </w:tc>
        <w:tc>
          <w:tcPr>
            <w:tcW w:w="704" w:type="dxa"/>
            <w:noWrap w:val="0"/>
            <w:vAlign w:val="center"/>
          </w:tcPr>
          <w:p>
            <w:pPr>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lang w:eastAsia="zh-CN"/>
              </w:rPr>
              <w:t>通化市统计局（本级）</w:t>
            </w: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pPr>
              <w:autoSpaceDN w:val="0"/>
              <w:jc w:val="center"/>
              <w:textAlignment w:val="center"/>
              <w:rPr>
                <w:rFonts w:ascii="Calibri" w:hAnsi="Calibri" w:eastAsia="华文细黑"/>
                <w:color w:val="000000"/>
                <w:sz w:val="20"/>
                <w:szCs w:val="22"/>
              </w:rPr>
            </w:pPr>
          </w:p>
        </w:tc>
        <w:tc>
          <w:tcPr>
            <w:tcW w:w="931" w:type="dxa"/>
            <w:gridSpan w:val="2"/>
            <w:noWrap w:val="0"/>
            <w:vAlign w:val="center"/>
          </w:tcPr>
          <w:p>
            <w:pPr>
              <w:spacing w:line="700" w:lineRule="exact"/>
              <w:jc w:val="center"/>
              <w:rPr>
                <w:rFonts w:ascii="Calibri" w:hAnsi="Calibri" w:eastAsia="楷体"/>
                <w:kern w:val="0"/>
                <w:szCs w:val="32"/>
              </w:rPr>
            </w:pPr>
          </w:p>
        </w:tc>
        <w:tc>
          <w:tcPr>
            <w:tcW w:w="704" w:type="dxa"/>
            <w:noWrap w:val="0"/>
            <w:vAlign w:val="center"/>
          </w:tcPr>
          <w:p>
            <w:pPr>
              <w:spacing w:line="700" w:lineRule="exact"/>
              <w:jc w:val="center"/>
              <w:rPr>
                <w:rFonts w:ascii="Calibri" w:hAnsi="Calibri" w:eastAsia="楷体"/>
                <w:kern w:val="0"/>
                <w:szCs w:val="32"/>
              </w:rPr>
            </w:pPr>
          </w:p>
        </w:tc>
        <w:tc>
          <w:tcPr>
            <w:tcW w:w="722"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727" w:type="dxa"/>
            <w:noWrap w:val="0"/>
            <w:vAlign w:val="center"/>
          </w:tcPr>
          <w:p>
            <w:pPr>
              <w:keepNext w:val="0"/>
              <w:keepLines w:val="0"/>
              <w:widowControl/>
              <w:suppressLineNumbers w:val="0"/>
              <w:jc w:val="right"/>
              <w:textAlignment w:val="center"/>
              <w:rPr>
                <w:rFonts w:hint="default" w:ascii="Times New Roman" w:hAnsi="Times New Roman" w:eastAsia="楷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48.98</w:t>
            </w:r>
          </w:p>
        </w:tc>
        <w:tc>
          <w:tcPr>
            <w:tcW w:w="473" w:type="dxa"/>
            <w:noWrap w:val="0"/>
            <w:vAlign w:val="center"/>
          </w:tcPr>
          <w:p>
            <w:pPr>
              <w:spacing w:line="700" w:lineRule="exact"/>
              <w:jc w:val="center"/>
              <w:rPr>
                <w:rFonts w:ascii="Calibri" w:hAnsi="Calibri" w:eastAsia="楷体"/>
                <w:kern w:val="0"/>
                <w:szCs w:val="32"/>
              </w:rPr>
            </w:pPr>
          </w:p>
        </w:tc>
        <w:tc>
          <w:tcPr>
            <w:tcW w:w="469"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609" w:type="dxa"/>
            <w:noWrap w:val="0"/>
            <w:vAlign w:val="center"/>
          </w:tcPr>
          <w:p>
            <w:pPr>
              <w:spacing w:line="700" w:lineRule="exact"/>
              <w:jc w:val="center"/>
              <w:rPr>
                <w:rFonts w:ascii="Calibri" w:hAnsi="Calibri" w:eastAsia="楷体"/>
                <w:kern w:val="0"/>
                <w:szCs w:val="32"/>
              </w:rPr>
            </w:pPr>
          </w:p>
        </w:tc>
        <w:tc>
          <w:tcPr>
            <w:tcW w:w="527" w:type="dxa"/>
            <w:noWrap w:val="0"/>
            <w:vAlign w:val="center"/>
          </w:tcPr>
          <w:p>
            <w:pPr>
              <w:spacing w:line="700" w:lineRule="exact"/>
              <w:jc w:val="center"/>
              <w:rPr>
                <w:rFonts w:ascii="Calibri" w:hAnsi="Calibri" w:eastAsia="楷体"/>
                <w:kern w:val="0"/>
                <w:szCs w:val="32"/>
              </w:rPr>
            </w:pPr>
          </w:p>
        </w:tc>
        <w:tc>
          <w:tcPr>
            <w:tcW w:w="622" w:type="dxa"/>
            <w:noWrap w:val="0"/>
            <w:vAlign w:val="center"/>
          </w:tcPr>
          <w:p>
            <w:pPr>
              <w:spacing w:line="700" w:lineRule="exact"/>
              <w:jc w:val="center"/>
              <w:rPr>
                <w:rFonts w:ascii="Calibri" w:hAnsi="Calibri" w:eastAsia="楷体"/>
                <w:kern w:val="0"/>
                <w:szCs w:val="32"/>
              </w:rPr>
            </w:pPr>
          </w:p>
        </w:tc>
        <w:tc>
          <w:tcPr>
            <w:tcW w:w="568" w:type="dxa"/>
            <w:noWrap w:val="0"/>
            <w:vAlign w:val="center"/>
          </w:tcPr>
          <w:p>
            <w:pPr>
              <w:spacing w:line="700" w:lineRule="exact"/>
              <w:jc w:val="center"/>
              <w:rPr>
                <w:rFonts w:ascii="Calibri" w:hAnsi="Calibri" w:eastAsia="楷体"/>
                <w:kern w:val="0"/>
                <w:szCs w:val="32"/>
              </w:rPr>
            </w:pPr>
          </w:p>
        </w:tc>
        <w:tc>
          <w:tcPr>
            <w:tcW w:w="766" w:type="dxa"/>
            <w:noWrap w:val="0"/>
            <w:vAlign w:val="center"/>
          </w:tcPr>
          <w:p>
            <w:pPr>
              <w:spacing w:line="700" w:lineRule="exact"/>
              <w:jc w:val="center"/>
              <w:rPr>
                <w:rFonts w:ascii="Calibri" w:hAnsi="Calibri" w:eastAsia="楷体"/>
                <w:kern w:val="0"/>
                <w:szCs w:val="32"/>
              </w:rPr>
            </w:pPr>
          </w:p>
        </w:tc>
        <w:tc>
          <w:tcPr>
            <w:tcW w:w="629" w:type="dxa"/>
            <w:noWrap w:val="0"/>
            <w:vAlign w:val="center"/>
          </w:tcPr>
          <w:p>
            <w:pPr>
              <w:spacing w:line="700" w:lineRule="exact"/>
              <w:jc w:val="center"/>
              <w:rPr>
                <w:rFonts w:ascii="Calibri" w:hAnsi="Calibri" w:eastAsia="楷体"/>
                <w:kern w:val="0"/>
                <w:szCs w:val="32"/>
              </w:rPr>
            </w:pPr>
          </w:p>
        </w:tc>
      </w:tr>
    </w:tbl>
    <w:p>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pPr>
              <w:spacing w:line="240" w:lineRule="auto"/>
              <w:jc w:val="both"/>
              <w:rPr>
                <w:rFonts w:hint="eastAsia" w:ascii="华文细黑" w:hAnsi="华文细黑" w:eastAsia="华文细黑" w:cs="华文细黑"/>
                <w:kern w:val="0"/>
                <w:sz w:val="20"/>
                <w:szCs w:val="20"/>
                <w:vertAlign w:val="baseline"/>
              </w:rPr>
            </w:pPr>
          </w:p>
        </w:tc>
      </w:tr>
    </w:tbl>
    <w:p>
      <w:pPr>
        <w:ind w:firstLine="640" w:firstLineChars="200"/>
        <w:rPr>
          <w:rFonts w:eastAsia="楷体"/>
          <w:kern w:val="0"/>
          <w:szCs w:val="32"/>
        </w:rPr>
      </w:pPr>
    </w:p>
    <w:p>
      <w:pPr>
        <w:rPr>
          <w:rFonts w:hAnsi="楷体" w:eastAsia="楷体"/>
        </w:rPr>
      </w:pPr>
    </w:p>
    <w:p>
      <w:pPr>
        <w:rPr>
          <w:rFonts w:hAnsi="楷体" w:eastAsia="楷体"/>
        </w:rPr>
      </w:pPr>
    </w:p>
    <w:tbl>
      <w:tblPr>
        <w:tblStyle w:val="10"/>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91"/>
        <w:gridCol w:w="631"/>
        <w:gridCol w:w="1189"/>
        <w:gridCol w:w="706"/>
        <w:gridCol w:w="1083"/>
        <w:gridCol w:w="1610"/>
        <w:gridCol w:w="1036"/>
        <w:gridCol w:w="723"/>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980" w:type="dxa"/>
            <w:gridSpan w:val="10"/>
            <w:tcBorders>
              <w:top w:val="nil"/>
              <w:left w:val="nil"/>
              <w:bottom w:val="single" w:color="000000" w:sz="4" w:space="0"/>
              <w:right w:val="nil"/>
            </w:tcBorders>
            <w:noWrap w:val="0"/>
            <w:vAlign w:val="top"/>
          </w:tcPr>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center"/>
              <w:rPr>
                <w:rFonts w:ascii="Calibri" w:hAnsi="Calibri" w:eastAsia="楷体" w:cs="Times New Roman"/>
                <w:kern w:val="0"/>
                <w:szCs w:val="32"/>
                <w:vertAlign w:val="baseline"/>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33" w:type="dxa"/>
            <w:vMerge w:val="restart"/>
            <w:tcBorders>
              <w:top w:val="single" w:color="000000" w:sz="4" w:space="0"/>
              <w:left w:val="single" w:color="000000" w:sz="4" w:space="0"/>
              <w:right w:val="single" w:color="000000" w:sz="4" w:space="0"/>
            </w:tcBorders>
            <w:noWrap w:val="0"/>
            <w:vAlign w:val="center"/>
          </w:tcPr>
          <w:p>
            <w:pPr>
              <w:tabs>
                <w:tab w:val="left" w:pos="278"/>
              </w:tabs>
              <w:spacing w:line="240" w:lineRule="auto"/>
              <w:jc w:val="left"/>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ab/>
            </w:r>
            <w:r>
              <w:rPr>
                <w:rFonts w:hint="eastAsia" w:ascii="宋体" w:hAnsi="宋体" w:eastAsia="宋体" w:cs="宋体"/>
                <w:kern w:val="0"/>
                <w:sz w:val="20"/>
                <w:szCs w:val="20"/>
                <w:vertAlign w:val="baseline"/>
                <w:lang w:eastAsia="zh-CN"/>
              </w:rPr>
              <w:t>通化市统计局（本级）</w:t>
            </w:r>
          </w:p>
        </w:tc>
        <w:tc>
          <w:tcPr>
            <w:tcW w:w="69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第五次全国经济普查经费</w:t>
            </w:r>
          </w:p>
        </w:tc>
        <w:tc>
          <w:tcPr>
            <w:tcW w:w="63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4.90</w:t>
            </w:r>
          </w:p>
        </w:tc>
        <w:tc>
          <w:tcPr>
            <w:tcW w:w="118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进行普查登记，普查表审核及数据处理，对普查登记阶段进行监督和数据检查。汇总普查原始资料，审核汇总资料，发布普查数据。按照相关工作支出宣传费2.5万，差旅费0.9万元，租车费1.5万元，共计4.9万元。</w:t>
            </w:r>
          </w:p>
        </w:tc>
        <w:tc>
          <w:tcPr>
            <w:tcW w:w="706"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83"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单册印刷成本</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sz w:val="20"/>
                <w:szCs w:val="20"/>
              </w:rPr>
              <w:t>反映单册印刷成本</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kern w:val="0"/>
                <w:sz w:val="20"/>
                <w:szCs w:val="20"/>
                <w:vertAlign w:val="baseline"/>
                <w:lang w:val="en-US" w:eastAsia="zh-CN"/>
              </w:rPr>
              <w:t>3</w:t>
            </w:r>
            <w:r>
              <w:rPr>
                <w:rFonts w:hint="eastAsia" w:ascii="宋体" w:hAnsi="宋体" w:eastAsia="宋体" w:cs="宋体"/>
                <w:kern w:val="0"/>
                <w:sz w:val="20"/>
                <w:szCs w:val="20"/>
                <w:vertAlign w:val="baseline"/>
              </w:rPr>
              <w:t>0元</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3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9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3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8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6"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83"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1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调查单位数</w:t>
            </w:r>
          </w:p>
        </w:tc>
        <w:tc>
          <w:tcPr>
            <w:tcW w:w="1036"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反映调查单位、个体户的数量</w:t>
            </w:r>
          </w:p>
        </w:tc>
        <w:tc>
          <w:tcPr>
            <w:tcW w:w="723"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kern w:val="0"/>
                <w:sz w:val="20"/>
                <w:szCs w:val="20"/>
                <w:vertAlign w:val="baseline"/>
              </w:rPr>
              <w:t>80000户</w:t>
            </w:r>
          </w:p>
        </w:tc>
        <w:tc>
          <w:tcPr>
            <w:tcW w:w="578"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3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9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31"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8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6"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83"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610"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宣传品发放准确率</w:t>
            </w:r>
          </w:p>
        </w:tc>
        <w:tc>
          <w:tcPr>
            <w:tcW w:w="1036"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反映宣传品发放对象和数量的准确情况。</w:t>
            </w:r>
          </w:p>
        </w:tc>
        <w:tc>
          <w:tcPr>
            <w:tcW w:w="723" w:type="dxa"/>
            <w:noWrap w:val="0"/>
            <w:vAlign w:val="center"/>
          </w:tcPr>
          <w:p>
            <w:pPr>
              <w:spacing w:line="240" w:lineRule="auto"/>
              <w:jc w:val="center"/>
              <w:rPr>
                <w:rFonts w:hint="eastAsia" w:ascii="宋体" w:hAnsi="宋体" w:eastAsia="宋体" w:cs="宋体"/>
                <w:kern w:val="0"/>
                <w:sz w:val="20"/>
                <w:szCs w:val="20"/>
                <w:vertAlign w:val="baseline"/>
              </w:rPr>
            </w:pPr>
            <w:r>
              <w:rPr>
                <w:rFonts w:hint="default" w:ascii="Arial" w:hAnsi="Arial" w:eastAsia="宋体" w:cs="Arial"/>
                <w:kern w:val="0"/>
                <w:sz w:val="20"/>
                <w:szCs w:val="20"/>
                <w:vertAlign w:val="baseline"/>
              </w:rPr>
              <w:t>≥</w:t>
            </w:r>
            <w:r>
              <w:rPr>
                <w:rFonts w:hint="eastAsia" w:ascii="宋体" w:hAnsi="宋体" w:eastAsia="宋体" w:cs="宋体"/>
                <w:kern w:val="0"/>
                <w:sz w:val="20"/>
                <w:szCs w:val="20"/>
                <w:vertAlign w:val="baseline"/>
              </w:rPr>
              <w:t>95%</w:t>
            </w:r>
          </w:p>
        </w:tc>
        <w:tc>
          <w:tcPr>
            <w:tcW w:w="578"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733"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91"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631"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1189"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p>
        </w:tc>
        <w:tc>
          <w:tcPr>
            <w:tcW w:w="706" w:type="dxa"/>
            <w:tcBorders>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效益指标</w:t>
            </w:r>
          </w:p>
        </w:tc>
        <w:tc>
          <w:tcPr>
            <w:tcW w:w="1083" w:type="dxa"/>
            <w:tcBorders>
              <w:bottom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10" w:type="dxa"/>
            <w:tcBorders>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完成经济普查技术工作总结</w:t>
            </w:r>
          </w:p>
        </w:tc>
        <w:tc>
          <w:tcPr>
            <w:tcW w:w="1036" w:type="dxa"/>
            <w:tcBorders>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形成经济普查工作总结，便于指导今后工作</w:t>
            </w:r>
          </w:p>
        </w:tc>
        <w:tc>
          <w:tcPr>
            <w:tcW w:w="723" w:type="dxa"/>
            <w:tcBorders>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20"/>
                <w:szCs w:val="20"/>
                <w:vertAlign w:val="baseline"/>
                <w:lang w:val="en-US" w:eastAsia="zh-CN"/>
              </w:rPr>
              <w:t>1篇</w:t>
            </w:r>
          </w:p>
        </w:tc>
        <w:tc>
          <w:tcPr>
            <w:tcW w:w="578" w:type="dxa"/>
            <w:tcBorders>
              <w:bottom w:val="single" w:color="auto" w:sz="4" w:space="0"/>
            </w:tcBorders>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30</w:t>
            </w:r>
          </w:p>
        </w:tc>
      </w:tr>
    </w:tbl>
    <w:p/>
    <w:p/>
    <w:p/>
    <w:p/>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bl>
      <w:tblPr>
        <w:tblStyle w:val="1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89"/>
        <w:gridCol w:w="629"/>
        <w:gridCol w:w="1184"/>
        <w:gridCol w:w="704"/>
        <w:gridCol w:w="1079"/>
        <w:gridCol w:w="1604"/>
        <w:gridCol w:w="1032"/>
        <w:gridCol w:w="721"/>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0"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通化市统计局（本级）</w:t>
            </w:r>
          </w:p>
        </w:tc>
        <w:tc>
          <w:tcPr>
            <w:tcW w:w="689"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员额人员经费</w:t>
            </w:r>
          </w:p>
        </w:tc>
        <w:tc>
          <w:tcPr>
            <w:tcW w:w="629"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9.30</w:t>
            </w:r>
          </w:p>
        </w:tc>
        <w:tc>
          <w:tcPr>
            <w:tcW w:w="1184"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按时（每月15日前）发放员额人员工资、缴纳“五险一金”，保障正常开展工作。</w:t>
            </w:r>
          </w:p>
        </w:tc>
        <w:tc>
          <w:tcPr>
            <w:tcW w:w="704" w:type="dxa"/>
            <w:vMerge w:val="restart"/>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79" w:type="dxa"/>
            <w:tcBorders>
              <w:top w:val="single" w:color="auto"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04" w:type="dxa"/>
            <w:tcBorders>
              <w:top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员额人员经费发放人数</w:t>
            </w:r>
          </w:p>
        </w:tc>
        <w:tc>
          <w:tcPr>
            <w:tcW w:w="103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反映发放员额人员经费的人数情况。</w:t>
            </w:r>
          </w:p>
        </w:tc>
        <w:tc>
          <w:tcPr>
            <w:tcW w:w="721"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=1人</w:t>
            </w:r>
          </w:p>
        </w:tc>
        <w:tc>
          <w:tcPr>
            <w:tcW w:w="559"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60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员额人员经费发放准确率</w:t>
            </w:r>
          </w:p>
        </w:tc>
        <w:tc>
          <w:tcPr>
            <w:tcW w:w="10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反映员额人员经费发放对象和数额准确的情况</w:t>
            </w:r>
          </w:p>
        </w:tc>
        <w:tc>
          <w:tcPr>
            <w:tcW w:w="72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=100%</w:t>
            </w:r>
          </w:p>
        </w:tc>
        <w:tc>
          <w:tcPr>
            <w:tcW w:w="55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4"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07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604" w:type="dxa"/>
            <w:noWrap w:val="0"/>
            <w:vAlign w:val="center"/>
          </w:tcPr>
          <w:p>
            <w:pPr>
              <w:keepNext w:val="0"/>
              <w:keepLines w:val="0"/>
              <w:widowControl/>
              <w:suppressLineNumbers w:val="0"/>
              <w:jc w:val="left"/>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经费发放及时性</w:t>
            </w:r>
          </w:p>
        </w:tc>
        <w:tc>
          <w:tcPr>
            <w:tcW w:w="1032"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rPr>
            </w:pPr>
            <w:r>
              <w:rPr>
                <w:rFonts w:hint="eastAsia" w:ascii="宋体" w:hAnsi="宋体" w:eastAsia="宋体" w:cs="宋体"/>
                <w:i w:val="0"/>
                <w:iCs w:val="0"/>
                <w:color w:val="000000"/>
                <w:kern w:val="0"/>
                <w:sz w:val="20"/>
                <w:szCs w:val="20"/>
                <w:u w:val="none"/>
                <w:lang w:val="en-US" w:eastAsia="zh-CN" w:bidi="ar"/>
              </w:rPr>
              <w:t>反应经费发放的时效性</w:t>
            </w:r>
          </w:p>
        </w:tc>
        <w:tc>
          <w:tcPr>
            <w:tcW w:w="721"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12月15日</w:t>
            </w:r>
          </w:p>
        </w:tc>
        <w:tc>
          <w:tcPr>
            <w:tcW w:w="559" w:type="dxa"/>
            <w:noWrap w:val="0"/>
            <w:vAlign w:val="center"/>
          </w:tcPr>
          <w:p>
            <w:pPr>
              <w:keepNext w:val="0"/>
              <w:keepLines w:val="0"/>
              <w:widowControl/>
              <w:suppressLineNumbers w:val="0"/>
              <w:jc w:val="center"/>
              <w:textAlignment w:val="center"/>
              <w:rPr>
                <w:rFonts w:hint="eastAsia" w:ascii="宋体" w:hAnsi="宋体" w:eastAsia="宋体" w:cs="宋体"/>
                <w:kern w:val="0"/>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30"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8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629"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118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rPr>
            </w:pPr>
          </w:p>
        </w:tc>
        <w:tc>
          <w:tcPr>
            <w:tcW w:w="704"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7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04"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反应员额人员经费发放覆盖情况</w:t>
            </w:r>
          </w:p>
        </w:tc>
        <w:tc>
          <w:tcPr>
            <w:tcW w:w="1032" w:type="dxa"/>
            <w:noWrap w:val="0"/>
            <w:vAlign w:val="center"/>
          </w:tcPr>
          <w:p>
            <w:pPr>
              <w:spacing w:line="240" w:lineRule="auto"/>
              <w:jc w:val="center"/>
              <w:rPr>
                <w:rFonts w:hint="eastAsia" w:ascii="宋体" w:hAnsi="宋体" w:eastAsia="宋体" w:cs="宋体"/>
                <w:kern w:val="0"/>
                <w:sz w:val="20"/>
                <w:szCs w:val="20"/>
                <w:vertAlign w:val="baseline"/>
              </w:rPr>
            </w:pPr>
            <w:r>
              <w:rPr>
                <w:rFonts w:hint="eastAsia" w:ascii="宋体" w:hAnsi="宋体" w:eastAsia="宋体" w:cs="宋体"/>
                <w:kern w:val="0"/>
                <w:sz w:val="20"/>
                <w:szCs w:val="20"/>
                <w:vertAlign w:val="baseline"/>
              </w:rPr>
              <w:t>保障员额编制人员全年正常开展工作，机构正常运转</w:t>
            </w:r>
          </w:p>
        </w:tc>
        <w:tc>
          <w:tcPr>
            <w:tcW w:w="721"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100%</w:t>
            </w:r>
          </w:p>
        </w:tc>
        <w:tc>
          <w:tcPr>
            <w:tcW w:w="559" w:type="dxa"/>
            <w:noWrap w:val="0"/>
            <w:vAlign w:val="center"/>
          </w:tcPr>
          <w:p>
            <w:pPr>
              <w:spacing w:line="240" w:lineRule="auto"/>
              <w:jc w:val="center"/>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40</w:t>
            </w:r>
          </w:p>
        </w:tc>
      </w:tr>
    </w:tbl>
    <w:p/>
    <w:p/>
    <w:p/>
    <w:p/>
    <w:p>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pPr>
        <w:widowControl/>
        <w:jc w:val="right"/>
        <w:rPr>
          <w:rFonts w:hint="default" w:ascii="Calibri" w:hAnsi="Calibri" w:eastAsia="方正小标宋简体" w:cs="Times New Roman"/>
          <w:kern w:val="0"/>
          <w:sz w:val="44"/>
          <w:szCs w:val="44"/>
          <w:lang w:val="en-US" w:eastAsia="zh-CN"/>
        </w:rPr>
      </w:pPr>
      <w:r>
        <w:rPr>
          <w:rFonts w:hint="eastAsia" w:ascii="Calibri" w:hAnsi="Calibri" w:eastAsia="方正小标宋简体" w:cs="Times New Roman"/>
          <w:kern w:val="0"/>
          <w:sz w:val="44"/>
          <w:szCs w:val="44"/>
          <w:lang w:val="en-US" w:eastAsia="zh-CN"/>
        </w:rPr>
        <w:t xml:space="preserve">                                   </w:t>
      </w:r>
      <w:r>
        <w:rPr>
          <w:rFonts w:hint="eastAsia" w:ascii="Calibri" w:hAnsi="Calibri" w:eastAsia="华文细黑" w:cs="Times New Roman"/>
          <w:color w:val="000000"/>
          <w:sz w:val="20"/>
          <w:szCs w:val="22"/>
        </w:rPr>
        <w:t>单位：万元</w:t>
      </w:r>
    </w:p>
    <w:tbl>
      <w:tblPr>
        <w:tblStyle w:val="1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94"/>
        <w:gridCol w:w="633"/>
        <w:gridCol w:w="1196"/>
        <w:gridCol w:w="711"/>
        <w:gridCol w:w="1089"/>
        <w:gridCol w:w="1620"/>
        <w:gridCol w:w="1044"/>
        <w:gridCol w:w="728"/>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left"/>
              <w:textAlignment w:val="auto"/>
              <w:outlineLvl w:val="9"/>
              <w:rPr>
                <w:rFonts w:hint="eastAsia" w:ascii="华文细黑" w:hAnsi="华文细黑" w:eastAsia="华文细黑" w:cs="华文细黑"/>
                <w:kern w:val="0"/>
                <w:sz w:val="16"/>
                <w:szCs w:val="16"/>
                <w:vertAlign w:val="baseline"/>
                <w:lang w:val="en-US" w:eastAsia="zh-CN"/>
              </w:rPr>
            </w:pPr>
            <w:r>
              <w:rPr>
                <w:rFonts w:hint="eastAsia" w:ascii="华文细黑" w:hAnsi="华文细黑" w:eastAsia="华文细黑" w:cs="华文细黑"/>
                <w:kern w:val="0"/>
                <w:sz w:val="20"/>
                <w:szCs w:val="20"/>
                <w:vertAlign w:val="baseline"/>
                <w:lang w:val="en-US" w:eastAsia="zh-CN"/>
              </w:rPr>
              <w:t>名称</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63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9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89" w:type="dxa"/>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lang w:eastAsia="zh-CN"/>
              </w:rPr>
            </w:pPr>
            <w:r>
              <w:rPr>
                <w:rFonts w:hint="eastAsia" w:ascii="华文细黑" w:hAnsi="华文细黑" w:eastAsia="华文细黑" w:cs="华文细黑"/>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restart"/>
            <w:tcBorders>
              <w:top w:val="single" w:color="000000" w:sz="4" w:space="0"/>
              <w:left w:val="single" w:color="000000" w:sz="4" w:space="0"/>
              <w:right w:val="single" w:color="000000" w:sz="4" w:space="0"/>
            </w:tcBorders>
            <w:noWrap w:val="0"/>
            <w:vAlign w:val="center"/>
          </w:tcPr>
          <w:p>
            <w:pPr>
              <w:tabs>
                <w:tab w:val="left" w:pos="278"/>
              </w:tabs>
              <w:spacing w:line="240" w:lineRule="auto"/>
              <w:jc w:val="left"/>
              <w:rPr>
                <w:rFonts w:hint="eastAsia" w:ascii="宋体" w:hAnsi="宋体" w:eastAsia="宋体" w:cs="宋体"/>
                <w:kern w:val="0"/>
                <w:sz w:val="16"/>
                <w:szCs w:val="16"/>
                <w:vertAlign w:val="baseline"/>
                <w:lang w:eastAsia="zh-CN"/>
              </w:rPr>
            </w:pPr>
            <w:r>
              <w:rPr>
                <w:rFonts w:hint="eastAsia" w:ascii="宋体" w:hAnsi="宋体" w:eastAsia="宋体" w:cs="宋体"/>
                <w:kern w:val="0"/>
                <w:sz w:val="16"/>
                <w:szCs w:val="16"/>
                <w:vertAlign w:val="baseline"/>
                <w:lang w:eastAsia="zh-CN"/>
              </w:rPr>
              <w:tab/>
            </w:r>
            <w:r>
              <w:rPr>
                <w:rFonts w:hint="eastAsia" w:ascii="宋体" w:hAnsi="宋体" w:eastAsia="宋体" w:cs="宋体"/>
                <w:kern w:val="0"/>
                <w:sz w:val="16"/>
                <w:szCs w:val="16"/>
                <w:vertAlign w:val="baseline"/>
                <w:lang w:eastAsia="zh-CN"/>
              </w:rPr>
              <w:t>通化市统计局（本级）</w:t>
            </w:r>
          </w:p>
        </w:tc>
        <w:tc>
          <w:tcPr>
            <w:tcW w:w="69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统计调查经费</w:t>
            </w:r>
          </w:p>
        </w:tc>
        <w:tc>
          <w:tcPr>
            <w:tcW w:w="633"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34.78</w:t>
            </w:r>
          </w:p>
        </w:tc>
        <w:tc>
          <w:tcPr>
            <w:tcW w:w="1196"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2024年，按照上级统计部门工作要求，组织实施年度统计调查工作，进行实地调研、核查，双随机执法检查，支出差旅费、租车费；印制专业资料、统计月报、统计公报、统计年鉴，开展统计宣传，支出印刷费、广告宣传费；根据调查员实际工作量，发放劳务费；参与全省统计培训，组织开展各专业培训，提高统计人员及调查员的业务能力，更好的完成各项统计工作，支出培训费；全面、及时、准确地上报各专业统计报表，及时发布统计公报，为社会公众需要和政府决策提供详实统计数据。</w:t>
            </w:r>
          </w:p>
        </w:tc>
        <w:tc>
          <w:tcPr>
            <w:tcW w:w="71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8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620" w:type="dxa"/>
            <w:tcBorders>
              <w:top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统计年鉴印刷成本费用</w:t>
            </w:r>
          </w:p>
        </w:tc>
        <w:tc>
          <w:tcPr>
            <w:tcW w:w="1044"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编印统计年鉴印刷成本费用</w:t>
            </w:r>
          </w:p>
        </w:tc>
        <w:tc>
          <w:tcPr>
            <w:tcW w:w="728"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80元</w:t>
            </w:r>
          </w:p>
        </w:tc>
        <w:tc>
          <w:tcPr>
            <w:tcW w:w="563" w:type="dxa"/>
            <w:tcBorders>
              <w:top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rPr>
            </w:pPr>
            <w:r>
              <w:rPr>
                <w:rFonts w:hint="eastAsia" w:ascii="宋体" w:hAnsi="宋体" w:eastAsia="宋体" w:cs="宋体"/>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vMerge w:val="continue"/>
            <w:tcBorders>
              <w:left w:val="single" w:color="000000" w:sz="4" w:space="0"/>
              <w:right w:val="single" w:color="000000" w:sz="4" w:space="0"/>
            </w:tcBorders>
            <w:noWrap w:val="0"/>
            <w:vAlign w:val="center"/>
          </w:tcPr>
          <w:p>
            <w:pPr>
              <w:tabs>
                <w:tab w:val="left" w:pos="278"/>
              </w:tabs>
              <w:spacing w:line="240" w:lineRule="auto"/>
              <w:jc w:val="left"/>
              <w:rPr>
                <w:rFonts w:hint="eastAsia" w:ascii="华文细黑" w:hAnsi="华文细黑" w:eastAsia="华文细黑" w:cs="华文细黑"/>
                <w:kern w:val="0"/>
                <w:sz w:val="16"/>
                <w:szCs w:val="16"/>
                <w:vertAlign w:val="baseline"/>
                <w:lang w:eastAsia="zh-CN"/>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pPr>
              <w:keepNext w:val="0"/>
              <w:keepLines w:val="0"/>
              <w:widowControl/>
              <w:suppressLineNumbers w:val="0"/>
              <w:jc w:val="left"/>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人均培训成本</w:t>
            </w:r>
          </w:p>
        </w:tc>
        <w:tc>
          <w:tcPr>
            <w:tcW w:w="1044"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eastAsia" w:ascii="宋体" w:hAnsi="宋体" w:eastAsia="宋体" w:cs="宋体"/>
                <w:i w:val="0"/>
                <w:iCs w:val="0"/>
                <w:color w:val="000000"/>
                <w:kern w:val="0"/>
                <w:sz w:val="16"/>
                <w:szCs w:val="16"/>
                <w:u w:val="none"/>
                <w:lang w:val="en-US" w:eastAsia="zh-CN" w:bidi="ar"/>
              </w:rPr>
              <w:t>人均培训成本</w:t>
            </w:r>
          </w:p>
        </w:tc>
        <w:tc>
          <w:tcPr>
            <w:tcW w:w="728"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rPr>
            </w:pPr>
            <w:r>
              <w:rPr>
                <w:rFonts w:hint="default" w:ascii="Arial" w:hAnsi="Arial" w:eastAsia="宋体" w:cs="Arial"/>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400元</w:t>
            </w:r>
          </w:p>
        </w:tc>
        <w:tc>
          <w:tcPr>
            <w:tcW w:w="563" w:type="dxa"/>
            <w:noWrap w:val="0"/>
            <w:vAlign w:val="center"/>
          </w:tcPr>
          <w:p>
            <w:pPr>
              <w:keepNext w:val="0"/>
              <w:keepLines w:val="0"/>
              <w:widowControl/>
              <w:suppressLineNumbers w:val="0"/>
              <w:jc w:val="center"/>
              <w:textAlignment w:val="center"/>
              <w:rPr>
                <w:rFonts w:hint="eastAsia" w:ascii="宋体" w:hAnsi="宋体" w:eastAsia="宋体" w:cs="宋体"/>
                <w:kern w:val="0"/>
                <w:sz w:val="16"/>
                <w:szCs w:val="16"/>
                <w:vertAlign w:val="baseline"/>
                <w:lang w:val="en-US" w:eastAsia="zh-CN"/>
              </w:rPr>
            </w:pPr>
            <w:r>
              <w:rPr>
                <w:rFonts w:hint="eastAsia" w:ascii="宋体" w:hAnsi="宋体" w:eastAsia="宋体" w:cs="宋体"/>
                <w:i w:val="0"/>
                <w:iCs w:val="0"/>
                <w:color w:val="000000"/>
                <w:kern w:val="0"/>
                <w:sz w:val="16"/>
                <w:szCs w:val="16"/>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89" w:type="dxa"/>
            <w:vMerge w:val="restart"/>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形成《月报》数量</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每月及时完成《月报》</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900本</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编印年鉴数</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反映编印年鉴数</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500本</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双随机执法检查企业数</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反映双随机执法检查企业数量情况</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20户</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培训次数</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反映全年业务培训情况</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10次</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宣传品发放准确率</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反映宣传品发放对象和数量的准确情况。</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default" w:ascii="Arial" w:hAnsi="Arial" w:eastAsia="宋体" w:cs="Arial"/>
                <w:kern w:val="0"/>
                <w:sz w:val="20"/>
                <w:szCs w:val="20"/>
                <w:vertAlign w:val="baseline"/>
                <w:lang w:val="en-US" w:eastAsia="zh-CN"/>
              </w:rPr>
              <w:t>≥</w:t>
            </w:r>
            <w:r>
              <w:rPr>
                <w:rFonts w:hint="eastAsia" w:ascii="宋体" w:hAnsi="宋体" w:eastAsia="宋体" w:cs="宋体"/>
                <w:kern w:val="0"/>
                <w:sz w:val="16"/>
                <w:szCs w:val="16"/>
                <w:vertAlign w:val="baseline"/>
              </w:rPr>
              <w:t>95%</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vMerge w:val="continue"/>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p>
        </w:tc>
        <w:tc>
          <w:tcPr>
            <w:tcW w:w="108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劳务费发放及时性</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反映劳务费发放及时性情况</w:t>
            </w:r>
          </w:p>
        </w:tc>
        <w:tc>
          <w:tcPr>
            <w:tcW w:w="728" w:type="dxa"/>
            <w:noWrap w:val="0"/>
            <w:vAlign w:val="center"/>
          </w:tcPr>
          <w:p>
            <w:pPr>
              <w:tabs>
                <w:tab w:val="left" w:pos="359"/>
              </w:tabs>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eastAsia="zh-CN"/>
              </w:rPr>
              <w:t>8月底</w:t>
            </w:r>
          </w:p>
        </w:tc>
        <w:tc>
          <w:tcPr>
            <w:tcW w:w="563" w:type="dxa"/>
            <w:noWrap w:val="0"/>
            <w:vAlign w:val="center"/>
          </w:tcPr>
          <w:p>
            <w:pPr>
              <w:spacing w:line="240" w:lineRule="auto"/>
              <w:jc w:val="center"/>
              <w:rPr>
                <w:rFonts w:hint="eastAsia" w:ascii="宋体" w:hAnsi="宋体" w:eastAsia="宋体" w:cs="宋体"/>
                <w:kern w:val="0"/>
                <w:sz w:val="16"/>
                <w:szCs w:val="16"/>
                <w:vertAlign w:val="baseline"/>
                <w:lang w:val="en-US" w:eastAsia="zh-CN"/>
              </w:rPr>
            </w:pPr>
            <w:r>
              <w:rPr>
                <w:rFonts w:hint="eastAsia" w:ascii="宋体" w:hAnsi="宋体" w:eastAsia="宋体" w:cs="宋体"/>
                <w:kern w:val="0"/>
                <w:sz w:val="16"/>
                <w:szCs w:val="16"/>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737"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94"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633"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1196" w:type="dxa"/>
            <w:vMerge w:val="continue"/>
            <w:tcBorders>
              <w:left w:val="single" w:color="000000" w:sz="4" w:space="0"/>
              <w:right w:val="single" w:color="000000" w:sz="4" w:space="0"/>
            </w:tcBorders>
            <w:noWrap w:val="0"/>
            <w:vAlign w:val="center"/>
          </w:tcPr>
          <w:p>
            <w:pPr>
              <w:spacing w:line="240" w:lineRule="auto"/>
              <w:jc w:val="center"/>
              <w:rPr>
                <w:rFonts w:hint="eastAsia" w:ascii="华文细黑" w:hAnsi="华文细黑" w:eastAsia="华文细黑" w:cs="华文细黑"/>
                <w:kern w:val="0"/>
                <w:sz w:val="16"/>
                <w:szCs w:val="16"/>
                <w:vertAlign w:val="baseline"/>
              </w:rPr>
            </w:pPr>
          </w:p>
        </w:tc>
        <w:tc>
          <w:tcPr>
            <w:tcW w:w="711"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89" w:type="dxa"/>
            <w:noWrap w:val="0"/>
            <w:vAlign w:val="center"/>
          </w:tcPr>
          <w:p>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620"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编印当年月度经济运行的统计月报，为党政领导决策提供数据支撑</w:t>
            </w:r>
          </w:p>
        </w:tc>
        <w:tc>
          <w:tcPr>
            <w:tcW w:w="1044"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rPr>
              <w:t>提供反映当年月度经济运行发展情况，为党政领导决策提供数据支撑，发挥统计参谋和助手作用的统计月报。</w:t>
            </w:r>
          </w:p>
        </w:tc>
        <w:tc>
          <w:tcPr>
            <w:tcW w:w="728"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val="en-US" w:eastAsia="zh-CN"/>
              </w:rPr>
              <w:t>=12月</w:t>
            </w:r>
          </w:p>
        </w:tc>
        <w:tc>
          <w:tcPr>
            <w:tcW w:w="563" w:type="dxa"/>
            <w:noWrap w:val="0"/>
            <w:vAlign w:val="center"/>
          </w:tcPr>
          <w:p>
            <w:pPr>
              <w:spacing w:line="240" w:lineRule="auto"/>
              <w:jc w:val="center"/>
              <w:rPr>
                <w:rFonts w:hint="eastAsia" w:ascii="宋体" w:hAnsi="宋体" w:eastAsia="宋体" w:cs="宋体"/>
                <w:kern w:val="0"/>
                <w:sz w:val="16"/>
                <w:szCs w:val="16"/>
                <w:vertAlign w:val="baseline"/>
              </w:rPr>
            </w:pPr>
            <w:r>
              <w:rPr>
                <w:rFonts w:hint="eastAsia" w:ascii="宋体" w:hAnsi="宋体" w:eastAsia="宋体" w:cs="宋体"/>
                <w:kern w:val="0"/>
                <w:sz w:val="16"/>
                <w:szCs w:val="16"/>
                <w:vertAlign w:val="baseline"/>
                <w:lang w:val="en-US" w:eastAsia="zh-CN"/>
              </w:rPr>
              <w:t>30</w:t>
            </w:r>
          </w:p>
        </w:tc>
      </w:tr>
    </w:tbl>
    <w:p>
      <w:pPr>
        <w:spacing w:line="700" w:lineRule="exact"/>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预算管理。收入包括：一般公共预算拨款收入、上年结转；支出包括：一般公共服务支出、社会保障和就业支出、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4</w:t>
      </w:r>
      <w:r>
        <w:rPr>
          <w:szCs w:val="32"/>
        </w:rPr>
        <w:t>年收支总预算</w:t>
      </w:r>
      <w:r>
        <w:rPr>
          <w:rFonts w:hint="eastAsia"/>
          <w:szCs w:val="32"/>
          <w:lang w:val="en-US" w:eastAsia="zh-CN"/>
        </w:rPr>
        <w:t>535.09</w:t>
      </w:r>
      <w:r>
        <w:rPr>
          <w:szCs w:val="32"/>
        </w:rPr>
        <w:t>万元</w:t>
      </w:r>
      <w:r>
        <w:rPr>
          <w:rFonts w:hint="eastAsia"/>
          <w:szCs w:val="32"/>
          <w:lang w:eastAsia="zh-CN"/>
        </w:rPr>
        <w:t>，其中：本年预算</w:t>
      </w:r>
      <w:r>
        <w:rPr>
          <w:rFonts w:hint="eastAsia"/>
          <w:szCs w:val="32"/>
          <w:lang w:val="en-US" w:eastAsia="zh-CN"/>
        </w:rPr>
        <w:t>463.01</w:t>
      </w:r>
      <w:r>
        <w:rPr>
          <w:rFonts w:hint="eastAsia"/>
          <w:szCs w:val="32"/>
          <w:lang w:eastAsia="zh-CN"/>
        </w:rPr>
        <w:t>万元；上年结转</w:t>
      </w:r>
      <w:r>
        <w:rPr>
          <w:rFonts w:hint="eastAsia"/>
          <w:szCs w:val="32"/>
          <w:lang w:val="en-US" w:eastAsia="zh-CN"/>
        </w:rPr>
        <w:t>72.08</w:t>
      </w:r>
      <w:r>
        <w:rPr>
          <w:rFonts w:hint="eastAsia"/>
          <w:szCs w:val="32"/>
          <w:lang w:eastAsia="zh-CN"/>
        </w:rPr>
        <w:t>万元。</w:t>
      </w:r>
      <w:r>
        <w:rPr>
          <w:rFonts w:hint="eastAsia"/>
          <w:szCs w:val="32"/>
          <w:lang w:val="en-US" w:eastAsia="zh-CN"/>
        </w:rPr>
        <w:t>2024年本年预算</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预算减少</w:t>
      </w:r>
      <w:r>
        <w:rPr>
          <w:rFonts w:hint="eastAsia"/>
          <w:szCs w:val="32"/>
          <w:lang w:val="en-US" w:eastAsia="zh-CN"/>
        </w:rPr>
        <w:t>16.22</w:t>
      </w:r>
      <w:r>
        <w:rPr>
          <w:szCs w:val="32"/>
        </w:rPr>
        <w:t>万元，主要原因是</w:t>
      </w:r>
      <w:r>
        <w:rPr>
          <w:rFonts w:hint="eastAsia"/>
          <w:szCs w:val="32"/>
          <w:lang w:eastAsia="zh-CN"/>
        </w:rPr>
        <w:t>按照省财政要求压减了公用经费预算</w:t>
      </w:r>
      <w:r>
        <w:rPr>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4</w:t>
      </w:r>
      <w:r>
        <w:rPr>
          <w:rFonts w:eastAsia="黑体"/>
          <w:szCs w:val="32"/>
        </w:rPr>
        <w:t>年收入预算情况</w:t>
      </w:r>
    </w:p>
    <w:p>
      <w:pPr>
        <w:ind w:firstLine="640" w:firstLineChars="200"/>
        <w:rPr>
          <w:rFonts w:hint="eastAsia"/>
          <w:szCs w:val="32"/>
        </w:rPr>
      </w:pPr>
      <w:r>
        <w:rPr>
          <w:szCs w:val="32"/>
        </w:rPr>
        <w:t>20</w:t>
      </w:r>
      <w:r>
        <w:rPr>
          <w:rFonts w:hint="eastAsia"/>
          <w:szCs w:val="32"/>
        </w:rPr>
        <w:t>2</w:t>
      </w:r>
      <w:r>
        <w:rPr>
          <w:rFonts w:hint="eastAsia"/>
          <w:szCs w:val="32"/>
          <w:lang w:val="en-US" w:eastAsia="zh-CN"/>
        </w:rPr>
        <w:t>4</w:t>
      </w:r>
      <w:r>
        <w:rPr>
          <w:szCs w:val="32"/>
        </w:rPr>
        <w:t>年收入预算</w:t>
      </w:r>
      <w:r>
        <w:rPr>
          <w:rFonts w:hint="eastAsia"/>
          <w:szCs w:val="32"/>
          <w:lang w:val="en-US" w:eastAsia="zh-CN"/>
        </w:rPr>
        <w:t>535.09</w:t>
      </w:r>
      <w:r>
        <w:rPr>
          <w:szCs w:val="32"/>
        </w:rPr>
        <w:t>万元，其中：本年收入</w:t>
      </w:r>
      <w:r>
        <w:rPr>
          <w:rFonts w:hint="eastAsia"/>
          <w:szCs w:val="32"/>
          <w:lang w:val="en-US" w:eastAsia="zh-CN"/>
        </w:rPr>
        <w:t>463.01</w:t>
      </w:r>
      <w:r>
        <w:rPr>
          <w:szCs w:val="32"/>
        </w:rPr>
        <w:t>万元，占</w:t>
      </w:r>
      <w:r>
        <w:rPr>
          <w:rFonts w:hint="eastAsia"/>
          <w:szCs w:val="32"/>
          <w:lang w:val="en-US" w:eastAsia="zh-CN"/>
        </w:rPr>
        <w:t>86.53</w:t>
      </w:r>
      <w:r>
        <w:rPr>
          <w:szCs w:val="32"/>
        </w:rPr>
        <w:t>%；上年结转</w:t>
      </w:r>
      <w:r>
        <w:rPr>
          <w:rFonts w:hint="eastAsia"/>
          <w:szCs w:val="32"/>
          <w:lang w:eastAsia="zh-CN"/>
        </w:rPr>
        <w:t>结余</w:t>
      </w:r>
      <w:r>
        <w:rPr>
          <w:rFonts w:hint="eastAsia"/>
          <w:szCs w:val="32"/>
          <w:lang w:val="en-US" w:eastAsia="zh-CN"/>
        </w:rPr>
        <w:t>72.08</w:t>
      </w:r>
      <w:r>
        <w:rPr>
          <w:szCs w:val="32"/>
        </w:rPr>
        <w:t>万元，占</w:t>
      </w:r>
      <w:r>
        <w:rPr>
          <w:rFonts w:hint="eastAsia"/>
          <w:szCs w:val="32"/>
          <w:lang w:val="en-US" w:eastAsia="zh-CN"/>
        </w:rPr>
        <w:t>13.47</w:t>
      </w:r>
      <w:r>
        <w:rPr>
          <w:szCs w:val="32"/>
        </w:rPr>
        <w:t>%。本年收入中，一般公共预算拨款收入</w:t>
      </w:r>
      <w:r>
        <w:rPr>
          <w:rFonts w:hint="eastAsia"/>
          <w:szCs w:val="32"/>
          <w:lang w:val="en-US" w:eastAsia="zh-CN"/>
        </w:rPr>
        <w:t>463.01</w:t>
      </w:r>
      <w:r>
        <w:rPr>
          <w:szCs w:val="32"/>
        </w:rPr>
        <w:t>万元，占</w:t>
      </w:r>
      <w:r>
        <w:rPr>
          <w:rFonts w:hint="eastAsia"/>
          <w:szCs w:val="32"/>
          <w:lang w:val="en-US" w:eastAsia="zh-CN"/>
        </w:rPr>
        <w:t>100</w:t>
      </w:r>
      <w:r>
        <w:rPr>
          <w:szCs w:val="32"/>
        </w:rPr>
        <w:t>%</w:t>
      </w:r>
      <w:r>
        <w:rPr>
          <w:rFonts w:hint="eastAsia"/>
          <w:szCs w:val="32"/>
        </w:rPr>
        <w:t>。</w:t>
      </w:r>
      <w:r>
        <w:rPr>
          <w:szCs w:val="32"/>
        </w:rPr>
        <w:t>上年结转</w:t>
      </w:r>
      <w:r>
        <w:rPr>
          <w:rFonts w:hint="eastAsia"/>
          <w:szCs w:val="32"/>
        </w:rPr>
        <w:t>中，一般公共预算拨款结转</w:t>
      </w:r>
      <w:r>
        <w:rPr>
          <w:rFonts w:hint="eastAsia"/>
          <w:szCs w:val="32"/>
          <w:lang w:val="en-US" w:eastAsia="zh-CN"/>
        </w:rPr>
        <w:t>72.08</w:t>
      </w:r>
      <w:r>
        <w:rPr>
          <w:szCs w:val="32"/>
        </w:rPr>
        <w:t>万元，占</w:t>
      </w:r>
      <w:r>
        <w:rPr>
          <w:rFonts w:hint="eastAsia"/>
          <w:szCs w:val="32"/>
          <w:lang w:val="en-US" w:eastAsia="zh-CN"/>
        </w:rPr>
        <w:t>100</w:t>
      </w:r>
      <w:r>
        <w:rPr>
          <w:szCs w:val="32"/>
        </w:rPr>
        <w:t>%</w:t>
      </w:r>
      <w:r>
        <w:rPr>
          <w:rFonts w:hint="eastAsia"/>
          <w:szCs w:val="32"/>
        </w:rPr>
        <w:t>。</w:t>
      </w:r>
    </w:p>
    <w:p>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4</w:t>
      </w:r>
      <w:r>
        <w:rPr>
          <w:rFonts w:eastAsia="黑体"/>
          <w:szCs w:val="32"/>
        </w:rPr>
        <w:t>年支出预算情况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年支出预算</w:t>
      </w:r>
      <w:r>
        <w:rPr>
          <w:rFonts w:hint="eastAsia"/>
          <w:szCs w:val="32"/>
          <w:lang w:val="en-US" w:eastAsia="zh-CN"/>
        </w:rPr>
        <w:t>535.08</w:t>
      </w:r>
      <w:r>
        <w:rPr>
          <w:szCs w:val="32"/>
        </w:rPr>
        <w:t>万元，其中：基本支出</w:t>
      </w:r>
      <w:r>
        <w:rPr>
          <w:rFonts w:hint="eastAsia"/>
          <w:szCs w:val="32"/>
          <w:lang w:val="en-US" w:eastAsia="zh-CN"/>
        </w:rPr>
        <w:t>486.10</w:t>
      </w:r>
      <w:r>
        <w:rPr>
          <w:szCs w:val="32"/>
        </w:rPr>
        <w:t>万元，占</w:t>
      </w:r>
      <w:r>
        <w:rPr>
          <w:rFonts w:hint="eastAsia"/>
          <w:szCs w:val="32"/>
          <w:lang w:val="en-US" w:eastAsia="zh-CN"/>
        </w:rPr>
        <w:t>90.85</w:t>
      </w:r>
      <w:r>
        <w:rPr>
          <w:szCs w:val="32"/>
        </w:rPr>
        <w:t>%；项目支出</w:t>
      </w:r>
      <w:r>
        <w:rPr>
          <w:rFonts w:hint="eastAsia"/>
          <w:szCs w:val="32"/>
          <w:lang w:val="en-US" w:eastAsia="zh-CN"/>
        </w:rPr>
        <w:t>48.98</w:t>
      </w:r>
      <w:r>
        <w:rPr>
          <w:szCs w:val="32"/>
        </w:rPr>
        <w:t>万元，占</w:t>
      </w:r>
      <w:r>
        <w:rPr>
          <w:rFonts w:hint="eastAsia"/>
          <w:szCs w:val="32"/>
          <w:lang w:val="en-US" w:eastAsia="zh-CN"/>
        </w:rPr>
        <w:t>9.15</w:t>
      </w:r>
      <w:r>
        <w:rPr>
          <w:szCs w:val="32"/>
        </w:rPr>
        <w:t>%。</w:t>
      </w:r>
    </w:p>
    <w:p>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4</w:t>
      </w:r>
      <w:r>
        <w:rPr>
          <w:rFonts w:eastAsia="黑体"/>
          <w:szCs w:val="32"/>
        </w:rPr>
        <w:t>年财政拨款收支预算情况</w:t>
      </w:r>
    </w:p>
    <w:p>
      <w:pPr>
        <w:ind w:firstLine="600"/>
        <w:rPr>
          <w:szCs w:val="32"/>
        </w:rPr>
      </w:pPr>
      <w:r>
        <w:rPr>
          <w:szCs w:val="32"/>
        </w:rPr>
        <w:t>20</w:t>
      </w:r>
      <w:r>
        <w:rPr>
          <w:rFonts w:hint="eastAsia"/>
          <w:szCs w:val="32"/>
        </w:rPr>
        <w:t>2</w:t>
      </w:r>
      <w:r>
        <w:rPr>
          <w:rFonts w:hint="eastAsia"/>
          <w:szCs w:val="32"/>
          <w:lang w:val="en-US" w:eastAsia="zh-CN"/>
        </w:rPr>
        <w:t>4</w:t>
      </w:r>
      <w:r>
        <w:rPr>
          <w:szCs w:val="32"/>
        </w:rPr>
        <w:t>年财政拨款收支总预算</w:t>
      </w:r>
      <w:r>
        <w:rPr>
          <w:rFonts w:hint="eastAsia"/>
          <w:szCs w:val="32"/>
          <w:lang w:val="en-US" w:eastAsia="zh-CN"/>
        </w:rPr>
        <w:t>535.09</w:t>
      </w:r>
      <w:r>
        <w:rPr>
          <w:szCs w:val="32"/>
        </w:rPr>
        <w:t>万元，其中：</w:t>
      </w:r>
      <w:r>
        <w:rPr>
          <w:rFonts w:hint="eastAsia"/>
          <w:szCs w:val="32"/>
        </w:rPr>
        <w:t>本年</w:t>
      </w:r>
      <w:r>
        <w:rPr>
          <w:rFonts w:hint="eastAsia"/>
          <w:szCs w:val="32"/>
          <w:lang w:eastAsia="zh-CN"/>
        </w:rPr>
        <w:t>预算</w:t>
      </w:r>
      <w:r>
        <w:rPr>
          <w:rFonts w:hint="eastAsia"/>
          <w:szCs w:val="32"/>
          <w:lang w:val="en-US" w:eastAsia="zh-CN"/>
        </w:rPr>
        <w:t>463.01</w:t>
      </w:r>
      <w:r>
        <w:rPr>
          <w:szCs w:val="32"/>
        </w:rPr>
        <w:t>万元</w:t>
      </w:r>
      <w:r>
        <w:rPr>
          <w:rFonts w:hint="eastAsia"/>
          <w:szCs w:val="32"/>
        </w:rPr>
        <w:t>，上年结转</w:t>
      </w:r>
      <w:r>
        <w:rPr>
          <w:rFonts w:hint="eastAsia"/>
          <w:szCs w:val="32"/>
          <w:lang w:val="en-US" w:eastAsia="zh-CN"/>
        </w:rPr>
        <w:t>72.08</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379.22</w:t>
      </w:r>
      <w:r>
        <w:rPr>
          <w:szCs w:val="32"/>
        </w:rPr>
        <w:t>万元，</w:t>
      </w:r>
      <w:r>
        <w:rPr>
          <w:kern w:val="0"/>
          <w:szCs w:val="32"/>
        </w:rPr>
        <w:t>社会保障和就业支出</w:t>
      </w:r>
      <w:r>
        <w:rPr>
          <w:rFonts w:hint="eastAsia"/>
          <w:szCs w:val="32"/>
          <w:lang w:val="en-US" w:eastAsia="zh-CN"/>
        </w:rPr>
        <w:t>92.50</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17.65</w:t>
      </w:r>
      <w:r>
        <w:rPr>
          <w:szCs w:val="32"/>
        </w:rPr>
        <w:t>万元，</w:t>
      </w:r>
      <w:r>
        <w:rPr>
          <w:kern w:val="0"/>
          <w:szCs w:val="32"/>
        </w:rPr>
        <w:t>住房保障支出</w:t>
      </w:r>
      <w:r>
        <w:rPr>
          <w:rFonts w:hint="eastAsia"/>
          <w:szCs w:val="32"/>
          <w:lang w:val="en-US" w:eastAsia="zh-CN"/>
        </w:rPr>
        <w:t>45.72</w:t>
      </w:r>
      <w:r>
        <w:rPr>
          <w:szCs w:val="32"/>
        </w:rPr>
        <w:t>万元。</w:t>
      </w:r>
    </w:p>
    <w:p>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年一般公共预算拨款</w:t>
      </w:r>
      <w:r>
        <w:rPr>
          <w:rFonts w:hint="eastAsia"/>
          <w:szCs w:val="32"/>
          <w:lang w:val="en-US" w:eastAsia="zh-CN"/>
        </w:rPr>
        <w:t>535.08</w:t>
      </w:r>
      <w:r>
        <w:rPr>
          <w:szCs w:val="32"/>
        </w:rPr>
        <w:t>万元，其中：基本支出</w:t>
      </w:r>
      <w:r>
        <w:rPr>
          <w:rFonts w:hint="eastAsia"/>
          <w:szCs w:val="32"/>
          <w:lang w:val="en-US" w:eastAsia="zh-CN"/>
        </w:rPr>
        <w:t>486.10</w:t>
      </w:r>
      <w:r>
        <w:rPr>
          <w:szCs w:val="32"/>
        </w:rPr>
        <w:t>万元，占</w:t>
      </w:r>
      <w:r>
        <w:rPr>
          <w:rFonts w:hint="eastAsia"/>
          <w:szCs w:val="32"/>
          <w:lang w:val="en-US" w:eastAsia="zh-CN"/>
        </w:rPr>
        <w:t>90.85</w:t>
      </w:r>
      <w:r>
        <w:rPr>
          <w:szCs w:val="32"/>
        </w:rPr>
        <w:t>%；项目支出</w:t>
      </w:r>
      <w:r>
        <w:rPr>
          <w:rFonts w:hint="eastAsia"/>
          <w:szCs w:val="32"/>
          <w:lang w:val="en-US" w:eastAsia="zh-CN"/>
        </w:rPr>
        <w:t>48.98</w:t>
      </w:r>
      <w:r>
        <w:rPr>
          <w:szCs w:val="32"/>
        </w:rPr>
        <w:t>万元，占</w:t>
      </w:r>
      <w:r>
        <w:rPr>
          <w:rFonts w:hint="eastAsia"/>
          <w:szCs w:val="32"/>
          <w:lang w:val="en-US" w:eastAsia="zh-CN"/>
        </w:rPr>
        <w:t>9.15</w:t>
      </w:r>
      <w:r>
        <w:rPr>
          <w:szCs w:val="32"/>
        </w:rPr>
        <w:t>%。基本支出中，人员经费</w:t>
      </w:r>
      <w:r>
        <w:rPr>
          <w:rFonts w:hint="eastAsia"/>
          <w:szCs w:val="32"/>
          <w:lang w:val="en-US" w:eastAsia="zh-CN"/>
        </w:rPr>
        <w:t>401.61</w:t>
      </w:r>
      <w:r>
        <w:rPr>
          <w:szCs w:val="32"/>
        </w:rPr>
        <w:t>万元，占</w:t>
      </w:r>
      <w:r>
        <w:rPr>
          <w:rFonts w:hint="eastAsia"/>
          <w:szCs w:val="32"/>
          <w:lang w:val="en-US" w:eastAsia="zh-CN"/>
        </w:rPr>
        <w:t>82.62</w:t>
      </w:r>
      <w:r>
        <w:rPr>
          <w:szCs w:val="32"/>
        </w:rPr>
        <w:t>%；公用经费</w:t>
      </w:r>
      <w:r>
        <w:rPr>
          <w:rFonts w:hint="eastAsia"/>
          <w:szCs w:val="32"/>
          <w:lang w:val="en-US" w:eastAsia="zh-CN"/>
        </w:rPr>
        <w:t>84.49</w:t>
      </w:r>
      <w:r>
        <w:rPr>
          <w:szCs w:val="32"/>
        </w:rPr>
        <w:t>万元，占</w:t>
      </w:r>
      <w:r>
        <w:rPr>
          <w:rFonts w:hint="eastAsia"/>
          <w:szCs w:val="32"/>
          <w:lang w:val="en-US" w:eastAsia="zh-CN"/>
        </w:rPr>
        <w:t>17.38</w:t>
      </w:r>
      <w:r>
        <w:rPr>
          <w:szCs w:val="32"/>
        </w:rPr>
        <w:t>%。</w:t>
      </w:r>
    </w:p>
    <w:p>
      <w:pPr>
        <w:spacing w:line="520" w:lineRule="exact"/>
        <w:ind w:firstLine="640" w:firstLineChars="200"/>
        <w:rPr>
          <w:szCs w:val="32"/>
        </w:rPr>
      </w:pPr>
      <w:r>
        <w:rPr>
          <w:szCs w:val="32"/>
        </w:rPr>
        <w:t>一般公共服务（类）支出</w:t>
      </w:r>
      <w:r>
        <w:rPr>
          <w:rFonts w:hint="eastAsia"/>
          <w:szCs w:val="32"/>
          <w:lang w:val="en-US" w:eastAsia="zh-CN"/>
        </w:rPr>
        <w:t>379.22</w:t>
      </w:r>
      <w:r>
        <w:rPr>
          <w:szCs w:val="32"/>
        </w:rPr>
        <w:t>万元，占</w:t>
      </w:r>
      <w:r>
        <w:rPr>
          <w:rFonts w:hint="eastAsia"/>
          <w:szCs w:val="32"/>
          <w:lang w:val="en-US" w:eastAsia="zh-CN"/>
        </w:rPr>
        <w:t>70.87</w:t>
      </w:r>
      <w:r>
        <w:rPr>
          <w:szCs w:val="32"/>
        </w:rPr>
        <w:t>%，主要用于</w:t>
      </w:r>
      <w:r>
        <w:rPr>
          <w:rFonts w:hint="eastAsia" w:ascii="仿宋_GB2312" w:hAnsi="仿宋_GB2312" w:cs="仿宋_GB2312"/>
          <w:szCs w:val="32"/>
        </w:rPr>
        <w:t>保障职工工资、维持机关正常运转、完成年度统计工作任务</w:t>
      </w:r>
      <w:r>
        <w:rPr>
          <w:szCs w:val="32"/>
        </w:rPr>
        <w:t>。</w:t>
      </w:r>
    </w:p>
    <w:p>
      <w:pPr>
        <w:spacing w:line="520" w:lineRule="exact"/>
        <w:ind w:firstLine="640" w:firstLineChars="200"/>
        <w:rPr>
          <w:szCs w:val="32"/>
        </w:rPr>
      </w:pPr>
      <w:r>
        <w:rPr>
          <w:szCs w:val="32"/>
        </w:rPr>
        <w:t>社会保障和就业（类）支出</w:t>
      </w:r>
      <w:r>
        <w:rPr>
          <w:rFonts w:hint="eastAsia"/>
          <w:szCs w:val="32"/>
          <w:lang w:val="en-US" w:eastAsia="zh-CN"/>
        </w:rPr>
        <w:t>92.49</w:t>
      </w:r>
      <w:r>
        <w:rPr>
          <w:szCs w:val="32"/>
        </w:rPr>
        <w:t>万元，占</w:t>
      </w:r>
      <w:r>
        <w:rPr>
          <w:rFonts w:hint="eastAsia"/>
          <w:szCs w:val="32"/>
          <w:lang w:val="en-US" w:eastAsia="zh-CN"/>
        </w:rPr>
        <w:t>17.29</w:t>
      </w:r>
      <w:r>
        <w:rPr>
          <w:szCs w:val="32"/>
        </w:rPr>
        <w:t>%，主要用于</w:t>
      </w:r>
      <w:r>
        <w:rPr>
          <w:rFonts w:hint="eastAsia" w:ascii="仿宋_GB2312" w:hAnsi="仿宋_GB2312" w:cs="仿宋_GB2312"/>
          <w:szCs w:val="32"/>
        </w:rPr>
        <w:t>保障离</w:t>
      </w:r>
      <w:r>
        <w:rPr>
          <w:rFonts w:hint="eastAsia" w:ascii="仿宋_GB2312" w:hAnsi="仿宋_GB2312" w:cs="仿宋_GB2312"/>
          <w:szCs w:val="32"/>
          <w:lang w:eastAsia="zh-CN"/>
        </w:rPr>
        <w:t>休职工工资、</w:t>
      </w:r>
      <w:r>
        <w:rPr>
          <w:rFonts w:hint="eastAsia" w:ascii="仿宋_GB2312" w:hAnsi="仿宋_GB2312" w:cs="仿宋_GB2312"/>
          <w:szCs w:val="32"/>
        </w:rPr>
        <w:t>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pPr>
        <w:spacing w:line="520" w:lineRule="exact"/>
        <w:ind w:firstLine="640" w:firstLineChars="200"/>
        <w:rPr>
          <w:szCs w:val="32"/>
        </w:rPr>
      </w:pPr>
      <w:r>
        <w:rPr>
          <w:rFonts w:hint="eastAsia"/>
          <w:szCs w:val="32"/>
          <w:lang w:eastAsia="zh-CN"/>
        </w:rPr>
        <w:t>卫生健康</w:t>
      </w:r>
      <w:r>
        <w:rPr>
          <w:szCs w:val="32"/>
        </w:rPr>
        <w:t>支出（类）支出</w:t>
      </w:r>
      <w:r>
        <w:rPr>
          <w:rFonts w:hint="eastAsia"/>
          <w:szCs w:val="32"/>
          <w:lang w:val="en-US" w:eastAsia="zh-CN"/>
        </w:rPr>
        <w:t>17.65</w:t>
      </w:r>
      <w:r>
        <w:rPr>
          <w:szCs w:val="32"/>
        </w:rPr>
        <w:t>万元，占</w:t>
      </w:r>
      <w:r>
        <w:rPr>
          <w:rFonts w:hint="eastAsia"/>
          <w:szCs w:val="32"/>
          <w:lang w:val="en-US" w:eastAsia="zh-CN"/>
        </w:rPr>
        <w:t>3.30</w:t>
      </w:r>
      <w:r>
        <w:rPr>
          <w:szCs w:val="32"/>
        </w:rPr>
        <w:t>%，主要用于</w:t>
      </w:r>
      <w:r>
        <w:rPr>
          <w:rFonts w:hint="eastAsia" w:ascii="仿宋_GB2312" w:hAnsi="仿宋_GB2312" w:cs="仿宋_GB2312"/>
          <w:szCs w:val="32"/>
        </w:rPr>
        <w:t>缴纳职工医疗保险</w:t>
      </w:r>
      <w:r>
        <w:rPr>
          <w:szCs w:val="32"/>
        </w:rPr>
        <w:t>。</w:t>
      </w:r>
    </w:p>
    <w:p>
      <w:pPr>
        <w:spacing w:line="520" w:lineRule="exact"/>
        <w:ind w:firstLine="640" w:firstLineChars="200"/>
        <w:rPr>
          <w:rFonts w:hint="eastAsia"/>
          <w:szCs w:val="32"/>
        </w:rPr>
      </w:pPr>
      <w:r>
        <w:rPr>
          <w:szCs w:val="32"/>
        </w:rPr>
        <w:t>住房保障（类）支出</w:t>
      </w:r>
      <w:r>
        <w:rPr>
          <w:rFonts w:hint="eastAsia"/>
          <w:szCs w:val="32"/>
          <w:lang w:val="en-US" w:eastAsia="zh-CN"/>
        </w:rPr>
        <w:t>45.72</w:t>
      </w:r>
      <w:r>
        <w:rPr>
          <w:szCs w:val="32"/>
        </w:rPr>
        <w:t>万元，占</w:t>
      </w:r>
      <w:r>
        <w:rPr>
          <w:rFonts w:hint="eastAsia"/>
          <w:szCs w:val="32"/>
          <w:lang w:val="en-US" w:eastAsia="zh-CN"/>
        </w:rPr>
        <w:t>8.54</w:t>
      </w:r>
      <w:r>
        <w:rPr>
          <w:szCs w:val="32"/>
        </w:rPr>
        <w:t>%，主要用于</w:t>
      </w:r>
      <w:r>
        <w:rPr>
          <w:rFonts w:hint="eastAsia" w:ascii="仿宋_GB2312" w:hAnsi="仿宋_GB2312" w:cs="仿宋_GB2312"/>
          <w:szCs w:val="32"/>
        </w:rPr>
        <w:t>缴纳职工住房公积金</w:t>
      </w:r>
      <w:r>
        <w:rPr>
          <w:szCs w:val="32"/>
        </w:rPr>
        <w:t>。</w:t>
      </w:r>
    </w:p>
    <w:p>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4</w:t>
      </w:r>
      <w:r>
        <w:rPr>
          <w:rFonts w:eastAsia="黑体"/>
          <w:szCs w:val="32"/>
        </w:rPr>
        <w:t>年一般公共预算基本支出情况</w:t>
      </w:r>
    </w:p>
    <w:p>
      <w:pPr>
        <w:ind w:firstLine="640"/>
        <w:rPr>
          <w:szCs w:val="32"/>
        </w:rPr>
      </w:pPr>
      <w:r>
        <w:rPr>
          <w:szCs w:val="32"/>
        </w:rPr>
        <w:t>20</w:t>
      </w:r>
      <w:r>
        <w:rPr>
          <w:rFonts w:hint="eastAsia"/>
          <w:szCs w:val="32"/>
        </w:rPr>
        <w:t>2</w:t>
      </w:r>
      <w:r>
        <w:rPr>
          <w:rFonts w:hint="eastAsia"/>
          <w:szCs w:val="32"/>
          <w:lang w:val="en-US" w:eastAsia="zh-CN"/>
        </w:rPr>
        <w:t>4</w:t>
      </w:r>
      <w:r>
        <w:rPr>
          <w:szCs w:val="32"/>
        </w:rPr>
        <w:t>年一般公共预算基本支出</w:t>
      </w:r>
      <w:r>
        <w:rPr>
          <w:rFonts w:hint="eastAsia"/>
          <w:szCs w:val="32"/>
          <w:lang w:val="en-US" w:eastAsia="zh-CN"/>
        </w:rPr>
        <w:t>486.10</w:t>
      </w:r>
      <w:r>
        <w:rPr>
          <w:szCs w:val="32"/>
        </w:rPr>
        <w:t>万元，其中：</w:t>
      </w:r>
    </w:p>
    <w:p>
      <w:pPr>
        <w:ind w:firstLine="640" w:firstLineChars="200"/>
        <w:rPr>
          <w:kern w:val="0"/>
          <w:szCs w:val="32"/>
        </w:rPr>
      </w:pPr>
      <w:r>
        <w:rPr>
          <w:szCs w:val="32"/>
        </w:rPr>
        <w:t>人员经费</w:t>
      </w:r>
      <w:r>
        <w:rPr>
          <w:rFonts w:hint="eastAsia"/>
          <w:szCs w:val="32"/>
          <w:lang w:val="en-US" w:eastAsia="zh-CN"/>
        </w:rPr>
        <w:t>401.16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rFonts w:hint="eastAsia"/>
          <w:kern w:val="0"/>
          <w:szCs w:val="32"/>
          <w:lang w:eastAsia="zh-CN"/>
        </w:rPr>
        <w:t>、医疗费、</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其他对个人和家庭的补助。</w:t>
      </w:r>
    </w:p>
    <w:p>
      <w:pPr>
        <w:ind w:firstLine="640" w:firstLineChars="200"/>
        <w:rPr>
          <w:kern w:val="0"/>
          <w:szCs w:val="32"/>
        </w:rPr>
      </w:pPr>
      <w:r>
        <w:rPr>
          <w:kern w:val="0"/>
          <w:szCs w:val="32"/>
        </w:rPr>
        <w:t>公用经费</w:t>
      </w:r>
      <w:r>
        <w:rPr>
          <w:rFonts w:hint="eastAsia"/>
          <w:szCs w:val="32"/>
          <w:lang w:val="en-US" w:eastAsia="zh-CN"/>
        </w:rPr>
        <w:t>84.49</w:t>
      </w:r>
      <w:r>
        <w:rPr>
          <w:szCs w:val="32"/>
        </w:rPr>
        <w:t>万元，主要包括：</w:t>
      </w:r>
      <w:r>
        <w:rPr>
          <w:kern w:val="0"/>
          <w:szCs w:val="32"/>
        </w:rPr>
        <w:t>办公费</w:t>
      </w:r>
      <w:r>
        <w:rPr>
          <w:szCs w:val="32"/>
        </w:rPr>
        <w:t>、</w:t>
      </w:r>
      <w:r>
        <w:rPr>
          <w:rFonts w:hint="eastAsia"/>
          <w:kern w:val="0"/>
          <w:szCs w:val="32"/>
          <w:lang w:eastAsia="zh-CN"/>
        </w:rPr>
        <w:t>手续费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、公</w:t>
      </w:r>
      <w:r>
        <w:rPr>
          <w:kern w:val="0"/>
          <w:szCs w:val="32"/>
        </w:rPr>
        <w:t>务用车运行维护费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4</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w:t>
      </w:r>
      <w:r>
        <w:rPr>
          <w:rFonts w:hint="eastAsia"/>
          <w:szCs w:val="32"/>
          <w:lang w:val="en-US" w:eastAsia="zh-CN"/>
        </w:rPr>
        <w:t>4</w:t>
      </w:r>
      <w:r>
        <w:rPr>
          <w:szCs w:val="32"/>
        </w:rPr>
        <w:t>年“三公”经费预算数为</w:t>
      </w:r>
      <w:r>
        <w:rPr>
          <w:rFonts w:hint="eastAsia"/>
          <w:szCs w:val="32"/>
          <w:lang w:val="en-US" w:eastAsia="zh-CN"/>
        </w:rPr>
        <w:t>3.63</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0.30</w:t>
      </w:r>
      <w:r>
        <w:rPr>
          <w:szCs w:val="32"/>
        </w:rPr>
        <w:t>万元。其中：</w:t>
      </w:r>
    </w:p>
    <w:p>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p>
    <w:p>
      <w:pPr>
        <w:ind w:firstLine="640" w:firstLineChars="200"/>
        <w:rPr>
          <w:rFonts w:hint="eastAsia" w:eastAsia="仿宋_GB2312"/>
          <w:szCs w:val="32"/>
          <w:lang w:eastAsia="zh-CN"/>
        </w:rPr>
      </w:pPr>
      <w:r>
        <w:rPr>
          <w:szCs w:val="32"/>
        </w:rPr>
        <w:t>2.公务接待费</w:t>
      </w:r>
      <w:r>
        <w:rPr>
          <w:rFonts w:hint="eastAsia"/>
          <w:szCs w:val="32"/>
          <w:lang w:val="en-US" w:eastAsia="zh-CN"/>
        </w:rPr>
        <w:t>0.30</w:t>
      </w:r>
      <w:r>
        <w:rPr>
          <w:szCs w:val="32"/>
        </w:rPr>
        <w:t>万元</w:t>
      </w:r>
      <w:r>
        <w:rPr>
          <w:rFonts w:hint="eastAsia"/>
          <w:szCs w:val="32"/>
          <w:lang w:eastAsia="zh-CN"/>
        </w:rPr>
        <w:t>，</w:t>
      </w:r>
      <w:r>
        <w:rPr>
          <w:rFonts w:hint="eastAsia"/>
          <w:szCs w:val="32"/>
          <w:lang w:val="en-US" w:eastAsia="zh-CN"/>
        </w:rPr>
        <w:t>2024年本年预算数</w:t>
      </w:r>
      <w:r>
        <w:rPr>
          <w:szCs w:val="32"/>
        </w:rPr>
        <w:t>比20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预算数减少</w:t>
      </w:r>
      <w:r>
        <w:rPr>
          <w:rFonts w:hint="eastAsia"/>
          <w:szCs w:val="32"/>
          <w:lang w:val="en-US" w:eastAsia="zh-CN"/>
        </w:rPr>
        <w:t>0.30</w:t>
      </w:r>
      <w:r>
        <w:rPr>
          <w:szCs w:val="32"/>
        </w:rPr>
        <w:t>万元，主要原因是</w:t>
      </w:r>
      <w:r>
        <w:rPr>
          <w:rFonts w:hint="eastAsia"/>
          <w:szCs w:val="32"/>
          <w:lang w:eastAsia="zh-CN"/>
        </w:rPr>
        <w:t>认真贯彻落实中共中央八项规定精神和省财政厅“过紧日子”有关要求，厉行节约，压减公务接待费预算。</w:t>
      </w:r>
    </w:p>
    <w:p>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3.33</w:t>
      </w:r>
      <w:r>
        <w:rPr>
          <w:szCs w:val="32"/>
        </w:rPr>
        <w:t>万元</w:t>
      </w:r>
      <w:r>
        <w:rPr>
          <w:rFonts w:hint="eastAsia"/>
          <w:szCs w:val="32"/>
          <w:lang w:eastAsia="zh-CN"/>
        </w:rPr>
        <w:t>。</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3.33</w:t>
      </w:r>
      <w:r>
        <w:rPr>
          <w:szCs w:val="32"/>
        </w:rPr>
        <w:t>万元</w:t>
      </w:r>
      <w:r>
        <w:rPr>
          <w:rFonts w:hint="eastAsia"/>
          <w:szCs w:val="32"/>
          <w:lang w:val="en-US" w:eastAsia="zh-CN"/>
        </w:rPr>
        <w:t>，2024年本年预算数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0.00</w:t>
      </w:r>
      <w:r>
        <w:rPr>
          <w:szCs w:val="32"/>
        </w:rPr>
        <w:t>万元</w:t>
      </w:r>
      <w:r>
        <w:rPr>
          <w:rFonts w:hint="eastAsia"/>
          <w:szCs w:val="32"/>
          <w:lang w:eastAsia="zh-CN"/>
        </w:rPr>
        <w:t>，</w:t>
      </w:r>
      <w:r>
        <w:rPr>
          <w:rFonts w:hint="eastAsia"/>
          <w:szCs w:val="32"/>
          <w:lang w:val="en-US" w:eastAsia="zh-CN"/>
        </w:rPr>
        <w:t>2024年当年预算数</w:t>
      </w:r>
      <w:r>
        <w:rPr>
          <w:rFonts w:hint="eastAsia"/>
          <w:szCs w:val="32"/>
          <w:lang w:eastAsia="zh-CN"/>
        </w:rPr>
        <w:t>与</w:t>
      </w:r>
      <w:r>
        <w:rPr>
          <w:szCs w:val="32"/>
        </w:rPr>
        <w:t>20</w:t>
      </w:r>
      <w:r>
        <w:rPr>
          <w:rFonts w:hint="eastAsia"/>
          <w:szCs w:val="32"/>
        </w:rPr>
        <w:t>2</w:t>
      </w:r>
      <w:r>
        <w:rPr>
          <w:rFonts w:hint="eastAsia"/>
          <w:szCs w:val="32"/>
          <w:lang w:val="en-US" w:eastAsia="zh-CN"/>
        </w:rPr>
        <w:t>3</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4</w:t>
      </w:r>
      <w:r>
        <w:rPr>
          <w:rFonts w:eastAsia="黑体"/>
          <w:szCs w:val="32"/>
        </w:rPr>
        <w:t>年政府性基金预算支出情况</w:t>
      </w:r>
    </w:p>
    <w:p>
      <w:pPr>
        <w:ind w:firstLine="640" w:firstLineChars="200"/>
        <w:rPr>
          <w:rFonts w:eastAsia="楷体"/>
          <w:szCs w:val="32"/>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本单位无政府性基金预算拨款。</w:t>
      </w: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4</w:t>
      </w:r>
      <w:r>
        <w:rPr>
          <w:rFonts w:eastAsia="黑体"/>
          <w:szCs w:val="32"/>
        </w:rPr>
        <w:t>年</w:t>
      </w:r>
      <w:r>
        <w:rPr>
          <w:rFonts w:hint="eastAsia" w:eastAsia="黑体"/>
          <w:szCs w:val="32"/>
        </w:rPr>
        <w:t>国有资本经营</w:t>
      </w:r>
      <w:r>
        <w:rPr>
          <w:rFonts w:eastAsia="黑体"/>
          <w:szCs w:val="32"/>
        </w:rPr>
        <w:t>预算支出情况</w:t>
      </w:r>
    </w:p>
    <w:p>
      <w:pPr>
        <w:ind w:firstLine="640"/>
        <w:rPr>
          <w:rFonts w:hint="eastAsia" w:ascii="仿宋_GB2312" w:hAnsi="仿宋_GB2312" w:cs="仿宋_GB2312"/>
          <w:szCs w:val="32"/>
          <w:lang w:eastAsia="zh-CN"/>
        </w:rPr>
      </w:pPr>
      <w:r>
        <w:rPr>
          <w:szCs w:val="32"/>
        </w:rPr>
        <w:t>20</w:t>
      </w:r>
      <w:r>
        <w:rPr>
          <w:rFonts w:hint="eastAsia"/>
          <w:szCs w:val="32"/>
        </w:rPr>
        <w:t>2</w:t>
      </w:r>
      <w:r>
        <w:rPr>
          <w:rFonts w:hint="eastAsia"/>
          <w:szCs w:val="32"/>
          <w:lang w:val="en-US" w:eastAsia="zh-CN"/>
        </w:rPr>
        <w:t>4</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通化市统计局（本级）</w:t>
      </w:r>
      <w:r>
        <w:rPr>
          <w:rFonts w:hint="eastAsia"/>
          <w:szCs w:val="32"/>
          <w:lang w:val="en-US" w:eastAsia="zh-CN"/>
        </w:rPr>
        <w:t>1</w:t>
      </w:r>
      <w:r>
        <w:rPr>
          <w:szCs w:val="32"/>
        </w:rPr>
        <w:t>家行政单位的机关运行经费财政拨款预算</w:t>
      </w:r>
      <w:r>
        <w:rPr>
          <w:rFonts w:hint="eastAsia"/>
          <w:szCs w:val="32"/>
          <w:lang w:val="en-US" w:eastAsia="zh-CN"/>
        </w:rPr>
        <w:t>84.49</w:t>
      </w:r>
      <w:r>
        <w:rPr>
          <w:szCs w:val="32"/>
        </w:rPr>
        <w:t>万元，比20</w:t>
      </w:r>
      <w:r>
        <w:rPr>
          <w:rFonts w:hint="eastAsia"/>
          <w:szCs w:val="32"/>
        </w:rPr>
        <w:t>2</w:t>
      </w:r>
      <w:r>
        <w:rPr>
          <w:rFonts w:hint="eastAsia"/>
          <w:szCs w:val="32"/>
          <w:lang w:val="en-US" w:eastAsia="zh-CN"/>
        </w:rPr>
        <w:t>3</w:t>
      </w:r>
      <w:r>
        <w:rPr>
          <w:szCs w:val="32"/>
        </w:rPr>
        <w:t>年预算减少</w:t>
      </w:r>
      <w:r>
        <w:rPr>
          <w:rFonts w:hint="eastAsia"/>
          <w:szCs w:val="32"/>
          <w:lang w:val="en-US" w:eastAsia="zh-CN"/>
        </w:rPr>
        <w:t>11.65</w:t>
      </w:r>
      <w:r>
        <w:rPr>
          <w:szCs w:val="32"/>
        </w:rPr>
        <w:t>万元，下降</w:t>
      </w:r>
      <w:r>
        <w:rPr>
          <w:rFonts w:hint="eastAsia"/>
          <w:szCs w:val="32"/>
          <w:lang w:val="en-US" w:eastAsia="zh-CN"/>
        </w:rPr>
        <w:t>12.12</w:t>
      </w:r>
      <w:r>
        <w:rPr>
          <w:szCs w:val="32"/>
        </w:rPr>
        <w:t>%</w:t>
      </w:r>
      <w:r>
        <w:rPr>
          <w:rFonts w:hint="eastAsia"/>
          <w:szCs w:val="32"/>
        </w:rPr>
        <w:t>，主要原因是</w:t>
      </w:r>
      <w:r>
        <w:rPr>
          <w:rFonts w:hint="eastAsia"/>
          <w:szCs w:val="32"/>
          <w:lang w:eastAsia="zh-CN"/>
        </w:rPr>
        <w:t>压减机关运行经费预算</w:t>
      </w:r>
      <w:r>
        <w:rPr>
          <w:szCs w:val="32"/>
        </w:rPr>
        <w:t>。</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w:t>
      </w:r>
      <w:r>
        <w:rPr>
          <w:rFonts w:hint="eastAsia"/>
          <w:szCs w:val="32"/>
          <w:lang w:val="en-US" w:eastAsia="zh-CN"/>
        </w:rPr>
        <w:t>4</w:t>
      </w:r>
      <w:r>
        <w:rPr>
          <w:szCs w:val="32"/>
        </w:rPr>
        <w:t>年</w:t>
      </w:r>
      <w:r>
        <w:rPr>
          <w:rFonts w:hint="eastAsia"/>
          <w:szCs w:val="32"/>
        </w:rPr>
        <w:t>本单位无政府采购</w:t>
      </w:r>
      <w:r>
        <w:rPr>
          <w:szCs w:val="32"/>
        </w:rPr>
        <w:t>。</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w:t>
      </w:r>
      <w:r>
        <w:rPr>
          <w:rFonts w:hint="eastAsia"/>
          <w:szCs w:val="32"/>
          <w:lang w:val="en-US" w:eastAsia="zh-CN"/>
        </w:rPr>
        <w:t>3</w:t>
      </w:r>
      <w:r>
        <w:rPr>
          <w:rFonts w:hint="eastAsia"/>
          <w:szCs w:val="32"/>
        </w:rPr>
        <w:t>年8月底，</w:t>
      </w:r>
      <w:r>
        <w:rPr>
          <w:rFonts w:hint="eastAsia"/>
          <w:szCs w:val="32"/>
          <w:lang w:eastAsia="zh-CN"/>
        </w:rPr>
        <w:t>通化市统计局（本级）</w:t>
      </w:r>
      <w:r>
        <w:rPr>
          <w:rFonts w:hint="eastAsia"/>
          <w:szCs w:val="32"/>
        </w:rPr>
        <w:t>有车辆</w:t>
      </w:r>
      <w:r>
        <w:rPr>
          <w:rFonts w:hint="eastAsia"/>
          <w:szCs w:val="32"/>
          <w:lang w:val="en-US" w:eastAsia="zh-CN"/>
        </w:rPr>
        <w:t>1</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800</w:t>
      </w:r>
      <w:r>
        <w:rPr>
          <w:rFonts w:hint="eastAsia"/>
          <w:szCs w:val="32"/>
        </w:rPr>
        <w:t>平方米，单价50万元以上设备</w:t>
      </w:r>
      <w:r>
        <w:rPr>
          <w:rFonts w:hint="eastAsia"/>
          <w:szCs w:val="32"/>
          <w:lang w:val="en-US" w:eastAsia="zh-CN"/>
        </w:rPr>
        <w:t>0</w:t>
      </w:r>
      <w:r>
        <w:rPr>
          <w:rFonts w:hint="eastAsia"/>
          <w:szCs w:val="32"/>
        </w:rPr>
        <w:t>台/套。</w:t>
      </w:r>
    </w:p>
    <w:p>
      <w:pPr>
        <w:spacing w:line="540" w:lineRule="exact"/>
        <w:ind w:firstLine="640" w:firstLineChars="200"/>
        <w:rPr>
          <w:szCs w:val="32"/>
        </w:rPr>
      </w:pPr>
      <w:r>
        <w:rPr>
          <w:rFonts w:hint="eastAsia"/>
          <w:szCs w:val="32"/>
        </w:rPr>
        <w:t>202</w:t>
      </w:r>
      <w:r>
        <w:rPr>
          <w:rFonts w:hint="eastAsia"/>
          <w:szCs w:val="32"/>
          <w:lang w:val="en-US" w:eastAsia="zh-CN"/>
        </w:rPr>
        <w:t>4</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lang w:val="en-US" w:eastAsia="zh-CN"/>
        </w:rPr>
        <w:t>4</w:t>
      </w:r>
      <w:r>
        <w:t>年</w:t>
      </w:r>
      <w:r>
        <w:rPr>
          <w:rFonts w:hint="eastAsia"/>
          <w:lang w:eastAsia="zh-CN"/>
        </w:rPr>
        <w:t>单位</w:t>
      </w:r>
      <w:r>
        <w:t>项目支出</w:t>
      </w:r>
      <w:r>
        <w:rPr>
          <w:rFonts w:hint="eastAsia"/>
          <w:szCs w:val="32"/>
          <w:lang w:val="en-US" w:eastAsia="zh-CN"/>
        </w:rPr>
        <w:t>48.98</w:t>
      </w:r>
      <w:r>
        <w:rPr>
          <w:szCs w:val="32"/>
        </w:rPr>
        <w:t>万元，其中：一级项目</w:t>
      </w:r>
      <w:r>
        <w:rPr>
          <w:rFonts w:hint="eastAsia"/>
          <w:szCs w:val="32"/>
          <w:lang w:val="en-US" w:eastAsia="zh-CN"/>
        </w:rPr>
        <w:t>3</w:t>
      </w:r>
      <w:r>
        <w:rPr>
          <w:szCs w:val="32"/>
        </w:rPr>
        <w:t>个，二级项目</w:t>
      </w:r>
      <w:r>
        <w:rPr>
          <w:rFonts w:hint="eastAsia"/>
          <w:szCs w:val="32"/>
          <w:lang w:val="en-US" w:eastAsia="zh-CN"/>
        </w:rPr>
        <w:t>3</w:t>
      </w:r>
      <w:r>
        <w:rPr>
          <w:szCs w:val="32"/>
        </w:rPr>
        <w:t>个；使用</w:t>
      </w:r>
      <w:r>
        <w:rPr>
          <w:rFonts w:hint="eastAsia"/>
          <w:szCs w:val="32"/>
        </w:rPr>
        <w:t>本年拨款</w:t>
      </w:r>
      <w:r>
        <w:rPr>
          <w:rFonts w:hint="eastAsia"/>
          <w:szCs w:val="32"/>
          <w:lang w:val="en-US" w:eastAsia="zh-CN"/>
        </w:rPr>
        <w:t>48.98</w:t>
      </w:r>
      <w:r>
        <w:rPr>
          <w:szCs w:val="32"/>
        </w:rPr>
        <w:t>万元，</w:t>
      </w:r>
      <w:r>
        <w:rPr>
          <w:rFonts w:hint="eastAsia"/>
          <w:szCs w:val="32"/>
        </w:rPr>
        <w:t>财政拨款结转</w:t>
      </w:r>
      <w:r>
        <w:rPr>
          <w:rFonts w:hint="eastAsia"/>
          <w:szCs w:val="32"/>
          <w:lang w:val="en-US" w:eastAsia="zh-CN"/>
        </w:rPr>
        <w:t>0.00</w:t>
      </w:r>
      <w:r>
        <w:rPr>
          <w:szCs w:val="32"/>
        </w:rPr>
        <w:t>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4</w:t>
      </w:r>
      <w:r>
        <w:rPr>
          <w:rFonts w:hint="eastAsia" w:ascii="宋体" w:hAnsi="宋体"/>
        </w:rPr>
        <w:t>年</w:t>
      </w:r>
      <w:r>
        <w:rPr>
          <w:rFonts w:hint="eastAsia" w:ascii="宋体" w:hAnsi="宋体"/>
          <w:lang w:eastAsia="zh-CN"/>
        </w:rPr>
        <w:t>将</w:t>
      </w:r>
      <w:r>
        <w:rPr>
          <w:rFonts w:hint="eastAsia"/>
          <w:szCs w:val="32"/>
          <w:lang w:val="en-US" w:eastAsia="zh-CN"/>
        </w:rPr>
        <w:t>3</w:t>
      </w:r>
      <w:r>
        <w:rPr>
          <w:rFonts w:hint="eastAsia" w:ascii="宋体" w:hAnsi="宋体"/>
        </w:rPr>
        <w:t>个项目支出的绩效目标和指标向社会公开，涉及金额</w:t>
      </w:r>
      <w:r>
        <w:rPr>
          <w:rFonts w:hint="eastAsia"/>
          <w:szCs w:val="32"/>
          <w:lang w:val="en-US" w:eastAsia="zh-CN"/>
        </w:rPr>
        <w:t>48.98</w:t>
      </w:r>
      <w:r>
        <w:rPr>
          <w:rFonts w:hint="eastAsia" w:ascii="宋体" w:hAnsi="宋体"/>
        </w:rPr>
        <w:t>万元。</w:t>
      </w:r>
    </w:p>
    <w:p>
      <w:pPr>
        <w:ind w:firstLine="645"/>
        <w:rPr>
          <w:rFonts w:eastAsia="楷体"/>
          <w:szCs w:val="32"/>
        </w:rPr>
      </w:pPr>
    </w:p>
    <w:p>
      <w:pPr>
        <w:spacing w:line="540" w:lineRule="exact"/>
        <w:rPr>
          <w:rFonts w:eastAsia="楷体"/>
          <w:szCs w:val="32"/>
        </w:rPr>
      </w:pPr>
    </w:p>
    <w:p>
      <w:pPr>
        <w:spacing w:line="540" w:lineRule="exact"/>
        <w:rPr>
          <w:rFonts w:eastAsia="楷体"/>
          <w:szCs w:val="32"/>
        </w:rPr>
      </w:pPr>
    </w:p>
    <w:p>
      <w:pPr>
        <w:ind w:firstLine="640" w:firstLineChars="200"/>
        <w:rPr>
          <w:szCs w:val="32"/>
        </w:rPr>
      </w:pPr>
    </w:p>
    <w:p>
      <w:pPr>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abstractNum w:abstractNumId="1">
    <w:nsid w:val="75AD8ADF"/>
    <w:multiLevelType w:val="singleLevel"/>
    <w:tmpl w:val="75AD8AD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WUxMmJhYzhhN2JjN2EzYzZiNDcyNmZmYzE0OTgifQ=="/>
  </w:docVars>
  <w:rsids>
    <w:rsidRoot w:val="48674ED2"/>
    <w:rsid w:val="000C6D48"/>
    <w:rsid w:val="000D7FB8"/>
    <w:rsid w:val="000E46F6"/>
    <w:rsid w:val="00102492"/>
    <w:rsid w:val="00145456"/>
    <w:rsid w:val="002300BA"/>
    <w:rsid w:val="00292A39"/>
    <w:rsid w:val="002A5441"/>
    <w:rsid w:val="002E7CD8"/>
    <w:rsid w:val="00327CB1"/>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46033"/>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1F4CA2"/>
    <w:rsid w:val="022C672A"/>
    <w:rsid w:val="02467A44"/>
    <w:rsid w:val="025B37A5"/>
    <w:rsid w:val="026779BA"/>
    <w:rsid w:val="02C44267"/>
    <w:rsid w:val="02FE20CD"/>
    <w:rsid w:val="031D7D4B"/>
    <w:rsid w:val="037E6D6A"/>
    <w:rsid w:val="037F2004"/>
    <w:rsid w:val="03991DF6"/>
    <w:rsid w:val="03B41E8C"/>
    <w:rsid w:val="04180F6C"/>
    <w:rsid w:val="04755FB3"/>
    <w:rsid w:val="0486486A"/>
    <w:rsid w:val="04954460"/>
    <w:rsid w:val="04B818D1"/>
    <w:rsid w:val="04DD5D12"/>
    <w:rsid w:val="050D06DA"/>
    <w:rsid w:val="05310B72"/>
    <w:rsid w:val="05513E94"/>
    <w:rsid w:val="056F5A6D"/>
    <w:rsid w:val="059B3770"/>
    <w:rsid w:val="05A84572"/>
    <w:rsid w:val="05DD06BF"/>
    <w:rsid w:val="0609042C"/>
    <w:rsid w:val="063949A0"/>
    <w:rsid w:val="06BD5BC7"/>
    <w:rsid w:val="06C47189"/>
    <w:rsid w:val="06CE625A"/>
    <w:rsid w:val="06F008FF"/>
    <w:rsid w:val="073E6F3C"/>
    <w:rsid w:val="076D7821"/>
    <w:rsid w:val="078B414B"/>
    <w:rsid w:val="079E5032"/>
    <w:rsid w:val="07C13B30"/>
    <w:rsid w:val="07C82CA9"/>
    <w:rsid w:val="086C1887"/>
    <w:rsid w:val="087A0447"/>
    <w:rsid w:val="087D7F38"/>
    <w:rsid w:val="09015F14"/>
    <w:rsid w:val="09135785"/>
    <w:rsid w:val="091C5C63"/>
    <w:rsid w:val="09421190"/>
    <w:rsid w:val="095F763D"/>
    <w:rsid w:val="09A0082A"/>
    <w:rsid w:val="09B90AFC"/>
    <w:rsid w:val="0A00435B"/>
    <w:rsid w:val="0A621193"/>
    <w:rsid w:val="0A6273E5"/>
    <w:rsid w:val="0AAA1697"/>
    <w:rsid w:val="0ABA06FE"/>
    <w:rsid w:val="0B21525C"/>
    <w:rsid w:val="0B49202F"/>
    <w:rsid w:val="0B5F5ADA"/>
    <w:rsid w:val="0BD87233"/>
    <w:rsid w:val="0C0544CC"/>
    <w:rsid w:val="0C2A5C84"/>
    <w:rsid w:val="0C4F64D9"/>
    <w:rsid w:val="0C583939"/>
    <w:rsid w:val="0C6D1BAE"/>
    <w:rsid w:val="0CC46135"/>
    <w:rsid w:val="0CE045F1"/>
    <w:rsid w:val="0D2A2435"/>
    <w:rsid w:val="0D803CBB"/>
    <w:rsid w:val="0DA001B0"/>
    <w:rsid w:val="0DEB170B"/>
    <w:rsid w:val="0E325320"/>
    <w:rsid w:val="0E4C7841"/>
    <w:rsid w:val="0E8F2ADE"/>
    <w:rsid w:val="0E97506F"/>
    <w:rsid w:val="0EFF6327"/>
    <w:rsid w:val="0F380715"/>
    <w:rsid w:val="0F3E0406"/>
    <w:rsid w:val="0F5A54CA"/>
    <w:rsid w:val="0F980230"/>
    <w:rsid w:val="0FBA737B"/>
    <w:rsid w:val="0FCB77DB"/>
    <w:rsid w:val="0FD62F63"/>
    <w:rsid w:val="0FDE2A27"/>
    <w:rsid w:val="10A87B1C"/>
    <w:rsid w:val="10AE7F82"/>
    <w:rsid w:val="10C93B35"/>
    <w:rsid w:val="10CB7366"/>
    <w:rsid w:val="110034B4"/>
    <w:rsid w:val="11177619"/>
    <w:rsid w:val="112605C8"/>
    <w:rsid w:val="113B7CCF"/>
    <w:rsid w:val="11A227BD"/>
    <w:rsid w:val="11A6707B"/>
    <w:rsid w:val="11B35B2F"/>
    <w:rsid w:val="11D34725"/>
    <w:rsid w:val="11FA6155"/>
    <w:rsid w:val="12527D3F"/>
    <w:rsid w:val="12B10F0A"/>
    <w:rsid w:val="12C329EB"/>
    <w:rsid w:val="12C7072D"/>
    <w:rsid w:val="12D43D01"/>
    <w:rsid w:val="12E711B7"/>
    <w:rsid w:val="133B4C77"/>
    <w:rsid w:val="135E69D0"/>
    <w:rsid w:val="136D62BD"/>
    <w:rsid w:val="136E4388"/>
    <w:rsid w:val="13F21722"/>
    <w:rsid w:val="141D437D"/>
    <w:rsid w:val="1441443C"/>
    <w:rsid w:val="14755F67"/>
    <w:rsid w:val="14C12787"/>
    <w:rsid w:val="15593E10"/>
    <w:rsid w:val="159F7E25"/>
    <w:rsid w:val="15C2342E"/>
    <w:rsid w:val="15F848D0"/>
    <w:rsid w:val="160E1FA5"/>
    <w:rsid w:val="160F2600"/>
    <w:rsid w:val="161C2A95"/>
    <w:rsid w:val="164D6FD7"/>
    <w:rsid w:val="16C829AB"/>
    <w:rsid w:val="16DD34F5"/>
    <w:rsid w:val="16E42F30"/>
    <w:rsid w:val="16EB6269"/>
    <w:rsid w:val="16FB5E9C"/>
    <w:rsid w:val="175E5BA2"/>
    <w:rsid w:val="17654071"/>
    <w:rsid w:val="17765BCA"/>
    <w:rsid w:val="17A027D8"/>
    <w:rsid w:val="17CC2625"/>
    <w:rsid w:val="17D64F6F"/>
    <w:rsid w:val="185D743E"/>
    <w:rsid w:val="18616F2E"/>
    <w:rsid w:val="18AF5EEB"/>
    <w:rsid w:val="18FC0A05"/>
    <w:rsid w:val="19132BE0"/>
    <w:rsid w:val="191F4716"/>
    <w:rsid w:val="1954649C"/>
    <w:rsid w:val="19A075E2"/>
    <w:rsid w:val="1A4F3AD7"/>
    <w:rsid w:val="1A817DF8"/>
    <w:rsid w:val="1A8A6135"/>
    <w:rsid w:val="1AD4263E"/>
    <w:rsid w:val="1ADC594E"/>
    <w:rsid w:val="1AEB5252"/>
    <w:rsid w:val="1B7B0307"/>
    <w:rsid w:val="1B8A03E4"/>
    <w:rsid w:val="1B9C1459"/>
    <w:rsid w:val="1C393D1E"/>
    <w:rsid w:val="1C66655B"/>
    <w:rsid w:val="1C852172"/>
    <w:rsid w:val="1C901B90"/>
    <w:rsid w:val="1C931680"/>
    <w:rsid w:val="1CA40C0C"/>
    <w:rsid w:val="1CFF4A32"/>
    <w:rsid w:val="1D833200"/>
    <w:rsid w:val="1DC85359"/>
    <w:rsid w:val="1E0F11DA"/>
    <w:rsid w:val="1E25530A"/>
    <w:rsid w:val="1E2D340E"/>
    <w:rsid w:val="1E3A3FD0"/>
    <w:rsid w:val="1E803E86"/>
    <w:rsid w:val="1EB458DE"/>
    <w:rsid w:val="1EB55C07"/>
    <w:rsid w:val="1ED10598"/>
    <w:rsid w:val="1F0979D8"/>
    <w:rsid w:val="1F351A10"/>
    <w:rsid w:val="1F5F584A"/>
    <w:rsid w:val="1F857EA5"/>
    <w:rsid w:val="1F877E64"/>
    <w:rsid w:val="1FED47E9"/>
    <w:rsid w:val="202C79B8"/>
    <w:rsid w:val="206816AC"/>
    <w:rsid w:val="20FA1CCE"/>
    <w:rsid w:val="21134335"/>
    <w:rsid w:val="21466CC1"/>
    <w:rsid w:val="214B2529"/>
    <w:rsid w:val="215313DE"/>
    <w:rsid w:val="219B026A"/>
    <w:rsid w:val="22066450"/>
    <w:rsid w:val="226E581D"/>
    <w:rsid w:val="22A4003E"/>
    <w:rsid w:val="22AA29DC"/>
    <w:rsid w:val="23135C25"/>
    <w:rsid w:val="23412AF5"/>
    <w:rsid w:val="236478D2"/>
    <w:rsid w:val="23EC61F6"/>
    <w:rsid w:val="23EF34A5"/>
    <w:rsid w:val="244C543C"/>
    <w:rsid w:val="24624768"/>
    <w:rsid w:val="246B4C91"/>
    <w:rsid w:val="24883C54"/>
    <w:rsid w:val="24A3442A"/>
    <w:rsid w:val="253B0B07"/>
    <w:rsid w:val="2572774D"/>
    <w:rsid w:val="259B5BC5"/>
    <w:rsid w:val="25F62C4E"/>
    <w:rsid w:val="26643D6C"/>
    <w:rsid w:val="26EF7DFB"/>
    <w:rsid w:val="26FE109D"/>
    <w:rsid w:val="27073E1E"/>
    <w:rsid w:val="27532138"/>
    <w:rsid w:val="279F1151"/>
    <w:rsid w:val="27B04AB3"/>
    <w:rsid w:val="27E15995"/>
    <w:rsid w:val="27EB411E"/>
    <w:rsid w:val="280E42B1"/>
    <w:rsid w:val="282C3BA1"/>
    <w:rsid w:val="28A63332"/>
    <w:rsid w:val="28B430AA"/>
    <w:rsid w:val="28C96E8E"/>
    <w:rsid w:val="28E57C8A"/>
    <w:rsid w:val="290C6A42"/>
    <w:rsid w:val="29C45F24"/>
    <w:rsid w:val="2A1C2CB5"/>
    <w:rsid w:val="2A297180"/>
    <w:rsid w:val="2A570191"/>
    <w:rsid w:val="2AB96756"/>
    <w:rsid w:val="2AF23A05"/>
    <w:rsid w:val="2B42499D"/>
    <w:rsid w:val="2BB1742D"/>
    <w:rsid w:val="2BE315B0"/>
    <w:rsid w:val="2C1C3440"/>
    <w:rsid w:val="2C484235"/>
    <w:rsid w:val="2D3B0E3B"/>
    <w:rsid w:val="2D9038E4"/>
    <w:rsid w:val="2DF8796C"/>
    <w:rsid w:val="2E0028ED"/>
    <w:rsid w:val="2E536EC1"/>
    <w:rsid w:val="2E8B0409"/>
    <w:rsid w:val="2E912799"/>
    <w:rsid w:val="2EB22F18"/>
    <w:rsid w:val="2EE12108"/>
    <w:rsid w:val="2EED35E3"/>
    <w:rsid w:val="2F0B5068"/>
    <w:rsid w:val="2F1C1DDB"/>
    <w:rsid w:val="2F250383"/>
    <w:rsid w:val="2F63610B"/>
    <w:rsid w:val="2F8950E1"/>
    <w:rsid w:val="2F990904"/>
    <w:rsid w:val="2FB83480"/>
    <w:rsid w:val="2FBC646B"/>
    <w:rsid w:val="2FC242FE"/>
    <w:rsid w:val="2FE36473"/>
    <w:rsid w:val="300965A3"/>
    <w:rsid w:val="30730D6E"/>
    <w:rsid w:val="308B20C9"/>
    <w:rsid w:val="30B91A70"/>
    <w:rsid w:val="30D93B7C"/>
    <w:rsid w:val="30F009F7"/>
    <w:rsid w:val="30F84C22"/>
    <w:rsid w:val="310C6AA2"/>
    <w:rsid w:val="31496359"/>
    <w:rsid w:val="315642C8"/>
    <w:rsid w:val="31793674"/>
    <w:rsid w:val="317B29B7"/>
    <w:rsid w:val="31894469"/>
    <w:rsid w:val="31B732C3"/>
    <w:rsid w:val="31E00A6C"/>
    <w:rsid w:val="320C1861"/>
    <w:rsid w:val="32332703"/>
    <w:rsid w:val="32A25D21"/>
    <w:rsid w:val="32CF2C5D"/>
    <w:rsid w:val="32EE2C61"/>
    <w:rsid w:val="330B38C7"/>
    <w:rsid w:val="332F677D"/>
    <w:rsid w:val="335402B5"/>
    <w:rsid w:val="335F6616"/>
    <w:rsid w:val="337E22EA"/>
    <w:rsid w:val="339466B2"/>
    <w:rsid w:val="33E466C0"/>
    <w:rsid w:val="34555AF5"/>
    <w:rsid w:val="345E036E"/>
    <w:rsid w:val="346040E6"/>
    <w:rsid w:val="346D124D"/>
    <w:rsid w:val="34802092"/>
    <w:rsid w:val="34831B82"/>
    <w:rsid w:val="34FF687B"/>
    <w:rsid w:val="35470E02"/>
    <w:rsid w:val="354C4987"/>
    <w:rsid w:val="35616772"/>
    <w:rsid w:val="35EA1663"/>
    <w:rsid w:val="35FE3BB6"/>
    <w:rsid w:val="364C598E"/>
    <w:rsid w:val="368A3622"/>
    <w:rsid w:val="36B543E5"/>
    <w:rsid w:val="36BB3856"/>
    <w:rsid w:val="36CC2B0F"/>
    <w:rsid w:val="36FC762F"/>
    <w:rsid w:val="37377380"/>
    <w:rsid w:val="375148FB"/>
    <w:rsid w:val="376D2DA2"/>
    <w:rsid w:val="379B4856"/>
    <w:rsid w:val="3838492F"/>
    <w:rsid w:val="383A009B"/>
    <w:rsid w:val="384358B1"/>
    <w:rsid w:val="384F06F9"/>
    <w:rsid w:val="387400A6"/>
    <w:rsid w:val="387719FE"/>
    <w:rsid w:val="3887374F"/>
    <w:rsid w:val="38CB0ABC"/>
    <w:rsid w:val="39041A07"/>
    <w:rsid w:val="39043B77"/>
    <w:rsid w:val="391F02EA"/>
    <w:rsid w:val="39520806"/>
    <w:rsid w:val="395A1104"/>
    <w:rsid w:val="39670895"/>
    <w:rsid w:val="397B4EE2"/>
    <w:rsid w:val="39846181"/>
    <w:rsid w:val="398F7A24"/>
    <w:rsid w:val="3A19048B"/>
    <w:rsid w:val="3A190FBF"/>
    <w:rsid w:val="3A387943"/>
    <w:rsid w:val="3A521F20"/>
    <w:rsid w:val="3A657F9A"/>
    <w:rsid w:val="3A9113D4"/>
    <w:rsid w:val="3AC54F32"/>
    <w:rsid w:val="3ACA22B9"/>
    <w:rsid w:val="3B144A0A"/>
    <w:rsid w:val="3B254018"/>
    <w:rsid w:val="3B5257F8"/>
    <w:rsid w:val="3BC92948"/>
    <w:rsid w:val="3BE370D4"/>
    <w:rsid w:val="3C0B72BB"/>
    <w:rsid w:val="3C1A026D"/>
    <w:rsid w:val="3C29381E"/>
    <w:rsid w:val="3C711E1D"/>
    <w:rsid w:val="3C7F463D"/>
    <w:rsid w:val="3CA01523"/>
    <w:rsid w:val="3CA1529C"/>
    <w:rsid w:val="3CA54D8C"/>
    <w:rsid w:val="3CAE3960"/>
    <w:rsid w:val="3CD76F0F"/>
    <w:rsid w:val="3CEF6494"/>
    <w:rsid w:val="3D255ECD"/>
    <w:rsid w:val="3D365BF6"/>
    <w:rsid w:val="3D7309E6"/>
    <w:rsid w:val="3D7F7007"/>
    <w:rsid w:val="3DB008AA"/>
    <w:rsid w:val="3DB32F56"/>
    <w:rsid w:val="3DF23324"/>
    <w:rsid w:val="3E303A6A"/>
    <w:rsid w:val="3E3D3A17"/>
    <w:rsid w:val="3E467EA9"/>
    <w:rsid w:val="3EA14040"/>
    <w:rsid w:val="3EE8108D"/>
    <w:rsid w:val="3F1B7587"/>
    <w:rsid w:val="3F8201A3"/>
    <w:rsid w:val="3FA506C9"/>
    <w:rsid w:val="3FA67584"/>
    <w:rsid w:val="402675EA"/>
    <w:rsid w:val="409A272E"/>
    <w:rsid w:val="40B80EFF"/>
    <w:rsid w:val="41943621"/>
    <w:rsid w:val="41A35364"/>
    <w:rsid w:val="41C31686"/>
    <w:rsid w:val="41C837BC"/>
    <w:rsid w:val="41D857F8"/>
    <w:rsid w:val="420936C7"/>
    <w:rsid w:val="421643AC"/>
    <w:rsid w:val="422E5823"/>
    <w:rsid w:val="42982B4E"/>
    <w:rsid w:val="429F5D0C"/>
    <w:rsid w:val="42AD499A"/>
    <w:rsid w:val="42D83665"/>
    <w:rsid w:val="42DA5063"/>
    <w:rsid w:val="431467C7"/>
    <w:rsid w:val="4348021A"/>
    <w:rsid w:val="434A6B47"/>
    <w:rsid w:val="436B1E42"/>
    <w:rsid w:val="43A85162"/>
    <w:rsid w:val="43E50164"/>
    <w:rsid w:val="444C01E3"/>
    <w:rsid w:val="44BE2E8F"/>
    <w:rsid w:val="44C304A5"/>
    <w:rsid w:val="45195625"/>
    <w:rsid w:val="452F5B3A"/>
    <w:rsid w:val="454669E0"/>
    <w:rsid w:val="4557299B"/>
    <w:rsid w:val="456D114B"/>
    <w:rsid w:val="45DF29EC"/>
    <w:rsid w:val="45EB670F"/>
    <w:rsid w:val="460A2104"/>
    <w:rsid w:val="462211FB"/>
    <w:rsid w:val="46AB7C0D"/>
    <w:rsid w:val="46B53D4A"/>
    <w:rsid w:val="46D44808"/>
    <w:rsid w:val="46ED776B"/>
    <w:rsid w:val="47490A0A"/>
    <w:rsid w:val="476F3A66"/>
    <w:rsid w:val="479D2523"/>
    <w:rsid w:val="47CF49E6"/>
    <w:rsid w:val="48674ED2"/>
    <w:rsid w:val="486B5A96"/>
    <w:rsid w:val="487708E6"/>
    <w:rsid w:val="489D100D"/>
    <w:rsid w:val="48B540F2"/>
    <w:rsid w:val="48DF5182"/>
    <w:rsid w:val="493C4382"/>
    <w:rsid w:val="493F6F72"/>
    <w:rsid w:val="494B2817"/>
    <w:rsid w:val="49645F71"/>
    <w:rsid w:val="499F5C68"/>
    <w:rsid w:val="49B303BC"/>
    <w:rsid w:val="49BC3715"/>
    <w:rsid w:val="4A52465C"/>
    <w:rsid w:val="4A5C4AC6"/>
    <w:rsid w:val="4A662FBF"/>
    <w:rsid w:val="4A74717B"/>
    <w:rsid w:val="4AF16062"/>
    <w:rsid w:val="4B0A57E5"/>
    <w:rsid w:val="4B646DDD"/>
    <w:rsid w:val="4B663847"/>
    <w:rsid w:val="4B75001F"/>
    <w:rsid w:val="4B7F44F8"/>
    <w:rsid w:val="4BA6467C"/>
    <w:rsid w:val="4BAC24C5"/>
    <w:rsid w:val="4BFA0656"/>
    <w:rsid w:val="4C4B035F"/>
    <w:rsid w:val="4C940979"/>
    <w:rsid w:val="4CCF550D"/>
    <w:rsid w:val="4D003831"/>
    <w:rsid w:val="4D3439E8"/>
    <w:rsid w:val="4D4E2809"/>
    <w:rsid w:val="4D710D8B"/>
    <w:rsid w:val="4D730507"/>
    <w:rsid w:val="4D741DD3"/>
    <w:rsid w:val="4D77007F"/>
    <w:rsid w:val="4DC93207"/>
    <w:rsid w:val="4E010C4C"/>
    <w:rsid w:val="4E214B2B"/>
    <w:rsid w:val="4E233D62"/>
    <w:rsid w:val="4E434405"/>
    <w:rsid w:val="4E516B22"/>
    <w:rsid w:val="4E8D5761"/>
    <w:rsid w:val="4EC05A55"/>
    <w:rsid w:val="4EF54A85"/>
    <w:rsid w:val="4EF972C6"/>
    <w:rsid w:val="4F716D4F"/>
    <w:rsid w:val="4F754A92"/>
    <w:rsid w:val="4FDA2B47"/>
    <w:rsid w:val="500B71A4"/>
    <w:rsid w:val="501B3C66"/>
    <w:rsid w:val="50485D02"/>
    <w:rsid w:val="504B40C5"/>
    <w:rsid w:val="50630D8E"/>
    <w:rsid w:val="50987DC2"/>
    <w:rsid w:val="50A4703E"/>
    <w:rsid w:val="50AD087F"/>
    <w:rsid w:val="50D43A3A"/>
    <w:rsid w:val="50F6575E"/>
    <w:rsid w:val="51282B99"/>
    <w:rsid w:val="5136104F"/>
    <w:rsid w:val="513E768C"/>
    <w:rsid w:val="51465EDE"/>
    <w:rsid w:val="51517AB9"/>
    <w:rsid w:val="51711289"/>
    <w:rsid w:val="52071113"/>
    <w:rsid w:val="52085509"/>
    <w:rsid w:val="522774C4"/>
    <w:rsid w:val="522A7431"/>
    <w:rsid w:val="525A440D"/>
    <w:rsid w:val="52626449"/>
    <w:rsid w:val="52C61160"/>
    <w:rsid w:val="53095CAA"/>
    <w:rsid w:val="53163E96"/>
    <w:rsid w:val="5373753A"/>
    <w:rsid w:val="538B1AA6"/>
    <w:rsid w:val="53A94D0A"/>
    <w:rsid w:val="53DB6E8D"/>
    <w:rsid w:val="53E47AF0"/>
    <w:rsid w:val="54206127"/>
    <w:rsid w:val="54456497"/>
    <w:rsid w:val="544D7D8B"/>
    <w:rsid w:val="544E511A"/>
    <w:rsid w:val="54741940"/>
    <w:rsid w:val="54810E66"/>
    <w:rsid w:val="54C063E4"/>
    <w:rsid w:val="54C2556E"/>
    <w:rsid w:val="54D1276A"/>
    <w:rsid w:val="55480EEF"/>
    <w:rsid w:val="554967A4"/>
    <w:rsid w:val="55850C4A"/>
    <w:rsid w:val="55936DD9"/>
    <w:rsid w:val="56262642"/>
    <w:rsid w:val="562C577E"/>
    <w:rsid w:val="569B7F91"/>
    <w:rsid w:val="56D21BED"/>
    <w:rsid w:val="56F76954"/>
    <w:rsid w:val="572651B2"/>
    <w:rsid w:val="57A04676"/>
    <w:rsid w:val="57AE5C26"/>
    <w:rsid w:val="57DD75A9"/>
    <w:rsid w:val="57E24C8E"/>
    <w:rsid w:val="5801059F"/>
    <w:rsid w:val="58256ABD"/>
    <w:rsid w:val="58607961"/>
    <w:rsid w:val="589529E4"/>
    <w:rsid w:val="58C27FDB"/>
    <w:rsid w:val="59374B66"/>
    <w:rsid w:val="59472AC7"/>
    <w:rsid w:val="596D67DA"/>
    <w:rsid w:val="597E2795"/>
    <w:rsid w:val="599C0E6D"/>
    <w:rsid w:val="59B4701A"/>
    <w:rsid w:val="59C208D3"/>
    <w:rsid w:val="59D514A6"/>
    <w:rsid w:val="59E051FD"/>
    <w:rsid w:val="59E44CEE"/>
    <w:rsid w:val="59EC6E09"/>
    <w:rsid w:val="5A312D8C"/>
    <w:rsid w:val="5A4532B2"/>
    <w:rsid w:val="5AB343F7"/>
    <w:rsid w:val="5ABF12B7"/>
    <w:rsid w:val="5ABF50F2"/>
    <w:rsid w:val="5AD3266C"/>
    <w:rsid w:val="5AF25D13"/>
    <w:rsid w:val="5AF76904"/>
    <w:rsid w:val="5B052E7A"/>
    <w:rsid w:val="5B0B62AA"/>
    <w:rsid w:val="5B3475AF"/>
    <w:rsid w:val="5B3D7F7E"/>
    <w:rsid w:val="5B7C7777"/>
    <w:rsid w:val="5BEC6771"/>
    <w:rsid w:val="5BF94355"/>
    <w:rsid w:val="5CA506B9"/>
    <w:rsid w:val="5CCD3E8C"/>
    <w:rsid w:val="5CF74CE4"/>
    <w:rsid w:val="5D0B17B8"/>
    <w:rsid w:val="5D5A7C63"/>
    <w:rsid w:val="5D7A7717"/>
    <w:rsid w:val="5E256F6F"/>
    <w:rsid w:val="5E8048B9"/>
    <w:rsid w:val="5EE1296D"/>
    <w:rsid w:val="5F6235A9"/>
    <w:rsid w:val="5F697A43"/>
    <w:rsid w:val="6022031E"/>
    <w:rsid w:val="604D1DE8"/>
    <w:rsid w:val="60956D42"/>
    <w:rsid w:val="60AA20C1"/>
    <w:rsid w:val="60DC439E"/>
    <w:rsid w:val="60E530F9"/>
    <w:rsid w:val="61147AFE"/>
    <w:rsid w:val="612E2CF2"/>
    <w:rsid w:val="614125C2"/>
    <w:rsid w:val="618301F5"/>
    <w:rsid w:val="61AA1D1F"/>
    <w:rsid w:val="61BF7DEE"/>
    <w:rsid w:val="61D91338"/>
    <w:rsid w:val="61E82EA1"/>
    <w:rsid w:val="61F21F72"/>
    <w:rsid w:val="621C0D9D"/>
    <w:rsid w:val="624C5C52"/>
    <w:rsid w:val="62742987"/>
    <w:rsid w:val="62D17DD9"/>
    <w:rsid w:val="63DF08E4"/>
    <w:rsid w:val="63EB4ECB"/>
    <w:rsid w:val="642A77A1"/>
    <w:rsid w:val="64511AD4"/>
    <w:rsid w:val="64C04AFD"/>
    <w:rsid w:val="64CD45D0"/>
    <w:rsid w:val="64F2615B"/>
    <w:rsid w:val="6525440C"/>
    <w:rsid w:val="65515DB5"/>
    <w:rsid w:val="65530F79"/>
    <w:rsid w:val="655716DD"/>
    <w:rsid w:val="655B219F"/>
    <w:rsid w:val="65A96DEB"/>
    <w:rsid w:val="65F85430"/>
    <w:rsid w:val="661A7B69"/>
    <w:rsid w:val="66455323"/>
    <w:rsid w:val="664909C1"/>
    <w:rsid w:val="66635AE4"/>
    <w:rsid w:val="66C63EB5"/>
    <w:rsid w:val="66F978FF"/>
    <w:rsid w:val="673E54E3"/>
    <w:rsid w:val="67592674"/>
    <w:rsid w:val="679461D3"/>
    <w:rsid w:val="67AE2497"/>
    <w:rsid w:val="67D35712"/>
    <w:rsid w:val="6804655B"/>
    <w:rsid w:val="6858287E"/>
    <w:rsid w:val="68593A1E"/>
    <w:rsid w:val="68C04D52"/>
    <w:rsid w:val="68D33DE9"/>
    <w:rsid w:val="690C1B6B"/>
    <w:rsid w:val="69157114"/>
    <w:rsid w:val="691A443E"/>
    <w:rsid w:val="69483B41"/>
    <w:rsid w:val="69D1246D"/>
    <w:rsid w:val="69E06B54"/>
    <w:rsid w:val="69E203A0"/>
    <w:rsid w:val="6A10568B"/>
    <w:rsid w:val="6A1946E6"/>
    <w:rsid w:val="6A334ED5"/>
    <w:rsid w:val="6A494600"/>
    <w:rsid w:val="6A5B6D7D"/>
    <w:rsid w:val="6A765FBC"/>
    <w:rsid w:val="6A80735F"/>
    <w:rsid w:val="6AC17181"/>
    <w:rsid w:val="6ACC5E47"/>
    <w:rsid w:val="6AD43ED1"/>
    <w:rsid w:val="6B11024D"/>
    <w:rsid w:val="6B3233DF"/>
    <w:rsid w:val="6B7D5B36"/>
    <w:rsid w:val="6C262F44"/>
    <w:rsid w:val="6C834DAA"/>
    <w:rsid w:val="6C993CCE"/>
    <w:rsid w:val="6CAA05BD"/>
    <w:rsid w:val="6CF120A8"/>
    <w:rsid w:val="6D394EF9"/>
    <w:rsid w:val="6D72413D"/>
    <w:rsid w:val="6D765805"/>
    <w:rsid w:val="6DBE64CE"/>
    <w:rsid w:val="6DF36E56"/>
    <w:rsid w:val="6E54467D"/>
    <w:rsid w:val="6F1277AF"/>
    <w:rsid w:val="6F6F7D2B"/>
    <w:rsid w:val="6F857F81"/>
    <w:rsid w:val="6FE86762"/>
    <w:rsid w:val="6FF50B81"/>
    <w:rsid w:val="701632CF"/>
    <w:rsid w:val="70330B9C"/>
    <w:rsid w:val="704B771A"/>
    <w:rsid w:val="70851727"/>
    <w:rsid w:val="70862203"/>
    <w:rsid w:val="70E21403"/>
    <w:rsid w:val="7104137A"/>
    <w:rsid w:val="71052A26"/>
    <w:rsid w:val="71265794"/>
    <w:rsid w:val="713D663A"/>
    <w:rsid w:val="714213DD"/>
    <w:rsid w:val="7148395C"/>
    <w:rsid w:val="717F272E"/>
    <w:rsid w:val="71B20DD6"/>
    <w:rsid w:val="71C31235"/>
    <w:rsid w:val="72591875"/>
    <w:rsid w:val="725E4ABA"/>
    <w:rsid w:val="72783A23"/>
    <w:rsid w:val="728027C6"/>
    <w:rsid w:val="72AC7F1B"/>
    <w:rsid w:val="72DD1E82"/>
    <w:rsid w:val="72FD42D3"/>
    <w:rsid w:val="733F0D8F"/>
    <w:rsid w:val="737E5413"/>
    <w:rsid w:val="73D62FA6"/>
    <w:rsid w:val="73FE7ACC"/>
    <w:rsid w:val="74556746"/>
    <w:rsid w:val="74743258"/>
    <w:rsid w:val="74915A35"/>
    <w:rsid w:val="74B60BDD"/>
    <w:rsid w:val="74E120FE"/>
    <w:rsid w:val="754D7793"/>
    <w:rsid w:val="75952EE8"/>
    <w:rsid w:val="75A650F5"/>
    <w:rsid w:val="761B13C4"/>
    <w:rsid w:val="764B6A8A"/>
    <w:rsid w:val="76C17E06"/>
    <w:rsid w:val="76CA67BD"/>
    <w:rsid w:val="774E6400"/>
    <w:rsid w:val="775B0046"/>
    <w:rsid w:val="77DF59B2"/>
    <w:rsid w:val="793A6280"/>
    <w:rsid w:val="7956298E"/>
    <w:rsid w:val="79700BEF"/>
    <w:rsid w:val="79751067"/>
    <w:rsid w:val="798D552B"/>
    <w:rsid w:val="79AE27CB"/>
    <w:rsid w:val="7A090695"/>
    <w:rsid w:val="7A1D5951"/>
    <w:rsid w:val="7ACD6C80"/>
    <w:rsid w:val="7AE175F4"/>
    <w:rsid w:val="7AE77D42"/>
    <w:rsid w:val="7B417685"/>
    <w:rsid w:val="7B5220F0"/>
    <w:rsid w:val="7B5D6F9B"/>
    <w:rsid w:val="7B6B5044"/>
    <w:rsid w:val="7B841A35"/>
    <w:rsid w:val="7BA169C0"/>
    <w:rsid w:val="7BB87930"/>
    <w:rsid w:val="7BC55243"/>
    <w:rsid w:val="7BCF51EC"/>
    <w:rsid w:val="7BE97AEA"/>
    <w:rsid w:val="7C084414"/>
    <w:rsid w:val="7C2F4A9A"/>
    <w:rsid w:val="7C457EE7"/>
    <w:rsid w:val="7C517C3C"/>
    <w:rsid w:val="7C6B6751"/>
    <w:rsid w:val="7C6D24C9"/>
    <w:rsid w:val="7CAD595B"/>
    <w:rsid w:val="7CF65D07"/>
    <w:rsid w:val="7D2975D1"/>
    <w:rsid w:val="7D2F3083"/>
    <w:rsid w:val="7D906046"/>
    <w:rsid w:val="7DCC0CD6"/>
    <w:rsid w:val="7DF05160"/>
    <w:rsid w:val="7EB268B9"/>
    <w:rsid w:val="7FA93818"/>
    <w:rsid w:val="7FE17456"/>
    <w:rsid w:val="7FEE39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29</Pages>
  <Words>7932</Words>
  <Characters>9400</Characters>
  <Lines>71</Lines>
  <Paragraphs>20</Paragraphs>
  <TotalTime>2</TotalTime>
  <ScaleCrop>false</ScaleCrop>
  <LinksUpToDate>false</LinksUpToDate>
  <CharactersWithSpaces>10290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2024-01-23T03:39:00Z</cp:lastPrinted>
  <dcterms:modified xsi:type="dcterms:W3CDTF">2024-02-26T02:11:52Z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4ED5A41B4CE04803B17ED02B2BC1B84A_13</vt:lpwstr>
  </property>
</Properties>
</file>