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通化市统计局</w:t>
      </w:r>
      <w:r>
        <w:rPr>
          <w:rFonts w:hint="eastAsia" w:eastAsia="方正小标宋简体"/>
          <w:sz w:val="44"/>
          <w:szCs w:val="44"/>
          <w:lang w:eastAsia="zh-CN"/>
        </w:rPr>
        <w:t>普查中心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二十六</w:t>
      </w:r>
      <w:r>
        <w:rPr>
          <w:rFonts w:eastAsia="华文细黑"/>
        </w:rPr>
        <w:t>日</w:t>
      </w: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ascii="仿宋_GB2312" w:hAnsi="仿宋_GB2312" w:cs="仿宋_GB2312"/>
          <w:color w:val="000000"/>
          <w:szCs w:val="32"/>
          <w:lang w:eastAsia="zh-CN"/>
        </w:rPr>
      </w:pPr>
      <w:r>
        <w:rPr>
          <w:rFonts w:hint="eastAsia" w:ascii="仿宋_GB2312" w:hAnsi="仿宋_GB2312" w:cs="仿宋_GB2312"/>
          <w:color w:val="000000"/>
          <w:szCs w:val="32"/>
        </w:rPr>
        <w:t>（一）</w:t>
      </w:r>
      <w:r>
        <w:rPr>
          <w:rFonts w:hint="eastAsia" w:ascii="仿宋_GB2312" w:hAnsi="仿宋_GB2312" w:cs="仿宋_GB2312"/>
          <w:color w:val="000000"/>
          <w:szCs w:val="32"/>
          <w:lang w:eastAsia="zh-CN"/>
        </w:rPr>
        <w:t>根据国家和省的统一部署，组织实施全市的各项普查工作；</w:t>
      </w:r>
    </w:p>
    <w:p>
      <w:pPr>
        <w:ind w:firstLine="640" w:firstLineChars="200"/>
        <w:rPr>
          <w:rFonts w:hint="eastAsia" w:ascii="仿宋_GB2312" w:hAnsi="仿宋_GB2312" w:cs="仿宋_GB2312"/>
          <w:color w:val="000000"/>
          <w:szCs w:val="32"/>
          <w:lang w:eastAsia="zh-CN"/>
        </w:rPr>
      </w:pPr>
      <w:r>
        <w:rPr>
          <w:rFonts w:hint="eastAsia" w:ascii="仿宋_GB2312" w:hAnsi="仿宋_GB2312" w:cs="仿宋_GB2312"/>
          <w:color w:val="000000"/>
          <w:szCs w:val="32"/>
        </w:rPr>
        <w:t>（二）</w:t>
      </w:r>
      <w:r>
        <w:rPr>
          <w:rFonts w:hint="eastAsia" w:ascii="仿宋_GB2312" w:hAnsi="仿宋_GB2312" w:cs="仿宋_GB2312"/>
          <w:color w:val="000000"/>
          <w:szCs w:val="32"/>
          <w:lang w:eastAsia="zh-CN"/>
        </w:rPr>
        <w:t>按照国家和省统一制定的各项普查制度、方法，结合本市实际，编制各项普查工作方案；</w:t>
      </w:r>
    </w:p>
    <w:p>
      <w:pPr>
        <w:ind w:firstLine="640" w:firstLineChars="200"/>
        <w:rPr>
          <w:rFonts w:hint="eastAsia" w:ascii="仿宋_GB2312" w:hAnsi="仿宋_GB2312" w:cs="仿宋_GB2312"/>
          <w:color w:val="000000"/>
          <w:szCs w:val="32"/>
          <w:lang w:eastAsia="zh-CN"/>
        </w:rPr>
      </w:pPr>
      <w:r>
        <w:rPr>
          <w:rFonts w:hint="eastAsia" w:ascii="仿宋_GB2312" w:hAnsi="仿宋_GB2312" w:cs="仿宋_GB2312"/>
          <w:color w:val="000000"/>
          <w:szCs w:val="32"/>
        </w:rPr>
        <w:t>（三）</w:t>
      </w:r>
      <w:r>
        <w:rPr>
          <w:rFonts w:hint="eastAsia" w:ascii="仿宋_GB2312" w:hAnsi="仿宋_GB2312" w:cs="仿宋_GB2312"/>
          <w:color w:val="000000"/>
          <w:szCs w:val="32"/>
          <w:lang w:eastAsia="zh-CN"/>
        </w:rPr>
        <w:t>对各项普查数据资料进行加工、整理、开发、利用、建立数据库，为各级党政部门决策提供依据。</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二、机构设置</w:t>
      </w:r>
    </w:p>
    <w:p>
      <w:pPr>
        <w:ind w:firstLine="640" w:firstLineChars="200"/>
        <w:rPr>
          <w:rFonts w:hint="eastAsia" w:eastAsia="黑体"/>
          <w:lang w:eastAsia="zh-CN"/>
        </w:rPr>
      </w:pPr>
      <w:r>
        <w:rPr>
          <w:rFonts w:hint="eastAsia" w:ascii="仿宋_GB2312" w:hAnsi="仿宋_GB2312" w:cs="仿宋_GB2312"/>
          <w:lang w:eastAsia="zh-CN"/>
        </w:rPr>
        <w:t>本单位无内设机构，无下设预算单位。</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both"/>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413.00</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350.76</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62.24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325.86</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270.64</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55.22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413.00</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350.76</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62.24</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eastAsia="宋体"/>
                <w:color w:val="000000"/>
                <w:sz w:val="20"/>
              </w:rPr>
              <w:t>二、</w:t>
            </w:r>
            <w:r>
              <w:rPr>
                <w:rFonts w:hint="eastAsia" w:eastAsia="宋体"/>
                <w:color w:val="000000"/>
                <w:sz w:val="20"/>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41.99</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39.16</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2.83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eastAsia="宋体"/>
                <w:color w:val="000000"/>
                <w:sz w:val="20"/>
              </w:rPr>
              <w:t>三、</w:t>
            </w:r>
            <w:r>
              <w:rPr>
                <w:rFonts w:hint="eastAsia" w:eastAsia="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12.48</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0.17</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both"/>
              <w:textAlignment w:val="center"/>
              <w:rPr>
                <w:rFonts w:eastAsia="宋体"/>
                <w:color w:val="000000"/>
                <w:kern w:val="0"/>
                <w:sz w:val="20"/>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28.48</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413.00</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350.76</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62.24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413.00</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350.76</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62.24</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413.00</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350.76</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62.24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413.00</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350.76</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62.24</w:t>
            </w:r>
          </w:p>
        </w:tc>
      </w:tr>
    </w:tbl>
    <w:p>
      <w:pPr>
        <w:ind w:firstLine="640" w:firstLineChars="200"/>
        <w:rPr>
          <w:rFonts w:eastAsia="楷体_GB2312"/>
          <w:strike/>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656" w:type="dxa"/>
        <w:jc w:val="center"/>
        <w:tblLayout w:type="fixed"/>
        <w:tblCellMar>
          <w:top w:w="0" w:type="dxa"/>
          <w:left w:w="108" w:type="dxa"/>
          <w:bottom w:w="0" w:type="dxa"/>
          <w:right w:w="108" w:type="dxa"/>
        </w:tblCellMar>
      </w:tblPr>
      <w:tblGrid>
        <w:gridCol w:w="1312"/>
        <w:gridCol w:w="846"/>
        <w:gridCol w:w="833"/>
        <w:gridCol w:w="870"/>
        <w:gridCol w:w="330"/>
        <w:gridCol w:w="270"/>
        <w:gridCol w:w="360"/>
        <w:gridCol w:w="315"/>
        <w:gridCol w:w="345"/>
        <w:gridCol w:w="420"/>
        <w:gridCol w:w="375"/>
        <w:gridCol w:w="135"/>
        <w:gridCol w:w="285"/>
        <w:gridCol w:w="225"/>
        <w:gridCol w:w="480"/>
        <w:gridCol w:w="705"/>
        <w:gridCol w:w="375"/>
        <w:gridCol w:w="255"/>
        <w:gridCol w:w="365"/>
        <w:gridCol w:w="555"/>
      </w:tblGrid>
      <w:tr>
        <w:tblPrEx>
          <w:tblCellMar>
            <w:top w:w="0" w:type="dxa"/>
            <w:left w:w="108" w:type="dxa"/>
            <w:bottom w:w="0" w:type="dxa"/>
            <w:right w:w="108" w:type="dxa"/>
          </w:tblCellMar>
        </w:tblPrEx>
        <w:trPr>
          <w:trHeight w:val="475" w:hRule="atLeast"/>
          <w:jc w:val="center"/>
        </w:trPr>
        <w:tc>
          <w:tcPr>
            <w:tcW w:w="1312" w:type="dxa"/>
            <w:tcBorders>
              <w:bottom w:val="single" w:color="000000" w:sz="4" w:space="0"/>
            </w:tcBorders>
            <w:noWrap w:val="0"/>
            <w:vAlign w:val="top"/>
          </w:tcPr>
          <w:p>
            <w:pPr>
              <w:autoSpaceDN w:val="0"/>
              <w:jc w:val="left"/>
              <w:textAlignment w:val="center"/>
              <w:rPr>
                <w:rFonts w:eastAsia="华文细黑"/>
                <w:color w:val="000000"/>
                <w:sz w:val="20"/>
              </w:rPr>
            </w:pPr>
          </w:p>
        </w:tc>
        <w:tc>
          <w:tcPr>
            <w:tcW w:w="4169"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930" w:type="dxa"/>
            <w:gridSpan w:val="3"/>
            <w:noWrap w:val="0"/>
            <w:vAlign w:val="center"/>
          </w:tcPr>
          <w:p>
            <w:pPr>
              <w:autoSpaceDN w:val="0"/>
              <w:jc w:val="left"/>
              <w:textAlignment w:val="center"/>
              <w:rPr>
                <w:rFonts w:eastAsia="华文细黑"/>
                <w:color w:val="000000"/>
                <w:sz w:val="20"/>
              </w:rPr>
            </w:pPr>
          </w:p>
        </w:tc>
        <w:tc>
          <w:tcPr>
            <w:tcW w:w="510" w:type="dxa"/>
            <w:gridSpan w:val="2"/>
            <w:noWrap w:val="0"/>
            <w:vAlign w:val="center"/>
          </w:tcPr>
          <w:p>
            <w:pPr>
              <w:autoSpaceDN w:val="0"/>
              <w:jc w:val="left"/>
              <w:textAlignment w:val="center"/>
              <w:rPr>
                <w:rFonts w:eastAsia="华文细黑"/>
                <w:color w:val="000000"/>
                <w:sz w:val="20"/>
              </w:rPr>
            </w:pPr>
          </w:p>
        </w:tc>
        <w:tc>
          <w:tcPr>
            <w:tcW w:w="1185" w:type="dxa"/>
            <w:gridSpan w:val="2"/>
            <w:noWrap w:val="0"/>
            <w:vAlign w:val="center"/>
          </w:tcPr>
          <w:p>
            <w:pPr>
              <w:autoSpaceDN w:val="0"/>
              <w:jc w:val="left"/>
              <w:textAlignment w:val="center"/>
              <w:rPr>
                <w:rFonts w:eastAsia="华文细黑"/>
                <w:color w:val="000000"/>
                <w:sz w:val="20"/>
              </w:rPr>
            </w:pPr>
          </w:p>
        </w:tc>
        <w:tc>
          <w:tcPr>
            <w:tcW w:w="375" w:type="dxa"/>
            <w:noWrap w:val="0"/>
            <w:vAlign w:val="bottom"/>
          </w:tcPr>
          <w:p>
            <w:pPr>
              <w:autoSpaceDN w:val="0"/>
              <w:jc w:val="right"/>
              <w:textAlignment w:val="bottom"/>
              <w:rPr>
                <w:rFonts w:eastAsia="宋体"/>
                <w:color w:val="000000"/>
                <w:sz w:val="20"/>
              </w:rPr>
            </w:pPr>
          </w:p>
        </w:tc>
        <w:tc>
          <w:tcPr>
            <w:tcW w:w="1175" w:type="dxa"/>
            <w:gridSpan w:val="3"/>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760" w:hRule="atLeast"/>
          <w:jc w:val="center"/>
        </w:trPr>
        <w:tc>
          <w:tcPr>
            <w:tcW w:w="1312"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46"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538"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60"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1132" w:hRule="atLeast"/>
          <w:jc w:val="center"/>
        </w:trPr>
        <w:tc>
          <w:tcPr>
            <w:tcW w:w="1312"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46"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33"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7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60"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875"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05"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33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920"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4035" w:hRule="atLeast"/>
          <w:jc w:val="center"/>
        </w:trPr>
        <w:tc>
          <w:tcPr>
            <w:tcW w:w="1312"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6"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33"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7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3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6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0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25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6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762" w:hRule="atLeast"/>
          <w:jc w:val="center"/>
        </w:trPr>
        <w:tc>
          <w:tcPr>
            <w:tcW w:w="131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通化市统计局普查中心</w:t>
            </w: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413.00</w:t>
            </w: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350.76</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lang w:val="en-US" w:eastAsia="zh-CN"/>
              </w:rPr>
            </w:pPr>
            <w:r>
              <w:rPr>
                <w:rFonts w:hint="default" w:ascii="Times New Roman" w:hAnsi="Times New Roman" w:eastAsia="宋体" w:cs="Times New Roman"/>
                <w:i w:val="0"/>
                <w:iCs w:val="0"/>
                <w:color w:val="000000"/>
                <w:kern w:val="0"/>
                <w:sz w:val="20"/>
                <w:szCs w:val="20"/>
                <w:u w:val="none"/>
                <w:lang w:val="en-US" w:eastAsia="zh-CN" w:bidi="ar"/>
              </w:rPr>
              <w:t>350.76</w:t>
            </w:r>
          </w:p>
        </w:tc>
        <w:tc>
          <w:tcPr>
            <w:tcW w:w="3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62.24</w:t>
            </w: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62.24</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760" w:hRule="atLeast"/>
          <w:jc w:val="center"/>
        </w:trPr>
        <w:tc>
          <w:tcPr>
            <w:tcW w:w="131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760" w:hRule="atLeast"/>
          <w:jc w:val="center"/>
        </w:trPr>
        <w:tc>
          <w:tcPr>
            <w:tcW w:w="131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760" w:hRule="atLeast"/>
          <w:jc w:val="center"/>
        </w:trPr>
        <w:tc>
          <w:tcPr>
            <w:tcW w:w="131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804" w:hRule="atLeast"/>
          <w:jc w:val="center"/>
        </w:trPr>
        <w:tc>
          <w:tcPr>
            <w:tcW w:w="131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kern w:val="0"/>
                <w:sz w:val="20"/>
              </w:rPr>
              <w:t>合计</w:t>
            </w: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413.00</w:t>
            </w: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350.76</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350.76</w:t>
            </w:r>
          </w:p>
        </w:tc>
        <w:tc>
          <w:tcPr>
            <w:tcW w:w="3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62.24</w:t>
            </w: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62.24</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572"/>
              <w:gridCol w:w="844"/>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951" w:hRule="atLeast"/>
              </w:trPr>
              <w:tc>
                <w:tcPr>
                  <w:tcW w:w="2572"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844"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466"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eastAsia="zh-CN"/>
                    </w:rPr>
                    <w:t>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325.86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75"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325.86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事业运行</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325.86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二、</w:t>
                  </w:r>
                  <w:r>
                    <w:rPr>
                      <w:rFonts w:hint="eastAsia" w:ascii="宋体" w:hAnsi="宋体" w:eastAsia="宋体" w:cs="宋体"/>
                      <w:color w:val="000000"/>
                      <w:kern w:val="0"/>
                      <w:sz w:val="20"/>
                      <w:szCs w:val="20"/>
                      <w:lang w:eastAsia="zh-CN"/>
                    </w:rPr>
                    <w:t>社会保障和就业支出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事业单位离退休</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三、卫生健康支出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事业单位医疗</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住房改革支出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413.01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413.01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413.00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350.76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62.24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413.00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350.76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62.24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413.00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350.76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62.24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325.86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270.64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55.22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41.99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39.16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2.83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12.48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0.17</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28.48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default" w:ascii="Times New Roman" w:hAnsi="Times New Roman" w:eastAsia="宋体" w:cs="Times New Roman"/>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413.00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350.76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62.24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413.00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350.76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62.24</w:t>
                  </w:r>
                </w:p>
              </w:tc>
            </w:tr>
          </w:tbl>
          <w:p>
            <w:pPr>
              <w:widowControl/>
              <w:rPr>
                <w:rFonts w:eastAsia="方正小标宋简体"/>
                <w:kern w:val="0"/>
                <w:sz w:val="44"/>
                <w:szCs w:val="44"/>
              </w:rPr>
            </w:pPr>
          </w:p>
        </w:tc>
      </w:tr>
    </w:tbl>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325.86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268.04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57.82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268.04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57.82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268.04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57.82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355.19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57.82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rPr>
          <w:sz w:val="16"/>
          <w:szCs w:val="16"/>
        </w:rPr>
      </w:pPr>
    </w:p>
    <w:p>
      <w:pPr>
        <w:rPr>
          <w:sz w:val="16"/>
          <w:szCs w:val="16"/>
        </w:rPr>
      </w:pPr>
    </w:p>
    <w:p>
      <w:pPr>
        <w:rPr>
          <w:sz w:val="16"/>
          <w:szCs w:val="16"/>
        </w:rPr>
      </w:pPr>
    </w:p>
    <w:p>
      <w:pPr>
        <w:rPr>
          <w:sz w:val="16"/>
          <w:szCs w:val="16"/>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852"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center"/>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347.30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347.30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135.91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135.91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75.21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75.21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12.27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12.27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6.58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6.58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32.51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4.80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4.80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55.83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55.83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rPr>
            </w:pPr>
            <w:r>
              <w:rPr>
                <w:rFonts w:hint="eastAsia" w:ascii="宋体" w:hAnsi="宋体" w:eastAsia="宋体" w:cs="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11.21</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印刷费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4.66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4.66</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lang w:eastAsia="zh-CN"/>
              </w:rPr>
            </w:pPr>
            <w:r>
              <w:rPr>
                <w:rFonts w:hint="eastAsia" w:ascii="宋体" w:hAnsi="宋体" w:eastAsia="宋体" w:cs="宋体"/>
                <w:color w:val="000000"/>
                <w:kern w:val="0"/>
                <w:sz w:val="20"/>
                <w:lang w:bidi="ar"/>
              </w:rPr>
              <w:t xml:space="preserve">　  </w:t>
            </w:r>
            <w:r>
              <w:rPr>
                <w:rFonts w:hint="eastAsia" w:ascii="宋体" w:hAnsi="宋体" w:eastAsia="宋体" w:cs="宋体"/>
                <w:color w:val="000000"/>
                <w:kern w:val="0"/>
                <w:sz w:val="20"/>
                <w:lang w:eastAsia="zh-CN" w:bidi="ar"/>
              </w:rPr>
              <w:t>手续费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 xml:space="preserve">    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5.63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5.63</w:t>
            </w:r>
          </w:p>
        </w:tc>
      </w:tr>
    </w:tbl>
    <w:p>
      <w:pPr>
        <w:rPr>
          <w:sz w:val="16"/>
          <w:szCs w:val="16"/>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00" w:hRule="atLeast"/>
          <w:jc w:val="center"/>
        </w:trPr>
        <w:tc>
          <w:tcPr>
            <w:tcW w:w="8931" w:type="dxa"/>
            <w:gridSpan w:val="4"/>
            <w:tcBorders>
              <w:top w:val="nil"/>
              <w:left w:val="nil"/>
              <w:bottom w:val="nil"/>
              <w:right w:val="nil"/>
            </w:tcBorders>
            <w:noWrap w:val="0"/>
            <w:vAlign w:val="center"/>
          </w:tcPr>
          <w:p>
            <w:pPr>
              <w:widowControl/>
              <w:jc w:val="center"/>
              <w:textAlignment w:val="center"/>
              <w:rPr>
                <w:rFonts w:ascii="Arial" w:hAnsi="Arial" w:eastAsia="宋体" w:cs="Arial"/>
                <w:color w:val="000000"/>
                <w:kern w:val="0"/>
                <w:sz w:val="16"/>
                <w:szCs w:val="16"/>
                <w:lang w:bidi="ar"/>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续</w:t>
            </w:r>
            <w:r>
              <w:rPr>
                <w:rFonts w:eastAsia="方正小标宋简体"/>
                <w:kern w:val="0"/>
                <w:sz w:val="44"/>
                <w:szCs w:val="44"/>
              </w:rPr>
              <w:t>表</w:t>
            </w:r>
          </w:p>
        </w:tc>
      </w:tr>
      <w:tr>
        <w:tblPrEx>
          <w:tblCellMar>
            <w:top w:w="0" w:type="dxa"/>
            <w:left w:w="108" w:type="dxa"/>
            <w:bottom w:w="0" w:type="dxa"/>
            <w:right w:w="108" w:type="dxa"/>
          </w:tblCellMar>
        </w:tblPrEx>
        <w:trPr>
          <w:trHeight w:val="320" w:hRule="atLeast"/>
          <w:jc w:val="center"/>
        </w:trPr>
        <w:tc>
          <w:tcPr>
            <w:tcW w:w="8931" w:type="dxa"/>
            <w:gridSpan w:val="4"/>
            <w:tcBorders>
              <w:top w:val="nil"/>
              <w:left w:val="nil"/>
              <w:bottom w:val="single" w:color="auto" w:sz="4" w:space="0"/>
              <w:right w:val="nil"/>
            </w:tcBorders>
            <w:noWrap w:val="0"/>
            <w:vAlign w:val="center"/>
          </w:tcPr>
          <w:p>
            <w:pPr>
              <w:widowControl/>
              <w:jc w:val="right"/>
              <w:textAlignment w:val="center"/>
              <w:rPr>
                <w:rFonts w:ascii="Arial" w:hAnsi="Arial" w:eastAsia="宋体" w:cs="Arial"/>
                <w:color w:val="000000"/>
                <w:kern w:val="0"/>
                <w:sz w:val="16"/>
                <w:szCs w:val="16"/>
                <w:lang w:bidi="ar"/>
              </w:rPr>
            </w:pPr>
            <w:r>
              <w:rPr>
                <w:rFonts w:hint="eastAsia" w:ascii="华文细黑" w:hAnsi="华文细黑" w:eastAsia="华文细黑" w:cs="华文细黑"/>
                <w:sz w:val="20"/>
              </w:rPr>
              <w:t>单位：万元</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bidi="ar"/>
              </w:rPr>
              <w:t xml:space="preserve">　 </w:t>
            </w:r>
            <w:r>
              <w:rPr>
                <w:rFonts w:hint="eastAsia" w:ascii="宋体" w:hAnsi="宋体" w:eastAsia="宋体" w:cs="宋体"/>
                <w:color w:val="000000"/>
                <w:kern w:val="0"/>
                <w:sz w:val="20"/>
                <w:lang w:val="en-US" w:eastAsia="zh-CN" w:bidi="ar"/>
              </w:rPr>
              <w:t xml:space="preserve"> </w:t>
            </w:r>
            <w:r>
              <w:rPr>
                <w:rFonts w:hint="eastAsia" w:ascii="宋体" w:hAnsi="宋体" w:eastAsia="宋体" w:cs="宋体"/>
                <w:color w:val="000000"/>
                <w:kern w:val="0"/>
                <w:sz w:val="20"/>
                <w:lang w:eastAsia="zh-CN" w:bidi="ar"/>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11.00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 xml:space="preserve">    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8.20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8.20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 xml:space="preserve">    </w:t>
            </w:r>
            <w:r>
              <w:rPr>
                <w:rFonts w:hint="eastAsia" w:ascii="宋体" w:hAnsi="宋体" w:eastAsia="宋体" w:cs="宋体"/>
                <w:color w:val="000000"/>
                <w:kern w:val="0"/>
                <w:sz w:val="20"/>
                <w:lang w:eastAsia="zh-CN" w:bidi="ar"/>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3.78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3.78</w:t>
            </w:r>
          </w:p>
        </w:tc>
      </w:tr>
      <w:tr>
        <w:tblPrEx>
          <w:tblCellMar>
            <w:top w:w="0" w:type="dxa"/>
            <w:left w:w="108" w:type="dxa"/>
            <w:bottom w:w="0" w:type="dxa"/>
            <w:right w:w="108" w:type="dxa"/>
          </w:tblCellMar>
        </w:tblPrEx>
        <w:trPr>
          <w:trHeight w:val="57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bidi="ar"/>
              </w:rPr>
              <w:t xml:space="preserve">　  </w:t>
            </w:r>
            <w:r>
              <w:rPr>
                <w:rFonts w:hint="eastAsia" w:ascii="宋体" w:hAnsi="宋体" w:eastAsia="宋体" w:cs="宋体"/>
                <w:color w:val="000000"/>
                <w:kern w:val="0"/>
                <w:sz w:val="20"/>
                <w:lang w:eastAsia="zh-CN" w:bidi="ar"/>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8.74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8.74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2.58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2.58</w:t>
            </w:r>
          </w:p>
        </w:tc>
      </w:tr>
      <w:tr>
        <w:tblPrEx>
          <w:tblCellMar>
            <w:top w:w="0" w:type="dxa"/>
            <w:left w:w="108" w:type="dxa"/>
            <w:bottom w:w="0" w:type="dxa"/>
            <w:right w:w="108" w:type="dxa"/>
          </w:tblCellMar>
        </w:tblPrEx>
        <w:trPr>
          <w:trHeight w:val="521"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7.88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7.88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1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4.99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4.99</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5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2.89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2.89</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7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2.00</w:t>
            </w:r>
          </w:p>
        </w:tc>
      </w:tr>
      <w:tr>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lang w:val="en-US"/>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413.01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355.18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57.83</w:t>
            </w:r>
          </w:p>
        </w:tc>
      </w:tr>
    </w:tbl>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ind w:firstLine="560"/>
              <w:jc w:val="both"/>
              <w:rPr>
                <w:rFonts w:hint="eastAsia"/>
                <w:color w:val="000000"/>
                <w:kern w:val="0"/>
                <w:sz w:val="28"/>
                <w:szCs w:val="28"/>
                <w:lang w:val="en-US" w:eastAsia="zh-CN"/>
              </w:rPr>
            </w:pPr>
            <w:r>
              <w:rPr>
                <w:rFonts w:hint="eastAsia"/>
                <w:color w:val="000000"/>
                <w:kern w:val="0"/>
                <w:sz w:val="28"/>
                <w:szCs w:val="28"/>
                <w:lang w:val="en-US" w:eastAsia="zh-CN"/>
              </w:rPr>
              <w:t>1.“2024年预算数”的单位范围包括本单位1个预算单位。</w:t>
            </w:r>
          </w:p>
          <w:p>
            <w:pPr>
              <w:widowControl/>
              <w:ind w:firstLine="560" w:firstLineChars="200"/>
              <w:jc w:val="both"/>
              <w:rPr>
                <w:rFonts w:hint="eastAsia" w:eastAsia="仿宋_GB2312"/>
                <w:color w:val="000000"/>
                <w:kern w:val="0"/>
                <w:sz w:val="28"/>
                <w:szCs w:val="28"/>
                <w:lang w:val="en-US" w:eastAsia="zh-CN"/>
              </w:rPr>
            </w:pPr>
            <w:r>
              <w:rPr>
                <w:rFonts w:hint="eastAsia"/>
                <w:color w:val="000000"/>
                <w:kern w:val="0"/>
                <w:sz w:val="28"/>
                <w:szCs w:val="28"/>
                <w:lang w:val="en-US" w:eastAsia="zh-CN"/>
              </w:rPr>
              <w:t>2.“2024年预算数”的实有人员34人，其中：在职人员27人，离退休人员7</w:t>
            </w:r>
            <w:bookmarkStart w:id="0" w:name="_GoBack"/>
            <w:bookmarkEnd w:id="0"/>
            <w:r>
              <w:rPr>
                <w:rFonts w:hint="eastAsia"/>
                <w:color w:val="000000"/>
                <w:kern w:val="0"/>
                <w:sz w:val="28"/>
                <w:szCs w:val="28"/>
                <w:lang w:val="en-US" w:eastAsia="zh-CN"/>
              </w:rPr>
              <w:t>人。</w:t>
            </w:r>
          </w:p>
        </w:tc>
      </w:tr>
    </w:tbl>
    <w:p>
      <w:pPr>
        <w:rPr>
          <w:rFonts w:eastAsia="楷体"/>
          <w:kern w:val="0"/>
          <w:szCs w:val="32"/>
        </w:rPr>
      </w:pPr>
      <w:r>
        <w:rPr>
          <w:rFonts w:eastAsia="楷体"/>
          <w:kern w:val="0"/>
          <w:szCs w:val="32"/>
        </w:rPr>
        <w:t xml:space="preserve">    </w:t>
      </w: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tbl>
      <w:tblPr>
        <w:tblStyle w:val="9"/>
        <w:tblpPr w:leftFromText="180" w:rightFromText="180" w:vertAnchor="page" w:horzAnchor="page" w:tblpX="1567" w:tblpY="36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rPr>
          <w:rFonts w:eastAsia="楷体"/>
          <w:kern w:val="0"/>
          <w:szCs w:val="32"/>
        </w:rPr>
      </w:pPr>
    </w:p>
    <w:p>
      <w:pPr>
        <w:spacing w:line="700" w:lineRule="exact"/>
        <w:jc w:val="center"/>
        <w:rPr>
          <w:rFonts w:eastAsia="楷体"/>
          <w:kern w:val="0"/>
          <w:szCs w:val="32"/>
        </w:rPr>
      </w:pPr>
    </w:p>
    <w:tbl>
      <w:tblPr>
        <w:tblStyle w:val="9"/>
        <w:tblpPr w:leftFromText="180" w:rightFromText="180" w:vertAnchor="text" w:horzAnchor="page" w:tblpXSpec="center" w:tblpY="13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79"/>
        <w:gridCol w:w="661"/>
        <w:gridCol w:w="270"/>
        <w:gridCol w:w="704"/>
        <w:gridCol w:w="722"/>
        <w:gridCol w:w="727"/>
        <w:gridCol w:w="473"/>
        <w:gridCol w:w="469"/>
        <w:gridCol w:w="622"/>
        <w:gridCol w:w="609"/>
        <w:gridCol w:w="527"/>
        <w:gridCol w:w="622"/>
        <w:gridCol w:w="568"/>
        <w:gridCol w:w="766"/>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780" w:type="dxa"/>
            <w:gridSpan w:val="16"/>
            <w:tcBorders>
              <w:top w:val="nil"/>
              <w:left w:val="nil"/>
              <w:bottom w:val="nil"/>
              <w:right w:val="nil"/>
            </w:tcBorders>
            <w:noWrap w:val="0"/>
            <w:vAlign w:val="center"/>
          </w:tcPr>
          <w:p>
            <w:pPr>
              <w:widowControl/>
              <w:jc w:val="center"/>
              <w:rPr>
                <w:rFonts w:hint="eastAsia" w:ascii="Calibri" w:hAnsi="Calibri" w:eastAsia="华文细黑"/>
                <w:color w:val="000000"/>
                <w:sz w:val="20"/>
                <w:szCs w:val="22"/>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3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540"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7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04"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2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900"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3112"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3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810"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704"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2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900"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3112"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3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879"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931"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704"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72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669"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622"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609"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717"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395"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32" w:type="dxa"/>
            <w:vMerge w:val="continue"/>
            <w:noWrap w:val="0"/>
            <w:vAlign w:val="center"/>
          </w:tcPr>
          <w:p>
            <w:pPr>
              <w:autoSpaceDN w:val="0"/>
              <w:jc w:val="center"/>
              <w:textAlignment w:val="center"/>
              <w:rPr>
                <w:rFonts w:ascii="Calibri" w:hAnsi="Calibri" w:eastAsia="华文细黑"/>
                <w:color w:val="000000"/>
                <w:sz w:val="20"/>
                <w:szCs w:val="22"/>
              </w:rPr>
            </w:pPr>
          </w:p>
        </w:tc>
        <w:tc>
          <w:tcPr>
            <w:tcW w:w="879" w:type="dxa"/>
            <w:vMerge w:val="continue"/>
            <w:noWrap w:val="0"/>
            <w:vAlign w:val="center"/>
          </w:tcPr>
          <w:p>
            <w:pPr>
              <w:autoSpaceDN w:val="0"/>
              <w:jc w:val="center"/>
              <w:textAlignment w:val="center"/>
              <w:rPr>
                <w:rFonts w:ascii="Calibri" w:hAnsi="Calibri" w:eastAsia="华文细黑"/>
                <w:color w:val="000000"/>
                <w:sz w:val="20"/>
                <w:szCs w:val="22"/>
              </w:rPr>
            </w:pPr>
          </w:p>
        </w:tc>
        <w:tc>
          <w:tcPr>
            <w:tcW w:w="931"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04" w:type="dxa"/>
            <w:vMerge w:val="continue"/>
            <w:noWrap w:val="0"/>
            <w:vAlign w:val="center"/>
          </w:tcPr>
          <w:p>
            <w:pPr>
              <w:autoSpaceDN w:val="0"/>
              <w:jc w:val="center"/>
              <w:textAlignment w:val="center"/>
              <w:rPr>
                <w:rFonts w:ascii="Calibri" w:hAnsi="Calibri" w:eastAsia="华文细黑"/>
                <w:color w:val="000000"/>
                <w:sz w:val="20"/>
                <w:szCs w:val="22"/>
              </w:rPr>
            </w:pPr>
          </w:p>
        </w:tc>
        <w:tc>
          <w:tcPr>
            <w:tcW w:w="722" w:type="dxa"/>
            <w:vMerge w:val="continue"/>
            <w:noWrap w:val="0"/>
            <w:vAlign w:val="center"/>
          </w:tcPr>
          <w:p>
            <w:pPr>
              <w:autoSpaceDN w:val="0"/>
              <w:jc w:val="center"/>
              <w:textAlignment w:val="center"/>
              <w:rPr>
                <w:rFonts w:ascii="Calibri" w:hAnsi="Calibri" w:eastAsia="华文细黑"/>
                <w:color w:val="000000"/>
                <w:sz w:val="20"/>
                <w:szCs w:val="22"/>
              </w:rPr>
            </w:pPr>
          </w:p>
        </w:tc>
        <w:tc>
          <w:tcPr>
            <w:tcW w:w="727"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73"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69"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622"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609"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527"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622"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68"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766"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629"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532"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p>
        </w:tc>
        <w:tc>
          <w:tcPr>
            <w:tcW w:w="879" w:type="dxa"/>
            <w:noWrap w:val="0"/>
            <w:vAlign w:val="center"/>
          </w:tcPr>
          <w:p>
            <w:pPr>
              <w:spacing w:line="700" w:lineRule="exact"/>
              <w:jc w:val="center"/>
              <w:rPr>
                <w:rFonts w:hint="eastAsia" w:ascii="宋体" w:hAnsi="宋体" w:eastAsia="宋体" w:cs="宋体"/>
                <w:kern w:val="0"/>
                <w:sz w:val="20"/>
                <w:szCs w:val="20"/>
              </w:rPr>
            </w:pPr>
          </w:p>
        </w:tc>
        <w:tc>
          <w:tcPr>
            <w:tcW w:w="931" w:type="dxa"/>
            <w:gridSpan w:val="2"/>
            <w:noWrap w:val="0"/>
            <w:vAlign w:val="center"/>
          </w:tcPr>
          <w:p>
            <w:pPr>
              <w:spacing w:line="700" w:lineRule="exact"/>
              <w:jc w:val="center"/>
              <w:rPr>
                <w:rFonts w:hint="eastAsia" w:ascii="宋体" w:hAnsi="宋体" w:eastAsia="宋体" w:cs="宋体"/>
                <w:kern w:val="0"/>
                <w:sz w:val="20"/>
                <w:szCs w:val="20"/>
              </w:rPr>
            </w:pPr>
          </w:p>
        </w:tc>
        <w:tc>
          <w:tcPr>
            <w:tcW w:w="704" w:type="dxa"/>
            <w:noWrap w:val="0"/>
            <w:vAlign w:val="center"/>
          </w:tcPr>
          <w:p>
            <w:pPr>
              <w:spacing w:line="700" w:lineRule="exact"/>
              <w:jc w:val="center"/>
              <w:rPr>
                <w:rFonts w:hint="eastAsia" w:ascii="宋体" w:hAnsi="宋体" w:eastAsia="宋体" w:cs="宋体"/>
                <w:kern w:val="0"/>
                <w:sz w:val="20"/>
                <w:szCs w:val="20"/>
              </w:rPr>
            </w:pPr>
          </w:p>
        </w:tc>
        <w:tc>
          <w:tcPr>
            <w:tcW w:w="72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727"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473" w:type="dxa"/>
            <w:noWrap w:val="0"/>
            <w:vAlign w:val="center"/>
          </w:tcPr>
          <w:p>
            <w:pPr>
              <w:spacing w:line="700" w:lineRule="exact"/>
              <w:jc w:val="center"/>
              <w:rPr>
                <w:rFonts w:ascii="Calibri" w:hAnsi="Calibri" w:eastAsia="楷体"/>
                <w:kern w:val="0"/>
                <w:szCs w:val="32"/>
              </w:rPr>
            </w:pPr>
          </w:p>
        </w:tc>
        <w:tc>
          <w:tcPr>
            <w:tcW w:w="469"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609"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568" w:type="dxa"/>
            <w:noWrap w:val="0"/>
            <w:vAlign w:val="center"/>
          </w:tcPr>
          <w:p>
            <w:pPr>
              <w:spacing w:line="700" w:lineRule="exact"/>
              <w:jc w:val="center"/>
              <w:rPr>
                <w:rFonts w:ascii="Calibri" w:hAnsi="Calibri" w:eastAsia="楷体"/>
                <w:kern w:val="0"/>
                <w:szCs w:val="32"/>
              </w:rPr>
            </w:pPr>
          </w:p>
        </w:tc>
        <w:tc>
          <w:tcPr>
            <w:tcW w:w="766" w:type="dxa"/>
            <w:noWrap w:val="0"/>
            <w:vAlign w:val="center"/>
          </w:tcPr>
          <w:p>
            <w:pPr>
              <w:spacing w:line="700" w:lineRule="exact"/>
              <w:jc w:val="center"/>
              <w:rPr>
                <w:rFonts w:ascii="Calibri" w:hAnsi="Calibri" w:eastAsia="楷体"/>
                <w:kern w:val="0"/>
                <w:szCs w:val="32"/>
              </w:rPr>
            </w:pPr>
          </w:p>
        </w:tc>
        <w:tc>
          <w:tcPr>
            <w:tcW w:w="62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32" w:type="dxa"/>
            <w:noWrap w:val="0"/>
            <w:vAlign w:val="center"/>
          </w:tcPr>
          <w:p>
            <w:pPr>
              <w:spacing w:line="700" w:lineRule="exact"/>
              <w:jc w:val="center"/>
              <w:rPr>
                <w:rFonts w:hint="eastAsia" w:ascii="宋体" w:hAnsi="宋体" w:eastAsia="宋体" w:cs="宋体"/>
                <w:kern w:val="0"/>
                <w:sz w:val="20"/>
                <w:szCs w:val="20"/>
              </w:rPr>
            </w:pPr>
          </w:p>
        </w:tc>
        <w:tc>
          <w:tcPr>
            <w:tcW w:w="879"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931" w:type="dxa"/>
            <w:gridSpan w:val="2"/>
            <w:noWrap w:val="0"/>
            <w:vAlign w:val="center"/>
          </w:tcPr>
          <w:p>
            <w:pPr>
              <w:spacing w:line="700" w:lineRule="exact"/>
              <w:jc w:val="center"/>
              <w:rPr>
                <w:rFonts w:hint="eastAsia" w:ascii="宋体" w:hAnsi="宋体" w:eastAsia="宋体" w:cs="宋体"/>
                <w:kern w:val="0"/>
                <w:sz w:val="20"/>
                <w:szCs w:val="20"/>
              </w:rPr>
            </w:pPr>
          </w:p>
        </w:tc>
        <w:tc>
          <w:tcPr>
            <w:tcW w:w="704" w:type="dxa"/>
            <w:noWrap w:val="0"/>
            <w:vAlign w:val="center"/>
          </w:tcPr>
          <w:p>
            <w:pPr>
              <w:spacing w:line="700" w:lineRule="exact"/>
              <w:jc w:val="center"/>
              <w:rPr>
                <w:rFonts w:hint="eastAsia" w:ascii="宋体" w:hAnsi="宋体" w:eastAsia="宋体" w:cs="宋体"/>
                <w:kern w:val="0"/>
                <w:sz w:val="20"/>
                <w:szCs w:val="20"/>
              </w:rPr>
            </w:pPr>
          </w:p>
        </w:tc>
        <w:tc>
          <w:tcPr>
            <w:tcW w:w="72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lang w:val="en-US" w:eastAsia="zh-CN"/>
              </w:rPr>
            </w:pPr>
          </w:p>
        </w:tc>
        <w:tc>
          <w:tcPr>
            <w:tcW w:w="727"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473" w:type="dxa"/>
            <w:noWrap w:val="0"/>
            <w:vAlign w:val="center"/>
          </w:tcPr>
          <w:p>
            <w:pPr>
              <w:spacing w:line="700" w:lineRule="exact"/>
              <w:jc w:val="center"/>
              <w:rPr>
                <w:rFonts w:ascii="Calibri" w:hAnsi="Calibri" w:eastAsia="楷体"/>
                <w:kern w:val="0"/>
                <w:szCs w:val="32"/>
              </w:rPr>
            </w:pPr>
          </w:p>
        </w:tc>
        <w:tc>
          <w:tcPr>
            <w:tcW w:w="469"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609"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568" w:type="dxa"/>
            <w:noWrap w:val="0"/>
            <w:vAlign w:val="center"/>
          </w:tcPr>
          <w:p>
            <w:pPr>
              <w:spacing w:line="700" w:lineRule="exact"/>
              <w:jc w:val="center"/>
              <w:rPr>
                <w:rFonts w:ascii="Calibri" w:hAnsi="Calibri" w:eastAsia="楷体"/>
                <w:kern w:val="0"/>
                <w:szCs w:val="32"/>
              </w:rPr>
            </w:pPr>
          </w:p>
        </w:tc>
        <w:tc>
          <w:tcPr>
            <w:tcW w:w="766" w:type="dxa"/>
            <w:noWrap w:val="0"/>
            <w:vAlign w:val="center"/>
          </w:tcPr>
          <w:p>
            <w:pPr>
              <w:spacing w:line="700" w:lineRule="exact"/>
              <w:jc w:val="center"/>
              <w:rPr>
                <w:rFonts w:ascii="Calibri" w:hAnsi="Calibri" w:eastAsia="楷体"/>
                <w:kern w:val="0"/>
                <w:szCs w:val="32"/>
              </w:rPr>
            </w:pPr>
          </w:p>
        </w:tc>
        <w:tc>
          <w:tcPr>
            <w:tcW w:w="62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32" w:type="dxa"/>
            <w:noWrap w:val="0"/>
            <w:vAlign w:val="center"/>
          </w:tcPr>
          <w:p>
            <w:pPr>
              <w:spacing w:line="700" w:lineRule="exact"/>
              <w:jc w:val="center"/>
              <w:rPr>
                <w:rFonts w:hint="eastAsia" w:ascii="宋体" w:hAnsi="宋体" w:eastAsia="宋体" w:cs="宋体"/>
                <w:kern w:val="0"/>
                <w:sz w:val="20"/>
                <w:szCs w:val="20"/>
              </w:rPr>
            </w:pPr>
          </w:p>
        </w:tc>
        <w:tc>
          <w:tcPr>
            <w:tcW w:w="879" w:type="dxa"/>
            <w:noWrap w:val="0"/>
            <w:vAlign w:val="center"/>
          </w:tcPr>
          <w:p>
            <w:pPr>
              <w:jc w:val="left"/>
              <w:rPr>
                <w:rFonts w:hint="eastAsia" w:ascii="宋体" w:hAnsi="宋体" w:eastAsia="宋体" w:cs="宋体"/>
                <w:kern w:val="0"/>
                <w:sz w:val="20"/>
                <w:szCs w:val="20"/>
              </w:rPr>
            </w:pPr>
          </w:p>
        </w:tc>
        <w:tc>
          <w:tcPr>
            <w:tcW w:w="931"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704" w:type="dxa"/>
            <w:noWrap w:val="0"/>
            <w:vAlign w:val="center"/>
          </w:tcPr>
          <w:p>
            <w:pPr>
              <w:spacing w:line="240" w:lineRule="auto"/>
              <w:jc w:val="both"/>
              <w:rPr>
                <w:rFonts w:hint="eastAsia" w:ascii="宋体" w:hAnsi="宋体" w:eastAsia="宋体" w:cs="宋体"/>
                <w:kern w:val="0"/>
                <w:sz w:val="20"/>
                <w:szCs w:val="20"/>
                <w:lang w:val="en-US" w:eastAsia="zh-CN"/>
              </w:rPr>
            </w:pPr>
          </w:p>
        </w:tc>
        <w:tc>
          <w:tcPr>
            <w:tcW w:w="72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727"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473" w:type="dxa"/>
            <w:noWrap w:val="0"/>
            <w:vAlign w:val="center"/>
          </w:tcPr>
          <w:p>
            <w:pPr>
              <w:spacing w:line="700" w:lineRule="exact"/>
              <w:jc w:val="center"/>
              <w:rPr>
                <w:rFonts w:ascii="Calibri" w:hAnsi="Calibri" w:eastAsia="楷体"/>
                <w:kern w:val="0"/>
                <w:szCs w:val="32"/>
              </w:rPr>
            </w:pPr>
          </w:p>
        </w:tc>
        <w:tc>
          <w:tcPr>
            <w:tcW w:w="469"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609"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568" w:type="dxa"/>
            <w:noWrap w:val="0"/>
            <w:vAlign w:val="center"/>
          </w:tcPr>
          <w:p>
            <w:pPr>
              <w:spacing w:line="700" w:lineRule="exact"/>
              <w:jc w:val="center"/>
              <w:rPr>
                <w:rFonts w:ascii="Calibri" w:hAnsi="Calibri" w:eastAsia="楷体"/>
                <w:kern w:val="0"/>
                <w:szCs w:val="32"/>
              </w:rPr>
            </w:pPr>
          </w:p>
        </w:tc>
        <w:tc>
          <w:tcPr>
            <w:tcW w:w="766" w:type="dxa"/>
            <w:noWrap w:val="0"/>
            <w:vAlign w:val="center"/>
          </w:tcPr>
          <w:p>
            <w:pPr>
              <w:spacing w:line="700" w:lineRule="exact"/>
              <w:jc w:val="center"/>
              <w:rPr>
                <w:rFonts w:ascii="Calibri" w:hAnsi="Calibri" w:eastAsia="楷体"/>
                <w:kern w:val="0"/>
                <w:szCs w:val="32"/>
              </w:rPr>
            </w:pPr>
          </w:p>
        </w:tc>
        <w:tc>
          <w:tcPr>
            <w:tcW w:w="62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2" w:type="dxa"/>
            <w:noWrap w:val="0"/>
            <w:vAlign w:val="center"/>
          </w:tcPr>
          <w:p>
            <w:pPr>
              <w:spacing w:line="700" w:lineRule="exact"/>
              <w:jc w:val="center"/>
              <w:rPr>
                <w:rFonts w:hint="eastAsia" w:ascii="宋体" w:hAnsi="宋体" w:eastAsia="宋体" w:cs="宋体"/>
                <w:kern w:val="0"/>
                <w:sz w:val="20"/>
                <w:szCs w:val="20"/>
              </w:rPr>
            </w:pPr>
          </w:p>
        </w:tc>
        <w:tc>
          <w:tcPr>
            <w:tcW w:w="879"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931" w:type="dxa"/>
            <w:gridSpan w:val="2"/>
            <w:noWrap w:val="0"/>
            <w:vAlign w:val="center"/>
          </w:tcPr>
          <w:p>
            <w:pPr>
              <w:spacing w:line="700" w:lineRule="exact"/>
              <w:jc w:val="center"/>
              <w:rPr>
                <w:rFonts w:hint="eastAsia" w:ascii="宋体" w:hAnsi="宋体" w:eastAsia="宋体" w:cs="宋体"/>
                <w:kern w:val="0"/>
                <w:sz w:val="20"/>
                <w:szCs w:val="20"/>
              </w:rPr>
            </w:pPr>
          </w:p>
        </w:tc>
        <w:tc>
          <w:tcPr>
            <w:tcW w:w="704" w:type="dxa"/>
            <w:noWrap w:val="0"/>
            <w:vAlign w:val="center"/>
          </w:tcPr>
          <w:p>
            <w:pPr>
              <w:spacing w:line="700" w:lineRule="exact"/>
              <w:jc w:val="center"/>
              <w:rPr>
                <w:rFonts w:hint="eastAsia" w:ascii="宋体" w:hAnsi="宋体" w:eastAsia="宋体" w:cs="宋体"/>
                <w:kern w:val="0"/>
                <w:sz w:val="20"/>
                <w:szCs w:val="20"/>
              </w:rPr>
            </w:pPr>
          </w:p>
        </w:tc>
        <w:tc>
          <w:tcPr>
            <w:tcW w:w="722"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727"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473" w:type="dxa"/>
            <w:noWrap w:val="0"/>
            <w:vAlign w:val="center"/>
          </w:tcPr>
          <w:p>
            <w:pPr>
              <w:spacing w:line="700" w:lineRule="exact"/>
              <w:jc w:val="center"/>
              <w:rPr>
                <w:rFonts w:ascii="Calibri" w:hAnsi="Calibri" w:eastAsia="楷体"/>
                <w:kern w:val="0"/>
                <w:szCs w:val="32"/>
              </w:rPr>
            </w:pPr>
          </w:p>
        </w:tc>
        <w:tc>
          <w:tcPr>
            <w:tcW w:w="469"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609"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568" w:type="dxa"/>
            <w:noWrap w:val="0"/>
            <w:vAlign w:val="center"/>
          </w:tcPr>
          <w:p>
            <w:pPr>
              <w:spacing w:line="700" w:lineRule="exact"/>
              <w:jc w:val="center"/>
              <w:rPr>
                <w:rFonts w:ascii="Calibri" w:hAnsi="Calibri" w:eastAsia="楷体"/>
                <w:kern w:val="0"/>
                <w:szCs w:val="32"/>
              </w:rPr>
            </w:pPr>
          </w:p>
        </w:tc>
        <w:tc>
          <w:tcPr>
            <w:tcW w:w="766" w:type="dxa"/>
            <w:noWrap w:val="0"/>
            <w:vAlign w:val="center"/>
          </w:tcPr>
          <w:p>
            <w:pPr>
              <w:spacing w:line="700" w:lineRule="exact"/>
              <w:jc w:val="center"/>
              <w:rPr>
                <w:rFonts w:ascii="Calibri" w:hAnsi="Calibri" w:eastAsia="楷体"/>
                <w:kern w:val="0"/>
                <w:szCs w:val="32"/>
              </w:rPr>
            </w:pPr>
          </w:p>
        </w:tc>
        <w:tc>
          <w:tcPr>
            <w:tcW w:w="62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532" w:type="dxa"/>
            <w:noWrap w:val="0"/>
            <w:vAlign w:val="center"/>
          </w:tcPr>
          <w:p>
            <w:pPr>
              <w:spacing w:line="700" w:lineRule="exact"/>
              <w:jc w:val="center"/>
              <w:rPr>
                <w:rFonts w:hint="eastAsia" w:ascii="宋体" w:hAnsi="宋体" w:eastAsia="宋体" w:cs="宋体"/>
                <w:kern w:val="0"/>
                <w:sz w:val="20"/>
                <w:szCs w:val="20"/>
              </w:rPr>
            </w:pPr>
          </w:p>
        </w:tc>
        <w:tc>
          <w:tcPr>
            <w:tcW w:w="8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31"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704" w:type="dxa"/>
            <w:noWrap w:val="0"/>
            <w:vAlign w:val="center"/>
          </w:tcPr>
          <w:p>
            <w:pPr>
              <w:spacing w:line="240" w:lineRule="auto"/>
              <w:jc w:val="both"/>
              <w:rPr>
                <w:rFonts w:hint="eastAsia" w:ascii="宋体" w:hAnsi="宋体" w:eastAsia="宋体" w:cs="宋体"/>
                <w:kern w:val="0"/>
                <w:sz w:val="20"/>
                <w:szCs w:val="20"/>
                <w:lang w:val="en-US" w:eastAsia="zh-CN" w:bidi="ar-SA"/>
              </w:rPr>
            </w:pPr>
          </w:p>
        </w:tc>
        <w:tc>
          <w:tcPr>
            <w:tcW w:w="72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727"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473" w:type="dxa"/>
            <w:noWrap w:val="0"/>
            <w:vAlign w:val="center"/>
          </w:tcPr>
          <w:p>
            <w:pPr>
              <w:spacing w:line="700" w:lineRule="exact"/>
              <w:jc w:val="center"/>
              <w:rPr>
                <w:rFonts w:ascii="Calibri" w:hAnsi="Calibri" w:eastAsia="楷体"/>
                <w:kern w:val="0"/>
                <w:szCs w:val="32"/>
              </w:rPr>
            </w:pPr>
          </w:p>
        </w:tc>
        <w:tc>
          <w:tcPr>
            <w:tcW w:w="469"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609"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568" w:type="dxa"/>
            <w:noWrap w:val="0"/>
            <w:vAlign w:val="center"/>
          </w:tcPr>
          <w:p>
            <w:pPr>
              <w:spacing w:line="700" w:lineRule="exact"/>
              <w:jc w:val="center"/>
              <w:rPr>
                <w:rFonts w:ascii="Calibri" w:hAnsi="Calibri" w:eastAsia="楷体"/>
                <w:kern w:val="0"/>
                <w:szCs w:val="32"/>
              </w:rPr>
            </w:pPr>
          </w:p>
        </w:tc>
        <w:tc>
          <w:tcPr>
            <w:tcW w:w="766" w:type="dxa"/>
            <w:noWrap w:val="0"/>
            <w:vAlign w:val="center"/>
          </w:tcPr>
          <w:p>
            <w:pPr>
              <w:spacing w:line="700" w:lineRule="exact"/>
              <w:jc w:val="center"/>
              <w:rPr>
                <w:rFonts w:ascii="Calibri" w:hAnsi="Calibri" w:eastAsia="楷体"/>
                <w:kern w:val="0"/>
                <w:szCs w:val="32"/>
              </w:rPr>
            </w:pPr>
          </w:p>
        </w:tc>
        <w:tc>
          <w:tcPr>
            <w:tcW w:w="62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2" w:type="dxa"/>
            <w:noWrap w:val="0"/>
            <w:vAlign w:val="center"/>
          </w:tcPr>
          <w:p>
            <w:pPr>
              <w:spacing w:line="700" w:lineRule="exact"/>
              <w:jc w:val="center"/>
              <w:rPr>
                <w:rFonts w:hint="eastAsia" w:ascii="宋体" w:hAnsi="宋体" w:eastAsia="宋体" w:cs="宋体"/>
                <w:kern w:val="0"/>
                <w:sz w:val="20"/>
                <w:szCs w:val="20"/>
              </w:rPr>
            </w:pPr>
          </w:p>
        </w:tc>
        <w:tc>
          <w:tcPr>
            <w:tcW w:w="8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931" w:type="dxa"/>
            <w:gridSpan w:val="2"/>
            <w:noWrap w:val="0"/>
            <w:vAlign w:val="center"/>
          </w:tcPr>
          <w:p>
            <w:pPr>
              <w:spacing w:line="700" w:lineRule="exact"/>
              <w:jc w:val="center"/>
              <w:rPr>
                <w:rFonts w:hint="eastAsia" w:ascii="宋体" w:hAnsi="宋体" w:eastAsia="宋体" w:cs="宋体"/>
                <w:kern w:val="0"/>
                <w:sz w:val="20"/>
                <w:szCs w:val="20"/>
              </w:rPr>
            </w:pPr>
          </w:p>
        </w:tc>
        <w:tc>
          <w:tcPr>
            <w:tcW w:w="704" w:type="dxa"/>
            <w:noWrap w:val="0"/>
            <w:vAlign w:val="center"/>
          </w:tcPr>
          <w:p>
            <w:pPr>
              <w:spacing w:line="700" w:lineRule="exact"/>
              <w:jc w:val="center"/>
              <w:rPr>
                <w:rFonts w:hint="eastAsia" w:ascii="宋体" w:hAnsi="宋体" w:eastAsia="宋体" w:cs="宋体"/>
                <w:kern w:val="0"/>
                <w:sz w:val="20"/>
                <w:szCs w:val="20"/>
              </w:rPr>
            </w:pPr>
          </w:p>
        </w:tc>
        <w:tc>
          <w:tcPr>
            <w:tcW w:w="722"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727"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473" w:type="dxa"/>
            <w:noWrap w:val="0"/>
            <w:vAlign w:val="center"/>
          </w:tcPr>
          <w:p>
            <w:pPr>
              <w:spacing w:line="700" w:lineRule="exact"/>
              <w:jc w:val="center"/>
              <w:rPr>
                <w:rFonts w:ascii="Calibri" w:hAnsi="Calibri" w:eastAsia="楷体"/>
                <w:kern w:val="0"/>
                <w:szCs w:val="32"/>
              </w:rPr>
            </w:pPr>
          </w:p>
        </w:tc>
        <w:tc>
          <w:tcPr>
            <w:tcW w:w="469"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609"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568" w:type="dxa"/>
            <w:noWrap w:val="0"/>
            <w:vAlign w:val="center"/>
          </w:tcPr>
          <w:p>
            <w:pPr>
              <w:spacing w:line="700" w:lineRule="exact"/>
              <w:jc w:val="center"/>
              <w:rPr>
                <w:rFonts w:ascii="Calibri" w:hAnsi="Calibri" w:eastAsia="楷体"/>
                <w:kern w:val="0"/>
                <w:szCs w:val="32"/>
              </w:rPr>
            </w:pPr>
          </w:p>
        </w:tc>
        <w:tc>
          <w:tcPr>
            <w:tcW w:w="766" w:type="dxa"/>
            <w:noWrap w:val="0"/>
            <w:vAlign w:val="center"/>
          </w:tcPr>
          <w:p>
            <w:pPr>
              <w:spacing w:line="700" w:lineRule="exact"/>
              <w:jc w:val="center"/>
              <w:rPr>
                <w:rFonts w:ascii="Calibri" w:hAnsi="Calibri" w:eastAsia="楷体"/>
                <w:kern w:val="0"/>
                <w:szCs w:val="32"/>
              </w:rPr>
            </w:pPr>
          </w:p>
        </w:tc>
        <w:tc>
          <w:tcPr>
            <w:tcW w:w="62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2" w:type="dxa"/>
            <w:noWrap w:val="0"/>
            <w:vAlign w:val="center"/>
          </w:tcPr>
          <w:p>
            <w:pPr>
              <w:spacing w:line="700" w:lineRule="exact"/>
              <w:jc w:val="center"/>
              <w:rPr>
                <w:rFonts w:hint="eastAsia" w:ascii="宋体" w:hAnsi="宋体" w:eastAsia="宋体" w:cs="宋体"/>
                <w:kern w:val="0"/>
                <w:sz w:val="20"/>
                <w:szCs w:val="20"/>
              </w:rPr>
            </w:pPr>
          </w:p>
        </w:tc>
        <w:tc>
          <w:tcPr>
            <w:tcW w:w="8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31"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704" w:type="dxa"/>
            <w:noWrap w:val="0"/>
            <w:vAlign w:val="center"/>
          </w:tcPr>
          <w:p>
            <w:pPr>
              <w:spacing w:line="240" w:lineRule="auto"/>
              <w:jc w:val="center"/>
              <w:rPr>
                <w:rFonts w:hint="eastAsia" w:ascii="宋体" w:hAnsi="宋体" w:eastAsia="宋体" w:cs="宋体"/>
                <w:kern w:val="0"/>
                <w:sz w:val="20"/>
                <w:szCs w:val="20"/>
              </w:rPr>
            </w:pPr>
          </w:p>
        </w:tc>
        <w:tc>
          <w:tcPr>
            <w:tcW w:w="72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727"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473" w:type="dxa"/>
            <w:noWrap w:val="0"/>
            <w:vAlign w:val="center"/>
          </w:tcPr>
          <w:p>
            <w:pPr>
              <w:spacing w:line="700" w:lineRule="exact"/>
              <w:jc w:val="center"/>
              <w:rPr>
                <w:rFonts w:ascii="Calibri" w:hAnsi="Calibri" w:eastAsia="楷体"/>
                <w:kern w:val="0"/>
                <w:szCs w:val="32"/>
              </w:rPr>
            </w:pPr>
          </w:p>
        </w:tc>
        <w:tc>
          <w:tcPr>
            <w:tcW w:w="469"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609"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568" w:type="dxa"/>
            <w:noWrap w:val="0"/>
            <w:vAlign w:val="center"/>
          </w:tcPr>
          <w:p>
            <w:pPr>
              <w:spacing w:line="700" w:lineRule="exact"/>
              <w:jc w:val="center"/>
              <w:rPr>
                <w:rFonts w:ascii="Calibri" w:hAnsi="Calibri" w:eastAsia="楷体"/>
                <w:kern w:val="0"/>
                <w:szCs w:val="32"/>
              </w:rPr>
            </w:pPr>
          </w:p>
        </w:tc>
        <w:tc>
          <w:tcPr>
            <w:tcW w:w="766" w:type="dxa"/>
            <w:noWrap w:val="0"/>
            <w:vAlign w:val="center"/>
          </w:tcPr>
          <w:p>
            <w:pPr>
              <w:spacing w:line="700" w:lineRule="exact"/>
              <w:jc w:val="center"/>
              <w:rPr>
                <w:rFonts w:ascii="Calibri" w:hAnsi="Calibri" w:eastAsia="楷体"/>
                <w:kern w:val="0"/>
                <w:szCs w:val="32"/>
              </w:rPr>
            </w:pPr>
          </w:p>
        </w:tc>
        <w:tc>
          <w:tcPr>
            <w:tcW w:w="62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32"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879" w:type="dxa"/>
            <w:noWrap w:val="0"/>
            <w:vAlign w:val="center"/>
          </w:tcPr>
          <w:p>
            <w:pPr>
              <w:autoSpaceDN w:val="0"/>
              <w:jc w:val="center"/>
              <w:textAlignment w:val="center"/>
              <w:rPr>
                <w:rFonts w:ascii="Calibri" w:hAnsi="Calibri" w:eastAsia="华文细黑"/>
                <w:color w:val="000000"/>
                <w:sz w:val="20"/>
                <w:szCs w:val="22"/>
              </w:rPr>
            </w:pPr>
          </w:p>
        </w:tc>
        <w:tc>
          <w:tcPr>
            <w:tcW w:w="931" w:type="dxa"/>
            <w:gridSpan w:val="2"/>
            <w:noWrap w:val="0"/>
            <w:vAlign w:val="center"/>
          </w:tcPr>
          <w:p>
            <w:pPr>
              <w:spacing w:line="700" w:lineRule="exact"/>
              <w:jc w:val="center"/>
              <w:rPr>
                <w:rFonts w:ascii="Calibri" w:hAnsi="Calibri" w:eastAsia="楷体"/>
                <w:kern w:val="0"/>
                <w:szCs w:val="32"/>
              </w:rPr>
            </w:pPr>
          </w:p>
        </w:tc>
        <w:tc>
          <w:tcPr>
            <w:tcW w:w="704" w:type="dxa"/>
            <w:noWrap w:val="0"/>
            <w:vAlign w:val="center"/>
          </w:tcPr>
          <w:p>
            <w:pPr>
              <w:spacing w:line="700" w:lineRule="exact"/>
              <w:jc w:val="center"/>
              <w:rPr>
                <w:rFonts w:ascii="Calibri" w:hAnsi="Calibri" w:eastAsia="楷体"/>
                <w:kern w:val="0"/>
                <w:szCs w:val="32"/>
              </w:rPr>
            </w:pPr>
          </w:p>
        </w:tc>
        <w:tc>
          <w:tcPr>
            <w:tcW w:w="72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727"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473" w:type="dxa"/>
            <w:noWrap w:val="0"/>
            <w:vAlign w:val="center"/>
          </w:tcPr>
          <w:p>
            <w:pPr>
              <w:spacing w:line="700" w:lineRule="exact"/>
              <w:jc w:val="center"/>
              <w:rPr>
                <w:rFonts w:ascii="Calibri" w:hAnsi="Calibri" w:eastAsia="楷体"/>
                <w:kern w:val="0"/>
                <w:szCs w:val="32"/>
              </w:rPr>
            </w:pPr>
          </w:p>
        </w:tc>
        <w:tc>
          <w:tcPr>
            <w:tcW w:w="469"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609"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568" w:type="dxa"/>
            <w:noWrap w:val="0"/>
            <w:vAlign w:val="center"/>
          </w:tcPr>
          <w:p>
            <w:pPr>
              <w:spacing w:line="700" w:lineRule="exact"/>
              <w:jc w:val="center"/>
              <w:rPr>
                <w:rFonts w:ascii="Calibri" w:hAnsi="Calibri" w:eastAsia="楷体"/>
                <w:kern w:val="0"/>
                <w:szCs w:val="32"/>
              </w:rPr>
            </w:pPr>
          </w:p>
        </w:tc>
        <w:tc>
          <w:tcPr>
            <w:tcW w:w="766" w:type="dxa"/>
            <w:noWrap w:val="0"/>
            <w:vAlign w:val="center"/>
          </w:tcPr>
          <w:p>
            <w:pPr>
              <w:spacing w:line="700" w:lineRule="exact"/>
              <w:jc w:val="center"/>
              <w:rPr>
                <w:rFonts w:ascii="Calibri" w:hAnsi="Calibri" w:eastAsia="楷体"/>
                <w:kern w:val="0"/>
                <w:szCs w:val="32"/>
              </w:rPr>
            </w:pPr>
          </w:p>
        </w:tc>
        <w:tc>
          <w:tcPr>
            <w:tcW w:w="629" w:type="dxa"/>
            <w:noWrap w:val="0"/>
            <w:vAlign w:val="center"/>
          </w:tcPr>
          <w:p>
            <w:pPr>
              <w:spacing w:line="700" w:lineRule="exact"/>
              <w:jc w:val="center"/>
              <w:rPr>
                <w:rFonts w:ascii="Calibri" w:hAnsi="Calibri" w:eastAsia="楷体"/>
                <w:kern w:val="0"/>
                <w:szCs w:val="32"/>
              </w:rPr>
            </w:pPr>
          </w:p>
        </w:tc>
      </w:tr>
    </w:tbl>
    <w:p>
      <w:pPr>
        <w:rPr>
          <w:rFonts w:eastAsia="楷体"/>
          <w:kern w:val="0"/>
          <w:szCs w:val="32"/>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rPr>
          <w:rFonts w:hAnsi="楷体" w:eastAsia="楷体"/>
        </w:rPr>
      </w:pPr>
    </w:p>
    <w:p>
      <w:pPr>
        <w:rPr>
          <w:rFonts w:hAnsi="楷体" w:eastAsia="楷体"/>
        </w:rPr>
      </w:pPr>
    </w:p>
    <w:p>
      <w:pPr>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413.00</w:t>
      </w:r>
      <w:r>
        <w:rPr>
          <w:szCs w:val="32"/>
        </w:rPr>
        <w:t>万元</w:t>
      </w:r>
      <w:r>
        <w:rPr>
          <w:rFonts w:hint="eastAsia"/>
          <w:szCs w:val="32"/>
          <w:lang w:eastAsia="zh-CN"/>
        </w:rPr>
        <w:t>，其中：本年预算</w:t>
      </w:r>
      <w:r>
        <w:rPr>
          <w:rFonts w:hint="eastAsia"/>
          <w:szCs w:val="32"/>
          <w:lang w:val="en-US" w:eastAsia="zh-CN"/>
        </w:rPr>
        <w:t>350.76</w:t>
      </w:r>
      <w:r>
        <w:rPr>
          <w:rFonts w:hint="eastAsia"/>
          <w:szCs w:val="32"/>
          <w:lang w:eastAsia="zh-CN"/>
        </w:rPr>
        <w:t>万元；上年结转</w:t>
      </w:r>
      <w:r>
        <w:rPr>
          <w:rFonts w:hint="eastAsia"/>
          <w:szCs w:val="32"/>
          <w:lang w:val="en-US" w:eastAsia="zh-CN"/>
        </w:rPr>
        <w:t>62.24</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w:t>
      </w:r>
      <w:r>
        <w:rPr>
          <w:rFonts w:hint="eastAsia"/>
          <w:szCs w:val="32"/>
          <w:lang w:eastAsia="zh-CN"/>
        </w:rPr>
        <w:t>增加</w:t>
      </w:r>
      <w:r>
        <w:rPr>
          <w:rFonts w:hint="eastAsia"/>
          <w:szCs w:val="32"/>
          <w:lang w:val="en-US" w:eastAsia="zh-CN"/>
        </w:rPr>
        <w:t>25.80</w:t>
      </w:r>
      <w:r>
        <w:rPr>
          <w:szCs w:val="32"/>
        </w:rPr>
        <w:t>万元，主要原因是</w:t>
      </w:r>
      <w:r>
        <w:rPr>
          <w:rFonts w:hint="eastAsia"/>
          <w:szCs w:val="32"/>
          <w:lang w:eastAsia="zh-CN"/>
        </w:rPr>
        <w:t>人员经费增加</w:t>
      </w:r>
      <w:r>
        <w:rPr>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413.00</w:t>
      </w:r>
      <w:r>
        <w:rPr>
          <w:szCs w:val="32"/>
        </w:rPr>
        <w:t>万元，其中：本年收入</w:t>
      </w:r>
      <w:r>
        <w:rPr>
          <w:rFonts w:hint="eastAsia"/>
          <w:szCs w:val="32"/>
          <w:lang w:val="en-US" w:eastAsia="zh-CN"/>
        </w:rPr>
        <w:t>350.76</w:t>
      </w:r>
      <w:r>
        <w:rPr>
          <w:szCs w:val="32"/>
        </w:rPr>
        <w:t>万元，占</w:t>
      </w:r>
      <w:r>
        <w:rPr>
          <w:rFonts w:hint="eastAsia"/>
          <w:szCs w:val="32"/>
          <w:lang w:val="en-US" w:eastAsia="zh-CN"/>
        </w:rPr>
        <w:t>84.93</w:t>
      </w:r>
      <w:r>
        <w:rPr>
          <w:szCs w:val="32"/>
        </w:rPr>
        <w:t>%；上年结转</w:t>
      </w:r>
      <w:r>
        <w:rPr>
          <w:rFonts w:hint="eastAsia"/>
          <w:szCs w:val="32"/>
          <w:lang w:eastAsia="zh-CN"/>
        </w:rPr>
        <w:t>结余</w:t>
      </w:r>
      <w:r>
        <w:rPr>
          <w:rFonts w:hint="eastAsia"/>
          <w:szCs w:val="32"/>
          <w:lang w:val="en-US" w:eastAsia="zh-CN"/>
        </w:rPr>
        <w:t>62.24</w:t>
      </w:r>
      <w:r>
        <w:rPr>
          <w:szCs w:val="32"/>
        </w:rPr>
        <w:t>万元，占</w:t>
      </w:r>
      <w:r>
        <w:rPr>
          <w:rFonts w:hint="eastAsia"/>
          <w:szCs w:val="32"/>
          <w:lang w:val="en-US" w:eastAsia="zh-CN"/>
        </w:rPr>
        <w:t>15.07</w:t>
      </w:r>
      <w:r>
        <w:rPr>
          <w:szCs w:val="32"/>
        </w:rPr>
        <w:t>%。本年收入中，一般公共预算拨款收入</w:t>
      </w:r>
      <w:r>
        <w:rPr>
          <w:rFonts w:hint="eastAsia"/>
          <w:szCs w:val="32"/>
          <w:lang w:val="en-US" w:eastAsia="zh-CN"/>
        </w:rPr>
        <w:t>350.76</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62.24</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413.01</w:t>
      </w:r>
      <w:r>
        <w:rPr>
          <w:szCs w:val="32"/>
        </w:rPr>
        <w:t>万元，其中：基本支出</w:t>
      </w:r>
      <w:r>
        <w:rPr>
          <w:rFonts w:hint="eastAsia"/>
          <w:szCs w:val="32"/>
          <w:lang w:val="en-US" w:eastAsia="zh-CN"/>
        </w:rPr>
        <w:t>413.01</w:t>
      </w:r>
      <w:r>
        <w:rPr>
          <w:szCs w:val="32"/>
        </w:rPr>
        <w:t>万元，占</w:t>
      </w:r>
      <w:r>
        <w:rPr>
          <w:rFonts w:hint="eastAsia"/>
          <w:szCs w:val="32"/>
          <w:lang w:val="en-US" w:eastAsia="zh-CN"/>
        </w:rPr>
        <w:t>100</w:t>
      </w:r>
      <w:r>
        <w:rPr>
          <w:szCs w:val="32"/>
        </w:rPr>
        <w:t>%；项目支出</w:t>
      </w:r>
      <w:r>
        <w:rPr>
          <w:rFonts w:hint="eastAsia"/>
          <w:szCs w:val="32"/>
          <w:lang w:val="en-US" w:eastAsia="zh-CN"/>
        </w:rPr>
        <w:t>0.00</w:t>
      </w:r>
      <w:r>
        <w:rPr>
          <w:szCs w:val="32"/>
        </w:rPr>
        <w:t>万元，占</w:t>
      </w:r>
      <w:r>
        <w:rPr>
          <w:rFonts w:hint="eastAsia"/>
          <w:szCs w:val="32"/>
          <w:lang w:val="en-US" w:eastAsia="zh-CN"/>
        </w:rPr>
        <w:t>0</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413.00</w:t>
      </w:r>
      <w:r>
        <w:rPr>
          <w:szCs w:val="32"/>
        </w:rPr>
        <w:t>万元，其中：</w:t>
      </w:r>
      <w:r>
        <w:rPr>
          <w:rFonts w:hint="eastAsia"/>
          <w:szCs w:val="32"/>
        </w:rPr>
        <w:t>本年</w:t>
      </w:r>
      <w:r>
        <w:rPr>
          <w:rFonts w:hint="eastAsia"/>
          <w:szCs w:val="32"/>
          <w:lang w:eastAsia="zh-CN"/>
        </w:rPr>
        <w:t>预算</w:t>
      </w:r>
      <w:r>
        <w:rPr>
          <w:rFonts w:hint="eastAsia"/>
          <w:szCs w:val="32"/>
          <w:lang w:val="en-US" w:eastAsia="zh-CN"/>
        </w:rPr>
        <w:t>350.76</w:t>
      </w:r>
      <w:r>
        <w:rPr>
          <w:szCs w:val="32"/>
        </w:rPr>
        <w:t>万元</w:t>
      </w:r>
      <w:r>
        <w:rPr>
          <w:rFonts w:hint="eastAsia"/>
          <w:szCs w:val="32"/>
        </w:rPr>
        <w:t>，上年结转</w:t>
      </w:r>
      <w:r>
        <w:rPr>
          <w:rFonts w:hint="eastAsia"/>
          <w:szCs w:val="32"/>
          <w:lang w:val="en-US" w:eastAsia="zh-CN"/>
        </w:rPr>
        <w:t>62.24</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325.86</w:t>
      </w:r>
      <w:r>
        <w:rPr>
          <w:szCs w:val="32"/>
        </w:rPr>
        <w:t>万元，</w:t>
      </w:r>
      <w:r>
        <w:rPr>
          <w:kern w:val="0"/>
          <w:szCs w:val="32"/>
        </w:rPr>
        <w:t>社会保障和就业支出</w:t>
      </w:r>
      <w:r>
        <w:rPr>
          <w:rFonts w:hint="eastAsia"/>
          <w:szCs w:val="32"/>
          <w:lang w:val="en-US" w:eastAsia="zh-CN"/>
        </w:rPr>
        <w:t>41.99</w:t>
      </w:r>
      <w:r>
        <w:rPr>
          <w:szCs w:val="32"/>
        </w:rPr>
        <w:t>万元，</w:t>
      </w:r>
      <w:r>
        <w:rPr>
          <w:kern w:val="0"/>
          <w:szCs w:val="32"/>
        </w:rPr>
        <w:t>卫生</w:t>
      </w:r>
      <w:r>
        <w:rPr>
          <w:rFonts w:hint="eastAsia"/>
          <w:kern w:val="0"/>
          <w:szCs w:val="32"/>
        </w:rPr>
        <w:t>健康</w:t>
      </w:r>
      <w:r>
        <w:rPr>
          <w:kern w:val="0"/>
          <w:szCs w:val="32"/>
        </w:rPr>
        <w:t>支出</w:t>
      </w:r>
      <w:r>
        <w:rPr>
          <w:rFonts w:hint="eastAsia"/>
          <w:kern w:val="0"/>
          <w:szCs w:val="32"/>
          <w:lang w:val="en-US" w:eastAsia="zh-CN"/>
        </w:rPr>
        <w:t>12.65</w:t>
      </w:r>
      <w:r>
        <w:rPr>
          <w:szCs w:val="32"/>
        </w:rPr>
        <w:t>万元，</w:t>
      </w:r>
      <w:r>
        <w:rPr>
          <w:kern w:val="0"/>
          <w:szCs w:val="32"/>
        </w:rPr>
        <w:t>住房保障支出</w:t>
      </w:r>
      <w:r>
        <w:rPr>
          <w:rFonts w:hint="eastAsia"/>
          <w:szCs w:val="32"/>
          <w:lang w:val="en-US" w:eastAsia="zh-CN"/>
        </w:rPr>
        <w:t>32.51</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413.01</w:t>
      </w:r>
      <w:r>
        <w:rPr>
          <w:szCs w:val="32"/>
        </w:rPr>
        <w:t>万元，其中：基本支出</w:t>
      </w:r>
      <w:r>
        <w:rPr>
          <w:rFonts w:hint="eastAsia"/>
          <w:szCs w:val="32"/>
          <w:lang w:val="en-US" w:eastAsia="zh-CN"/>
        </w:rPr>
        <w:t>413.01</w:t>
      </w:r>
      <w:r>
        <w:rPr>
          <w:szCs w:val="32"/>
        </w:rPr>
        <w:t>万元，占</w:t>
      </w:r>
      <w:r>
        <w:rPr>
          <w:rFonts w:hint="eastAsia"/>
          <w:szCs w:val="32"/>
          <w:lang w:val="en-US" w:eastAsia="zh-CN"/>
        </w:rPr>
        <w:t>100</w:t>
      </w:r>
      <w:r>
        <w:rPr>
          <w:szCs w:val="32"/>
        </w:rPr>
        <w:t>%；项目支出</w:t>
      </w:r>
      <w:r>
        <w:rPr>
          <w:rFonts w:hint="eastAsia"/>
          <w:szCs w:val="32"/>
          <w:lang w:val="en-US" w:eastAsia="zh-CN"/>
        </w:rPr>
        <w:t>0.00</w:t>
      </w:r>
      <w:r>
        <w:rPr>
          <w:szCs w:val="32"/>
        </w:rPr>
        <w:t>万元，占</w:t>
      </w:r>
      <w:r>
        <w:rPr>
          <w:rFonts w:hint="eastAsia"/>
          <w:szCs w:val="32"/>
          <w:lang w:val="en-US" w:eastAsia="zh-CN"/>
        </w:rPr>
        <w:t>0</w:t>
      </w:r>
      <w:r>
        <w:rPr>
          <w:szCs w:val="32"/>
        </w:rPr>
        <w:t>%。基本支出中，人员经费</w:t>
      </w:r>
      <w:r>
        <w:rPr>
          <w:rFonts w:hint="eastAsia"/>
          <w:szCs w:val="32"/>
          <w:lang w:val="en-US" w:eastAsia="zh-CN"/>
        </w:rPr>
        <w:t>355.19</w:t>
      </w:r>
      <w:r>
        <w:rPr>
          <w:szCs w:val="32"/>
        </w:rPr>
        <w:t>万元，占</w:t>
      </w:r>
      <w:r>
        <w:rPr>
          <w:rFonts w:hint="eastAsia"/>
          <w:szCs w:val="32"/>
          <w:lang w:val="en-US" w:eastAsia="zh-CN"/>
        </w:rPr>
        <w:t>86.00</w:t>
      </w:r>
      <w:r>
        <w:rPr>
          <w:szCs w:val="32"/>
        </w:rPr>
        <w:t>%；公用经费</w:t>
      </w:r>
      <w:r>
        <w:rPr>
          <w:rFonts w:hint="eastAsia"/>
          <w:szCs w:val="32"/>
          <w:lang w:val="en-US" w:eastAsia="zh-CN"/>
        </w:rPr>
        <w:t>57.82</w:t>
      </w:r>
      <w:r>
        <w:rPr>
          <w:szCs w:val="32"/>
        </w:rPr>
        <w:t>万元，占</w:t>
      </w:r>
      <w:r>
        <w:rPr>
          <w:rFonts w:hint="eastAsia"/>
          <w:szCs w:val="32"/>
          <w:lang w:val="en-US" w:eastAsia="zh-CN"/>
        </w:rPr>
        <w:t>14.00</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325.86</w:t>
      </w:r>
      <w:r>
        <w:rPr>
          <w:szCs w:val="32"/>
        </w:rPr>
        <w:t>万元，占</w:t>
      </w:r>
      <w:r>
        <w:rPr>
          <w:rFonts w:hint="eastAsia"/>
          <w:szCs w:val="32"/>
          <w:lang w:val="en-US" w:eastAsia="zh-CN"/>
        </w:rPr>
        <w:t>78.90</w:t>
      </w:r>
      <w:r>
        <w:rPr>
          <w:szCs w:val="32"/>
        </w:rPr>
        <w:t>%，主要用于</w:t>
      </w:r>
      <w:r>
        <w:rPr>
          <w:rFonts w:hint="eastAsia" w:ascii="仿宋_GB2312" w:hAnsi="仿宋_GB2312" w:cs="仿宋_GB2312"/>
          <w:szCs w:val="32"/>
        </w:rPr>
        <w:t>保障职工工资、完成年度工作任务</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41.99</w:t>
      </w:r>
      <w:r>
        <w:rPr>
          <w:szCs w:val="32"/>
        </w:rPr>
        <w:t>万元，占</w:t>
      </w:r>
      <w:r>
        <w:rPr>
          <w:rFonts w:hint="eastAsia"/>
          <w:szCs w:val="32"/>
          <w:lang w:val="en-US" w:eastAsia="zh-CN"/>
        </w:rPr>
        <w:t>10.17</w:t>
      </w:r>
      <w:r>
        <w:rPr>
          <w:szCs w:val="32"/>
        </w:rPr>
        <w:t>%，主要用于</w:t>
      </w:r>
      <w:r>
        <w:rPr>
          <w:rFonts w:hint="eastAsia" w:ascii="仿宋_GB2312" w:hAnsi="仿宋_GB2312" w:cs="仿宋_GB2312"/>
          <w:szCs w:val="32"/>
        </w:rPr>
        <w:t>保障退休职工</w:t>
      </w:r>
      <w:r>
        <w:rPr>
          <w:rFonts w:hint="eastAsia" w:ascii="仿宋_GB2312" w:hAnsi="仿宋_GB2312" w:cs="仿宋_GB2312"/>
          <w:szCs w:val="32"/>
          <w:lang w:eastAsia="zh-CN"/>
        </w:rPr>
        <w:t>取暖费、增加补贴</w:t>
      </w:r>
      <w:r>
        <w:rPr>
          <w:rFonts w:hint="eastAsia" w:ascii="仿宋_GB2312" w:hAnsi="仿宋_GB2312" w:cs="仿宋_GB2312"/>
          <w:szCs w:val="32"/>
        </w:rPr>
        <w:t>及机关事业单位基本养老保险缴费支出</w:t>
      </w:r>
      <w:r>
        <w:rPr>
          <w:szCs w:val="32"/>
        </w:rPr>
        <w:t>。</w:t>
      </w:r>
    </w:p>
    <w:p>
      <w:pPr>
        <w:spacing w:line="520" w:lineRule="exact"/>
        <w:ind w:firstLine="640" w:firstLineChars="200"/>
        <w:rPr>
          <w:szCs w:val="32"/>
        </w:rPr>
      </w:pPr>
      <w:r>
        <w:rPr>
          <w:rFonts w:hint="eastAsia"/>
          <w:szCs w:val="32"/>
          <w:lang w:eastAsia="zh-CN"/>
        </w:rPr>
        <w:t>卫生健康</w:t>
      </w:r>
      <w:r>
        <w:rPr>
          <w:szCs w:val="32"/>
        </w:rPr>
        <w:t>支出（类）支出</w:t>
      </w:r>
      <w:r>
        <w:rPr>
          <w:rFonts w:hint="eastAsia"/>
          <w:szCs w:val="32"/>
          <w:lang w:val="en-US" w:eastAsia="zh-CN"/>
        </w:rPr>
        <w:t>12.65</w:t>
      </w:r>
      <w:r>
        <w:rPr>
          <w:szCs w:val="32"/>
        </w:rPr>
        <w:t>万元，占</w:t>
      </w:r>
      <w:r>
        <w:rPr>
          <w:rFonts w:hint="eastAsia"/>
          <w:szCs w:val="32"/>
          <w:lang w:val="en-US" w:eastAsia="zh-CN"/>
        </w:rPr>
        <w:t>3.06</w:t>
      </w:r>
      <w:r>
        <w:rPr>
          <w:szCs w:val="32"/>
        </w:rPr>
        <w:t>%，主要用于</w:t>
      </w:r>
      <w:r>
        <w:rPr>
          <w:rFonts w:hint="eastAsia" w:ascii="仿宋_GB2312" w:hAnsi="仿宋_GB2312" w:cs="仿宋_GB2312"/>
          <w:szCs w:val="32"/>
        </w:rPr>
        <w:t>缴纳职工医疗保险</w:t>
      </w:r>
      <w:r>
        <w:rPr>
          <w:szCs w:val="32"/>
        </w:rPr>
        <w:t>。</w:t>
      </w:r>
    </w:p>
    <w:p>
      <w:pPr>
        <w:spacing w:line="520" w:lineRule="exact"/>
        <w:ind w:firstLine="640" w:firstLineChars="200"/>
        <w:rPr>
          <w:rFonts w:hint="eastAsia"/>
          <w:szCs w:val="32"/>
        </w:rPr>
      </w:pPr>
      <w:r>
        <w:rPr>
          <w:szCs w:val="32"/>
        </w:rPr>
        <w:t>住房保障（类）支出</w:t>
      </w:r>
      <w:r>
        <w:rPr>
          <w:rFonts w:hint="eastAsia"/>
          <w:szCs w:val="32"/>
          <w:lang w:val="en-US" w:eastAsia="zh-CN"/>
        </w:rPr>
        <w:t>32.51</w:t>
      </w:r>
      <w:r>
        <w:rPr>
          <w:szCs w:val="32"/>
        </w:rPr>
        <w:t>万元，占</w:t>
      </w:r>
      <w:r>
        <w:rPr>
          <w:rFonts w:hint="eastAsia"/>
          <w:szCs w:val="32"/>
          <w:lang w:val="en-US" w:eastAsia="zh-CN"/>
        </w:rPr>
        <w:t>7.87</w:t>
      </w:r>
      <w:r>
        <w:rPr>
          <w:szCs w:val="32"/>
        </w:rPr>
        <w:t>%，主要用于</w:t>
      </w:r>
      <w:r>
        <w:rPr>
          <w:rFonts w:hint="eastAsia" w:ascii="仿宋_GB2312" w:hAnsi="仿宋_GB2312" w:cs="仿宋_GB2312"/>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413.01</w:t>
      </w:r>
      <w:r>
        <w:rPr>
          <w:szCs w:val="32"/>
        </w:rPr>
        <w:t>万元，其中：</w:t>
      </w:r>
    </w:p>
    <w:p>
      <w:pPr>
        <w:ind w:firstLine="640" w:firstLineChars="200"/>
        <w:rPr>
          <w:kern w:val="0"/>
          <w:szCs w:val="32"/>
        </w:rPr>
      </w:pPr>
      <w:r>
        <w:rPr>
          <w:szCs w:val="32"/>
        </w:rPr>
        <w:t>人员经费</w:t>
      </w:r>
      <w:r>
        <w:rPr>
          <w:rFonts w:hint="eastAsia"/>
          <w:szCs w:val="32"/>
          <w:lang w:val="en-US" w:eastAsia="zh-CN"/>
        </w:rPr>
        <w:t>355.18</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绩效工资、机关事业单位基本养老保险缴费、职工基本医疗保险缴费、其他</w:t>
      </w:r>
      <w:r>
        <w:rPr>
          <w:kern w:val="0"/>
          <w:szCs w:val="32"/>
        </w:rPr>
        <w:t>社会保障缴费</w:t>
      </w:r>
      <w:r>
        <w:rPr>
          <w:szCs w:val="32"/>
        </w:rPr>
        <w:t>、</w:t>
      </w:r>
      <w:r>
        <w:rPr>
          <w:kern w:val="0"/>
          <w:szCs w:val="32"/>
        </w:rPr>
        <w:t>住房公积金</w:t>
      </w:r>
      <w:r>
        <w:rPr>
          <w:rFonts w:hint="eastAsia"/>
          <w:kern w:val="0"/>
          <w:szCs w:val="32"/>
          <w:lang w:eastAsia="zh-CN"/>
        </w:rPr>
        <w:t>、医疗费、</w:t>
      </w:r>
      <w:r>
        <w:rPr>
          <w:kern w:val="0"/>
          <w:szCs w:val="32"/>
        </w:rPr>
        <w:t>其他工资福利支出</w:t>
      </w:r>
      <w:r>
        <w:rPr>
          <w:szCs w:val="32"/>
        </w:rPr>
        <w:t>、</w:t>
      </w:r>
      <w:r>
        <w:rPr>
          <w:kern w:val="0"/>
          <w:szCs w:val="32"/>
        </w:rPr>
        <w:t>退休费</w:t>
      </w:r>
      <w:r>
        <w:rPr>
          <w:szCs w:val="32"/>
        </w:rPr>
        <w:t>、</w:t>
      </w:r>
      <w:r>
        <w:rPr>
          <w:kern w:val="0"/>
          <w:szCs w:val="32"/>
        </w:rPr>
        <w:t>其他对个人和家庭的补助。</w:t>
      </w:r>
    </w:p>
    <w:p>
      <w:pPr>
        <w:ind w:firstLine="640" w:firstLineChars="200"/>
        <w:rPr>
          <w:kern w:val="0"/>
          <w:szCs w:val="32"/>
        </w:rPr>
      </w:pPr>
      <w:r>
        <w:rPr>
          <w:kern w:val="0"/>
          <w:szCs w:val="32"/>
        </w:rPr>
        <w:t>公用经费</w:t>
      </w:r>
      <w:r>
        <w:rPr>
          <w:rFonts w:hint="eastAsia"/>
          <w:szCs w:val="32"/>
          <w:lang w:val="en-US" w:eastAsia="zh-CN"/>
        </w:rPr>
        <w:t>57.83</w:t>
      </w:r>
      <w:r>
        <w:rPr>
          <w:szCs w:val="32"/>
        </w:rPr>
        <w:t>万元，主要包括：</w:t>
      </w:r>
      <w:r>
        <w:rPr>
          <w:kern w:val="0"/>
          <w:szCs w:val="32"/>
        </w:rPr>
        <w:t>办公费</w:t>
      </w:r>
      <w:r>
        <w:rPr>
          <w:szCs w:val="32"/>
        </w:rPr>
        <w:t>、</w:t>
      </w:r>
      <w:r>
        <w:rPr>
          <w:rFonts w:hint="eastAsia"/>
          <w:szCs w:val="32"/>
          <w:lang w:eastAsia="zh-CN"/>
        </w:rPr>
        <w:t>印刷费、</w:t>
      </w:r>
      <w:r>
        <w:rPr>
          <w:rFonts w:hint="eastAsia"/>
          <w:kern w:val="0"/>
          <w:szCs w:val="32"/>
          <w:lang w:eastAsia="zh-CN"/>
        </w:rPr>
        <w:t>手续费</w:t>
      </w:r>
      <w:r>
        <w:rPr>
          <w:szCs w:val="32"/>
        </w:rPr>
        <w:t>、</w:t>
      </w:r>
      <w:r>
        <w:rPr>
          <w:rFonts w:hint="eastAsia"/>
          <w:szCs w:val="32"/>
          <w:lang w:eastAsia="zh-CN"/>
        </w:rPr>
        <w:t>邮电费、</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比</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减少</w:t>
      </w:r>
      <w:r>
        <w:rPr>
          <w:rFonts w:hint="eastAsia"/>
          <w:szCs w:val="32"/>
          <w:lang w:val="en-US" w:eastAsia="zh-CN"/>
        </w:rPr>
        <w:t>0.50万元</w:t>
      </w:r>
      <w:r>
        <w:rPr>
          <w:szCs w:val="32"/>
        </w:rPr>
        <w:t>。其中：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比</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减少</w:t>
      </w:r>
      <w:r>
        <w:rPr>
          <w:rFonts w:hint="eastAsia"/>
          <w:szCs w:val="32"/>
          <w:lang w:val="en-US" w:eastAsia="zh-CN"/>
        </w:rPr>
        <w:t>0.50万元</w:t>
      </w:r>
      <w:r>
        <w:rPr>
          <w:szCs w:val="32"/>
        </w:rPr>
        <w:t>，主要原因是</w:t>
      </w:r>
      <w:r>
        <w:rPr>
          <w:rFonts w:hint="eastAsia"/>
          <w:szCs w:val="32"/>
          <w:lang w:eastAsia="zh-CN"/>
        </w:rPr>
        <w:t>认真贯彻落实中共中央八项规定精神和省财政厅“过紧日子”有关要求，厉行节约，压减公务接待费预算。</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0.00</w:t>
      </w:r>
      <w:r>
        <w:rPr>
          <w:szCs w:val="32"/>
        </w:rPr>
        <w:t>万元</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2024年当年预算数与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rPr>
          <w:rFonts w:eastAsia="楷体"/>
          <w:szCs w:val="32"/>
        </w:rPr>
      </w:pPr>
      <w:r>
        <w:rPr>
          <w:szCs w:val="32"/>
        </w:rPr>
        <w:t>20</w:t>
      </w:r>
      <w:r>
        <w:rPr>
          <w:rFonts w:hint="eastAsia"/>
          <w:szCs w:val="32"/>
        </w:rPr>
        <w:t>2</w:t>
      </w:r>
      <w:r>
        <w:rPr>
          <w:rFonts w:hint="eastAsia"/>
          <w:szCs w:val="32"/>
          <w:lang w:val="en-US" w:eastAsia="zh-CN"/>
        </w:rPr>
        <w:t>4</w:t>
      </w:r>
      <w:r>
        <w:rPr>
          <w:szCs w:val="32"/>
        </w:rPr>
        <w:t>年</w:t>
      </w:r>
      <w:r>
        <w:rPr>
          <w:rFonts w:hint="eastAsia" w:ascii="仿宋_GB2312" w:hAnsi="仿宋_GB2312" w:eastAsia="仿宋_GB2312" w:cs="仿宋_GB2312"/>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hint="eastAsia" w:ascii="仿宋_GB2312" w:hAnsi="仿宋_GB2312" w:cs="仿宋_GB2312"/>
          <w:szCs w:val="32"/>
          <w:lang w:eastAsia="zh-CN"/>
        </w:rPr>
      </w:pPr>
      <w:r>
        <w:rPr>
          <w:szCs w:val="32"/>
        </w:rPr>
        <w:t>20</w:t>
      </w:r>
      <w:r>
        <w:rPr>
          <w:rFonts w:hint="eastAsia"/>
          <w:szCs w:val="32"/>
        </w:rPr>
        <w:t>2</w:t>
      </w:r>
      <w:r>
        <w:rPr>
          <w:rFonts w:hint="eastAsia"/>
          <w:szCs w:val="32"/>
          <w:lang w:val="en-US" w:eastAsia="zh-CN"/>
        </w:rPr>
        <w:t>4</w:t>
      </w:r>
      <w:r>
        <w:rPr>
          <w:szCs w:val="32"/>
        </w:rPr>
        <w:t>年</w:t>
      </w:r>
      <w:r>
        <w:rPr>
          <w:rFonts w:hint="eastAsia" w:ascii="仿宋_GB2312" w:hAnsi="仿宋_GB2312" w:eastAsia="仿宋_GB2312" w:cs="仿宋_GB2312"/>
          <w:szCs w:val="32"/>
        </w:rPr>
        <w:t>本单位无国有资本经营预算拨款</w:t>
      </w:r>
      <w:r>
        <w:rPr>
          <w:rFonts w:hint="eastAsia" w:ascii="仿宋_GB2312" w:hAnsi="仿宋_GB2312" w:cs="仿宋_GB2312"/>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rFonts w:hint="eastAsia"/>
          <w:szCs w:val="32"/>
          <w:lang w:eastAsia="zh-CN"/>
        </w:rPr>
      </w:pPr>
      <w:r>
        <w:rPr>
          <w:rFonts w:hint="eastAsia"/>
          <w:szCs w:val="32"/>
          <w:lang w:eastAsia="zh-CN"/>
        </w:rPr>
        <w:t>通化市统计局普查中心是</w:t>
      </w:r>
      <w:r>
        <w:rPr>
          <w:rFonts w:hint="eastAsia"/>
          <w:szCs w:val="32"/>
          <w:lang w:val="en-US" w:eastAsia="zh-CN"/>
        </w:rPr>
        <w:t>1</w:t>
      </w:r>
      <w:r>
        <w:rPr>
          <w:szCs w:val="32"/>
        </w:rPr>
        <w:t>家</w:t>
      </w:r>
      <w:r>
        <w:rPr>
          <w:rFonts w:hint="eastAsia"/>
          <w:szCs w:val="32"/>
          <w:lang w:eastAsia="zh-CN"/>
        </w:rPr>
        <w:t>事业</w:t>
      </w:r>
      <w:r>
        <w:rPr>
          <w:szCs w:val="32"/>
        </w:rPr>
        <w:t>单位</w:t>
      </w:r>
      <w:r>
        <w:rPr>
          <w:rFonts w:hint="eastAsia"/>
          <w:szCs w:val="32"/>
          <w:lang w:eastAsia="zh-CN"/>
        </w:rPr>
        <w:t>无</w:t>
      </w:r>
      <w:r>
        <w:rPr>
          <w:szCs w:val="32"/>
        </w:rPr>
        <w:t>机关运行经费</w:t>
      </w:r>
      <w:r>
        <w:rPr>
          <w:rFonts w:hint="eastAsia"/>
          <w:szCs w:val="32"/>
          <w:lang w:eastAsia="zh-CN"/>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rPr>
        <w:t>本单位无政府采购</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通化市统计局普查中心</w:t>
      </w:r>
      <w:r>
        <w:rPr>
          <w:rFonts w:hint="eastAsia"/>
          <w:szCs w:val="32"/>
        </w:rPr>
        <w:t>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szCs w:val="32"/>
          <w:lang w:val="en-US" w:eastAsia="zh-CN"/>
        </w:rPr>
        <w:t>0.00</w:t>
      </w:r>
      <w:r>
        <w:rPr>
          <w:szCs w:val="32"/>
        </w:rPr>
        <w:t>万元，其中：一级项目</w:t>
      </w:r>
      <w:r>
        <w:rPr>
          <w:rFonts w:hint="eastAsia"/>
          <w:szCs w:val="32"/>
          <w:lang w:val="en-US" w:eastAsia="zh-CN"/>
        </w:rPr>
        <w:t>0</w:t>
      </w:r>
      <w:r>
        <w:rPr>
          <w:szCs w:val="32"/>
        </w:rPr>
        <w:t>个，二级项目</w:t>
      </w:r>
      <w:r>
        <w:rPr>
          <w:rFonts w:hint="eastAsia"/>
          <w:szCs w:val="32"/>
          <w:lang w:val="en-US" w:eastAsia="zh-CN"/>
        </w:rPr>
        <w:t>0</w:t>
      </w:r>
      <w:r>
        <w:rPr>
          <w:szCs w:val="32"/>
        </w:rPr>
        <w:t>个；使用</w:t>
      </w:r>
      <w:r>
        <w:rPr>
          <w:rFonts w:hint="eastAsia"/>
          <w:szCs w:val="32"/>
        </w:rPr>
        <w:t>本年拨款</w:t>
      </w:r>
      <w:r>
        <w:rPr>
          <w:rFonts w:hint="eastAsia"/>
          <w:szCs w:val="32"/>
          <w:lang w:val="en-US" w:eastAsia="zh-CN"/>
        </w:rPr>
        <w:t>0.00</w:t>
      </w:r>
      <w:r>
        <w:rPr>
          <w:szCs w:val="32"/>
        </w:rPr>
        <w:t>万元，</w:t>
      </w:r>
      <w:r>
        <w:rPr>
          <w:rFonts w:hint="eastAsia"/>
          <w:szCs w:val="32"/>
        </w:rPr>
        <w:t>财政拨款结转</w:t>
      </w:r>
      <w:r>
        <w:rPr>
          <w:rFonts w:hint="eastAsia"/>
          <w:szCs w:val="32"/>
          <w:lang w:val="en-US" w:eastAsia="zh-CN"/>
        </w:rPr>
        <w:t>0.00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0.00</w:t>
      </w:r>
      <w:r>
        <w:rPr>
          <w:rFonts w:hint="eastAsia" w:ascii="宋体" w:hAnsi="宋体"/>
        </w:rPr>
        <w:t>万元。</w:t>
      </w:r>
    </w:p>
    <w:p>
      <w:pPr>
        <w:ind w:firstLine="645"/>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ind w:firstLine="640" w:firstLineChars="200"/>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WUxMmJhYzhhN2JjN2EzYzZiNDcyNmZmYzE0OTgifQ=="/>
  </w:docVars>
  <w:rsids>
    <w:rsidRoot w:val="48674ED2"/>
    <w:rsid w:val="000C6D48"/>
    <w:rsid w:val="000D7FB8"/>
    <w:rsid w:val="000E46F6"/>
    <w:rsid w:val="00102492"/>
    <w:rsid w:val="00145456"/>
    <w:rsid w:val="002300BA"/>
    <w:rsid w:val="00292A39"/>
    <w:rsid w:val="002A5441"/>
    <w:rsid w:val="002E7CD8"/>
    <w:rsid w:val="00327CB1"/>
    <w:rsid w:val="00367BC1"/>
    <w:rsid w:val="00396D8D"/>
    <w:rsid w:val="00426F96"/>
    <w:rsid w:val="00487479"/>
    <w:rsid w:val="00514321"/>
    <w:rsid w:val="00584D1B"/>
    <w:rsid w:val="00586A56"/>
    <w:rsid w:val="005D5B16"/>
    <w:rsid w:val="005F314F"/>
    <w:rsid w:val="00623896"/>
    <w:rsid w:val="006358AE"/>
    <w:rsid w:val="006B3914"/>
    <w:rsid w:val="0075194C"/>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AE4E5E"/>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396E1E"/>
    <w:rsid w:val="01423F24"/>
    <w:rsid w:val="018E6841"/>
    <w:rsid w:val="019B69D8"/>
    <w:rsid w:val="01B7145A"/>
    <w:rsid w:val="02033000"/>
    <w:rsid w:val="020E6D2C"/>
    <w:rsid w:val="021F4CA2"/>
    <w:rsid w:val="022C672A"/>
    <w:rsid w:val="025B37A5"/>
    <w:rsid w:val="02641C78"/>
    <w:rsid w:val="026779BA"/>
    <w:rsid w:val="02C44267"/>
    <w:rsid w:val="02D50DC8"/>
    <w:rsid w:val="031D7D4B"/>
    <w:rsid w:val="032D4760"/>
    <w:rsid w:val="037E6D6A"/>
    <w:rsid w:val="037F2004"/>
    <w:rsid w:val="039753F3"/>
    <w:rsid w:val="03991DF6"/>
    <w:rsid w:val="03B41E8C"/>
    <w:rsid w:val="03BA6E7A"/>
    <w:rsid w:val="03CB2296"/>
    <w:rsid w:val="03CF75C5"/>
    <w:rsid w:val="04180F6C"/>
    <w:rsid w:val="044F0706"/>
    <w:rsid w:val="046046C1"/>
    <w:rsid w:val="04755FB3"/>
    <w:rsid w:val="0486486A"/>
    <w:rsid w:val="048B5BE2"/>
    <w:rsid w:val="04954460"/>
    <w:rsid w:val="04B818D1"/>
    <w:rsid w:val="04DD5D12"/>
    <w:rsid w:val="04EF43C3"/>
    <w:rsid w:val="050D06DA"/>
    <w:rsid w:val="051E25B2"/>
    <w:rsid w:val="05310B72"/>
    <w:rsid w:val="05513E94"/>
    <w:rsid w:val="056F5A6D"/>
    <w:rsid w:val="05784549"/>
    <w:rsid w:val="059B3770"/>
    <w:rsid w:val="05A84572"/>
    <w:rsid w:val="06305825"/>
    <w:rsid w:val="063949A0"/>
    <w:rsid w:val="06823015"/>
    <w:rsid w:val="06BA7D75"/>
    <w:rsid w:val="06BD5BC7"/>
    <w:rsid w:val="06E1305A"/>
    <w:rsid w:val="06F008FF"/>
    <w:rsid w:val="073E6F3C"/>
    <w:rsid w:val="07504EC1"/>
    <w:rsid w:val="077E558A"/>
    <w:rsid w:val="07846650"/>
    <w:rsid w:val="079E5032"/>
    <w:rsid w:val="07B90CB8"/>
    <w:rsid w:val="07C13B30"/>
    <w:rsid w:val="07C82CA9"/>
    <w:rsid w:val="08471E20"/>
    <w:rsid w:val="086C1887"/>
    <w:rsid w:val="087A0447"/>
    <w:rsid w:val="087D7F38"/>
    <w:rsid w:val="088B678A"/>
    <w:rsid w:val="08B82D1E"/>
    <w:rsid w:val="09015F14"/>
    <w:rsid w:val="090C058F"/>
    <w:rsid w:val="091C5C63"/>
    <w:rsid w:val="09421190"/>
    <w:rsid w:val="095F763D"/>
    <w:rsid w:val="099217C1"/>
    <w:rsid w:val="09A0082A"/>
    <w:rsid w:val="0A00435B"/>
    <w:rsid w:val="0A1026E6"/>
    <w:rsid w:val="0A621193"/>
    <w:rsid w:val="0A735B1D"/>
    <w:rsid w:val="0AAA1697"/>
    <w:rsid w:val="0ABA06FE"/>
    <w:rsid w:val="0B21525C"/>
    <w:rsid w:val="0B49202F"/>
    <w:rsid w:val="0B5F5ADA"/>
    <w:rsid w:val="0B981B67"/>
    <w:rsid w:val="0BBF2615"/>
    <w:rsid w:val="0BD87233"/>
    <w:rsid w:val="0C0544CC"/>
    <w:rsid w:val="0C1B5A9E"/>
    <w:rsid w:val="0C2A5C84"/>
    <w:rsid w:val="0C4F64D9"/>
    <w:rsid w:val="0C583939"/>
    <w:rsid w:val="0C687E93"/>
    <w:rsid w:val="0C6D1BAE"/>
    <w:rsid w:val="0CC46135"/>
    <w:rsid w:val="0CE045F1"/>
    <w:rsid w:val="0D2A2435"/>
    <w:rsid w:val="0D531267"/>
    <w:rsid w:val="0D5739AE"/>
    <w:rsid w:val="0D690A8B"/>
    <w:rsid w:val="0D7D0092"/>
    <w:rsid w:val="0D803CBB"/>
    <w:rsid w:val="0D8238FA"/>
    <w:rsid w:val="0DA001B0"/>
    <w:rsid w:val="0DE50052"/>
    <w:rsid w:val="0DEB170B"/>
    <w:rsid w:val="0E4C7841"/>
    <w:rsid w:val="0E97506F"/>
    <w:rsid w:val="0E981627"/>
    <w:rsid w:val="0EFF6327"/>
    <w:rsid w:val="0F3E0406"/>
    <w:rsid w:val="0F5A54CA"/>
    <w:rsid w:val="0F980230"/>
    <w:rsid w:val="0FD62F63"/>
    <w:rsid w:val="0FDE2A27"/>
    <w:rsid w:val="104B26C9"/>
    <w:rsid w:val="10594DE6"/>
    <w:rsid w:val="10A87B1C"/>
    <w:rsid w:val="10AE7F82"/>
    <w:rsid w:val="10C93B35"/>
    <w:rsid w:val="10CB7366"/>
    <w:rsid w:val="110034B4"/>
    <w:rsid w:val="11177619"/>
    <w:rsid w:val="112605C8"/>
    <w:rsid w:val="11447845"/>
    <w:rsid w:val="11A227BD"/>
    <w:rsid w:val="11A6707B"/>
    <w:rsid w:val="11B35B2F"/>
    <w:rsid w:val="11D34725"/>
    <w:rsid w:val="11FA6155"/>
    <w:rsid w:val="12255C4E"/>
    <w:rsid w:val="12527D3F"/>
    <w:rsid w:val="12B10F0A"/>
    <w:rsid w:val="12C329EB"/>
    <w:rsid w:val="12C7072D"/>
    <w:rsid w:val="12D43D01"/>
    <w:rsid w:val="12E711B7"/>
    <w:rsid w:val="12F64B6E"/>
    <w:rsid w:val="13596EAB"/>
    <w:rsid w:val="135E69D0"/>
    <w:rsid w:val="136D62BD"/>
    <w:rsid w:val="136E4388"/>
    <w:rsid w:val="13914897"/>
    <w:rsid w:val="139F6FB4"/>
    <w:rsid w:val="13E72709"/>
    <w:rsid w:val="13F21722"/>
    <w:rsid w:val="141D437D"/>
    <w:rsid w:val="1441443C"/>
    <w:rsid w:val="14755F67"/>
    <w:rsid w:val="14C12787"/>
    <w:rsid w:val="152A6D51"/>
    <w:rsid w:val="15593E10"/>
    <w:rsid w:val="158A3C94"/>
    <w:rsid w:val="159F7E25"/>
    <w:rsid w:val="15B34F99"/>
    <w:rsid w:val="15BF393E"/>
    <w:rsid w:val="15C2342E"/>
    <w:rsid w:val="15D82CEB"/>
    <w:rsid w:val="15F848D0"/>
    <w:rsid w:val="160E1FA5"/>
    <w:rsid w:val="160F2600"/>
    <w:rsid w:val="161C2A95"/>
    <w:rsid w:val="164D6FD7"/>
    <w:rsid w:val="165D4F05"/>
    <w:rsid w:val="1662251B"/>
    <w:rsid w:val="16AD19E8"/>
    <w:rsid w:val="16C829AB"/>
    <w:rsid w:val="16C84A74"/>
    <w:rsid w:val="16DD34F5"/>
    <w:rsid w:val="16E42F30"/>
    <w:rsid w:val="175E5BA2"/>
    <w:rsid w:val="17765BCA"/>
    <w:rsid w:val="179C380B"/>
    <w:rsid w:val="17A027D8"/>
    <w:rsid w:val="17AC7EF2"/>
    <w:rsid w:val="17CC2625"/>
    <w:rsid w:val="17D64F6F"/>
    <w:rsid w:val="185D743E"/>
    <w:rsid w:val="18616F2E"/>
    <w:rsid w:val="18AF5EEB"/>
    <w:rsid w:val="18FC0A05"/>
    <w:rsid w:val="19132BE0"/>
    <w:rsid w:val="191F4716"/>
    <w:rsid w:val="19347376"/>
    <w:rsid w:val="193E101D"/>
    <w:rsid w:val="1954649C"/>
    <w:rsid w:val="198D5B01"/>
    <w:rsid w:val="19A075E2"/>
    <w:rsid w:val="19AF7825"/>
    <w:rsid w:val="1A1678A4"/>
    <w:rsid w:val="1A25326C"/>
    <w:rsid w:val="1A817DF8"/>
    <w:rsid w:val="1A8A6135"/>
    <w:rsid w:val="1AC605EE"/>
    <w:rsid w:val="1AD5033E"/>
    <w:rsid w:val="1ADC594E"/>
    <w:rsid w:val="1AEB0D31"/>
    <w:rsid w:val="1AEB5252"/>
    <w:rsid w:val="1B140288"/>
    <w:rsid w:val="1B8A03E4"/>
    <w:rsid w:val="1B9C1459"/>
    <w:rsid w:val="1BE22134"/>
    <w:rsid w:val="1C852172"/>
    <w:rsid w:val="1C901B90"/>
    <w:rsid w:val="1C931680"/>
    <w:rsid w:val="1CA40C0C"/>
    <w:rsid w:val="1CFF4A32"/>
    <w:rsid w:val="1D833200"/>
    <w:rsid w:val="1DC85359"/>
    <w:rsid w:val="1DE37813"/>
    <w:rsid w:val="1E3A3FD0"/>
    <w:rsid w:val="1E696B3C"/>
    <w:rsid w:val="1E803E86"/>
    <w:rsid w:val="1EB458DE"/>
    <w:rsid w:val="1EB55C07"/>
    <w:rsid w:val="1ED0096A"/>
    <w:rsid w:val="1ED10598"/>
    <w:rsid w:val="1EE47F71"/>
    <w:rsid w:val="1F351A10"/>
    <w:rsid w:val="1F42516B"/>
    <w:rsid w:val="1F5F584A"/>
    <w:rsid w:val="1F857EA5"/>
    <w:rsid w:val="1FED47E9"/>
    <w:rsid w:val="202C79B8"/>
    <w:rsid w:val="206816AC"/>
    <w:rsid w:val="206C46C2"/>
    <w:rsid w:val="209459C7"/>
    <w:rsid w:val="20E34258"/>
    <w:rsid w:val="20FA1CCE"/>
    <w:rsid w:val="21134335"/>
    <w:rsid w:val="214B2529"/>
    <w:rsid w:val="215313DE"/>
    <w:rsid w:val="219B026A"/>
    <w:rsid w:val="21C04BDE"/>
    <w:rsid w:val="21E62252"/>
    <w:rsid w:val="22066450"/>
    <w:rsid w:val="226E581D"/>
    <w:rsid w:val="229323DA"/>
    <w:rsid w:val="22A4003E"/>
    <w:rsid w:val="22B365D8"/>
    <w:rsid w:val="22C2681B"/>
    <w:rsid w:val="22D542B3"/>
    <w:rsid w:val="23135C25"/>
    <w:rsid w:val="236478D2"/>
    <w:rsid w:val="23D74548"/>
    <w:rsid w:val="23EC61F6"/>
    <w:rsid w:val="23EF34A5"/>
    <w:rsid w:val="23F32A04"/>
    <w:rsid w:val="241F42DD"/>
    <w:rsid w:val="244C543C"/>
    <w:rsid w:val="24624768"/>
    <w:rsid w:val="246B4C91"/>
    <w:rsid w:val="24A3442A"/>
    <w:rsid w:val="24D82326"/>
    <w:rsid w:val="24E0567E"/>
    <w:rsid w:val="2503311B"/>
    <w:rsid w:val="251B66B7"/>
    <w:rsid w:val="253B0B07"/>
    <w:rsid w:val="25401C79"/>
    <w:rsid w:val="25822292"/>
    <w:rsid w:val="259B5BC5"/>
    <w:rsid w:val="25BF7042"/>
    <w:rsid w:val="25CC7D8F"/>
    <w:rsid w:val="25F62C4E"/>
    <w:rsid w:val="263F32B3"/>
    <w:rsid w:val="26643D6C"/>
    <w:rsid w:val="2674607E"/>
    <w:rsid w:val="26DD6323"/>
    <w:rsid w:val="26FE109D"/>
    <w:rsid w:val="27073E1E"/>
    <w:rsid w:val="274F2647"/>
    <w:rsid w:val="27B04AB3"/>
    <w:rsid w:val="27EB411E"/>
    <w:rsid w:val="282C3BA1"/>
    <w:rsid w:val="28373807"/>
    <w:rsid w:val="28A63332"/>
    <w:rsid w:val="28B430AA"/>
    <w:rsid w:val="28C96E8E"/>
    <w:rsid w:val="29982084"/>
    <w:rsid w:val="29C45F24"/>
    <w:rsid w:val="2A0239A1"/>
    <w:rsid w:val="2A1C2CB5"/>
    <w:rsid w:val="2A297180"/>
    <w:rsid w:val="2AB96756"/>
    <w:rsid w:val="2AF23A05"/>
    <w:rsid w:val="2B42499D"/>
    <w:rsid w:val="2BB1742D"/>
    <w:rsid w:val="2BE315B0"/>
    <w:rsid w:val="2C16266E"/>
    <w:rsid w:val="2C1C3440"/>
    <w:rsid w:val="2C484235"/>
    <w:rsid w:val="2C8D533D"/>
    <w:rsid w:val="2C932FD6"/>
    <w:rsid w:val="2CA945A8"/>
    <w:rsid w:val="2CD0422B"/>
    <w:rsid w:val="2D344306"/>
    <w:rsid w:val="2D597D7C"/>
    <w:rsid w:val="2D9038E4"/>
    <w:rsid w:val="2DF8796C"/>
    <w:rsid w:val="2EB22F18"/>
    <w:rsid w:val="2EE12108"/>
    <w:rsid w:val="2EED35E3"/>
    <w:rsid w:val="2F0B5068"/>
    <w:rsid w:val="2F250383"/>
    <w:rsid w:val="2F63610B"/>
    <w:rsid w:val="2F8950E1"/>
    <w:rsid w:val="2FBC646B"/>
    <w:rsid w:val="2FC242FE"/>
    <w:rsid w:val="2FE921C8"/>
    <w:rsid w:val="300965A3"/>
    <w:rsid w:val="30281C88"/>
    <w:rsid w:val="304C5976"/>
    <w:rsid w:val="30730D6E"/>
    <w:rsid w:val="308B20C9"/>
    <w:rsid w:val="30A25EDE"/>
    <w:rsid w:val="30B91A70"/>
    <w:rsid w:val="30D93B7C"/>
    <w:rsid w:val="30EC0F07"/>
    <w:rsid w:val="30F009F7"/>
    <w:rsid w:val="30F84C22"/>
    <w:rsid w:val="310C6AA2"/>
    <w:rsid w:val="31496359"/>
    <w:rsid w:val="31793674"/>
    <w:rsid w:val="31894469"/>
    <w:rsid w:val="31B732C3"/>
    <w:rsid w:val="320C1861"/>
    <w:rsid w:val="32332703"/>
    <w:rsid w:val="32696CB3"/>
    <w:rsid w:val="32CF2C5D"/>
    <w:rsid w:val="32DA370D"/>
    <w:rsid w:val="32EE2C61"/>
    <w:rsid w:val="330B38C7"/>
    <w:rsid w:val="332F677D"/>
    <w:rsid w:val="335402B5"/>
    <w:rsid w:val="335F6616"/>
    <w:rsid w:val="338F274A"/>
    <w:rsid w:val="339466B2"/>
    <w:rsid w:val="33C00B55"/>
    <w:rsid w:val="33E466C0"/>
    <w:rsid w:val="34346E4D"/>
    <w:rsid w:val="34555AF5"/>
    <w:rsid w:val="345E036E"/>
    <w:rsid w:val="346D124D"/>
    <w:rsid w:val="34802092"/>
    <w:rsid w:val="34831B82"/>
    <w:rsid w:val="34F52A80"/>
    <w:rsid w:val="34FF687B"/>
    <w:rsid w:val="352E1AEE"/>
    <w:rsid w:val="354C4987"/>
    <w:rsid w:val="35616772"/>
    <w:rsid w:val="35942299"/>
    <w:rsid w:val="35EA1663"/>
    <w:rsid w:val="364C598E"/>
    <w:rsid w:val="368A3622"/>
    <w:rsid w:val="36B543E5"/>
    <w:rsid w:val="36CC2B0F"/>
    <w:rsid w:val="36FC762F"/>
    <w:rsid w:val="375148FB"/>
    <w:rsid w:val="376D2DA2"/>
    <w:rsid w:val="37D83F93"/>
    <w:rsid w:val="3838492F"/>
    <w:rsid w:val="383A009B"/>
    <w:rsid w:val="384358B1"/>
    <w:rsid w:val="38672D11"/>
    <w:rsid w:val="387719FE"/>
    <w:rsid w:val="3887374F"/>
    <w:rsid w:val="389E6858"/>
    <w:rsid w:val="38CB0ABC"/>
    <w:rsid w:val="39041A07"/>
    <w:rsid w:val="39043B77"/>
    <w:rsid w:val="391820F9"/>
    <w:rsid w:val="391F02EA"/>
    <w:rsid w:val="39520806"/>
    <w:rsid w:val="39621CD3"/>
    <w:rsid w:val="39670895"/>
    <w:rsid w:val="397B4EE2"/>
    <w:rsid w:val="39846181"/>
    <w:rsid w:val="398F7A24"/>
    <w:rsid w:val="3A184B1B"/>
    <w:rsid w:val="3A19048B"/>
    <w:rsid w:val="3A387943"/>
    <w:rsid w:val="3A657F9A"/>
    <w:rsid w:val="3A8F1D4B"/>
    <w:rsid w:val="3A9113D4"/>
    <w:rsid w:val="3AB74334"/>
    <w:rsid w:val="3AC54F32"/>
    <w:rsid w:val="3ACA22B9"/>
    <w:rsid w:val="3B144A0A"/>
    <w:rsid w:val="3B1F0857"/>
    <w:rsid w:val="3B254018"/>
    <w:rsid w:val="3B3C259C"/>
    <w:rsid w:val="3B5257F8"/>
    <w:rsid w:val="3BBC5F36"/>
    <w:rsid w:val="3BC92948"/>
    <w:rsid w:val="3BDF47CF"/>
    <w:rsid w:val="3BE370D4"/>
    <w:rsid w:val="3C0B72BB"/>
    <w:rsid w:val="3C1A026D"/>
    <w:rsid w:val="3C29381E"/>
    <w:rsid w:val="3C711E1D"/>
    <w:rsid w:val="3C7F463D"/>
    <w:rsid w:val="3CA01523"/>
    <w:rsid w:val="3CA1529C"/>
    <w:rsid w:val="3CAE3960"/>
    <w:rsid w:val="3CD76F0F"/>
    <w:rsid w:val="3CEF6494"/>
    <w:rsid w:val="3CFC24D2"/>
    <w:rsid w:val="3D2C1009"/>
    <w:rsid w:val="3D365BF6"/>
    <w:rsid w:val="3D6E02CF"/>
    <w:rsid w:val="3D7309E6"/>
    <w:rsid w:val="3D7F7007"/>
    <w:rsid w:val="3DB008AA"/>
    <w:rsid w:val="3DF23324"/>
    <w:rsid w:val="3E303A6A"/>
    <w:rsid w:val="3E3D3A17"/>
    <w:rsid w:val="3E467EA9"/>
    <w:rsid w:val="3EA14040"/>
    <w:rsid w:val="3EE8108D"/>
    <w:rsid w:val="3F1B7587"/>
    <w:rsid w:val="3F2265C3"/>
    <w:rsid w:val="3F8201A3"/>
    <w:rsid w:val="3FA36035"/>
    <w:rsid w:val="3FA506C9"/>
    <w:rsid w:val="3FC512A1"/>
    <w:rsid w:val="3FE32B7F"/>
    <w:rsid w:val="401C5365"/>
    <w:rsid w:val="402675EA"/>
    <w:rsid w:val="405F5252"/>
    <w:rsid w:val="40664832"/>
    <w:rsid w:val="409A272E"/>
    <w:rsid w:val="40B80EFF"/>
    <w:rsid w:val="40D519B8"/>
    <w:rsid w:val="411A73CB"/>
    <w:rsid w:val="411B386E"/>
    <w:rsid w:val="41A35364"/>
    <w:rsid w:val="41B463D8"/>
    <w:rsid w:val="41C31686"/>
    <w:rsid w:val="41C837BC"/>
    <w:rsid w:val="41E40104"/>
    <w:rsid w:val="420936C7"/>
    <w:rsid w:val="4214206C"/>
    <w:rsid w:val="421643AC"/>
    <w:rsid w:val="421678CB"/>
    <w:rsid w:val="42982B4E"/>
    <w:rsid w:val="429F5D0C"/>
    <w:rsid w:val="42A12BBB"/>
    <w:rsid w:val="42D83665"/>
    <w:rsid w:val="431467C7"/>
    <w:rsid w:val="432307B8"/>
    <w:rsid w:val="4348021A"/>
    <w:rsid w:val="434A6B47"/>
    <w:rsid w:val="436B1E42"/>
    <w:rsid w:val="43A85162"/>
    <w:rsid w:val="444C01E3"/>
    <w:rsid w:val="4450382F"/>
    <w:rsid w:val="44555E56"/>
    <w:rsid w:val="44C304A5"/>
    <w:rsid w:val="45195625"/>
    <w:rsid w:val="452F5B3A"/>
    <w:rsid w:val="454669E0"/>
    <w:rsid w:val="4557299B"/>
    <w:rsid w:val="456D114B"/>
    <w:rsid w:val="45B61DB8"/>
    <w:rsid w:val="45BD51E6"/>
    <w:rsid w:val="45D86D8A"/>
    <w:rsid w:val="45EB670F"/>
    <w:rsid w:val="460A2104"/>
    <w:rsid w:val="462211FB"/>
    <w:rsid w:val="46396545"/>
    <w:rsid w:val="46511AE0"/>
    <w:rsid w:val="46AB7C0D"/>
    <w:rsid w:val="46B53D4A"/>
    <w:rsid w:val="46D44808"/>
    <w:rsid w:val="46D44B24"/>
    <w:rsid w:val="46EB783F"/>
    <w:rsid w:val="46ED776B"/>
    <w:rsid w:val="471072A6"/>
    <w:rsid w:val="474451A1"/>
    <w:rsid w:val="47482EE3"/>
    <w:rsid w:val="47490A0A"/>
    <w:rsid w:val="479D2523"/>
    <w:rsid w:val="47CF49E6"/>
    <w:rsid w:val="47D06A35"/>
    <w:rsid w:val="48496F13"/>
    <w:rsid w:val="485D651B"/>
    <w:rsid w:val="48674ED2"/>
    <w:rsid w:val="486B5A96"/>
    <w:rsid w:val="487708E6"/>
    <w:rsid w:val="489D100D"/>
    <w:rsid w:val="489F2696"/>
    <w:rsid w:val="48B540F2"/>
    <w:rsid w:val="49161911"/>
    <w:rsid w:val="493C4382"/>
    <w:rsid w:val="493F6F72"/>
    <w:rsid w:val="49627B61"/>
    <w:rsid w:val="49645F71"/>
    <w:rsid w:val="496E6505"/>
    <w:rsid w:val="499F5C68"/>
    <w:rsid w:val="49A62143"/>
    <w:rsid w:val="49B303BC"/>
    <w:rsid w:val="49BC3715"/>
    <w:rsid w:val="4A52465C"/>
    <w:rsid w:val="4A5C4AC6"/>
    <w:rsid w:val="4A657908"/>
    <w:rsid w:val="4A662FBF"/>
    <w:rsid w:val="4A74717B"/>
    <w:rsid w:val="4AF16062"/>
    <w:rsid w:val="4B0A57E5"/>
    <w:rsid w:val="4B646DDD"/>
    <w:rsid w:val="4B7D0C82"/>
    <w:rsid w:val="4B7F44F8"/>
    <w:rsid w:val="4BAC24C5"/>
    <w:rsid w:val="4BB87F0C"/>
    <w:rsid w:val="4BFA0656"/>
    <w:rsid w:val="4C48623B"/>
    <w:rsid w:val="4C8A40BB"/>
    <w:rsid w:val="4CCF550D"/>
    <w:rsid w:val="4CE37103"/>
    <w:rsid w:val="4D003831"/>
    <w:rsid w:val="4D3439E8"/>
    <w:rsid w:val="4D36558C"/>
    <w:rsid w:val="4D4E2809"/>
    <w:rsid w:val="4D710D8B"/>
    <w:rsid w:val="4D730507"/>
    <w:rsid w:val="4D741DD3"/>
    <w:rsid w:val="4D77007F"/>
    <w:rsid w:val="4DC93207"/>
    <w:rsid w:val="4E010C4C"/>
    <w:rsid w:val="4E214B2B"/>
    <w:rsid w:val="4E233D62"/>
    <w:rsid w:val="4E8D5761"/>
    <w:rsid w:val="4EF54A85"/>
    <w:rsid w:val="4EF972C6"/>
    <w:rsid w:val="4F754A92"/>
    <w:rsid w:val="4FC82E13"/>
    <w:rsid w:val="4FDA2B47"/>
    <w:rsid w:val="4FDA48F5"/>
    <w:rsid w:val="501B3C66"/>
    <w:rsid w:val="502D2C76"/>
    <w:rsid w:val="50485D02"/>
    <w:rsid w:val="504B40C5"/>
    <w:rsid w:val="504D156B"/>
    <w:rsid w:val="50987DC2"/>
    <w:rsid w:val="50A4703E"/>
    <w:rsid w:val="50F43794"/>
    <w:rsid w:val="50F6575E"/>
    <w:rsid w:val="51282B99"/>
    <w:rsid w:val="5136104F"/>
    <w:rsid w:val="51465EDE"/>
    <w:rsid w:val="51654692"/>
    <w:rsid w:val="52071113"/>
    <w:rsid w:val="52085509"/>
    <w:rsid w:val="522774C4"/>
    <w:rsid w:val="522A7431"/>
    <w:rsid w:val="525A440D"/>
    <w:rsid w:val="52626449"/>
    <w:rsid w:val="53163E96"/>
    <w:rsid w:val="538B1AA6"/>
    <w:rsid w:val="53A94D0A"/>
    <w:rsid w:val="53DB6E8D"/>
    <w:rsid w:val="53E47AF0"/>
    <w:rsid w:val="54206127"/>
    <w:rsid w:val="544D7D8B"/>
    <w:rsid w:val="544E511A"/>
    <w:rsid w:val="54741940"/>
    <w:rsid w:val="547C5F7A"/>
    <w:rsid w:val="54810E66"/>
    <w:rsid w:val="549C03CB"/>
    <w:rsid w:val="54B41BB8"/>
    <w:rsid w:val="54C063E4"/>
    <w:rsid w:val="54C2556E"/>
    <w:rsid w:val="54D1276A"/>
    <w:rsid w:val="55124B31"/>
    <w:rsid w:val="55162B19"/>
    <w:rsid w:val="55480EEF"/>
    <w:rsid w:val="554967A4"/>
    <w:rsid w:val="557D01FC"/>
    <w:rsid w:val="55850C4A"/>
    <w:rsid w:val="562C1C22"/>
    <w:rsid w:val="562C577E"/>
    <w:rsid w:val="566E5D97"/>
    <w:rsid w:val="567333AD"/>
    <w:rsid w:val="569B7F91"/>
    <w:rsid w:val="56D21BED"/>
    <w:rsid w:val="572651B2"/>
    <w:rsid w:val="57A04676"/>
    <w:rsid w:val="57AE5C26"/>
    <w:rsid w:val="57DD75A9"/>
    <w:rsid w:val="57EA3B43"/>
    <w:rsid w:val="5801059F"/>
    <w:rsid w:val="58256ABD"/>
    <w:rsid w:val="58607961"/>
    <w:rsid w:val="58BB035D"/>
    <w:rsid w:val="58C148A4"/>
    <w:rsid w:val="58C27FDB"/>
    <w:rsid w:val="59374B66"/>
    <w:rsid w:val="59472AC7"/>
    <w:rsid w:val="596D67DA"/>
    <w:rsid w:val="597E2795"/>
    <w:rsid w:val="5992164C"/>
    <w:rsid w:val="599C0E6D"/>
    <w:rsid w:val="59D514A6"/>
    <w:rsid w:val="59E44CEE"/>
    <w:rsid w:val="59E90618"/>
    <w:rsid w:val="59EC6E09"/>
    <w:rsid w:val="5A1031F5"/>
    <w:rsid w:val="5A312D8C"/>
    <w:rsid w:val="5AB343F7"/>
    <w:rsid w:val="5ABF50F2"/>
    <w:rsid w:val="5AD3266C"/>
    <w:rsid w:val="5AF25D13"/>
    <w:rsid w:val="5AF76904"/>
    <w:rsid w:val="5B052E7A"/>
    <w:rsid w:val="5B0B62AA"/>
    <w:rsid w:val="5B3475AF"/>
    <w:rsid w:val="5B3D7F7E"/>
    <w:rsid w:val="5B745F09"/>
    <w:rsid w:val="5B791466"/>
    <w:rsid w:val="5B7C7777"/>
    <w:rsid w:val="5B87127A"/>
    <w:rsid w:val="5BC75F04"/>
    <w:rsid w:val="5BE32D83"/>
    <w:rsid w:val="5BEC6771"/>
    <w:rsid w:val="5BF94355"/>
    <w:rsid w:val="5BFC5BF3"/>
    <w:rsid w:val="5C5D14BD"/>
    <w:rsid w:val="5C961BA3"/>
    <w:rsid w:val="5CA506B9"/>
    <w:rsid w:val="5CCD3E8C"/>
    <w:rsid w:val="5CF74CE4"/>
    <w:rsid w:val="5D0B17B8"/>
    <w:rsid w:val="5D5A7C63"/>
    <w:rsid w:val="5D7A7717"/>
    <w:rsid w:val="5DDC3F2E"/>
    <w:rsid w:val="5E256F6F"/>
    <w:rsid w:val="5E8048B9"/>
    <w:rsid w:val="5EB21300"/>
    <w:rsid w:val="5ECC7AFE"/>
    <w:rsid w:val="5ED75A17"/>
    <w:rsid w:val="5EE1296D"/>
    <w:rsid w:val="5EF86B7E"/>
    <w:rsid w:val="5F6235A9"/>
    <w:rsid w:val="5F697A43"/>
    <w:rsid w:val="5FF11F12"/>
    <w:rsid w:val="6022031E"/>
    <w:rsid w:val="604A517F"/>
    <w:rsid w:val="604D1DE8"/>
    <w:rsid w:val="60DC439E"/>
    <w:rsid w:val="60E530F9"/>
    <w:rsid w:val="60EC26DA"/>
    <w:rsid w:val="61147AFE"/>
    <w:rsid w:val="612B3202"/>
    <w:rsid w:val="612E2CF2"/>
    <w:rsid w:val="614125C2"/>
    <w:rsid w:val="618301F5"/>
    <w:rsid w:val="61AA1D1F"/>
    <w:rsid w:val="61B6101A"/>
    <w:rsid w:val="61BF7DEE"/>
    <w:rsid w:val="61D218D0"/>
    <w:rsid w:val="61D91338"/>
    <w:rsid w:val="61E03C07"/>
    <w:rsid w:val="61E51DD1"/>
    <w:rsid w:val="61E82EA1"/>
    <w:rsid w:val="61F21F72"/>
    <w:rsid w:val="624C5C52"/>
    <w:rsid w:val="62742987"/>
    <w:rsid w:val="628A3147"/>
    <w:rsid w:val="62C05BCC"/>
    <w:rsid w:val="62D17DD9"/>
    <w:rsid w:val="63DF08E4"/>
    <w:rsid w:val="63EB4ECB"/>
    <w:rsid w:val="642A77A1"/>
    <w:rsid w:val="64412D3D"/>
    <w:rsid w:val="649B324A"/>
    <w:rsid w:val="64C04AFD"/>
    <w:rsid w:val="64CD45D0"/>
    <w:rsid w:val="651E4E2C"/>
    <w:rsid w:val="6525440C"/>
    <w:rsid w:val="65515DB5"/>
    <w:rsid w:val="65530F79"/>
    <w:rsid w:val="655716DD"/>
    <w:rsid w:val="655B219F"/>
    <w:rsid w:val="65640A91"/>
    <w:rsid w:val="65A96DEB"/>
    <w:rsid w:val="65F85430"/>
    <w:rsid w:val="66067D9A"/>
    <w:rsid w:val="661A7B69"/>
    <w:rsid w:val="66455323"/>
    <w:rsid w:val="664909C1"/>
    <w:rsid w:val="66635AE4"/>
    <w:rsid w:val="66C63EB5"/>
    <w:rsid w:val="66E14363"/>
    <w:rsid w:val="66F978FF"/>
    <w:rsid w:val="673E54E3"/>
    <w:rsid w:val="67592674"/>
    <w:rsid w:val="6764121C"/>
    <w:rsid w:val="679461D3"/>
    <w:rsid w:val="67DE6B57"/>
    <w:rsid w:val="6804655B"/>
    <w:rsid w:val="6858287E"/>
    <w:rsid w:val="68593A1E"/>
    <w:rsid w:val="68C04D52"/>
    <w:rsid w:val="68D33DE9"/>
    <w:rsid w:val="68EA39A3"/>
    <w:rsid w:val="690C1B6B"/>
    <w:rsid w:val="69157114"/>
    <w:rsid w:val="691722BE"/>
    <w:rsid w:val="691A443E"/>
    <w:rsid w:val="69470DF5"/>
    <w:rsid w:val="69483B41"/>
    <w:rsid w:val="69747710"/>
    <w:rsid w:val="69D1246D"/>
    <w:rsid w:val="69E06B54"/>
    <w:rsid w:val="69E203A0"/>
    <w:rsid w:val="6A334ED5"/>
    <w:rsid w:val="6A5B6D7D"/>
    <w:rsid w:val="6A682AA6"/>
    <w:rsid w:val="6A765FBC"/>
    <w:rsid w:val="6A80735F"/>
    <w:rsid w:val="6A8B4D12"/>
    <w:rsid w:val="6AC17181"/>
    <w:rsid w:val="6ACC5E47"/>
    <w:rsid w:val="6AD43ED1"/>
    <w:rsid w:val="6AE306AA"/>
    <w:rsid w:val="6B11024D"/>
    <w:rsid w:val="6B3233DF"/>
    <w:rsid w:val="6B7D5B36"/>
    <w:rsid w:val="6B916358"/>
    <w:rsid w:val="6B9D30D0"/>
    <w:rsid w:val="6C262F44"/>
    <w:rsid w:val="6C264CF2"/>
    <w:rsid w:val="6C6D2921"/>
    <w:rsid w:val="6C834DAA"/>
    <w:rsid w:val="6C89702F"/>
    <w:rsid w:val="6C993CCE"/>
    <w:rsid w:val="6CAA05BD"/>
    <w:rsid w:val="6CF120A8"/>
    <w:rsid w:val="6D036DE1"/>
    <w:rsid w:val="6D2D0302"/>
    <w:rsid w:val="6D321474"/>
    <w:rsid w:val="6D394EF9"/>
    <w:rsid w:val="6D72413D"/>
    <w:rsid w:val="6DF36E56"/>
    <w:rsid w:val="6E201C15"/>
    <w:rsid w:val="6EC32CCC"/>
    <w:rsid w:val="6FE86762"/>
    <w:rsid w:val="6FF50B81"/>
    <w:rsid w:val="701632CF"/>
    <w:rsid w:val="70187047"/>
    <w:rsid w:val="70221C74"/>
    <w:rsid w:val="702424D9"/>
    <w:rsid w:val="70330B9C"/>
    <w:rsid w:val="70357BF9"/>
    <w:rsid w:val="707B3132"/>
    <w:rsid w:val="70862203"/>
    <w:rsid w:val="70E21403"/>
    <w:rsid w:val="7104137A"/>
    <w:rsid w:val="71052A26"/>
    <w:rsid w:val="713D663A"/>
    <w:rsid w:val="714213DD"/>
    <w:rsid w:val="71471D21"/>
    <w:rsid w:val="7148395C"/>
    <w:rsid w:val="714D4ACF"/>
    <w:rsid w:val="715735F6"/>
    <w:rsid w:val="715F2A54"/>
    <w:rsid w:val="717F272E"/>
    <w:rsid w:val="71AF5789"/>
    <w:rsid w:val="71B20DD6"/>
    <w:rsid w:val="71C31235"/>
    <w:rsid w:val="72591875"/>
    <w:rsid w:val="725E4ABA"/>
    <w:rsid w:val="72783A23"/>
    <w:rsid w:val="728027C6"/>
    <w:rsid w:val="72AC7F1B"/>
    <w:rsid w:val="72DD1E82"/>
    <w:rsid w:val="72EB0A43"/>
    <w:rsid w:val="733F0D8F"/>
    <w:rsid w:val="737E5413"/>
    <w:rsid w:val="73A6298D"/>
    <w:rsid w:val="73AA445A"/>
    <w:rsid w:val="73BC418E"/>
    <w:rsid w:val="73D62FA6"/>
    <w:rsid w:val="73FE7ACC"/>
    <w:rsid w:val="74556746"/>
    <w:rsid w:val="74561EEC"/>
    <w:rsid w:val="74743258"/>
    <w:rsid w:val="74915A35"/>
    <w:rsid w:val="74E120FE"/>
    <w:rsid w:val="74E36253"/>
    <w:rsid w:val="750A63E3"/>
    <w:rsid w:val="75263FB5"/>
    <w:rsid w:val="754D7793"/>
    <w:rsid w:val="759E3B4B"/>
    <w:rsid w:val="75C17839"/>
    <w:rsid w:val="761B13C4"/>
    <w:rsid w:val="763742EF"/>
    <w:rsid w:val="764B6A8A"/>
    <w:rsid w:val="76C17E06"/>
    <w:rsid w:val="76CA67BD"/>
    <w:rsid w:val="77171B91"/>
    <w:rsid w:val="771B0135"/>
    <w:rsid w:val="774E6400"/>
    <w:rsid w:val="775A6197"/>
    <w:rsid w:val="775B0046"/>
    <w:rsid w:val="777A2396"/>
    <w:rsid w:val="77F57C6E"/>
    <w:rsid w:val="782B18E2"/>
    <w:rsid w:val="78D5150E"/>
    <w:rsid w:val="79700BEF"/>
    <w:rsid w:val="79751067"/>
    <w:rsid w:val="798D552B"/>
    <w:rsid w:val="79AE27CB"/>
    <w:rsid w:val="79EB1329"/>
    <w:rsid w:val="79EC1C18"/>
    <w:rsid w:val="7A090695"/>
    <w:rsid w:val="7A1D5951"/>
    <w:rsid w:val="7ABB0CFB"/>
    <w:rsid w:val="7ACD6C80"/>
    <w:rsid w:val="7AE175F4"/>
    <w:rsid w:val="7B417685"/>
    <w:rsid w:val="7B5220F0"/>
    <w:rsid w:val="7B6B5044"/>
    <w:rsid w:val="7B841A35"/>
    <w:rsid w:val="7B98103C"/>
    <w:rsid w:val="7BA169C0"/>
    <w:rsid w:val="7BB87930"/>
    <w:rsid w:val="7BC55243"/>
    <w:rsid w:val="7BCF51EC"/>
    <w:rsid w:val="7BE97AEA"/>
    <w:rsid w:val="7C084414"/>
    <w:rsid w:val="7C2470D1"/>
    <w:rsid w:val="7C2F4A9A"/>
    <w:rsid w:val="7C413482"/>
    <w:rsid w:val="7C457EE7"/>
    <w:rsid w:val="7C6B6751"/>
    <w:rsid w:val="7C6D24C9"/>
    <w:rsid w:val="7C855734"/>
    <w:rsid w:val="7CAD595B"/>
    <w:rsid w:val="7CDF2884"/>
    <w:rsid w:val="7CE90311"/>
    <w:rsid w:val="7CF65D07"/>
    <w:rsid w:val="7D085D06"/>
    <w:rsid w:val="7D1C7A4B"/>
    <w:rsid w:val="7D2975D1"/>
    <w:rsid w:val="7D2F3083"/>
    <w:rsid w:val="7D906046"/>
    <w:rsid w:val="7DCC0CD6"/>
    <w:rsid w:val="7DF05160"/>
    <w:rsid w:val="7E350DC4"/>
    <w:rsid w:val="7EAB1224"/>
    <w:rsid w:val="7F364DF4"/>
    <w:rsid w:val="7F6B0733"/>
    <w:rsid w:val="7F872CCD"/>
    <w:rsid w:val="7FA93818"/>
    <w:rsid w:val="7FEA5B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0</TotalTime>
  <ScaleCrop>false</ScaleCrop>
  <LinksUpToDate>false</LinksUpToDate>
  <CharactersWithSpaces>10118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2024-02-26T01:53:06Z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4ED5A41B4CE04803B17ED02B2BC1B84A_13</vt:lpwstr>
  </property>
</Properties>
</file>