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通化市统计局</w:t>
      </w:r>
      <w:r>
        <w:rPr>
          <w:rFonts w:hint="eastAsia" w:eastAsia="方正小标宋简体"/>
          <w:sz w:val="44"/>
          <w:szCs w:val="44"/>
          <w:lang w:eastAsia="zh-CN"/>
        </w:rPr>
        <w:t>计算中心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二十六</w:t>
      </w:r>
      <w:r>
        <w:rPr>
          <w:rFonts w:eastAsia="华文细黑"/>
        </w:rPr>
        <w:t>日</w:t>
      </w: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（一）</w:t>
      </w:r>
      <w:r>
        <w:rPr>
          <w:rFonts w:hint="eastAsia" w:ascii="仿宋_GB2312" w:hAnsi="仿宋_GB2312" w:cs="仿宋_GB2312"/>
          <w:color w:val="000000"/>
          <w:szCs w:val="32"/>
          <w:lang w:eastAsia="zh-CN"/>
        </w:rPr>
        <w:t>负责组织实施全市统计调查、大型普查的数据处理与管理；</w:t>
      </w:r>
    </w:p>
    <w:p>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（二）</w:t>
      </w:r>
      <w:r>
        <w:rPr>
          <w:rFonts w:hint="eastAsia" w:ascii="仿宋_GB2312" w:hAnsi="仿宋_GB2312" w:cs="仿宋_GB2312"/>
          <w:color w:val="000000"/>
          <w:szCs w:val="32"/>
          <w:lang w:eastAsia="zh-CN"/>
        </w:rPr>
        <w:t>负责全市统计信息网络系统、安全系统、数据处理系统、数据库系统的建设与管理；</w:t>
      </w:r>
    </w:p>
    <w:p>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（三）</w:t>
      </w:r>
      <w:r>
        <w:rPr>
          <w:rFonts w:hint="eastAsia" w:ascii="仿宋_GB2312" w:hAnsi="仿宋_GB2312" w:cs="仿宋_GB2312"/>
          <w:color w:val="000000"/>
          <w:szCs w:val="32"/>
          <w:lang w:eastAsia="zh-CN"/>
        </w:rPr>
        <w:t>负责培训统计系统数据管理人员。</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pPr>
        <w:ind w:firstLine="640" w:firstLineChars="200"/>
        <w:rPr>
          <w:rFonts w:hint="eastAsia" w:eastAsia="黑体"/>
          <w:lang w:eastAsia="zh-CN"/>
        </w:rPr>
      </w:pPr>
      <w:r>
        <w:rPr>
          <w:rFonts w:hint="eastAsia" w:ascii="仿宋_GB2312" w:hAnsi="仿宋_GB2312" w:cs="仿宋_GB2312"/>
          <w:lang w:eastAsia="zh-CN"/>
        </w:rPr>
        <w:t>本单位无内设机构，无下设预算单位。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both"/>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31.96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0.22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r>
    </w:tbl>
    <w:p>
      <w:pPr>
        <w:ind w:firstLine="640" w:firstLineChars="200"/>
        <w:rPr>
          <w:rFonts w:eastAsia="楷体_GB2312"/>
          <w:strike/>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56" w:type="dxa"/>
        <w:jc w:val="center"/>
        <w:tblLayout w:type="fixed"/>
        <w:tblCellMar>
          <w:top w:w="0" w:type="dxa"/>
          <w:left w:w="108" w:type="dxa"/>
          <w:bottom w:w="0" w:type="dxa"/>
          <w:right w:w="108" w:type="dxa"/>
        </w:tblCellMar>
      </w:tblPr>
      <w:tblGrid>
        <w:gridCol w:w="1312"/>
        <w:gridCol w:w="846"/>
        <w:gridCol w:w="833"/>
        <w:gridCol w:w="870"/>
        <w:gridCol w:w="330"/>
        <w:gridCol w:w="270"/>
        <w:gridCol w:w="360"/>
        <w:gridCol w:w="315"/>
        <w:gridCol w:w="345"/>
        <w:gridCol w:w="420"/>
        <w:gridCol w:w="375"/>
        <w:gridCol w:w="135"/>
        <w:gridCol w:w="285"/>
        <w:gridCol w:w="225"/>
        <w:gridCol w:w="480"/>
        <w:gridCol w:w="705"/>
        <w:gridCol w:w="375"/>
        <w:gridCol w:w="255"/>
        <w:gridCol w:w="365"/>
        <w:gridCol w:w="555"/>
      </w:tblGrid>
      <w:tr>
        <w:tblPrEx>
          <w:tblCellMar>
            <w:top w:w="0" w:type="dxa"/>
            <w:left w:w="108" w:type="dxa"/>
            <w:bottom w:w="0" w:type="dxa"/>
            <w:right w:w="108" w:type="dxa"/>
          </w:tblCellMar>
        </w:tblPrEx>
        <w:trPr>
          <w:trHeight w:val="475" w:hRule="atLeast"/>
          <w:jc w:val="center"/>
        </w:trPr>
        <w:tc>
          <w:tcPr>
            <w:tcW w:w="1312" w:type="dxa"/>
            <w:tcBorders>
              <w:bottom w:val="single" w:color="000000" w:sz="4" w:space="0"/>
            </w:tcBorders>
            <w:noWrap w:val="0"/>
            <w:vAlign w:val="top"/>
          </w:tcPr>
          <w:p>
            <w:pPr>
              <w:autoSpaceDN w:val="0"/>
              <w:jc w:val="left"/>
              <w:textAlignment w:val="center"/>
              <w:rPr>
                <w:rFonts w:eastAsia="华文细黑"/>
                <w:color w:val="000000"/>
                <w:sz w:val="20"/>
              </w:rPr>
            </w:pPr>
          </w:p>
        </w:tc>
        <w:tc>
          <w:tcPr>
            <w:tcW w:w="4169"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30" w:type="dxa"/>
            <w:gridSpan w:val="3"/>
            <w:noWrap w:val="0"/>
            <w:vAlign w:val="center"/>
          </w:tcPr>
          <w:p>
            <w:pPr>
              <w:autoSpaceDN w:val="0"/>
              <w:jc w:val="left"/>
              <w:textAlignment w:val="center"/>
              <w:rPr>
                <w:rFonts w:eastAsia="华文细黑"/>
                <w:color w:val="000000"/>
                <w:sz w:val="20"/>
              </w:rPr>
            </w:pPr>
          </w:p>
        </w:tc>
        <w:tc>
          <w:tcPr>
            <w:tcW w:w="510" w:type="dxa"/>
            <w:gridSpan w:val="2"/>
            <w:noWrap w:val="0"/>
            <w:vAlign w:val="center"/>
          </w:tcPr>
          <w:p>
            <w:pPr>
              <w:autoSpaceDN w:val="0"/>
              <w:jc w:val="left"/>
              <w:textAlignment w:val="center"/>
              <w:rPr>
                <w:rFonts w:eastAsia="华文细黑"/>
                <w:color w:val="000000"/>
                <w:sz w:val="20"/>
              </w:rPr>
            </w:pPr>
          </w:p>
        </w:tc>
        <w:tc>
          <w:tcPr>
            <w:tcW w:w="1185" w:type="dxa"/>
            <w:gridSpan w:val="2"/>
            <w:noWrap w:val="0"/>
            <w:vAlign w:val="center"/>
          </w:tcPr>
          <w:p>
            <w:pPr>
              <w:autoSpaceDN w:val="0"/>
              <w:jc w:val="left"/>
              <w:textAlignment w:val="center"/>
              <w:rPr>
                <w:rFonts w:eastAsia="华文细黑"/>
                <w:color w:val="000000"/>
                <w:sz w:val="20"/>
              </w:rPr>
            </w:pPr>
          </w:p>
        </w:tc>
        <w:tc>
          <w:tcPr>
            <w:tcW w:w="375" w:type="dxa"/>
            <w:noWrap w:val="0"/>
            <w:vAlign w:val="bottom"/>
          </w:tcPr>
          <w:p>
            <w:pPr>
              <w:autoSpaceDN w:val="0"/>
              <w:jc w:val="right"/>
              <w:textAlignment w:val="bottom"/>
              <w:rPr>
                <w:rFonts w:eastAsia="宋体"/>
                <w:color w:val="000000"/>
                <w:sz w:val="20"/>
              </w:rPr>
            </w:pPr>
          </w:p>
        </w:tc>
        <w:tc>
          <w:tcPr>
            <w:tcW w:w="1175"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760" w:hRule="atLeast"/>
          <w:jc w:val="center"/>
        </w:trPr>
        <w:tc>
          <w:tcPr>
            <w:tcW w:w="131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4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38"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60"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1132" w:hRule="atLeast"/>
          <w:jc w:val="center"/>
        </w:trPr>
        <w:tc>
          <w:tcPr>
            <w:tcW w:w="131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4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3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6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75"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3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2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4035" w:hRule="atLeast"/>
          <w:jc w:val="center"/>
        </w:trPr>
        <w:tc>
          <w:tcPr>
            <w:tcW w:w="131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3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7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3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25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6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762"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通化市统计局计算中心</w:t>
            </w: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804"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0.22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rPr>
          <w:sz w:val="16"/>
          <w:szCs w:val="16"/>
        </w:rPr>
      </w:pPr>
    </w:p>
    <w:p>
      <w:pPr>
        <w:rPr>
          <w:sz w:val="16"/>
          <w:szCs w:val="16"/>
        </w:rPr>
      </w:pPr>
    </w:p>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852"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5.34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 xml:space="preserve">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 xml:space="preserve">    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 xml:space="preserve">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0.46</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tblPrEx>
          <w:tblCellMar>
            <w:top w:w="0" w:type="dxa"/>
            <w:left w:w="108" w:type="dxa"/>
            <w:bottom w:w="0" w:type="dxa"/>
            <w:right w:w="108" w:type="dxa"/>
          </w:tblCellMar>
        </w:tblPrEx>
        <w:trPr>
          <w:trHeight w:val="5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0.71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0.71</w:t>
            </w:r>
          </w:p>
        </w:tc>
      </w:tr>
      <w:tr>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38.06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5.34</w:t>
            </w:r>
          </w:p>
        </w:tc>
      </w:tr>
    </w:tbl>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2.“2024年预算数”的实有人员3人，其中：在职人员3人，离退休人员0</w:t>
            </w:r>
            <w:bookmarkStart w:id="0" w:name="_GoBack"/>
            <w:bookmarkEnd w:id="0"/>
            <w:r>
              <w:rPr>
                <w:rFonts w:hint="eastAsia"/>
                <w:color w:val="000000"/>
                <w:kern w:val="0"/>
                <w:sz w:val="28"/>
                <w:szCs w:val="28"/>
                <w:lang w:val="en-US" w:eastAsia="zh-CN"/>
              </w:rPr>
              <w:t>人。</w:t>
            </w:r>
          </w:p>
        </w:tc>
      </w:tr>
    </w:tbl>
    <w:p>
      <w:pPr>
        <w:rPr>
          <w:rFonts w:eastAsia="楷体"/>
          <w:kern w:val="0"/>
          <w:szCs w:val="32"/>
        </w:rPr>
      </w:pPr>
      <w:r>
        <w:rPr>
          <w:rFonts w:eastAsia="楷体"/>
          <w:kern w:val="0"/>
          <w:szCs w:val="32"/>
        </w:rPr>
        <w:t xml:space="preserve">    </w:t>
      </w: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Style w:val="9"/>
        <w:tblpPr w:leftFromText="180" w:rightFromText="180" w:vertAnchor="page" w:horzAnchor="page" w:tblpXSpec="center" w:tblpY="4644"/>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97" w:tblpY="4057"/>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jc w:val="both"/>
        <w:rPr>
          <w:rFonts w:eastAsia="楷体"/>
          <w:kern w:val="0"/>
          <w:szCs w:val="32"/>
        </w:rPr>
      </w:pPr>
    </w:p>
    <w:p>
      <w:pPr>
        <w:spacing w:line="700" w:lineRule="exact"/>
        <w:jc w:val="both"/>
        <w:rPr>
          <w:rFonts w:eastAsia="楷体"/>
          <w:kern w:val="0"/>
          <w:szCs w:val="32"/>
        </w:rPr>
      </w:pPr>
    </w:p>
    <w:p>
      <w:pPr>
        <w:spacing w:line="700" w:lineRule="exact"/>
        <w:jc w:val="both"/>
        <w:rPr>
          <w:rFonts w:eastAsia="楷体"/>
          <w:kern w:val="0"/>
          <w:szCs w:val="32"/>
        </w:rPr>
      </w:pPr>
    </w:p>
    <w:tbl>
      <w:tblPr>
        <w:tblStyle w:val="9"/>
        <w:tblpPr w:leftFromText="180" w:rightFromText="180" w:vertAnchor="text" w:horzAnchor="page" w:tblpXSpec="center" w:tblpY="136"/>
        <w:tblOverlap w:val="never"/>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59"/>
        <w:gridCol w:w="646"/>
        <w:gridCol w:w="263"/>
        <w:gridCol w:w="688"/>
        <w:gridCol w:w="705"/>
        <w:gridCol w:w="710"/>
        <w:gridCol w:w="462"/>
        <w:gridCol w:w="459"/>
        <w:gridCol w:w="608"/>
        <w:gridCol w:w="595"/>
        <w:gridCol w:w="515"/>
        <w:gridCol w:w="608"/>
        <w:gridCol w:w="555"/>
        <w:gridCol w:w="74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60" w:type="dxa"/>
            <w:gridSpan w:val="16"/>
            <w:tcBorders>
              <w:top w:val="nil"/>
              <w:left w:val="nil"/>
              <w:bottom w:val="nil"/>
              <w:right w:val="nil"/>
            </w:tcBorders>
            <w:noWrap w:val="0"/>
            <w:vAlign w:val="center"/>
          </w:tcPr>
          <w:p>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2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05"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8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0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3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304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768"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88"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0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83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04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2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59"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09"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8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0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31"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08"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9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678"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6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520" w:type="dxa"/>
            <w:vMerge w:val="continue"/>
            <w:noWrap w:val="0"/>
            <w:vAlign w:val="center"/>
          </w:tcPr>
          <w:p>
            <w:pPr>
              <w:autoSpaceDN w:val="0"/>
              <w:jc w:val="center"/>
              <w:textAlignment w:val="center"/>
              <w:rPr>
                <w:rFonts w:ascii="Calibri" w:hAnsi="Calibri" w:eastAsia="华文细黑"/>
                <w:color w:val="000000"/>
                <w:sz w:val="20"/>
                <w:szCs w:val="22"/>
              </w:rPr>
            </w:pPr>
          </w:p>
        </w:tc>
        <w:tc>
          <w:tcPr>
            <w:tcW w:w="859" w:type="dxa"/>
            <w:vMerge w:val="continue"/>
            <w:noWrap w:val="0"/>
            <w:vAlign w:val="center"/>
          </w:tcPr>
          <w:p>
            <w:pPr>
              <w:autoSpaceDN w:val="0"/>
              <w:jc w:val="center"/>
              <w:textAlignment w:val="center"/>
              <w:rPr>
                <w:rFonts w:ascii="Calibri" w:hAnsi="Calibri" w:eastAsia="华文细黑"/>
                <w:color w:val="000000"/>
                <w:sz w:val="20"/>
                <w:szCs w:val="22"/>
              </w:rPr>
            </w:pPr>
          </w:p>
        </w:tc>
        <w:tc>
          <w:tcPr>
            <w:tcW w:w="909"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88" w:type="dxa"/>
            <w:vMerge w:val="continue"/>
            <w:noWrap w:val="0"/>
            <w:vAlign w:val="center"/>
          </w:tcPr>
          <w:p>
            <w:pPr>
              <w:autoSpaceDN w:val="0"/>
              <w:jc w:val="center"/>
              <w:textAlignment w:val="center"/>
              <w:rPr>
                <w:rFonts w:ascii="Calibri" w:hAnsi="Calibri" w:eastAsia="华文细黑"/>
                <w:color w:val="000000"/>
                <w:sz w:val="20"/>
                <w:szCs w:val="22"/>
              </w:rPr>
            </w:pPr>
          </w:p>
        </w:tc>
        <w:tc>
          <w:tcPr>
            <w:tcW w:w="705" w:type="dxa"/>
            <w:vMerge w:val="continue"/>
            <w:noWrap w:val="0"/>
            <w:vAlign w:val="center"/>
          </w:tcPr>
          <w:p>
            <w:pPr>
              <w:autoSpaceDN w:val="0"/>
              <w:jc w:val="center"/>
              <w:textAlignment w:val="center"/>
              <w:rPr>
                <w:rFonts w:ascii="Calibri" w:hAnsi="Calibri" w:eastAsia="华文细黑"/>
                <w:color w:val="000000"/>
                <w:sz w:val="20"/>
                <w:szCs w:val="22"/>
              </w:rPr>
            </w:pPr>
          </w:p>
        </w:tc>
        <w:tc>
          <w:tcPr>
            <w:tcW w:w="71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6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0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9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1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0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5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48"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19"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2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p>
        </w:tc>
        <w:tc>
          <w:tcPr>
            <w:tcW w:w="859" w:type="dxa"/>
            <w:noWrap w:val="0"/>
            <w:vAlign w:val="center"/>
          </w:tcPr>
          <w:p>
            <w:pPr>
              <w:spacing w:line="700" w:lineRule="exact"/>
              <w:jc w:val="center"/>
              <w:rPr>
                <w:rFonts w:hint="eastAsia" w:ascii="宋体" w:hAnsi="宋体" w:eastAsia="宋体" w:cs="宋体"/>
                <w:kern w:val="0"/>
                <w:sz w:val="20"/>
                <w:szCs w:val="20"/>
              </w:rPr>
            </w:pPr>
          </w:p>
        </w:tc>
        <w:tc>
          <w:tcPr>
            <w:tcW w:w="909" w:type="dxa"/>
            <w:gridSpan w:val="2"/>
            <w:noWrap w:val="0"/>
            <w:vAlign w:val="center"/>
          </w:tcPr>
          <w:p>
            <w:pPr>
              <w:spacing w:line="700" w:lineRule="exact"/>
              <w:jc w:val="center"/>
              <w:rPr>
                <w:rFonts w:hint="eastAsia" w:ascii="宋体" w:hAnsi="宋体" w:eastAsia="宋体" w:cs="宋体"/>
                <w:kern w:val="0"/>
                <w:sz w:val="20"/>
                <w:szCs w:val="20"/>
              </w:rPr>
            </w:pPr>
          </w:p>
        </w:tc>
        <w:tc>
          <w:tcPr>
            <w:tcW w:w="688" w:type="dxa"/>
            <w:noWrap w:val="0"/>
            <w:vAlign w:val="center"/>
          </w:tcPr>
          <w:p>
            <w:pPr>
              <w:spacing w:line="700" w:lineRule="exact"/>
              <w:jc w:val="center"/>
              <w:rPr>
                <w:rFonts w:hint="eastAsia" w:ascii="宋体" w:hAnsi="宋体" w:eastAsia="宋体" w:cs="宋体"/>
                <w:kern w:val="0"/>
                <w:sz w:val="20"/>
                <w:szCs w:val="20"/>
              </w:rPr>
            </w:pPr>
          </w:p>
        </w:tc>
        <w:tc>
          <w:tcPr>
            <w:tcW w:w="705"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10"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0" w:type="dxa"/>
            <w:noWrap w:val="0"/>
            <w:vAlign w:val="center"/>
          </w:tcPr>
          <w:p>
            <w:pPr>
              <w:spacing w:line="700" w:lineRule="exact"/>
              <w:jc w:val="center"/>
              <w:rPr>
                <w:rFonts w:hint="eastAsia" w:ascii="宋体" w:hAnsi="宋体" w:eastAsia="宋体" w:cs="宋体"/>
                <w:kern w:val="0"/>
                <w:sz w:val="20"/>
                <w:szCs w:val="20"/>
              </w:rPr>
            </w:pPr>
          </w:p>
        </w:tc>
        <w:tc>
          <w:tcPr>
            <w:tcW w:w="859"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09" w:type="dxa"/>
            <w:gridSpan w:val="2"/>
            <w:noWrap w:val="0"/>
            <w:vAlign w:val="center"/>
          </w:tcPr>
          <w:p>
            <w:pPr>
              <w:spacing w:line="700" w:lineRule="exact"/>
              <w:jc w:val="center"/>
              <w:rPr>
                <w:rFonts w:hint="eastAsia" w:ascii="宋体" w:hAnsi="宋体" w:eastAsia="宋体" w:cs="宋体"/>
                <w:kern w:val="0"/>
                <w:sz w:val="20"/>
                <w:szCs w:val="20"/>
              </w:rPr>
            </w:pPr>
          </w:p>
        </w:tc>
        <w:tc>
          <w:tcPr>
            <w:tcW w:w="688" w:type="dxa"/>
            <w:noWrap w:val="0"/>
            <w:vAlign w:val="center"/>
          </w:tcPr>
          <w:p>
            <w:pPr>
              <w:spacing w:line="700" w:lineRule="exact"/>
              <w:jc w:val="center"/>
              <w:rPr>
                <w:rFonts w:hint="eastAsia" w:ascii="宋体" w:hAnsi="宋体" w:eastAsia="宋体" w:cs="宋体"/>
                <w:kern w:val="0"/>
                <w:sz w:val="20"/>
                <w:szCs w:val="20"/>
              </w:rPr>
            </w:pPr>
          </w:p>
        </w:tc>
        <w:tc>
          <w:tcPr>
            <w:tcW w:w="705"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p>
        </w:tc>
        <w:tc>
          <w:tcPr>
            <w:tcW w:w="710"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20" w:type="dxa"/>
            <w:noWrap w:val="0"/>
            <w:vAlign w:val="center"/>
          </w:tcPr>
          <w:p>
            <w:pPr>
              <w:spacing w:line="700" w:lineRule="exact"/>
              <w:jc w:val="center"/>
              <w:rPr>
                <w:rFonts w:hint="eastAsia" w:ascii="宋体" w:hAnsi="宋体" w:eastAsia="宋体" w:cs="宋体"/>
                <w:kern w:val="0"/>
                <w:sz w:val="20"/>
                <w:szCs w:val="20"/>
              </w:rPr>
            </w:pPr>
          </w:p>
        </w:tc>
        <w:tc>
          <w:tcPr>
            <w:tcW w:w="859" w:type="dxa"/>
            <w:noWrap w:val="0"/>
            <w:vAlign w:val="center"/>
          </w:tcPr>
          <w:p>
            <w:pPr>
              <w:jc w:val="left"/>
              <w:rPr>
                <w:rFonts w:hint="eastAsia" w:ascii="宋体" w:hAnsi="宋体" w:eastAsia="宋体" w:cs="宋体"/>
                <w:kern w:val="0"/>
                <w:sz w:val="20"/>
                <w:szCs w:val="20"/>
              </w:rPr>
            </w:pPr>
          </w:p>
        </w:tc>
        <w:tc>
          <w:tcPr>
            <w:tcW w:w="909"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688" w:type="dxa"/>
            <w:noWrap w:val="0"/>
            <w:vAlign w:val="center"/>
          </w:tcPr>
          <w:p>
            <w:pPr>
              <w:spacing w:line="240" w:lineRule="auto"/>
              <w:jc w:val="both"/>
              <w:rPr>
                <w:rFonts w:hint="eastAsia" w:ascii="宋体" w:hAnsi="宋体" w:eastAsia="宋体" w:cs="宋体"/>
                <w:kern w:val="0"/>
                <w:sz w:val="20"/>
                <w:szCs w:val="20"/>
                <w:lang w:val="en-US" w:eastAsia="zh-CN"/>
              </w:rPr>
            </w:pPr>
          </w:p>
        </w:tc>
        <w:tc>
          <w:tcPr>
            <w:tcW w:w="705"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10"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0" w:type="dxa"/>
            <w:noWrap w:val="0"/>
            <w:vAlign w:val="center"/>
          </w:tcPr>
          <w:p>
            <w:pPr>
              <w:spacing w:line="700" w:lineRule="exact"/>
              <w:jc w:val="center"/>
              <w:rPr>
                <w:rFonts w:hint="eastAsia" w:ascii="宋体" w:hAnsi="宋体" w:eastAsia="宋体" w:cs="宋体"/>
                <w:kern w:val="0"/>
                <w:sz w:val="20"/>
                <w:szCs w:val="20"/>
              </w:rPr>
            </w:pPr>
          </w:p>
        </w:tc>
        <w:tc>
          <w:tcPr>
            <w:tcW w:w="859"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09" w:type="dxa"/>
            <w:gridSpan w:val="2"/>
            <w:noWrap w:val="0"/>
            <w:vAlign w:val="center"/>
          </w:tcPr>
          <w:p>
            <w:pPr>
              <w:spacing w:line="700" w:lineRule="exact"/>
              <w:jc w:val="center"/>
              <w:rPr>
                <w:rFonts w:hint="eastAsia" w:ascii="宋体" w:hAnsi="宋体" w:eastAsia="宋体" w:cs="宋体"/>
                <w:kern w:val="0"/>
                <w:sz w:val="20"/>
                <w:szCs w:val="20"/>
              </w:rPr>
            </w:pPr>
          </w:p>
        </w:tc>
        <w:tc>
          <w:tcPr>
            <w:tcW w:w="688" w:type="dxa"/>
            <w:noWrap w:val="0"/>
            <w:vAlign w:val="center"/>
          </w:tcPr>
          <w:p>
            <w:pPr>
              <w:spacing w:line="700" w:lineRule="exact"/>
              <w:jc w:val="center"/>
              <w:rPr>
                <w:rFonts w:hint="eastAsia" w:ascii="宋体" w:hAnsi="宋体" w:eastAsia="宋体" w:cs="宋体"/>
                <w:kern w:val="0"/>
                <w:sz w:val="20"/>
                <w:szCs w:val="20"/>
              </w:rPr>
            </w:pPr>
          </w:p>
        </w:tc>
        <w:tc>
          <w:tcPr>
            <w:tcW w:w="7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71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20" w:type="dxa"/>
            <w:noWrap w:val="0"/>
            <w:vAlign w:val="center"/>
          </w:tcPr>
          <w:p>
            <w:pPr>
              <w:spacing w:line="700" w:lineRule="exact"/>
              <w:jc w:val="center"/>
              <w:rPr>
                <w:rFonts w:hint="eastAsia" w:ascii="宋体" w:hAnsi="宋体" w:eastAsia="宋体" w:cs="宋体"/>
                <w:kern w:val="0"/>
                <w:sz w:val="20"/>
                <w:szCs w:val="20"/>
              </w:rPr>
            </w:pPr>
          </w:p>
        </w:tc>
        <w:tc>
          <w:tcPr>
            <w:tcW w:w="85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09"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688" w:type="dxa"/>
            <w:noWrap w:val="0"/>
            <w:vAlign w:val="center"/>
          </w:tcPr>
          <w:p>
            <w:pPr>
              <w:spacing w:line="240" w:lineRule="auto"/>
              <w:jc w:val="both"/>
              <w:rPr>
                <w:rFonts w:hint="eastAsia" w:ascii="宋体" w:hAnsi="宋体" w:eastAsia="宋体" w:cs="宋体"/>
                <w:kern w:val="0"/>
                <w:sz w:val="20"/>
                <w:szCs w:val="20"/>
                <w:lang w:val="en-US" w:eastAsia="zh-CN" w:bidi="ar-SA"/>
              </w:rPr>
            </w:pPr>
          </w:p>
        </w:tc>
        <w:tc>
          <w:tcPr>
            <w:tcW w:w="705"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10"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0" w:type="dxa"/>
            <w:noWrap w:val="0"/>
            <w:vAlign w:val="center"/>
          </w:tcPr>
          <w:p>
            <w:pPr>
              <w:spacing w:line="700" w:lineRule="exact"/>
              <w:jc w:val="center"/>
              <w:rPr>
                <w:rFonts w:hint="eastAsia" w:ascii="宋体" w:hAnsi="宋体" w:eastAsia="宋体" w:cs="宋体"/>
                <w:kern w:val="0"/>
                <w:sz w:val="20"/>
                <w:szCs w:val="20"/>
              </w:rPr>
            </w:pPr>
          </w:p>
        </w:tc>
        <w:tc>
          <w:tcPr>
            <w:tcW w:w="85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909" w:type="dxa"/>
            <w:gridSpan w:val="2"/>
            <w:noWrap w:val="0"/>
            <w:vAlign w:val="center"/>
          </w:tcPr>
          <w:p>
            <w:pPr>
              <w:spacing w:line="700" w:lineRule="exact"/>
              <w:jc w:val="center"/>
              <w:rPr>
                <w:rFonts w:hint="eastAsia" w:ascii="宋体" w:hAnsi="宋体" w:eastAsia="宋体" w:cs="宋体"/>
                <w:kern w:val="0"/>
                <w:sz w:val="20"/>
                <w:szCs w:val="20"/>
              </w:rPr>
            </w:pPr>
          </w:p>
        </w:tc>
        <w:tc>
          <w:tcPr>
            <w:tcW w:w="688" w:type="dxa"/>
            <w:noWrap w:val="0"/>
            <w:vAlign w:val="center"/>
          </w:tcPr>
          <w:p>
            <w:pPr>
              <w:spacing w:line="700" w:lineRule="exact"/>
              <w:jc w:val="center"/>
              <w:rPr>
                <w:rFonts w:hint="eastAsia" w:ascii="宋体" w:hAnsi="宋体" w:eastAsia="宋体" w:cs="宋体"/>
                <w:kern w:val="0"/>
                <w:sz w:val="20"/>
                <w:szCs w:val="20"/>
              </w:rPr>
            </w:pPr>
          </w:p>
        </w:tc>
        <w:tc>
          <w:tcPr>
            <w:tcW w:w="7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71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0" w:type="dxa"/>
            <w:noWrap w:val="0"/>
            <w:vAlign w:val="center"/>
          </w:tcPr>
          <w:p>
            <w:pPr>
              <w:spacing w:line="700" w:lineRule="exact"/>
              <w:jc w:val="center"/>
              <w:rPr>
                <w:rFonts w:hint="eastAsia" w:ascii="宋体" w:hAnsi="宋体" w:eastAsia="宋体" w:cs="宋体"/>
                <w:kern w:val="0"/>
                <w:sz w:val="20"/>
                <w:szCs w:val="20"/>
              </w:rPr>
            </w:pPr>
          </w:p>
        </w:tc>
        <w:tc>
          <w:tcPr>
            <w:tcW w:w="85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09"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688" w:type="dxa"/>
            <w:noWrap w:val="0"/>
            <w:vAlign w:val="center"/>
          </w:tcPr>
          <w:p>
            <w:pPr>
              <w:spacing w:line="240" w:lineRule="auto"/>
              <w:jc w:val="center"/>
              <w:rPr>
                <w:rFonts w:hint="eastAsia" w:ascii="宋体" w:hAnsi="宋体" w:eastAsia="宋体" w:cs="宋体"/>
                <w:kern w:val="0"/>
                <w:sz w:val="20"/>
                <w:szCs w:val="20"/>
              </w:rPr>
            </w:pPr>
          </w:p>
        </w:tc>
        <w:tc>
          <w:tcPr>
            <w:tcW w:w="705"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10"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2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59" w:type="dxa"/>
            <w:noWrap w:val="0"/>
            <w:vAlign w:val="center"/>
          </w:tcPr>
          <w:p>
            <w:pPr>
              <w:autoSpaceDN w:val="0"/>
              <w:jc w:val="center"/>
              <w:textAlignment w:val="center"/>
              <w:rPr>
                <w:rFonts w:ascii="Calibri" w:hAnsi="Calibri" w:eastAsia="华文细黑"/>
                <w:color w:val="000000"/>
                <w:sz w:val="20"/>
                <w:szCs w:val="22"/>
              </w:rPr>
            </w:pPr>
          </w:p>
        </w:tc>
        <w:tc>
          <w:tcPr>
            <w:tcW w:w="909" w:type="dxa"/>
            <w:gridSpan w:val="2"/>
            <w:noWrap w:val="0"/>
            <w:vAlign w:val="center"/>
          </w:tcPr>
          <w:p>
            <w:pPr>
              <w:spacing w:line="700" w:lineRule="exact"/>
              <w:jc w:val="center"/>
              <w:rPr>
                <w:rFonts w:ascii="Calibri" w:hAnsi="Calibri" w:eastAsia="楷体"/>
                <w:kern w:val="0"/>
                <w:szCs w:val="32"/>
              </w:rPr>
            </w:pPr>
          </w:p>
        </w:tc>
        <w:tc>
          <w:tcPr>
            <w:tcW w:w="688" w:type="dxa"/>
            <w:noWrap w:val="0"/>
            <w:vAlign w:val="center"/>
          </w:tcPr>
          <w:p>
            <w:pPr>
              <w:spacing w:line="700" w:lineRule="exact"/>
              <w:jc w:val="center"/>
              <w:rPr>
                <w:rFonts w:ascii="Calibri" w:hAnsi="Calibri" w:eastAsia="楷体"/>
                <w:kern w:val="0"/>
                <w:szCs w:val="32"/>
              </w:rPr>
            </w:pPr>
          </w:p>
        </w:tc>
        <w:tc>
          <w:tcPr>
            <w:tcW w:w="705"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10"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62" w:type="dxa"/>
            <w:noWrap w:val="0"/>
            <w:vAlign w:val="center"/>
          </w:tcPr>
          <w:p>
            <w:pPr>
              <w:spacing w:line="700" w:lineRule="exact"/>
              <w:jc w:val="center"/>
              <w:rPr>
                <w:rFonts w:ascii="Calibri" w:hAnsi="Calibri" w:eastAsia="楷体"/>
                <w:kern w:val="0"/>
                <w:szCs w:val="32"/>
              </w:rPr>
            </w:pPr>
          </w:p>
        </w:tc>
        <w:tc>
          <w:tcPr>
            <w:tcW w:w="459"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95" w:type="dxa"/>
            <w:noWrap w:val="0"/>
            <w:vAlign w:val="center"/>
          </w:tcPr>
          <w:p>
            <w:pPr>
              <w:spacing w:line="700" w:lineRule="exact"/>
              <w:jc w:val="center"/>
              <w:rPr>
                <w:rFonts w:ascii="Calibri" w:hAnsi="Calibri" w:eastAsia="楷体"/>
                <w:kern w:val="0"/>
                <w:szCs w:val="32"/>
              </w:rPr>
            </w:pPr>
          </w:p>
        </w:tc>
        <w:tc>
          <w:tcPr>
            <w:tcW w:w="515" w:type="dxa"/>
            <w:noWrap w:val="0"/>
            <w:vAlign w:val="center"/>
          </w:tcPr>
          <w:p>
            <w:pPr>
              <w:spacing w:line="700" w:lineRule="exact"/>
              <w:jc w:val="center"/>
              <w:rPr>
                <w:rFonts w:ascii="Calibri" w:hAnsi="Calibri" w:eastAsia="楷体"/>
                <w:kern w:val="0"/>
                <w:szCs w:val="32"/>
              </w:rPr>
            </w:pPr>
          </w:p>
        </w:tc>
        <w:tc>
          <w:tcPr>
            <w:tcW w:w="608" w:type="dxa"/>
            <w:noWrap w:val="0"/>
            <w:vAlign w:val="center"/>
          </w:tcPr>
          <w:p>
            <w:pPr>
              <w:spacing w:line="700" w:lineRule="exact"/>
              <w:jc w:val="center"/>
              <w:rPr>
                <w:rFonts w:ascii="Calibri" w:hAnsi="Calibri" w:eastAsia="楷体"/>
                <w:kern w:val="0"/>
                <w:szCs w:val="32"/>
              </w:rPr>
            </w:pPr>
          </w:p>
        </w:tc>
        <w:tc>
          <w:tcPr>
            <w:tcW w:w="555" w:type="dxa"/>
            <w:noWrap w:val="0"/>
            <w:vAlign w:val="center"/>
          </w:tcPr>
          <w:p>
            <w:pPr>
              <w:spacing w:line="700" w:lineRule="exact"/>
              <w:jc w:val="center"/>
              <w:rPr>
                <w:rFonts w:ascii="Calibri" w:hAnsi="Calibri" w:eastAsia="楷体"/>
                <w:kern w:val="0"/>
                <w:szCs w:val="32"/>
              </w:rPr>
            </w:pPr>
          </w:p>
        </w:tc>
        <w:tc>
          <w:tcPr>
            <w:tcW w:w="748" w:type="dxa"/>
            <w:noWrap w:val="0"/>
            <w:vAlign w:val="center"/>
          </w:tcPr>
          <w:p>
            <w:pPr>
              <w:spacing w:line="700" w:lineRule="exact"/>
              <w:jc w:val="center"/>
              <w:rPr>
                <w:rFonts w:ascii="Calibri" w:hAnsi="Calibri" w:eastAsia="楷体"/>
                <w:kern w:val="0"/>
                <w:szCs w:val="32"/>
              </w:rPr>
            </w:pPr>
          </w:p>
        </w:tc>
        <w:tc>
          <w:tcPr>
            <w:tcW w:w="619" w:type="dxa"/>
            <w:noWrap w:val="0"/>
            <w:vAlign w:val="center"/>
          </w:tcPr>
          <w:p>
            <w:pPr>
              <w:spacing w:line="700" w:lineRule="exact"/>
              <w:jc w:val="center"/>
              <w:rPr>
                <w:rFonts w:ascii="Calibri" w:hAnsi="Calibri" w:eastAsia="楷体"/>
                <w:kern w:val="0"/>
                <w:szCs w:val="32"/>
              </w:rPr>
            </w:pPr>
          </w:p>
        </w:tc>
      </w:tr>
    </w:tbl>
    <w:p>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rPr>
          <w:rFonts w:hAnsi="楷体" w:eastAsia="楷体"/>
        </w:rPr>
      </w:pPr>
    </w:p>
    <w:p>
      <w:pPr>
        <w:rPr>
          <w:rFonts w:hAnsi="楷体" w:eastAsia="楷体"/>
        </w:rPr>
      </w:pPr>
    </w:p>
    <w:p>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43.40</w:t>
      </w:r>
      <w:r>
        <w:rPr>
          <w:szCs w:val="32"/>
        </w:rPr>
        <w:t>万元</w:t>
      </w:r>
      <w:r>
        <w:rPr>
          <w:rFonts w:hint="eastAsia"/>
          <w:szCs w:val="32"/>
          <w:lang w:eastAsia="zh-CN"/>
        </w:rPr>
        <w:t>，其中：本年预算</w:t>
      </w:r>
      <w:r>
        <w:rPr>
          <w:rFonts w:hint="eastAsia"/>
          <w:szCs w:val="32"/>
          <w:lang w:val="en-US" w:eastAsia="zh-CN"/>
        </w:rPr>
        <w:t>40.96</w:t>
      </w:r>
      <w:r>
        <w:rPr>
          <w:rFonts w:hint="eastAsia"/>
          <w:szCs w:val="32"/>
          <w:lang w:eastAsia="zh-CN"/>
        </w:rPr>
        <w:t>万元；上年结转</w:t>
      </w:r>
      <w:r>
        <w:rPr>
          <w:rFonts w:hint="eastAsia"/>
          <w:szCs w:val="32"/>
          <w:lang w:val="en-US" w:eastAsia="zh-CN"/>
        </w:rPr>
        <w:t>2.44</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3.98</w:t>
      </w:r>
      <w:r>
        <w:rPr>
          <w:szCs w:val="32"/>
        </w:rPr>
        <w:t>万元，主要原因是</w:t>
      </w:r>
      <w:r>
        <w:rPr>
          <w:rFonts w:hint="eastAsia"/>
          <w:szCs w:val="32"/>
          <w:lang w:eastAsia="zh-CN"/>
        </w:rPr>
        <w:t>人员经费增加</w:t>
      </w:r>
      <w:r>
        <w:rPr>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43.40</w:t>
      </w:r>
      <w:r>
        <w:rPr>
          <w:szCs w:val="32"/>
        </w:rPr>
        <w:t>万元，其中：本年收入</w:t>
      </w:r>
      <w:r>
        <w:rPr>
          <w:rFonts w:hint="eastAsia"/>
          <w:szCs w:val="32"/>
          <w:lang w:val="en-US" w:eastAsia="zh-CN"/>
        </w:rPr>
        <w:t>40.96</w:t>
      </w:r>
      <w:r>
        <w:rPr>
          <w:szCs w:val="32"/>
        </w:rPr>
        <w:t>万元，占</w:t>
      </w:r>
      <w:r>
        <w:rPr>
          <w:rFonts w:hint="eastAsia"/>
          <w:szCs w:val="32"/>
          <w:lang w:val="en-US" w:eastAsia="zh-CN"/>
        </w:rPr>
        <w:t>94.38</w:t>
      </w:r>
      <w:r>
        <w:rPr>
          <w:szCs w:val="32"/>
        </w:rPr>
        <w:t>%；上年结转</w:t>
      </w:r>
      <w:r>
        <w:rPr>
          <w:rFonts w:hint="eastAsia"/>
          <w:szCs w:val="32"/>
          <w:lang w:eastAsia="zh-CN"/>
        </w:rPr>
        <w:t>结余</w:t>
      </w:r>
      <w:r>
        <w:rPr>
          <w:rFonts w:hint="eastAsia"/>
          <w:szCs w:val="32"/>
          <w:lang w:val="en-US" w:eastAsia="zh-CN"/>
        </w:rPr>
        <w:t>2.44</w:t>
      </w:r>
      <w:r>
        <w:rPr>
          <w:szCs w:val="32"/>
        </w:rPr>
        <w:t>万元，占</w:t>
      </w:r>
      <w:r>
        <w:rPr>
          <w:rFonts w:hint="eastAsia"/>
          <w:szCs w:val="32"/>
          <w:lang w:val="en-US" w:eastAsia="zh-CN"/>
        </w:rPr>
        <w:t>5.62</w:t>
      </w:r>
      <w:r>
        <w:rPr>
          <w:szCs w:val="32"/>
        </w:rPr>
        <w:t>%。本年收入中，一般公共预算拨款收入</w:t>
      </w:r>
      <w:r>
        <w:rPr>
          <w:rFonts w:hint="eastAsia"/>
          <w:szCs w:val="32"/>
          <w:lang w:val="en-US" w:eastAsia="zh-CN"/>
        </w:rPr>
        <w:t>43.40</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2.44</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43.40</w:t>
      </w:r>
      <w:r>
        <w:rPr>
          <w:szCs w:val="32"/>
        </w:rPr>
        <w:t>万元，其中：基本支出</w:t>
      </w:r>
      <w:r>
        <w:rPr>
          <w:rFonts w:hint="eastAsia"/>
          <w:szCs w:val="32"/>
          <w:lang w:val="en-US" w:eastAsia="zh-CN"/>
        </w:rPr>
        <w:t>43.40</w:t>
      </w:r>
      <w:r>
        <w:rPr>
          <w:szCs w:val="32"/>
        </w:rPr>
        <w:t>万元，占</w:t>
      </w:r>
      <w:r>
        <w:rPr>
          <w:rFonts w:hint="eastAsia"/>
          <w:szCs w:val="32"/>
          <w:lang w:val="en-US" w:eastAsia="zh-CN"/>
        </w:rPr>
        <w:t>100</w:t>
      </w:r>
      <w:r>
        <w:rPr>
          <w:szCs w:val="32"/>
        </w:rPr>
        <w:t>%；项目支出</w:t>
      </w:r>
      <w:r>
        <w:rPr>
          <w:rFonts w:hint="eastAsia"/>
          <w:szCs w:val="32"/>
          <w:lang w:val="en-US" w:eastAsia="zh-CN"/>
        </w:rPr>
        <w:t>0.00</w:t>
      </w:r>
      <w:r>
        <w:rPr>
          <w:szCs w:val="32"/>
        </w:rPr>
        <w:t>万元，占</w:t>
      </w:r>
      <w:r>
        <w:rPr>
          <w:rFonts w:hint="eastAsia"/>
          <w:szCs w:val="32"/>
          <w:lang w:val="en-US" w:eastAsia="zh-CN"/>
        </w:rPr>
        <w:t>0</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43.40</w:t>
      </w:r>
      <w:r>
        <w:rPr>
          <w:szCs w:val="32"/>
        </w:rPr>
        <w:t>万元，其中：</w:t>
      </w:r>
      <w:r>
        <w:rPr>
          <w:rFonts w:hint="eastAsia"/>
          <w:szCs w:val="32"/>
        </w:rPr>
        <w:t>本年</w:t>
      </w:r>
      <w:r>
        <w:rPr>
          <w:rFonts w:hint="eastAsia"/>
          <w:szCs w:val="32"/>
          <w:lang w:eastAsia="zh-CN"/>
        </w:rPr>
        <w:t>预算</w:t>
      </w:r>
      <w:r>
        <w:rPr>
          <w:rFonts w:hint="eastAsia"/>
          <w:szCs w:val="32"/>
          <w:lang w:val="en-US" w:eastAsia="zh-CN"/>
        </w:rPr>
        <w:t>40.96</w:t>
      </w:r>
      <w:r>
        <w:rPr>
          <w:szCs w:val="32"/>
        </w:rPr>
        <w:t>万元</w:t>
      </w:r>
      <w:r>
        <w:rPr>
          <w:rFonts w:hint="eastAsia"/>
          <w:szCs w:val="32"/>
        </w:rPr>
        <w:t>，上年结转</w:t>
      </w:r>
      <w:r>
        <w:rPr>
          <w:rFonts w:hint="eastAsia"/>
          <w:szCs w:val="32"/>
          <w:lang w:val="en-US" w:eastAsia="zh-CN"/>
        </w:rPr>
        <w:t>2.44</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34.18</w:t>
      </w:r>
      <w:r>
        <w:rPr>
          <w:szCs w:val="32"/>
        </w:rPr>
        <w:t>万元，</w:t>
      </w:r>
      <w:r>
        <w:rPr>
          <w:kern w:val="0"/>
          <w:szCs w:val="32"/>
        </w:rPr>
        <w:t>社会保障和就业支出</w:t>
      </w:r>
      <w:r>
        <w:rPr>
          <w:rFonts w:hint="eastAsia"/>
          <w:szCs w:val="32"/>
          <w:lang w:val="en-US" w:eastAsia="zh-CN"/>
        </w:rPr>
        <w:t>4.10</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1.51</w:t>
      </w:r>
      <w:r>
        <w:rPr>
          <w:szCs w:val="32"/>
        </w:rPr>
        <w:t>万元，</w:t>
      </w:r>
      <w:r>
        <w:rPr>
          <w:kern w:val="0"/>
          <w:szCs w:val="32"/>
        </w:rPr>
        <w:t>住房保障支出</w:t>
      </w:r>
      <w:r>
        <w:rPr>
          <w:rFonts w:hint="eastAsia"/>
          <w:szCs w:val="32"/>
          <w:lang w:val="en-US" w:eastAsia="zh-CN"/>
        </w:rPr>
        <w:t>3.61</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43.40</w:t>
      </w:r>
      <w:r>
        <w:rPr>
          <w:szCs w:val="32"/>
        </w:rPr>
        <w:t>万元，其中：基本支出</w:t>
      </w:r>
      <w:r>
        <w:rPr>
          <w:rFonts w:hint="eastAsia"/>
          <w:szCs w:val="32"/>
          <w:lang w:val="en-US" w:eastAsia="zh-CN"/>
        </w:rPr>
        <w:t>43.40</w:t>
      </w:r>
      <w:r>
        <w:rPr>
          <w:szCs w:val="32"/>
        </w:rPr>
        <w:t>万元，占</w:t>
      </w:r>
      <w:r>
        <w:rPr>
          <w:rFonts w:hint="eastAsia"/>
          <w:szCs w:val="32"/>
          <w:lang w:val="en-US" w:eastAsia="zh-CN"/>
        </w:rPr>
        <w:t>100</w:t>
      </w:r>
      <w:r>
        <w:rPr>
          <w:szCs w:val="32"/>
        </w:rPr>
        <w:t>%；项目支出</w:t>
      </w:r>
      <w:r>
        <w:rPr>
          <w:rFonts w:hint="eastAsia"/>
          <w:szCs w:val="32"/>
          <w:lang w:val="en-US" w:eastAsia="zh-CN"/>
        </w:rPr>
        <w:t>0.00</w:t>
      </w:r>
      <w:r>
        <w:rPr>
          <w:szCs w:val="32"/>
        </w:rPr>
        <w:t>万元，占</w:t>
      </w:r>
      <w:r>
        <w:rPr>
          <w:rFonts w:hint="eastAsia"/>
          <w:szCs w:val="32"/>
          <w:lang w:val="en-US" w:eastAsia="zh-CN"/>
        </w:rPr>
        <w:t>0</w:t>
      </w:r>
      <w:r>
        <w:rPr>
          <w:szCs w:val="32"/>
        </w:rPr>
        <w:t>%。基本支出中，人员经费</w:t>
      </w:r>
      <w:r>
        <w:rPr>
          <w:rFonts w:hint="eastAsia"/>
          <w:szCs w:val="32"/>
          <w:lang w:val="en-US" w:eastAsia="zh-CN"/>
        </w:rPr>
        <w:t>38.06</w:t>
      </w:r>
      <w:r>
        <w:rPr>
          <w:szCs w:val="32"/>
        </w:rPr>
        <w:t>万元，占</w:t>
      </w:r>
      <w:r>
        <w:rPr>
          <w:rFonts w:hint="eastAsia"/>
          <w:szCs w:val="32"/>
          <w:lang w:val="en-US" w:eastAsia="zh-CN"/>
        </w:rPr>
        <w:t>87.70</w:t>
      </w:r>
      <w:r>
        <w:rPr>
          <w:szCs w:val="32"/>
        </w:rPr>
        <w:t>%；公用经费</w:t>
      </w:r>
      <w:r>
        <w:rPr>
          <w:rFonts w:hint="eastAsia"/>
          <w:szCs w:val="32"/>
          <w:lang w:val="en-US" w:eastAsia="zh-CN"/>
        </w:rPr>
        <w:t>5.34</w:t>
      </w:r>
      <w:r>
        <w:rPr>
          <w:szCs w:val="32"/>
        </w:rPr>
        <w:t>万元，占</w:t>
      </w:r>
      <w:r>
        <w:rPr>
          <w:rFonts w:hint="eastAsia"/>
          <w:szCs w:val="32"/>
          <w:lang w:val="en-US" w:eastAsia="zh-CN"/>
        </w:rPr>
        <w:t>12.30</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34.18</w:t>
      </w:r>
      <w:r>
        <w:rPr>
          <w:szCs w:val="32"/>
        </w:rPr>
        <w:t>万元，占</w:t>
      </w:r>
      <w:r>
        <w:rPr>
          <w:rFonts w:hint="eastAsia"/>
          <w:szCs w:val="32"/>
          <w:lang w:val="en-US" w:eastAsia="zh-CN"/>
        </w:rPr>
        <w:t>78.75</w:t>
      </w:r>
      <w:r>
        <w:rPr>
          <w:szCs w:val="32"/>
        </w:rPr>
        <w:t>%，主要用于</w:t>
      </w:r>
      <w:r>
        <w:rPr>
          <w:rFonts w:hint="eastAsia" w:ascii="仿宋_GB2312" w:hAnsi="仿宋_GB2312" w:cs="仿宋_GB2312"/>
          <w:szCs w:val="32"/>
        </w:rPr>
        <w:t>保障职工工资、完成年度工作任务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4.10</w:t>
      </w:r>
      <w:r>
        <w:rPr>
          <w:szCs w:val="32"/>
        </w:rPr>
        <w:t>万元，占</w:t>
      </w:r>
      <w:r>
        <w:rPr>
          <w:rFonts w:hint="eastAsia"/>
          <w:szCs w:val="32"/>
          <w:lang w:val="en-US" w:eastAsia="zh-CN"/>
        </w:rPr>
        <w:t>9.45</w:t>
      </w:r>
      <w:r>
        <w:rPr>
          <w:szCs w:val="32"/>
        </w:rPr>
        <w:t>%，主要用于</w:t>
      </w:r>
      <w:r>
        <w:rPr>
          <w:rFonts w:hint="eastAsia" w:ascii="仿宋_GB2312" w:hAnsi="仿宋_GB2312" w:cs="仿宋_GB2312"/>
          <w:szCs w:val="32"/>
        </w:rPr>
        <w:t>保障退休职工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pPr>
        <w:spacing w:line="520" w:lineRule="exact"/>
        <w:ind w:firstLine="640" w:firstLineChars="200"/>
        <w:rPr>
          <w:szCs w:val="32"/>
        </w:rPr>
      </w:pPr>
      <w:r>
        <w:rPr>
          <w:rFonts w:hint="eastAsia"/>
          <w:szCs w:val="32"/>
          <w:lang w:eastAsia="zh-CN"/>
        </w:rPr>
        <w:t>卫生健康</w:t>
      </w:r>
      <w:r>
        <w:rPr>
          <w:szCs w:val="32"/>
        </w:rPr>
        <w:t>支出（类）支出</w:t>
      </w:r>
      <w:r>
        <w:rPr>
          <w:rFonts w:hint="eastAsia"/>
          <w:szCs w:val="32"/>
          <w:lang w:val="en-US" w:eastAsia="zh-CN"/>
        </w:rPr>
        <w:t>1.51</w:t>
      </w:r>
      <w:r>
        <w:rPr>
          <w:szCs w:val="32"/>
        </w:rPr>
        <w:t>万元，占</w:t>
      </w:r>
      <w:r>
        <w:rPr>
          <w:rFonts w:hint="eastAsia"/>
          <w:szCs w:val="32"/>
          <w:lang w:val="en-US" w:eastAsia="zh-CN"/>
        </w:rPr>
        <w:t>3.48</w:t>
      </w:r>
      <w:r>
        <w:rPr>
          <w:szCs w:val="32"/>
        </w:rPr>
        <w:t>%，主要用于</w:t>
      </w:r>
      <w:r>
        <w:rPr>
          <w:rFonts w:hint="eastAsia" w:ascii="仿宋_GB2312" w:hAnsi="仿宋_GB2312" w:cs="仿宋_GB2312"/>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3.61</w:t>
      </w:r>
      <w:r>
        <w:rPr>
          <w:szCs w:val="32"/>
        </w:rPr>
        <w:t>万元，占</w:t>
      </w:r>
      <w:r>
        <w:rPr>
          <w:rFonts w:hint="eastAsia"/>
          <w:szCs w:val="32"/>
          <w:lang w:val="en-US" w:eastAsia="zh-CN"/>
        </w:rPr>
        <w:t>8.32</w:t>
      </w:r>
      <w:r>
        <w:rPr>
          <w:szCs w:val="32"/>
        </w:rPr>
        <w:t>%，主要用于</w:t>
      </w:r>
      <w:r>
        <w:rPr>
          <w:rFonts w:hint="eastAsia" w:ascii="仿宋_GB2312" w:hAnsi="仿宋_GB2312" w:cs="仿宋_GB2312"/>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43.40</w:t>
      </w:r>
      <w:r>
        <w:rPr>
          <w:szCs w:val="32"/>
        </w:rPr>
        <w:t>万元，其中：</w:t>
      </w:r>
    </w:p>
    <w:p>
      <w:pPr>
        <w:ind w:firstLine="640" w:firstLineChars="200"/>
        <w:rPr>
          <w:kern w:val="0"/>
          <w:szCs w:val="32"/>
        </w:rPr>
      </w:pPr>
      <w:r>
        <w:rPr>
          <w:szCs w:val="32"/>
        </w:rPr>
        <w:t>人员经费</w:t>
      </w:r>
      <w:r>
        <w:rPr>
          <w:rFonts w:hint="eastAsia"/>
          <w:szCs w:val="32"/>
          <w:lang w:val="en-US" w:eastAsia="zh-CN"/>
        </w:rPr>
        <w:t>38.06</w:t>
      </w:r>
      <w:r>
        <w:rPr>
          <w:szCs w:val="32"/>
        </w:rPr>
        <w:t>万元，主要包括：</w:t>
      </w:r>
      <w:r>
        <w:rPr>
          <w:kern w:val="0"/>
          <w:szCs w:val="32"/>
        </w:rPr>
        <w:t>基本工资、奖金</w:t>
      </w:r>
      <w:r>
        <w:rPr>
          <w:szCs w:val="32"/>
        </w:rPr>
        <w:t>、</w:t>
      </w:r>
      <w:r>
        <w:rPr>
          <w:rFonts w:hint="eastAsia"/>
          <w:szCs w:val="32"/>
          <w:lang w:eastAsia="zh-CN"/>
        </w:rPr>
        <w:t>绩效工资、机关事业单位基本养老保险缴费、职工基本医疗保险缴费、其他</w:t>
      </w:r>
      <w:r>
        <w:rPr>
          <w:kern w:val="0"/>
          <w:szCs w:val="32"/>
        </w:rPr>
        <w:t>社会保障缴费</w:t>
      </w:r>
      <w:r>
        <w:rPr>
          <w:szCs w:val="32"/>
        </w:rPr>
        <w:t>、</w:t>
      </w:r>
      <w:r>
        <w:rPr>
          <w:kern w:val="0"/>
          <w:szCs w:val="32"/>
        </w:rPr>
        <w:t>住房公积金</w:t>
      </w:r>
      <w:r>
        <w:rPr>
          <w:rFonts w:hint="eastAsia"/>
          <w:kern w:val="0"/>
          <w:szCs w:val="32"/>
          <w:lang w:eastAsia="zh-CN"/>
        </w:rPr>
        <w:t>、医疗费、</w:t>
      </w:r>
      <w:r>
        <w:rPr>
          <w:kern w:val="0"/>
          <w:szCs w:val="32"/>
        </w:rPr>
        <w:t>其他工资福利支出</w:t>
      </w:r>
      <w:r>
        <w:rPr>
          <w:szCs w:val="32"/>
        </w:rPr>
        <w:t>、</w:t>
      </w:r>
      <w:r>
        <w:rPr>
          <w:kern w:val="0"/>
          <w:szCs w:val="32"/>
        </w:rPr>
        <w:t>其他对个人和家庭的补助。</w:t>
      </w:r>
    </w:p>
    <w:p>
      <w:pPr>
        <w:ind w:firstLine="640" w:firstLineChars="200"/>
        <w:rPr>
          <w:kern w:val="0"/>
          <w:szCs w:val="32"/>
        </w:rPr>
      </w:pPr>
      <w:r>
        <w:rPr>
          <w:kern w:val="0"/>
          <w:szCs w:val="32"/>
        </w:rPr>
        <w:t>公用经费</w:t>
      </w:r>
      <w:r>
        <w:rPr>
          <w:rFonts w:hint="eastAsia"/>
          <w:szCs w:val="32"/>
          <w:lang w:val="en-US" w:eastAsia="zh-CN"/>
        </w:rPr>
        <w:t>5.34</w:t>
      </w:r>
      <w:r>
        <w:rPr>
          <w:szCs w:val="32"/>
        </w:rPr>
        <w:t>万元，主要包括：</w:t>
      </w:r>
      <w:r>
        <w:rPr>
          <w:kern w:val="0"/>
          <w:szCs w:val="32"/>
        </w:rPr>
        <w:t>办公费</w:t>
      </w:r>
      <w:r>
        <w:rPr>
          <w:szCs w:val="32"/>
        </w:rPr>
        <w:t>、</w:t>
      </w:r>
      <w:r>
        <w:rPr>
          <w:rFonts w:hint="eastAsia"/>
          <w:kern w:val="0"/>
          <w:szCs w:val="32"/>
          <w:lang w:eastAsia="zh-CN"/>
        </w:rPr>
        <w:t>手续费</w:t>
      </w:r>
      <w:r>
        <w:rPr>
          <w:szCs w:val="32"/>
        </w:rPr>
        <w:t>、</w:t>
      </w:r>
      <w:r>
        <w:rPr>
          <w:kern w:val="0"/>
          <w:szCs w:val="32"/>
        </w:rPr>
        <w:t>差旅费</w:t>
      </w:r>
      <w:r>
        <w:rPr>
          <w:szCs w:val="32"/>
        </w:rPr>
        <w:t>、</w:t>
      </w:r>
      <w:r>
        <w:rPr>
          <w:rFonts w:hint="eastAsia"/>
          <w:kern w:val="0"/>
          <w:szCs w:val="32"/>
          <w:lang w:eastAsia="zh-CN"/>
        </w:rPr>
        <w:t>维修（护）费</w:t>
      </w:r>
      <w:r>
        <w:rPr>
          <w:szCs w:val="32"/>
        </w:rPr>
        <w:t>、</w:t>
      </w:r>
      <w:r>
        <w:rPr>
          <w:kern w:val="0"/>
          <w:szCs w:val="32"/>
        </w:rPr>
        <w:t>工会经费、福利费。</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w:t>
      </w:r>
      <w:r>
        <w:rPr>
          <w:rFonts w:hint="eastAsia"/>
          <w:szCs w:val="32"/>
          <w:lang w:eastAsia="zh-CN"/>
        </w:rPr>
        <w:t>持平。</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ascii="仿宋_GB2312" w:hAnsi="仿宋_GB2312" w:cs="仿宋_GB2312"/>
          <w:szCs w:val="32"/>
          <w:lang w:eastAsia="zh-CN"/>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szCs w:val="32"/>
          <w:lang w:eastAsia="zh-CN"/>
        </w:rPr>
      </w:pPr>
      <w:r>
        <w:rPr>
          <w:rFonts w:hint="eastAsia"/>
          <w:szCs w:val="32"/>
          <w:lang w:eastAsia="zh-CN"/>
        </w:rPr>
        <w:t>通化市统计局计算中心是</w:t>
      </w:r>
      <w:r>
        <w:rPr>
          <w:rFonts w:hint="eastAsia"/>
          <w:szCs w:val="32"/>
          <w:lang w:val="en-US" w:eastAsia="zh-CN"/>
        </w:rPr>
        <w:t>1</w:t>
      </w:r>
      <w:r>
        <w:rPr>
          <w:szCs w:val="32"/>
        </w:rPr>
        <w:t>家</w:t>
      </w:r>
      <w:r>
        <w:rPr>
          <w:rFonts w:hint="eastAsia"/>
          <w:szCs w:val="32"/>
          <w:lang w:eastAsia="zh-CN"/>
        </w:rPr>
        <w:t>事业</w:t>
      </w:r>
      <w:r>
        <w:rPr>
          <w:szCs w:val="32"/>
        </w:rPr>
        <w:t>单位</w:t>
      </w:r>
      <w:r>
        <w:rPr>
          <w:rFonts w:hint="eastAsia"/>
          <w:szCs w:val="32"/>
          <w:lang w:eastAsia="zh-CN"/>
        </w:rPr>
        <w:t>无</w:t>
      </w:r>
      <w:r>
        <w:rPr>
          <w:szCs w:val="32"/>
        </w:rPr>
        <w:t>机关运行经费</w:t>
      </w:r>
      <w:r>
        <w:rPr>
          <w:rFonts w:hint="eastAsia"/>
          <w:szCs w:val="32"/>
          <w:lang w:eastAsia="zh-CN"/>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本单位无政府采购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通化市统计局计算中心</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0.00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0.00</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0.00</w:t>
      </w:r>
      <w:r>
        <w:rPr>
          <w:rFonts w:hint="eastAsia" w:ascii="宋体" w:hAnsi="宋体"/>
        </w:rPr>
        <w:t>万元。</w:t>
      </w:r>
    </w:p>
    <w:p>
      <w:pPr>
        <w:ind w:firstLine="645"/>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spacing w:line="540" w:lineRule="exact"/>
        <w:rPr>
          <w:rFonts w:eastAsia="楷体"/>
          <w:szCs w:val="32"/>
        </w:rPr>
      </w:pP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C6D48"/>
    <w:rsid w:val="000D7FB8"/>
    <w:rsid w:val="000E46F6"/>
    <w:rsid w:val="00102492"/>
    <w:rsid w:val="00145456"/>
    <w:rsid w:val="002300BA"/>
    <w:rsid w:val="00292A39"/>
    <w:rsid w:val="002A5441"/>
    <w:rsid w:val="002E7CD8"/>
    <w:rsid w:val="00327CB1"/>
    <w:rsid w:val="00367BC1"/>
    <w:rsid w:val="00396D8D"/>
    <w:rsid w:val="00426F96"/>
    <w:rsid w:val="00487479"/>
    <w:rsid w:val="00514321"/>
    <w:rsid w:val="00584D1B"/>
    <w:rsid w:val="00586A56"/>
    <w:rsid w:val="005D5B16"/>
    <w:rsid w:val="005F314F"/>
    <w:rsid w:val="00623896"/>
    <w:rsid w:val="006358AE"/>
    <w:rsid w:val="006B3914"/>
    <w:rsid w:val="0075194C"/>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AE4E5E"/>
    <w:rsid w:val="00B05DD3"/>
    <w:rsid w:val="00B60748"/>
    <w:rsid w:val="00B62F90"/>
    <w:rsid w:val="00B668F4"/>
    <w:rsid w:val="00BA7D5D"/>
    <w:rsid w:val="00BB6FD3"/>
    <w:rsid w:val="00BB7144"/>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55120"/>
    <w:rsid w:val="01265BCF"/>
    <w:rsid w:val="013026DF"/>
    <w:rsid w:val="01396E1E"/>
    <w:rsid w:val="01423F24"/>
    <w:rsid w:val="018E6841"/>
    <w:rsid w:val="019B69D8"/>
    <w:rsid w:val="01B7145A"/>
    <w:rsid w:val="02033000"/>
    <w:rsid w:val="020E6D2C"/>
    <w:rsid w:val="021F4CA2"/>
    <w:rsid w:val="022C672A"/>
    <w:rsid w:val="025B37A5"/>
    <w:rsid w:val="02641C78"/>
    <w:rsid w:val="026779BA"/>
    <w:rsid w:val="02C44267"/>
    <w:rsid w:val="02D50DC8"/>
    <w:rsid w:val="031D7D4B"/>
    <w:rsid w:val="037E6D6A"/>
    <w:rsid w:val="037F2004"/>
    <w:rsid w:val="039753F3"/>
    <w:rsid w:val="03991DF6"/>
    <w:rsid w:val="03B41E8C"/>
    <w:rsid w:val="03B8602C"/>
    <w:rsid w:val="03BA6E7A"/>
    <w:rsid w:val="03CB2296"/>
    <w:rsid w:val="03CF75C5"/>
    <w:rsid w:val="04180F6C"/>
    <w:rsid w:val="044F0706"/>
    <w:rsid w:val="046046C1"/>
    <w:rsid w:val="04755FB3"/>
    <w:rsid w:val="0486486A"/>
    <w:rsid w:val="048B5BE2"/>
    <w:rsid w:val="04954460"/>
    <w:rsid w:val="04B818D1"/>
    <w:rsid w:val="04DD5D12"/>
    <w:rsid w:val="04EF43C3"/>
    <w:rsid w:val="050C249F"/>
    <w:rsid w:val="050D06DA"/>
    <w:rsid w:val="051E25B2"/>
    <w:rsid w:val="05310B72"/>
    <w:rsid w:val="05513E94"/>
    <w:rsid w:val="056F5A6D"/>
    <w:rsid w:val="05784549"/>
    <w:rsid w:val="059B3770"/>
    <w:rsid w:val="05A84572"/>
    <w:rsid w:val="06305825"/>
    <w:rsid w:val="063949A0"/>
    <w:rsid w:val="06431E80"/>
    <w:rsid w:val="065631E6"/>
    <w:rsid w:val="066466EB"/>
    <w:rsid w:val="06823015"/>
    <w:rsid w:val="06BA7D75"/>
    <w:rsid w:val="06BD5BC7"/>
    <w:rsid w:val="06E1305A"/>
    <w:rsid w:val="06F008FF"/>
    <w:rsid w:val="073E6F3C"/>
    <w:rsid w:val="07504EC1"/>
    <w:rsid w:val="077E558A"/>
    <w:rsid w:val="07846650"/>
    <w:rsid w:val="079E5032"/>
    <w:rsid w:val="07C13B30"/>
    <w:rsid w:val="07C82CA9"/>
    <w:rsid w:val="08471E20"/>
    <w:rsid w:val="086C1887"/>
    <w:rsid w:val="087A0447"/>
    <w:rsid w:val="087D7F38"/>
    <w:rsid w:val="08B82D1E"/>
    <w:rsid w:val="09015F14"/>
    <w:rsid w:val="090C058F"/>
    <w:rsid w:val="091C5C63"/>
    <w:rsid w:val="09421190"/>
    <w:rsid w:val="095F763D"/>
    <w:rsid w:val="099217C1"/>
    <w:rsid w:val="09A0082A"/>
    <w:rsid w:val="0A00435B"/>
    <w:rsid w:val="0A621193"/>
    <w:rsid w:val="0A735B1D"/>
    <w:rsid w:val="0AAA1697"/>
    <w:rsid w:val="0ABA06FE"/>
    <w:rsid w:val="0AE53B04"/>
    <w:rsid w:val="0AF10769"/>
    <w:rsid w:val="0B21525C"/>
    <w:rsid w:val="0B49202F"/>
    <w:rsid w:val="0B5331D2"/>
    <w:rsid w:val="0B5F5ADA"/>
    <w:rsid w:val="0B6B4077"/>
    <w:rsid w:val="0B981B67"/>
    <w:rsid w:val="0BBF2615"/>
    <w:rsid w:val="0BD87233"/>
    <w:rsid w:val="0C0544CC"/>
    <w:rsid w:val="0C1B5A9E"/>
    <w:rsid w:val="0C2A5C84"/>
    <w:rsid w:val="0C4F64D9"/>
    <w:rsid w:val="0C583939"/>
    <w:rsid w:val="0C687E93"/>
    <w:rsid w:val="0C6D1BAE"/>
    <w:rsid w:val="0CC46135"/>
    <w:rsid w:val="0CE045F1"/>
    <w:rsid w:val="0D2A2435"/>
    <w:rsid w:val="0D531267"/>
    <w:rsid w:val="0D5739AE"/>
    <w:rsid w:val="0D690A8B"/>
    <w:rsid w:val="0D7D0092"/>
    <w:rsid w:val="0D803CBB"/>
    <w:rsid w:val="0D8238FA"/>
    <w:rsid w:val="0DA001B0"/>
    <w:rsid w:val="0DEB170B"/>
    <w:rsid w:val="0E213113"/>
    <w:rsid w:val="0E4C7841"/>
    <w:rsid w:val="0E97506F"/>
    <w:rsid w:val="0E981627"/>
    <w:rsid w:val="0EFF6327"/>
    <w:rsid w:val="0F3E0406"/>
    <w:rsid w:val="0F5A54CA"/>
    <w:rsid w:val="0F980230"/>
    <w:rsid w:val="0FD62F63"/>
    <w:rsid w:val="0FDE2A27"/>
    <w:rsid w:val="104B26C9"/>
    <w:rsid w:val="10594DE6"/>
    <w:rsid w:val="10A87B1C"/>
    <w:rsid w:val="10AE7F82"/>
    <w:rsid w:val="10C93B35"/>
    <w:rsid w:val="10CB7366"/>
    <w:rsid w:val="110034B4"/>
    <w:rsid w:val="11177619"/>
    <w:rsid w:val="112605C8"/>
    <w:rsid w:val="11447845"/>
    <w:rsid w:val="11991213"/>
    <w:rsid w:val="11A227BD"/>
    <w:rsid w:val="11A6707B"/>
    <w:rsid w:val="11B35B2F"/>
    <w:rsid w:val="11CB1D14"/>
    <w:rsid w:val="11D34725"/>
    <w:rsid w:val="11E20E0C"/>
    <w:rsid w:val="11FA6155"/>
    <w:rsid w:val="12255C4E"/>
    <w:rsid w:val="12527D3F"/>
    <w:rsid w:val="12B10F0A"/>
    <w:rsid w:val="12C329EB"/>
    <w:rsid w:val="12C7072D"/>
    <w:rsid w:val="12D43D01"/>
    <w:rsid w:val="12E711B7"/>
    <w:rsid w:val="12F64B6E"/>
    <w:rsid w:val="130D010A"/>
    <w:rsid w:val="13596EAB"/>
    <w:rsid w:val="135E69D0"/>
    <w:rsid w:val="136D62BD"/>
    <w:rsid w:val="136E4388"/>
    <w:rsid w:val="1376180B"/>
    <w:rsid w:val="137D5290"/>
    <w:rsid w:val="13914897"/>
    <w:rsid w:val="139F6FB4"/>
    <w:rsid w:val="13E72709"/>
    <w:rsid w:val="13F21722"/>
    <w:rsid w:val="141D437D"/>
    <w:rsid w:val="1441443C"/>
    <w:rsid w:val="14755F67"/>
    <w:rsid w:val="14C12787"/>
    <w:rsid w:val="152A6D51"/>
    <w:rsid w:val="15593E10"/>
    <w:rsid w:val="158A3C94"/>
    <w:rsid w:val="159F7E25"/>
    <w:rsid w:val="15B34F99"/>
    <w:rsid w:val="15BF393E"/>
    <w:rsid w:val="15C2342E"/>
    <w:rsid w:val="15F848D0"/>
    <w:rsid w:val="160E1FA5"/>
    <w:rsid w:val="160F2600"/>
    <w:rsid w:val="161C2A95"/>
    <w:rsid w:val="164D6FD7"/>
    <w:rsid w:val="165D4F05"/>
    <w:rsid w:val="1662251B"/>
    <w:rsid w:val="16A14DF1"/>
    <w:rsid w:val="16AD19E8"/>
    <w:rsid w:val="16C829AB"/>
    <w:rsid w:val="16C84A74"/>
    <w:rsid w:val="16DD34F5"/>
    <w:rsid w:val="16E42F30"/>
    <w:rsid w:val="175E5BA2"/>
    <w:rsid w:val="17765BCA"/>
    <w:rsid w:val="17A027D8"/>
    <w:rsid w:val="17AC7EF2"/>
    <w:rsid w:val="17CC2625"/>
    <w:rsid w:val="17D64F6F"/>
    <w:rsid w:val="185D743E"/>
    <w:rsid w:val="18616F2E"/>
    <w:rsid w:val="18AF5EEB"/>
    <w:rsid w:val="18B21538"/>
    <w:rsid w:val="18B43502"/>
    <w:rsid w:val="18FC0A05"/>
    <w:rsid w:val="19132BE0"/>
    <w:rsid w:val="191F4716"/>
    <w:rsid w:val="19347376"/>
    <w:rsid w:val="193E101D"/>
    <w:rsid w:val="1954649C"/>
    <w:rsid w:val="198D5B01"/>
    <w:rsid w:val="19A075E2"/>
    <w:rsid w:val="19AF7825"/>
    <w:rsid w:val="1A1678A4"/>
    <w:rsid w:val="1A25326C"/>
    <w:rsid w:val="1A817DF8"/>
    <w:rsid w:val="1A8A6135"/>
    <w:rsid w:val="1A9F789A"/>
    <w:rsid w:val="1AC605EE"/>
    <w:rsid w:val="1AD5033E"/>
    <w:rsid w:val="1ADC594E"/>
    <w:rsid w:val="1AEB0D31"/>
    <w:rsid w:val="1AEB5252"/>
    <w:rsid w:val="1B140288"/>
    <w:rsid w:val="1B440441"/>
    <w:rsid w:val="1B4D72F6"/>
    <w:rsid w:val="1B8A03E4"/>
    <w:rsid w:val="1B9C1459"/>
    <w:rsid w:val="1BE22134"/>
    <w:rsid w:val="1C852172"/>
    <w:rsid w:val="1C901B90"/>
    <w:rsid w:val="1C931680"/>
    <w:rsid w:val="1CA056D5"/>
    <w:rsid w:val="1CA40C0C"/>
    <w:rsid w:val="1CAE64BA"/>
    <w:rsid w:val="1CFF4A32"/>
    <w:rsid w:val="1D833200"/>
    <w:rsid w:val="1DC85359"/>
    <w:rsid w:val="1DE37813"/>
    <w:rsid w:val="1E3A3FD0"/>
    <w:rsid w:val="1E696B3C"/>
    <w:rsid w:val="1E803E86"/>
    <w:rsid w:val="1E964664"/>
    <w:rsid w:val="1EB458DE"/>
    <w:rsid w:val="1EB55C07"/>
    <w:rsid w:val="1ED0096A"/>
    <w:rsid w:val="1ED10598"/>
    <w:rsid w:val="1EE47F71"/>
    <w:rsid w:val="1F182311"/>
    <w:rsid w:val="1F351A10"/>
    <w:rsid w:val="1F42516B"/>
    <w:rsid w:val="1F5F584A"/>
    <w:rsid w:val="1F857EA5"/>
    <w:rsid w:val="1FA871F0"/>
    <w:rsid w:val="1FED47E9"/>
    <w:rsid w:val="201E5705"/>
    <w:rsid w:val="202C79B8"/>
    <w:rsid w:val="20427645"/>
    <w:rsid w:val="206816AC"/>
    <w:rsid w:val="206C46C2"/>
    <w:rsid w:val="209459C7"/>
    <w:rsid w:val="20E34258"/>
    <w:rsid w:val="20FA1CCE"/>
    <w:rsid w:val="21134335"/>
    <w:rsid w:val="214B2529"/>
    <w:rsid w:val="215313DE"/>
    <w:rsid w:val="219B026A"/>
    <w:rsid w:val="21C04BDE"/>
    <w:rsid w:val="21CB71C6"/>
    <w:rsid w:val="21E62252"/>
    <w:rsid w:val="22066450"/>
    <w:rsid w:val="226E581D"/>
    <w:rsid w:val="22843904"/>
    <w:rsid w:val="229323DA"/>
    <w:rsid w:val="22A4003E"/>
    <w:rsid w:val="22B365D8"/>
    <w:rsid w:val="22C2681B"/>
    <w:rsid w:val="23135C25"/>
    <w:rsid w:val="236478D2"/>
    <w:rsid w:val="23D74548"/>
    <w:rsid w:val="23EC61F6"/>
    <w:rsid w:val="23EF34A5"/>
    <w:rsid w:val="23F32A04"/>
    <w:rsid w:val="241430A6"/>
    <w:rsid w:val="241F42DD"/>
    <w:rsid w:val="244C543C"/>
    <w:rsid w:val="24624768"/>
    <w:rsid w:val="246B4C91"/>
    <w:rsid w:val="248C70E1"/>
    <w:rsid w:val="24A3442A"/>
    <w:rsid w:val="24D82326"/>
    <w:rsid w:val="2503311B"/>
    <w:rsid w:val="251B66B7"/>
    <w:rsid w:val="253B0B07"/>
    <w:rsid w:val="25401C79"/>
    <w:rsid w:val="25822292"/>
    <w:rsid w:val="259B5BC5"/>
    <w:rsid w:val="25BF7042"/>
    <w:rsid w:val="25CC7D8F"/>
    <w:rsid w:val="25F62C4E"/>
    <w:rsid w:val="263F32B3"/>
    <w:rsid w:val="26643D6C"/>
    <w:rsid w:val="26DD6323"/>
    <w:rsid w:val="26FE109D"/>
    <w:rsid w:val="27073E1E"/>
    <w:rsid w:val="27214B9E"/>
    <w:rsid w:val="27A74232"/>
    <w:rsid w:val="27B04AB3"/>
    <w:rsid w:val="27EB411E"/>
    <w:rsid w:val="282C3BA1"/>
    <w:rsid w:val="28373807"/>
    <w:rsid w:val="28A63332"/>
    <w:rsid w:val="28B430AA"/>
    <w:rsid w:val="28C96E8E"/>
    <w:rsid w:val="29982084"/>
    <w:rsid w:val="29C45F24"/>
    <w:rsid w:val="2A0239A1"/>
    <w:rsid w:val="2A1C2CB5"/>
    <w:rsid w:val="2A297180"/>
    <w:rsid w:val="2A2D0432"/>
    <w:rsid w:val="2A7C6C94"/>
    <w:rsid w:val="2AB96756"/>
    <w:rsid w:val="2AF23A05"/>
    <w:rsid w:val="2B42499D"/>
    <w:rsid w:val="2B88437A"/>
    <w:rsid w:val="2BB1742D"/>
    <w:rsid w:val="2BE315B0"/>
    <w:rsid w:val="2C16266E"/>
    <w:rsid w:val="2C1C3440"/>
    <w:rsid w:val="2C484235"/>
    <w:rsid w:val="2CA945A8"/>
    <w:rsid w:val="2CD0422B"/>
    <w:rsid w:val="2D2C79D5"/>
    <w:rsid w:val="2D344306"/>
    <w:rsid w:val="2D597D7C"/>
    <w:rsid w:val="2D9038E4"/>
    <w:rsid w:val="2DF8796C"/>
    <w:rsid w:val="2EA94D33"/>
    <w:rsid w:val="2EB22F18"/>
    <w:rsid w:val="2ECE6548"/>
    <w:rsid w:val="2EE12108"/>
    <w:rsid w:val="2EED35E3"/>
    <w:rsid w:val="2F0B5068"/>
    <w:rsid w:val="2F250383"/>
    <w:rsid w:val="2F63610B"/>
    <w:rsid w:val="2F8950E1"/>
    <w:rsid w:val="2FBC646B"/>
    <w:rsid w:val="2FC242FE"/>
    <w:rsid w:val="2FE921C8"/>
    <w:rsid w:val="300965A3"/>
    <w:rsid w:val="303F6897"/>
    <w:rsid w:val="304C5976"/>
    <w:rsid w:val="30730D6E"/>
    <w:rsid w:val="308B20C9"/>
    <w:rsid w:val="30B91A70"/>
    <w:rsid w:val="30D93B7C"/>
    <w:rsid w:val="30EC0F07"/>
    <w:rsid w:val="30F009F7"/>
    <w:rsid w:val="30F84C22"/>
    <w:rsid w:val="310C6AA2"/>
    <w:rsid w:val="31496359"/>
    <w:rsid w:val="31793674"/>
    <w:rsid w:val="31894469"/>
    <w:rsid w:val="31B732C3"/>
    <w:rsid w:val="320C1861"/>
    <w:rsid w:val="32332703"/>
    <w:rsid w:val="32696CB3"/>
    <w:rsid w:val="32CD1856"/>
    <w:rsid w:val="32CF2C5D"/>
    <w:rsid w:val="32DA370D"/>
    <w:rsid w:val="32EE2C61"/>
    <w:rsid w:val="330B38C7"/>
    <w:rsid w:val="332F677D"/>
    <w:rsid w:val="335402B5"/>
    <w:rsid w:val="335F6616"/>
    <w:rsid w:val="338F274A"/>
    <w:rsid w:val="339466B2"/>
    <w:rsid w:val="339F56B2"/>
    <w:rsid w:val="33C00B55"/>
    <w:rsid w:val="33E466C0"/>
    <w:rsid w:val="33FB1B8D"/>
    <w:rsid w:val="34346E4D"/>
    <w:rsid w:val="34555AF5"/>
    <w:rsid w:val="345E036E"/>
    <w:rsid w:val="346D124D"/>
    <w:rsid w:val="34802092"/>
    <w:rsid w:val="34831B82"/>
    <w:rsid w:val="34F52A80"/>
    <w:rsid w:val="34FF687B"/>
    <w:rsid w:val="352E1AEE"/>
    <w:rsid w:val="354C4987"/>
    <w:rsid w:val="35616772"/>
    <w:rsid w:val="35942299"/>
    <w:rsid w:val="35EA1663"/>
    <w:rsid w:val="36260A17"/>
    <w:rsid w:val="364C598E"/>
    <w:rsid w:val="36545584"/>
    <w:rsid w:val="368A3622"/>
    <w:rsid w:val="36B543E5"/>
    <w:rsid w:val="36CC2B0F"/>
    <w:rsid w:val="36FC762F"/>
    <w:rsid w:val="375148FB"/>
    <w:rsid w:val="376D2DA2"/>
    <w:rsid w:val="37D83F93"/>
    <w:rsid w:val="380B4369"/>
    <w:rsid w:val="38145CDF"/>
    <w:rsid w:val="381551E7"/>
    <w:rsid w:val="3838492F"/>
    <w:rsid w:val="383A009B"/>
    <w:rsid w:val="384358B1"/>
    <w:rsid w:val="38740160"/>
    <w:rsid w:val="387719FE"/>
    <w:rsid w:val="3887374F"/>
    <w:rsid w:val="389E6858"/>
    <w:rsid w:val="38A00F55"/>
    <w:rsid w:val="38CB0ABC"/>
    <w:rsid w:val="39041A07"/>
    <w:rsid w:val="39043B77"/>
    <w:rsid w:val="391820F9"/>
    <w:rsid w:val="391F02EA"/>
    <w:rsid w:val="393605C7"/>
    <w:rsid w:val="39520806"/>
    <w:rsid w:val="39621CD3"/>
    <w:rsid w:val="39670895"/>
    <w:rsid w:val="397B4EE2"/>
    <w:rsid w:val="39846181"/>
    <w:rsid w:val="398F7A24"/>
    <w:rsid w:val="3A184B1B"/>
    <w:rsid w:val="3A19048B"/>
    <w:rsid w:val="3A387943"/>
    <w:rsid w:val="3A657F9A"/>
    <w:rsid w:val="3A8F1D4B"/>
    <w:rsid w:val="3A9113D4"/>
    <w:rsid w:val="3AB74334"/>
    <w:rsid w:val="3AC54F32"/>
    <w:rsid w:val="3ACA22B9"/>
    <w:rsid w:val="3B144A0A"/>
    <w:rsid w:val="3B1F0857"/>
    <w:rsid w:val="3B254018"/>
    <w:rsid w:val="3B5257F8"/>
    <w:rsid w:val="3BBC5F36"/>
    <w:rsid w:val="3BC92948"/>
    <w:rsid w:val="3BDF47CF"/>
    <w:rsid w:val="3BE370D4"/>
    <w:rsid w:val="3C0B72BB"/>
    <w:rsid w:val="3C1A026D"/>
    <w:rsid w:val="3C29381E"/>
    <w:rsid w:val="3C711E1D"/>
    <w:rsid w:val="3C7F463D"/>
    <w:rsid w:val="3CA01523"/>
    <w:rsid w:val="3CA1529C"/>
    <w:rsid w:val="3CAE3960"/>
    <w:rsid w:val="3CD76F0F"/>
    <w:rsid w:val="3CEF6494"/>
    <w:rsid w:val="3CFC24D2"/>
    <w:rsid w:val="3D0A75D7"/>
    <w:rsid w:val="3D2C1009"/>
    <w:rsid w:val="3D365BF6"/>
    <w:rsid w:val="3D3954D4"/>
    <w:rsid w:val="3D6E02CF"/>
    <w:rsid w:val="3D7309E6"/>
    <w:rsid w:val="3D7F7007"/>
    <w:rsid w:val="3DB008AA"/>
    <w:rsid w:val="3DBA03C3"/>
    <w:rsid w:val="3DD81E7E"/>
    <w:rsid w:val="3DF23324"/>
    <w:rsid w:val="3E151A9D"/>
    <w:rsid w:val="3E303A6A"/>
    <w:rsid w:val="3E3D3A17"/>
    <w:rsid w:val="3E467EA9"/>
    <w:rsid w:val="3EA14040"/>
    <w:rsid w:val="3EE8108D"/>
    <w:rsid w:val="3F1B7587"/>
    <w:rsid w:val="3F2265C3"/>
    <w:rsid w:val="3F8201A3"/>
    <w:rsid w:val="3FA36035"/>
    <w:rsid w:val="3FA506C9"/>
    <w:rsid w:val="3FE32B7F"/>
    <w:rsid w:val="401C5365"/>
    <w:rsid w:val="402675EA"/>
    <w:rsid w:val="405E223A"/>
    <w:rsid w:val="405F5252"/>
    <w:rsid w:val="40664832"/>
    <w:rsid w:val="409A272E"/>
    <w:rsid w:val="40B80EFF"/>
    <w:rsid w:val="40D519B8"/>
    <w:rsid w:val="411A73CB"/>
    <w:rsid w:val="411B386E"/>
    <w:rsid w:val="41A35364"/>
    <w:rsid w:val="41C31686"/>
    <w:rsid w:val="41C837BC"/>
    <w:rsid w:val="41E40104"/>
    <w:rsid w:val="420936C7"/>
    <w:rsid w:val="4214206C"/>
    <w:rsid w:val="421643AC"/>
    <w:rsid w:val="421678CB"/>
    <w:rsid w:val="42982B4E"/>
    <w:rsid w:val="429F5D0C"/>
    <w:rsid w:val="42D83665"/>
    <w:rsid w:val="431467C7"/>
    <w:rsid w:val="432307B8"/>
    <w:rsid w:val="4348021A"/>
    <w:rsid w:val="434A6B47"/>
    <w:rsid w:val="436B1E42"/>
    <w:rsid w:val="43A85162"/>
    <w:rsid w:val="43ED5A7D"/>
    <w:rsid w:val="444C01E3"/>
    <w:rsid w:val="4450382F"/>
    <w:rsid w:val="44B32010"/>
    <w:rsid w:val="44C304A5"/>
    <w:rsid w:val="44E81CBA"/>
    <w:rsid w:val="44FF0DB1"/>
    <w:rsid w:val="45195625"/>
    <w:rsid w:val="452F5B3A"/>
    <w:rsid w:val="454669E0"/>
    <w:rsid w:val="4557299B"/>
    <w:rsid w:val="456D114B"/>
    <w:rsid w:val="45B61DB8"/>
    <w:rsid w:val="45BD51E6"/>
    <w:rsid w:val="45D86D8A"/>
    <w:rsid w:val="45EB670F"/>
    <w:rsid w:val="460A2104"/>
    <w:rsid w:val="462211FB"/>
    <w:rsid w:val="46396545"/>
    <w:rsid w:val="46511AE0"/>
    <w:rsid w:val="46AB7C0D"/>
    <w:rsid w:val="46B53D4A"/>
    <w:rsid w:val="46D44808"/>
    <w:rsid w:val="46D44B24"/>
    <w:rsid w:val="46EB783F"/>
    <w:rsid w:val="46ED776B"/>
    <w:rsid w:val="471072A6"/>
    <w:rsid w:val="47482EE3"/>
    <w:rsid w:val="47490A0A"/>
    <w:rsid w:val="47723ABC"/>
    <w:rsid w:val="479779C7"/>
    <w:rsid w:val="479D2523"/>
    <w:rsid w:val="47CF49E6"/>
    <w:rsid w:val="47D06A35"/>
    <w:rsid w:val="4839282C"/>
    <w:rsid w:val="48496F13"/>
    <w:rsid w:val="485D651B"/>
    <w:rsid w:val="48674ED2"/>
    <w:rsid w:val="486B5A96"/>
    <w:rsid w:val="487708E6"/>
    <w:rsid w:val="489D100D"/>
    <w:rsid w:val="489F2696"/>
    <w:rsid w:val="48B540F2"/>
    <w:rsid w:val="48D32C81"/>
    <w:rsid w:val="4910358D"/>
    <w:rsid w:val="49161911"/>
    <w:rsid w:val="493C4382"/>
    <w:rsid w:val="493F6F72"/>
    <w:rsid w:val="49627B61"/>
    <w:rsid w:val="49645F71"/>
    <w:rsid w:val="496E6505"/>
    <w:rsid w:val="49825B39"/>
    <w:rsid w:val="498C2A69"/>
    <w:rsid w:val="499F5C68"/>
    <w:rsid w:val="49A62143"/>
    <w:rsid w:val="49B303BC"/>
    <w:rsid w:val="49BC3715"/>
    <w:rsid w:val="4A52465C"/>
    <w:rsid w:val="4A5C4AC6"/>
    <w:rsid w:val="4A657908"/>
    <w:rsid w:val="4A662FBF"/>
    <w:rsid w:val="4A74717B"/>
    <w:rsid w:val="4AF16062"/>
    <w:rsid w:val="4B0A57E5"/>
    <w:rsid w:val="4B0D06CC"/>
    <w:rsid w:val="4B646DDD"/>
    <w:rsid w:val="4B7D0C82"/>
    <w:rsid w:val="4B7F44F8"/>
    <w:rsid w:val="4BAC24C5"/>
    <w:rsid w:val="4BB548C0"/>
    <w:rsid w:val="4BB87F0C"/>
    <w:rsid w:val="4BFA0656"/>
    <w:rsid w:val="4C48623B"/>
    <w:rsid w:val="4C497E9B"/>
    <w:rsid w:val="4C8A40BB"/>
    <w:rsid w:val="4CCF550D"/>
    <w:rsid w:val="4CE37103"/>
    <w:rsid w:val="4D003831"/>
    <w:rsid w:val="4D3439E8"/>
    <w:rsid w:val="4D3B0DF4"/>
    <w:rsid w:val="4D4E2809"/>
    <w:rsid w:val="4D710D8B"/>
    <w:rsid w:val="4D730507"/>
    <w:rsid w:val="4D741DD3"/>
    <w:rsid w:val="4D77007F"/>
    <w:rsid w:val="4DC42B98"/>
    <w:rsid w:val="4DC93207"/>
    <w:rsid w:val="4E010C4C"/>
    <w:rsid w:val="4E214B2B"/>
    <w:rsid w:val="4E233D62"/>
    <w:rsid w:val="4E346DF1"/>
    <w:rsid w:val="4E8D5761"/>
    <w:rsid w:val="4EA01857"/>
    <w:rsid w:val="4ED9236E"/>
    <w:rsid w:val="4EF23735"/>
    <w:rsid w:val="4EF54A85"/>
    <w:rsid w:val="4EF972C6"/>
    <w:rsid w:val="4F754A92"/>
    <w:rsid w:val="4FC82E13"/>
    <w:rsid w:val="4FDA2B47"/>
    <w:rsid w:val="501B3C66"/>
    <w:rsid w:val="502D2C76"/>
    <w:rsid w:val="50485D02"/>
    <w:rsid w:val="504A1A7A"/>
    <w:rsid w:val="504B40C5"/>
    <w:rsid w:val="504D156B"/>
    <w:rsid w:val="50987DC2"/>
    <w:rsid w:val="50A4703E"/>
    <w:rsid w:val="50B1209A"/>
    <w:rsid w:val="50F43794"/>
    <w:rsid w:val="50F6575E"/>
    <w:rsid w:val="51282B99"/>
    <w:rsid w:val="5136104F"/>
    <w:rsid w:val="51465EDE"/>
    <w:rsid w:val="51651CBF"/>
    <w:rsid w:val="51654692"/>
    <w:rsid w:val="51B51175"/>
    <w:rsid w:val="51C25640"/>
    <w:rsid w:val="52071113"/>
    <w:rsid w:val="52085509"/>
    <w:rsid w:val="522774C4"/>
    <w:rsid w:val="522A7431"/>
    <w:rsid w:val="522E2CD6"/>
    <w:rsid w:val="52397FF8"/>
    <w:rsid w:val="525A440D"/>
    <w:rsid w:val="52626449"/>
    <w:rsid w:val="53163E96"/>
    <w:rsid w:val="533B56AA"/>
    <w:rsid w:val="538B1AA6"/>
    <w:rsid w:val="53A94D0A"/>
    <w:rsid w:val="53DB6E8D"/>
    <w:rsid w:val="53E47AF0"/>
    <w:rsid w:val="54206127"/>
    <w:rsid w:val="543C16DA"/>
    <w:rsid w:val="544D7D8B"/>
    <w:rsid w:val="544E511A"/>
    <w:rsid w:val="54741940"/>
    <w:rsid w:val="547C5F7A"/>
    <w:rsid w:val="54810E66"/>
    <w:rsid w:val="549C03CB"/>
    <w:rsid w:val="54B41BB8"/>
    <w:rsid w:val="54C063E4"/>
    <w:rsid w:val="54C2556E"/>
    <w:rsid w:val="54D1276A"/>
    <w:rsid w:val="54ED6E78"/>
    <w:rsid w:val="55124B31"/>
    <w:rsid w:val="55162B19"/>
    <w:rsid w:val="55480EEF"/>
    <w:rsid w:val="554967A4"/>
    <w:rsid w:val="5579070C"/>
    <w:rsid w:val="55850C4A"/>
    <w:rsid w:val="56075D18"/>
    <w:rsid w:val="562C1C22"/>
    <w:rsid w:val="562C577E"/>
    <w:rsid w:val="567333AD"/>
    <w:rsid w:val="569B7F91"/>
    <w:rsid w:val="56C8194B"/>
    <w:rsid w:val="56D21BED"/>
    <w:rsid w:val="571D088D"/>
    <w:rsid w:val="572651B2"/>
    <w:rsid w:val="57325016"/>
    <w:rsid w:val="574C432A"/>
    <w:rsid w:val="57A04676"/>
    <w:rsid w:val="57AE5C26"/>
    <w:rsid w:val="57D12A81"/>
    <w:rsid w:val="57DD75A9"/>
    <w:rsid w:val="57EA3B43"/>
    <w:rsid w:val="5801059F"/>
    <w:rsid w:val="58256ABD"/>
    <w:rsid w:val="58607961"/>
    <w:rsid w:val="58C148A4"/>
    <w:rsid w:val="58C27FDB"/>
    <w:rsid w:val="59374B66"/>
    <w:rsid w:val="59472AC7"/>
    <w:rsid w:val="596D67DA"/>
    <w:rsid w:val="597E2795"/>
    <w:rsid w:val="5992164C"/>
    <w:rsid w:val="599C0E6D"/>
    <w:rsid w:val="59D514A6"/>
    <w:rsid w:val="59E44CEE"/>
    <w:rsid w:val="59E90618"/>
    <w:rsid w:val="59EC6E09"/>
    <w:rsid w:val="5A312D8C"/>
    <w:rsid w:val="5A3B2434"/>
    <w:rsid w:val="5A4B6B1B"/>
    <w:rsid w:val="5AB343F7"/>
    <w:rsid w:val="5ABF50F2"/>
    <w:rsid w:val="5ACB37B8"/>
    <w:rsid w:val="5AD3266C"/>
    <w:rsid w:val="5AF25D13"/>
    <w:rsid w:val="5AF76904"/>
    <w:rsid w:val="5B052E7A"/>
    <w:rsid w:val="5B0B62AA"/>
    <w:rsid w:val="5B3475AF"/>
    <w:rsid w:val="5B3D7F7E"/>
    <w:rsid w:val="5B791466"/>
    <w:rsid w:val="5B7C7777"/>
    <w:rsid w:val="5B87127A"/>
    <w:rsid w:val="5BC75F04"/>
    <w:rsid w:val="5BE32D83"/>
    <w:rsid w:val="5BEC6771"/>
    <w:rsid w:val="5BF94355"/>
    <w:rsid w:val="5BFC5BF3"/>
    <w:rsid w:val="5C2E2250"/>
    <w:rsid w:val="5C5D14BD"/>
    <w:rsid w:val="5C961BA3"/>
    <w:rsid w:val="5CA506B9"/>
    <w:rsid w:val="5CCD3E8C"/>
    <w:rsid w:val="5CF74CE4"/>
    <w:rsid w:val="5D0B17B8"/>
    <w:rsid w:val="5D5A7C63"/>
    <w:rsid w:val="5D746389"/>
    <w:rsid w:val="5D7A7717"/>
    <w:rsid w:val="5DDC3F2E"/>
    <w:rsid w:val="5DDE7CA6"/>
    <w:rsid w:val="5E256F6F"/>
    <w:rsid w:val="5E2751A9"/>
    <w:rsid w:val="5E8048B9"/>
    <w:rsid w:val="5EB21300"/>
    <w:rsid w:val="5ECC7AFE"/>
    <w:rsid w:val="5EE1296D"/>
    <w:rsid w:val="5EF86B7E"/>
    <w:rsid w:val="5F6235A9"/>
    <w:rsid w:val="5F697A43"/>
    <w:rsid w:val="5FF11F12"/>
    <w:rsid w:val="6022031E"/>
    <w:rsid w:val="604A517F"/>
    <w:rsid w:val="604D1DE8"/>
    <w:rsid w:val="60DC439E"/>
    <w:rsid w:val="60E530F9"/>
    <w:rsid w:val="60EC26DA"/>
    <w:rsid w:val="61147AFE"/>
    <w:rsid w:val="612B3202"/>
    <w:rsid w:val="612E2CF2"/>
    <w:rsid w:val="614125C2"/>
    <w:rsid w:val="618301F5"/>
    <w:rsid w:val="61AA1D1F"/>
    <w:rsid w:val="61B6101A"/>
    <w:rsid w:val="61BF7DEE"/>
    <w:rsid w:val="61D218D0"/>
    <w:rsid w:val="61D91338"/>
    <w:rsid w:val="61E03C07"/>
    <w:rsid w:val="61E51DD1"/>
    <w:rsid w:val="61E82EA1"/>
    <w:rsid w:val="61F21F72"/>
    <w:rsid w:val="624C5C52"/>
    <w:rsid w:val="62742987"/>
    <w:rsid w:val="628A3147"/>
    <w:rsid w:val="62C05BCC"/>
    <w:rsid w:val="62D17DD9"/>
    <w:rsid w:val="631A5562"/>
    <w:rsid w:val="63DF08E4"/>
    <w:rsid w:val="63EB4ECB"/>
    <w:rsid w:val="64055F8C"/>
    <w:rsid w:val="642A77A1"/>
    <w:rsid w:val="64412D3D"/>
    <w:rsid w:val="649B324A"/>
    <w:rsid w:val="64C04AFD"/>
    <w:rsid w:val="64CD45D0"/>
    <w:rsid w:val="651E4E2C"/>
    <w:rsid w:val="6525440C"/>
    <w:rsid w:val="65515DB5"/>
    <w:rsid w:val="65530F79"/>
    <w:rsid w:val="655716DD"/>
    <w:rsid w:val="655B219F"/>
    <w:rsid w:val="65640A91"/>
    <w:rsid w:val="65A96DEB"/>
    <w:rsid w:val="65C71020"/>
    <w:rsid w:val="65F85430"/>
    <w:rsid w:val="661A7B69"/>
    <w:rsid w:val="66455323"/>
    <w:rsid w:val="664909C1"/>
    <w:rsid w:val="66635AE4"/>
    <w:rsid w:val="66C63EB5"/>
    <w:rsid w:val="66F978FF"/>
    <w:rsid w:val="673E54E3"/>
    <w:rsid w:val="67592674"/>
    <w:rsid w:val="6764121C"/>
    <w:rsid w:val="679461D3"/>
    <w:rsid w:val="67DE6B57"/>
    <w:rsid w:val="6804655B"/>
    <w:rsid w:val="6858287E"/>
    <w:rsid w:val="68593A1E"/>
    <w:rsid w:val="68B03FED"/>
    <w:rsid w:val="68C04D52"/>
    <w:rsid w:val="68D33DE9"/>
    <w:rsid w:val="68EA39A3"/>
    <w:rsid w:val="690C1B6B"/>
    <w:rsid w:val="69157114"/>
    <w:rsid w:val="691722BE"/>
    <w:rsid w:val="691A443E"/>
    <w:rsid w:val="69470DF5"/>
    <w:rsid w:val="69483B41"/>
    <w:rsid w:val="69747710"/>
    <w:rsid w:val="69D1246D"/>
    <w:rsid w:val="69E06B54"/>
    <w:rsid w:val="69E203A0"/>
    <w:rsid w:val="6A334ED5"/>
    <w:rsid w:val="6A5B6D7D"/>
    <w:rsid w:val="6A682AA6"/>
    <w:rsid w:val="6A765FBC"/>
    <w:rsid w:val="6A80735F"/>
    <w:rsid w:val="6A8B4D12"/>
    <w:rsid w:val="6A8E035E"/>
    <w:rsid w:val="6AC17181"/>
    <w:rsid w:val="6ACC5E47"/>
    <w:rsid w:val="6AD43ED1"/>
    <w:rsid w:val="6B11024D"/>
    <w:rsid w:val="6B2A0087"/>
    <w:rsid w:val="6B3233DF"/>
    <w:rsid w:val="6B7D5B36"/>
    <w:rsid w:val="6B916358"/>
    <w:rsid w:val="6B9D30D0"/>
    <w:rsid w:val="6BDB3A77"/>
    <w:rsid w:val="6C262F44"/>
    <w:rsid w:val="6C6D2921"/>
    <w:rsid w:val="6C834DAA"/>
    <w:rsid w:val="6C89702F"/>
    <w:rsid w:val="6C993CCE"/>
    <w:rsid w:val="6CAA05BD"/>
    <w:rsid w:val="6CF120A8"/>
    <w:rsid w:val="6D036DE1"/>
    <w:rsid w:val="6D2D0302"/>
    <w:rsid w:val="6D321474"/>
    <w:rsid w:val="6D394EF9"/>
    <w:rsid w:val="6D72413D"/>
    <w:rsid w:val="6DF36E56"/>
    <w:rsid w:val="6E201C15"/>
    <w:rsid w:val="6E2214E9"/>
    <w:rsid w:val="6EC32CCC"/>
    <w:rsid w:val="6EC9405A"/>
    <w:rsid w:val="6F0B46E3"/>
    <w:rsid w:val="6FE86762"/>
    <w:rsid w:val="6FF50B81"/>
    <w:rsid w:val="701632CF"/>
    <w:rsid w:val="70187047"/>
    <w:rsid w:val="70221C74"/>
    <w:rsid w:val="70330B9C"/>
    <w:rsid w:val="707B3132"/>
    <w:rsid w:val="70862203"/>
    <w:rsid w:val="70B36D70"/>
    <w:rsid w:val="70E21403"/>
    <w:rsid w:val="7104137A"/>
    <w:rsid w:val="71052A26"/>
    <w:rsid w:val="713D663A"/>
    <w:rsid w:val="714213DD"/>
    <w:rsid w:val="71471D21"/>
    <w:rsid w:val="7148395C"/>
    <w:rsid w:val="714D4ACF"/>
    <w:rsid w:val="715735F6"/>
    <w:rsid w:val="715F2A54"/>
    <w:rsid w:val="71685DAD"/>
    <w:rsid w:val="717F272E"/>
    <w:rsid w:val="71AF5789"/>
    <w:rsid w:val="71B20DD6"/>
    <w:rsid w:val="71BC1C54"/>
    <w:rsid w:val="71C31235"/>
    <w:rsid w:val="72591875"/>
    <w:rsid w:val="725E4ABA"/>
    <w:rsid w:val="72783A23"/>
    <w:rsid w:val="728027C6"/>
    <w:rsid w:val="729F75AC"/>
    <w:rsid w:val="72AC7F1B"/>
    <w:rsid w:val="72DD1E82"/>
    <w:rsid w:val="72EB0A43"/>
    <w:rsid w:val="733F0D8F"/>
    <w:rsid w:val="737E5413"/>
    <w:rsid w:val="73A6298D"/>
    <w:rsid w:val="73A95B35"/>
    <w:rsid w:val="73AA445A"/>
    <w:rsid w:val="73BC418E"/>
    <w:rsid w:val="73D62FA6"/>
    <w:rsid w:val="73FE7ACC"/>
    <w:rsid w:val="74556746"/>
    <w:rsid w:val="74561EEC"/>
    <w:rsid w:val="74743258"/>
    <w:rsid w:val="7487479C"/>
    <w:rsid w:val="74915A35"/>
    <w:rsid w:val="74E120FE"/>
    <w:rsid w:val="74E36253"/>
    <w:rsid w:val="750A63E3"/>
    <w:rsid w:val="75263FB5"/>
    <w:rsid w:val="754937FF"/>
    <w:rsid w:val="754D7793"/>
    <w:rsid w:val="75502DDF"/>
    <w:rsid w:val="759E3B4B"/>
    <w:rsid w:val="75C17839"/>
    <w:rsid w:val="761B13C4"/>
    <w:rsid w:val="763742EF"/>
    <w:rsid w:val="764B6A8A"/>
    <w:rsid w:val="766A7ED1"/>
    <w:rsid w:val="767D7C04"/>
    <w:rsid w:val="76A809F9"/>
    <w:rsid w:val="76C17E06"/>
    <w:rsid w:val="76CA67BD"/>
    <w:rsid w:val="77171B91"/>
    <w:rsid w:val="771B0135"/>
    <w:rsid w:val="774E6400"/>
    <w:rsid w:val="775A6197"/>
    <w:rsid w:val="775B0046"/>
    <w:rsid w:val="777A2396"/>
    <w:rsid w:val="77A86F03"/>
    <w:rsid w:val="77AE3DED"/>
    <w:rsid w:val="77F57C6E"/>
    <w:rsid w:val="782B18E2"/>
    <w:rsid w:val="78D5150E"/>
    <w:rsid w:val="790F4D60"/>
    <w:rsid w:val="79700BEF"/>
    <w:rsid w:val="79751067"/>
    <w:rsid w:val="798D552B"/>
    <w:rsid w:val="79AE27CB"/>
    <w:rsid w:val="79EB1329"/>
    <w:rsid w:val="79EC1C18"/>
    <w:rsid w:val="7A090695"/>
    <w:rsid w:val="7A1D5951"/>
    <w:rsid w:val="7ABB0CFB"/>
    <w:rsid w:val="7ACD6C80"/>
    <w:rsid w:val="7AE175F4"/>
    <w:rsid w:val="7B417685"/>
    <w:rsid w:val="7B5220F0"/>
    <w:rsid w:val="7B607AF4"/>
    <w:rsid w:val="7B670E83"/>
    <w:rsid w:val="7B6B5044"/>
    <w:rsid w:val="7B841A35"/>
    <w:rsid w:val="7BA169C0"/>
    <w:rsid w:val="7BB87930"/>
    <w:rsid w:val="7BC55243"/>
    <w:rsid w:val="7BCF51EC"/>
    <w:rsid w:val="7BE97AEA"/>
    <w:rsid w:val="7C084414"/>
    <w:rsid w:val="7C1E59E5"/>
    <w:rsid w:val="7C2470D1"/>
    <w:rsid w:val="7C2F4A9A"/>
    <w:rsid w:val="7C413482"/>
    <w:rsid w:val="7C43544C"/>
    <w:rsid w:val="7C457EE7"/>
    <w:rsid w:val="7C6B6751"/>
    <w:rsid w:val="7C6D24C9"/>
    <w:rsid w:val="7C6F6241"/>
    <w:rsid w:val="7C7750F6"/>
    <w:rsid w:val="7C855734"/>
    <w:rsid w:val="7CAD595B"/>
    <w:rsid w:val="7CDF2884"/>
    <w:rsid w:val="7CE90311"/>
    <w:rsid w:val="7CF65D07"/>
    <w:rsid w:val="7D085D06"/>
    <w:rsid w:val="7D16490F"/>
    <w:rsid w:val="7D1C7A4B"/>
    <w:rsid w:val="7D2975D1"/>
    <w:rsid w:val="7D2F3083"/>
    <w:rsid w:val="7D5813FA"/>
    <w:rsid w:val="7D657644"/>
    <w:rsid w:val="7D906046"/>
    <w:rsid w:val="7DCC0CD6"/>
    <w:rsid w:val="7DE11400"/>
    <w:rsid w:val="7DF05160"/>
    <w:rsid w:val="7E350DC4"/>
    <w:rsid w:val="7EAB1224"/>
    <w:rsid w:val="7F364DF4"/>
    <w:rsid w:val="7F6B0733"/>
    <w:rsid w:val="7F872CCD"/>
    <w:rsid w:val="7FA93818"/>
    <w:rsid w:val="7FEA5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2024-02-26T01:53:54Z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4ED5A41B4CE04803B17ED02B2BC1B84A_13</vt:lpwstr>
  </property>
</Properties>
</file>