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宋体" w:hAnsi="宋体" w:eastAsia="宋体" w:cs="宋体"/>
        </w:rPr>
      </w:pP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通化市统计局东昌区分局</w:t>
      </w:r>
      <w:r>
        <w:rPr>
          <w:rFonts w:eastAsia="方正小标宋简体"/>
          <w:sz w:val="44"/>
          <w:szCs w:val="44"/>
        </w:rPr>
        <w:t>20</w:t>
      </w:r>
      <w:r>
        <w:rPr>
          <w:rFonts w:hint="eastAsia" w:eastAsia="方正小标宋简体"/>
          <w:sz w:val="44"/>
          <w:szCs w:val="44"/>
        </w:rPr>
        <w:t>24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四</w:t>
      </w:r>
      <w:r>
        <w:rPr>
          <w:rFonts w:eastAsia="华文细黑"/>
        </w:rPr>
        <w:t>年</w:t>
      </w:r>
      <w:r>
        <w:rPr>
          <w:rFonts w:hint="eastAsia" w:eastAsia="华文细黑"/>
        </w:rPr>
        <w:t>二</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预算总</w:t>
      </w:r>
      <w:r>
        <w:t>表</w:t>
      </w:r>
    </w:p>
    <w:p>
      <w:pPr>
        <w:ind w:left="320" w:leftChars="100" w:firstLine="320" w:firstLineChars="100"/>
      </w:pPr>
      <w:r>
        <w:t>二、收入</w:t>
      </w:r>
      <w:r>
        <w:rPr>
          <w:rFonts w:hint="eastAsia"/>
        </w:rPr>
        <w:t>预算总</w:t>
      </w:r>
      <w:r>
        <w:t>表</w:t>
      </w:r>
    </w:p>
    <w:p>
      <w:pPr>
        <w:ind w:left="320" w:leftChars="100" w:firstLine="320" w:firstLineChars="100"/>
      </w:pPr>
      <w:r>
        <w:t>三、支出</w:t>
      </w:r>
      <w:r>
        <w:rPr>
          <w:rFonts w:hint="eastAsia"/>
        </w:rPr>
        <w:t>预算总</w:t>
      </w:r>
      <w:r>
        <w:t>表</w:t>
      </w:r>
    </w:p>
    <w:p>
      <w:pPr>
        <w:ind w:left="320" w:leftChars="100" w:firstLine="320" w:firstLineChars="100"/>
      </w:pPr>
      <w:r>
        <w:t>四、财政拨款收支</w:t>
      </w:r>
      <w:r>
        <w:rPr>
          <w:rFonts w:hint="eastAsia"/>
        </w:rPr>
        <w:t>预算总</w:t>
      </w:r>
      <w:r>
        <w:t>表</w:t>
      </w:r>
    </w:p>
    <w:p>
      <w:pPr>
        <w:ind w:left="320" w:leftChars="100" w:firstLine="320" w:firstLineChars="100"/>
      </w:pPr>
      <w:r>
        <w:t>五、</w:t>
      </w:r>
      <w:r>
        <w:rPr>
          <w:rFonts w:hint="eastAsia"/>
        </w:rPr>
        <w:t>一般公共预算拨款支出预算表</w:t>
      </w:r>
    </w:p>
    <w:p>
      <w:pPr>
        <w:ind w:left="320" w:leftChars="100" w:firstLine="320" w:firstLineChars="100"/>
      </w:pPr>
      <w:r>
        <w:t>六、</w:t>
      </w:r>
      <w:r>
        <w:rPr>
          <w:rFonts w:hint="eastAsia"/>
        </w:rPr>
        <w:t>一般公共预算基本支出预算表</w:t>
      </w:r>
    </w:p>
    <w:p>
      <w:pPr>
        <w:ind w:left="320" w:leftChars="100" w:firstLine="320" w:firstLineChars="100"/>
      </w:pPr>
      <w:r>
        <w:t>七、一般公共预算“三公”经费支出</w:t>
      </w:r>
      <w:r>
        <w:rPr>
          <w:rFonts w:hint="eastAsia"/>
        </w:rPr>
        <w:t>预算</w:t>
      </w:r>
      <w:r>
        <w:t>表</w:t>
      </w:r>
    </w:p>
    <w:p>
      <w:pPr>
        <w:ind w:left="320" w:leftChars="100" w:firstLine="320" w:firstLineChars="100"/>
      </w:pPr>
      <w:r>
        <w:t>八、政府性基金预算</w:t>
      </w:r>
      <w:r>
        <w:rPr>
          <w:rFonts w:hint="eastAsia"/>
        </w:rPr>
        <w:t>拨款</w:t>
      </w:r>
      <w:r>
        <w:t>支出</w:t>
      </w:r>
      <w:r>
        <w:rPr>
          <w:rFonts w:hint="eastAsia"/>
        </w:rPr>
        <w:t>预算</w:t>
      </w:r>
      <w:r>
        <w:t>表</w:t>
      </w:r>
    </w:p>
    <w:p>
      <w:pPr>
        <w:ind w:left="320" w:leftChars="100" w:firstLine="320" w:firstLineChars="100"/>
      </w:pPr>
      <w:r>
        <w:rPr>
          <w:rFonts w:hint="eastAsia"/>
        </w:rPr>
        <w:t>九、国有资本经营</w:t>
      </w:r>
      <w:r>
        <w:t>预算支出</w:t>
      </w:r>
      <w:r>
        <w:rPr>
          <w:rFonts w:hint="eastAsia"/>
        </w:rPr>
        <w:t>预算</w:t>
      </w:r>
      <w:r>
        <w:t>表</w:t>
      </w:r>
    </w:p>
    <w:p>
      <w:pPr>
        <w:ind w:left="320" w:leftChars="100" w:firstLine="320" w:firstLineChars="100"/>
      </w:pPr>
      <w:r>
        <w:rPr>
          <w:rFonts w:hint="eastAsia"/>
        </w:rPr>
        <w:t>十、项目支出预算表</w:t>
      </w:r>
    </w:p>
    <w:p>
      <w:pPr>
        <w:ind w:left="320" w:leftChars="100" w:firstLine="320" w:firstLineChars="100"/>
      </w:pPr>
      <w:r>
        <w:rPr>
          <w:rFonts w:hint="eastAsia"/>
        </w:rPr>
        <w:t>十一、财政拨款委托业务费支出预算表</w:t>
      </w:r>
    </w:p>
    <w:p>
      <w:pPr>
        <w:ind w:firstLine="640" w:firstLineChars="200"/>
      </w:pPr>
      <w:r>
        <w:rPr>
          <w:rFonts w:hint="eastAsia"/>
        </w:rPr>
        <w:t>十二、项目支出绩效目标表</w:t>
      </w:r>
    </w:p>
    <w:p>
      <w:pPr>
        <w:rPr>
          <w:rFonts w:eastAsia="黑体"/>
        </w:rPr>
      </w:pPr>
      <w:r>
        <w:rPr>
          <w:rFonts w:eastAsia="黑体"/>
        </w:rPr>
        <w:t>第三部分  情况说明</w:t>
      </w:r>
    </w:p>
    <w:p>
      <w:pPr>
        <w:rPr>
          <w:rFonts w:eastAsia="黑体"/>
        </w:rPr>
      </w:pPr>
      <w:r>
        <w:rPr>
          <w:rFonts w:eastAsia="黑体"/>
        </w:rPr>
        <w:t>第四部分  名词解释</w:t>
      </w: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color w:val="000000"/>
          <w:szCs w:val="32"/>
        </w:rPr>
      </w:pPr>
      <w:r>
        <w:rPr>
          <w:rFonts w:hint="eastAsia"/>
          <w:color w:val="000000"/>
          <w:szCs w:val="32"/>
        </w:rPr>
        <w:t>（1）</w:t>
      </w:r>
      <w:r>
        <w:rPr>
          <w:color w:val="000000"/>
          <w:szCs w:val="32"/>
        </w:rPr>
        <w:t>依照国家法律、法规、政策和计划，制定全</w:t>
      </w:r>
      <w:r>
        <w:rPr>
          <w:rFonts w:hint="eastAsia"/>
          <w:color w:val="000000"/>
          <w:szCs w:val="32"/>
        </w:rPr>
        <w:t>区</w:t>
      </w:r>
      <w:r>
        <w:rPr>
          <w:color w:val="000000"/>
          <w:szCs w:val="32"/>
        </w:rPr>
        <w:t>的统计工作规章制度、统计现代化建设规划、统计调查计划和统计改革方案和实施办法。</w:t>
      </w:r>
    </w:p>
    <w:p>
      <w:pPr>
        <w:ind w:firstLine="640" w:firstLineChars="200"/>
        <w:rPr>
          <w:color w:val="000000"/>
          <w:szCs w:val="32"/>
        </w:rPr>
      </w:pPr>
      <w:r>
        <w:rPr>
          <w:rFonts w:hint="eastAsia"/>
          <w:color w:val="000000"/>
          <w:szCs w:val="32"/>
        </w:rPr>
        <w:t>（2）</w:t>
      </w:r>
      <w:r>
        <w:rPr>
          <w:color w:val="000000"/>
          <w:szCs w:val="32"/>
        </w:rPr>
        <w:t>贯彻执行国家和省</w:t>
      </w:r>
      <w:r>
        <w:rPr>
          <w:rFonts w:hint="eastAsia"/>
          <w:color w:val="000000"/>
          <w:szCs w:val="32"/>
        </w:rPr>
        <w:t>、市</w:t>
      </w:r>
      <w:r>
        <w:rPr>
          <w:color w:val="000000"/>
          <w:szCs w:val="32"/>
        </w:rPr>
        <w:t>确定的统计方法制度和工作方针，具体组织落实全</w:t>
      </w:r>
      <w:r>
        <w:rPr>
          <w:rFonts w:hint="eastAsia"/>
          <w:color w:val="000000"/>
          <w:szCs w:val="32"/>
        </w:rPr>
        <w:t>区</w:t>
      </w:r>
      <w:r>
        <w:rPr>
          <w:color w:val="000000"/>
          <w:szCs w:val="32"/>
        </w:rPr>
        <w:t>国民经济和社会发展各专业的全面调查、抽样调查、重点调查和典型调查任务。监督检查《统计法》的实施，与有关部门共同调查（独立调查）处理统计违法案件。</w:t>
      </w:r>
    </w:p>
    <w:p>
      <w:pPr>
        <w:ind w:firstLine="640" w:firstLineChars="200"/>
        <w:rPr>
          <w:color w:val="000000"/>
          <w:szCs w:val="32"/>
        </w:rPr>
      </w:pPr>
      <w:r>
        <w:rPr>
          <w:rFonts w:hint="eastAsia"/>
          <w:color w:val="000000"/>
          <w:szCs w:val="32"/>
        </w:rPr>
        <w:t>（3）</w:t>
      </w:r>
      <w:r>
        <w:rPr>
          <w:color w:val="000000"/>
          <w:szCs w:val="32"/>
        </w:rPr>
        <w:t>组织领导</w:t>
      </w:r>
      <w:r>
        <w:rPr>
          <w:rFonts w:hint="eastAsia"/>
          <w:color w:val="000000"/>
          <w:szCs w:val="32"/>
        </w:rPr>
        <w:t>全区</w:t>
      </w:r>
      <w:r>
        <w:rPr>
          <w:color w:val="000000"/>
          <w:szCs w:val="32"/>
        </w:rPr>
        <w:t>的统计工作，指导各行业部门和基层统计组织的统计工作。</w:t>
      </w:r>
    </w:p>
    <w:p>
      <w:pPr>
        <w:ind w:firstLine="640" w:firstLineChars="200"/>
        <w:rPr>
          <w:color w:val="000000"/>
          <w:szCs w:val="32"/>
        </w:rPr>
      </w:pPr>
      <w:r>
        <w:rPr>
          <w:rFonts w:hint="eastAsia"/>
          <w:color w:val="000000"/>
          <w:szCs w:val="32"/>
        </w:rPr>
        <w:t>（4）</w:t>
      </w:r>
      <w:r>
        <w:rPr>
          <w:color w:val="000000"/>
          <w:szCs w:val="32"/>
        </w:rPr>
        <w:t>搜集、整理、提供全</w:t>
      </w:r>
      <w:r>
        <w:rPr>
          <w:rFonts w:hint="eastAsia"/>
          <w:color w:val="000000"/>
          <w:szCs w:val="32"/>
        </w:rPr>
        <w:t>区范围内</w:t>
      </w:r>
      <w:r>
        <w:rPr>
          <w:color w:val="000000"/>
          <w:szCs w:val="32"/>
        </w:rPr>
        <w:t>的基本统计资料，根据</w:t>
      </w:r>
      <w:r>
        <w:rPr>
          <w:rFonts w:hint="eastAsia"/>
          <w:color w:val="000000"/>
          <w:szCs w:val="32"/>
        </w:rPr>
        <w:t>区</w:t>
      </w:r>
      <w:r>
        <w:rPr>
          <w:color w:val="000000"/>
          <w:szCs w:val="32"/>
        </w:rPr>
        <w:t>委、</w:t>
      </w:r>
      <w:r>
        <w:rPr>
          <w:rFonts w:hint="eastAsia"/>
          <w:color w:val="000000"/>
          <w:szCs w:val="32"/>
        </w:rPr>
        <w:t>区</w:t>
      </w:r>
      <w:r>
        <w:rPr>
          <w:color w:val="000000"/>
          <w:szCs w:val="32"/>
        </w:rPr>
        <w:t>政府宏观管理和科学决策的需要，及时对全</w:t>
      </w:r>
      <w:r>
        <w:rPr>
          <w:rFonts w:hint="eastAsia"/>
          <w:color w:val="000000"/>
          <w:szCs w:val="32"/>
        </w:rPr>
        <w:t>区</w:t>
      </w:r>
      <w:r>
        <w:rPr>
          <w:color w:val="000000"/>
          <w:szCs w:val="32"/>
        </w:rPr>
        <w:t>国民经济、社会发展和科学进步情况进行统计分析、统计预测和统计监督，向</w:t>
      </w:r>
      <w:r>
        <w:rPr>
          <w:rFonts w:hint="eastAsia"/>
          <w:color w:val="000000"/>
          <w:szCs w:val="32"/>
        </w:rPr>
        <w:t>区</w:t>
      </w:r>
      <w:r>
        <w:rPr>
          <w:color w:val="000000"/>
          <w:szCs w:val="32"/>
        </w:rPr>
        <w:t>委、</w:t>
      </w:r>
      <w:r>
        <w:rPr>
          <w:rFonts w:hint="eastAsia"/>
          <w:color w:val="000000"/>
          <w:szCs w:val="32"/>
        </w:rPr>
        <w:t>区</w:t>
      </w:r>
      <w:r>
        <w:rPr>
          <w:color w:val="000000"/>
          <w:szCs w:val="32"/>
        </w:rPr>
        <w:t>政府及有关部门提供咨询建议。搜集、整理、提供有关外</w:t>
      </w:r>
      <w:r>
        <w:rPr>
          <w:rFonts w:hint="eastAsia"/>
          <w:color w:val="000000"/>
          <w:szCs w:val="32"/>
        </w:rPr>
        <w:t>市区</w:t>
      </w:r>
      <w:r>
        <w:rPr>
          <w:color w:val="000000"/>
          <w:szCs w:val="32"/>
        </w:rPr>
        <w:t>的基本统计资料，同我</w:t>
      </w:r>
      <w:r>
        <w:rPr>
          <w:rFonts w:hint="eastAsia"/>
          <w:color w:val="000000"/>
          <w:szCs w:val="32"/>
        </w:rPr>
        <w:t>区</w:t>
      </w:r>
      <w:r>
        <w:rPr>
          <w:color w:val="000000"/>
          <w:szCs w:val="32"/>
        </w:rPr>
        <w:t>进行对比分析研究。</w:t>
      </w:r>
    </w:p>
    <w:p>
      <w:pPr>
        <w:ind w:firstLine="640" w:firstLineChars="200"/>
        <w:rPr>
          <w:color w:val="000000"/>
          <w:szCs w:val="32"/>
        </w:rPr>
      </w:pPr>
      <w:r>
        <w:rPr>
          <w:rFonts w:hint="eastAsia"/>
          <w:color w:val="000000"/>
          <w:szCs w:val="32"/>
        </w:rPr>
        <w:t>（5）</w:t>
      </w:r>
      <w:r>
        <w:rPr>
          <w:color w:val="000000"/>
          <w:szCs w:val="32"/>
        </w:rPr>
        <w:t>统一核定、管理、公布、出版、发行全</w:t>
      </w:r>
      <w:r>
        <w:rPr>
          <w:rFonts w:hint="eastAsia"/>
          <w:color w:val="000000"/>
          <w:szCs w:val="32"/>
        </w:rPr>
        <w:t>区</w:t>
      </w:r>
      <w:r>
        <w:rPr>
          <w:color w:val="000000"/>
          <w:szCs w:val="32"/>
        </w:rPr>
        <w:t>性的基本统计资料，定期发布全</w:t>
      </w:r>
      <w:r>
        <w:rPr>
          <w:rFonts w:hint="eastAsia"/>
          <w:color w:val="000000"/>
          <w:szCs w:val="32"/>
        </w:rPr>
        <w:t>区</w:t>
      </w:r>
      <w:r>
        <w:rPr>
          <w:color w:val="000000"/>
          <w:szCs w:val="32"/>
        </w:rPr>
        <w:t>国民经济和社会发展情况的统计公报。规划、协调全</w:t>
      </w:r>
      <w:r>
        <w:rPr>
          <w:rFonts w:hint="eastAsia"/>
          <w:color w:val="000000"/>
          <w:szCs w:val="32"/>
        </w:rPr>
        <w:t>区</w:t>
      </w:r>
      <w:r>
        <w:rPr>
          <w:color w:val="000000"/>
          <w:szCs w:val="32"/>
        </w:rPr>
        <w:t>社会经济统计信息咨询服务行业，积极培育和发展信息咨询服务</w:t>
      </w:r>
      <w:r>
        <w:rPr>
          <w:rFonts w:hint="eastAsia"/>
          <w:color w:val="000000"/>
          <w:szCs w:val="32"/>
        </w:rPr>
        <w:t>市</w:t>
      </w:r>
      <w:r>
        <w:rPr>
          <w:color w:val="000000"/>
          <w:szCs w:val="32"/>
        </w:rPr>
        <w:t>场。</w:t>
      </w:r>
    </w:p>
    <w:p>
      <w:pPr>
        <w:ind w:firstLine="640" w:firstLineChars="200"/>
        <w:rPr>
          <w:color w:val="000000"/>
          <w:szCs w:val="32"/>
        </w:rPr>
      </w:pPr>
      <w:r>
        <w:rPr>
          <w:rFonts w:hint="eastAsia"/>
          <w:color w:val="000000"/>
          <w:szCs w:val="32"/>
        </w:rPr>
        <w:t>（6）</w:t>
      </w:r>
      <w:r>
        <w:rPr>
          <w:color w:val="000000"/>
          <w:szCs w:val="32"/>
        </w:rPr>
        <w:t>建立健全和统一管理全</w:t>
      </w:r>
      <w:r>
        <w:rPr>
          <w:rFonts w:hint="eastAsia"/>
          <w:color w:val="000000"/>
          <w:szCs w:val="32"/>
        </w:rPr>
        <w:t>区</w:t>
      </w:r>
      <w:r>
        <w:rPr>
          <w:color w:val="000000"/>
          <w:szCs w:val="32"/>
        </w:rPr>
        <w:t>统计信息自动化系统和统计数据库体系。</w:t>
      </w:r>
    </w:p>
    <w:p>
      <w:pPr>
        <w:ind w:firstLine="640" w:firstLineChars="200"/>
        <w:rPr>
          <w:color w:val="000000"/>
          <w:szCs w:val="32"/>
        </w:rPr>
      </w:pPr>
      <w:r>
        <w:rPr>
          <w:rFonts w:hint="eastAsia"/>
          <w:color w:val="000000"/>
          <w:szCs w:val="32"/>
        </w:rPr>
        <w:t>（7）</w:t>
      </w:r>
      <w:r>
        <w:rPr>
          <w:color w:val="000000"/>
          <w:szCs w:val="32"/>
        </w:rPr>
        <w:t>组织开展全</w:t>
      </w:r>
      <w:r>
        <w:rPr>
          <w:rFonts w:hint="eastAsia"/>
          <w:color w:val="000000"/>
          <w:szCs w:val="32"/>
        </w:rPr>
        <w:t>区</w:t>
      </w:r>
      <w:r>
        <w:rPr>
          <w:color w:val="000000"/>
          <w:szCs w:val="32"/>
        </w:rPr>
        <w:t>统计</w:t>
      </w:r>
      <w:r>
        <w:rPr>
          <w:rFonts w:hint="eastAsia"/>
          <w:color w:val="000000"/>
          <w:szCs w:val="32"/>
        </w:rPr>
        <w:t>工作人员的</w:t>
      </w:r>
      <w:r>
        <w:rPr>
          <w:color w:val="000000"/>
          <w:szCs w:val="32"/>
        </w:rPr>
        <w:t>教育</w:t>
      </w:r>
      <w:r>
        <w:rPr>
          <w:rFonts w:hint="eastAsia"/>
          <w:color w:val="000000"/>
          <w:szCs w:val="32"/>
        </w:rPr>
        <w:t>培训</w:t>
      </w:r>
      <w:r>
        <w:rPr>
          <w:color w:val="000000"/>
          <w:szCs w:val="32"/>
        </w:rPr>
        <w:t>工作。组织管理全</w:t>
      </w:r>
      <w:r>
        <w:rPr>
          <w:rFonts w:hint="eastAsia"/>
          <w:color w:val="000000"/>
          <w:szCs w:val="32"/>
        </w:rPr>
        <w:t>区</w:t>
      </w:r>
      <w:r>
        <w:rPr>
          <w:color w:val="000000"/>
          <w:szCs w:val="32"/>
        </w:rPr>
        <w:t>统计</w:t>
      </w:r>
      <w:r>
        <w:rPr>
          <w:rFonts w:hint="eastAsia"/>
          <w:color w:val="000000"/>
          <w:szCs w:val="32"/>
        </w:rPr>
        <w:t>从业人员</w:t>
      </w:r>
      <w:r>
        <w:rPr>
          <w:color w:val="000000"/>
          <w:szCs w:val="32"/>
        </w:rPr>
        <w:t>资格考试</w:t>
      </w:r>
      <w:r>
        <w:rPr>
          <w:rFonts w:hint="eastAsia"/>
          <w:color w:val="000000"/>
          <w:szCs w:val="32"/>
        </w:rPr>
        <w:t>及继续教育培训</w:t>
      </w:r>
      <w:r>
        <w:rPr>
          <w:color w:val="000000"/>
          <w:szCs w:val="32"/>
        </w:rPr>
        <w:t>工作。</w:t>
      </w:r>
    </w:p>
    <w:p>
      <w:pPr>
        <w:ind w:firstLine="640" w:firstLineChars="200"/>
        <w:rPr>
          <w:color w:val="000000"/>
          <w:szCs w:val="32"/>
        </w:rPr>
      </w:pPr>
      <w:r>
        <w:rPr>
          <w:rFonts w:hint="eastAsia"/>
          <w:color w:val="000000"/>
          <w:szCs w:val="32"/>
        </w:rPr>
        <w:t>（8）</w:t>
      </w:r>
      <w:r>
        <w:rPr>
          <w:color w:val="000000"/>
          <w:szCs w:val="32"/>
        </w:rPr>
        <w:t>接受国家各项重大的国情国力的普查任务，在</w:t>
      </w:r>
      <w:r>
        <w:rPr>
          <w:rFonts w:hint="eastAsia"/>
          <w:color w:val="000000"/>
          <w:szCs w:val="32"/>
        </w:rPr>
        <w:t>区</w:t>
      </w:r>
      <w:r>
        <w:rPr>
          <w:color w:val="000000"/>
          <w:szCs w:val="32"/>
        </w:rPr>
        <w:t>政府的统一领导下，做好其组织、发动、协调、管理、实施等各项工作。组织开展统计科学研究和对外统计业务交流工作。</w:t>
      </w:r>
    </w:p>
    <w:p>
      <w:pPr>
        <w:ind w:firstLine="640" w:firstLineChars="200"/>
        <w:rPr>
          <w:color w:val="000000"/>
          <w:szCs w:val="32"/>
        </w:rPr>
      </w:pPr>
      <w:r>
        <w:rPr>
          <w:rFonts w:hint="eastAsia"/>
          <w:color w:val="000000"/>
          <w:szCs w:val="32"/>
        </w:rPr>
        <w:t>（9）</w:t>
      </w:r>
      <w:r>
        <w:rPr>
          <w:color w:val="000000"/>
          <w:szCs w:val="32"/>
        </w:rPr>
        <w:t>完成</w:t>
      </w:r>
      <w:r>
        <w:rPr>
          <w:rFonts w:hint="eastAsia"/>
          <w:color w:val="000000"/>
          <w:szCs w:val="32"/>
        </w:rPr>
        <w:t>区</w:t>
      </w:r>
      <w:r>
        <w:rPr>
          <w:color w:val="000000"/>
          <w:szCs w:val="32"/>
        </w:rPr>
        <w:t>委、</w:t>
      </w:r>
      <w:r>
        <w:rPr>
          <w:rFonts w:hint="eastAsia"/>
          <w:color w:val="000000"/>
          <w:szCs w:val="32"/>
        </w:rPr>
        <w:t>区</w:t>
      </w:r>
      <w:r>
        <w:rPr>
          <w:color w:val="000000"/>
          <w:szCs w:val="32"/>
        </w:rPr>
        <w:t>政府交办的其他工作。</w:t>
      </w:r>
    </w:p>
    <w:p>
      <w:pPr>
        <w:ind w:firstLine="640" w:firstLineChars="200"/>
        <w:rPr>
          <w:color w:val="000000"/>
          <w:sz w:val="21"/>
          <w:szCs w:val="21"/>
        </w:rPr>
      </w:pPr>
      <w:r>
        <w:rPr>
          <w:color w:val="000000"/>
          <w:szCs w:val="32"/>
        </w:rPr>
        <w:t>（按照</w:t>
      </w:r>
      <w:r>
        <w:rPr>
          <w:rFonts w:hint="eastAsia"/>
          <w:color w:val="000000"/>
          <w:szCs w:val="32"/>
        </w:rPr>
        <w:t>单位</w:t>
      </w:r>
      <w:r>
        <w:rPr>
          <w:color w:val="000000"/>
          <w:szCs w:val="32"/>
        </w:rPr>
        <w:t>“三定”方案表述）</w:t>
      </w:r>
    </w:p>
    <w:p>
      <w:pPr>
        <w:ind w:firstLine="640" w:firstLineChars="200"/>
      </w:pPr>
      <w:r>
        <w:rPr>
          <w:rFonts w:eastAsia="楷体_GB2312"/>
        </w:rPr>
        <w:t>二、机构设置</w:t>
      </w:r>
    </w:p>
    <w:p>
      <w:pPr>
        <w:pStyle w:val="48"/>
        <w:ind w:firstLine="640" w:firstLineChars="200"/>
        <w:rPr>
          <w:rFonts w:eastAsia="仿宋_GB2312"/>
        </w:rPr>
      </w:pPr>
      <w:r>
        <w:rPr>
          <w:rFonts w:eastAsia="仿宋_GB2312"/>
        </w:rPr>
        <w:t>根据上述职责，</w:t>
      </w:r>
      <w:r>
        <w:rPr>
          <w:rFonts w:hint="eastAsia" w:eastAsia="仿宋_GB2312"/>
          <w:color w:val="000000"/>
          <w:kern w:val="2"/>
        </w:rPr>
        <w:t>通化市统计局东昌区分局</w:t>
      </w:r>
      <w:r>
        <w:rPr>
          <w:rFonts w:eastAsia="仿宋_GB2312"/>
        </w:rPr>
        <w:t>内设</w:t>
      </w:r>
      <w:r>
        <w:rPr>
          <w:rFonts w:hint="eastAsia" w:eastAsia="仿宋_GB2312"/>
          <w:color w:val="000000"/>
          <w:kern w:val="2"/>
        </w:rPr>
        <w:t>1</w:t>
      </w:r>
      <w:r>
        <w:rPr>
          <w:rFonts w:eastAsia="仿宋_GB2312"/>
          <w:color w:val="000000"/>
          <w:kern w:val="2"/>
        </w:rPr>
        <w:t>个机</w:t>
      </w:r>
      <w:r>
        <w:rPr>
          <w:rFonts w:eastAsia="仿宋_GB2312"/>
        </w:rPr>
        <w:t>构，为</w:t>
      </w:r>
      <w:r>
        <w:rPr>
          <w:rFonts w:hint="eastAsia" w:eastAsia="仿宋_GB2312"/>
        </w:rPr>
        <w:t>综合科</w:t>
      </w:r>
      <w:r>
        <w:rPr>
          <w:rFonts w:eastAsia="仿宋_GB2312"/>
        </w:rPr>
        <w:t>。</w:t>
      </w:r>
    </w:p>
    <w:p>
      <w:pPr>
        <w:pStyle w:val="48"/>
        <w:ind w:firstLine="640" w:firstLineChars="200"/>
        <w:rPr>
          <w:rFonts w:eastAsia="仿宋_GB2312"/>
        </w:rPr>
      </w:pPr>
      <w:r>
        <w:rPr>
          <w:rFonts w:hint="eastAsia" w:eastAsia="仿宋_GB2312"/>
        </w:rPr>
        <w:t>本单位无下设预算单位。</w:t>
      </w:r>
    </w:p>
    <w:p>
      <w:pPr>
        <w:pStyle w:val="48"/>
        <w:ind w:firstLine="640" w:firstLineChars="200"/>
        <w:rPr>
          <w:rFonts w:eastAsia="仿宋_GB2312"/>
        </w:rPr>
      </w:pPr>
    </w:p>
    <w:p>
      <w:pPr>
        <w:pStyle w:val="48"/>
        <w:ind w:firstLine="640" w:firstLineChars="200"/>
        <w:rPr>
          <w:rFonts w:eastAsia="楷体"/>
        </w:rPr>
      </w:pP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pPr>
              <w:widowControl/>
              <w:jc w:val="center"/>
              <w:rPr>
                <w:rFonts w:eastAsia="宋体"/>
                <w:kern w:val="0"/>
                <w:sz w:val="20"/>
              </w:rPr>
            </w:pPr>
          </w:p>
        </w:tc>
        <w:tc>
          <w:tcPr>
            <w:tcW w:w="1200" w:type="dxa"/>
            <w:gridSpan w:val="2"/>
            <w:tcBorders>
              <w:top w:val="nil"/>
              <w:left w:val="nil"/>
              <w:bottom w:val="nil"/>
              <w:right w:val="nil"/>
            </w:tcBorders>
            <w:vAlign w:val="center"/>
          </w:tcPr>
          <w:p>
            <w:pPr>
              <w:widowControl/>
              <w:jc w:val="center"/>
              <w:rPr>
                <w:rFonts w:eastAsia="宋体"/>
                <w:kern w:val="0"/>
                <w:sz w:val="20"/>
              </w:rPr>
            </w:pPr>
          </w:p>
        </w:tc>
        <w:tc>
          <w:tcPr>
            <w:tcW w:w="2498" w:type="dxa"/>
            <w:gridSpan w:val="2"/>
            <w:tcBorders>
              <w:top w:val="nil"/>
              <w:left w:val="nil"/>
              <w:bottom w:val="nil"/>
              <w:right w:val="nil"/>
            </w:tcBorders>
            <w:vAlign w:val="center"/>
          </w:tcPr>
          <w:p>
            <w:pPr>
              <w:widowControl/>
              <w:jc w:val="center"/>
              <w:rPr>
                <w:rFonts w:eastAsia="宋体"/>
                <w:kern w:val="0"/>
                <w:sz w:val="20"/>
              </w:rPr>
            </w:pPr>
          </w:p>
        </w:tc>
        <w:tc>
          <w:tcPr>
            <w:tcW w:w="2340" w:type="dxa"/>
            <w:gridSpan w:val="3"/>
            <w:tcBorders>
              <w:top w:val="nil"/>
              <w:left w:val="nil"/>
              <w:bottom w:val="nil"/>
              <w:right w:val="nil"/>
            </w:tcBorders>
            <w:vAlign w:val="bottom"/>
          </w:tcPr>
          <w:p>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 xml:space="preserve">4年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    结转</w:t>
            </w:r>
          </w:p>
        </w:tc>
        <w:tc>
          <w:tcPr>
            <w:tcW w:w="1342"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  预算数</w:t>
            </w:r>
          </w:p>
        </w:tc>
        <w:tc>
          <w:tcPr>
            <w:tcW w:w="1173"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 xml:space="preserve">本年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     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3.69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一、一般公共服务支出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125.40</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124.65</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0.75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一般公共预算    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3.69</w:t>
            </w:r>
          </w:p>
        </w:tc>
        <w:tc>
          <w:tcPr>
            <w:tcW w:w="1342" w:type="dxa"/>
            <w:tcBorders>
              <w:top w:val="nil"/>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kern w:val="0"/>
                <w:sz w:val="20"/>
              </w:rPr>
              <w:t>二、社会保障和就业支出　</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15.41</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13.48</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1.93</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政府性基金预算   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2.26</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2.26</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pPr>
              <w:autoSpaceDN w:val="0"/>
              <w:jc w:val="center"/>
              <w:textAlignment w:val="center"/>
              <w:rPr>
                <w:rFonts w:eastAsia="宋体"/>
                <w:color w:val="000000"/>
                <w:kern w:val="0"/>
                <w:sz w:val="20"/>
              </w:rPr>
            </w:pPr>
            <w:r>
              <w:rPr>
                <w:rFonts w:hint="eastAsia" w:eastAsia="宋体"/>
                <w:color w:val="000000"/>
                <w:kern w:val="0"/>
                <w:sz w:val="20"/>
              </w:rPr>
              <w:t>7.74</w:t>
            </w: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6.74</w:t>
            </w: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r>
              <w:rPr>
                <w:rFonts w:hint="eastAsia" w:eastAsia="宋体"/>
                <w:kern w:val="0"/>
                <w:sz w:val="20"/>
              </w:rPr>
              <w:t>1.00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pPr>
              <w:jc w:val="center"/>
              <w:rPr>
                <w:rFonts w:eastAsia="宋体"/>
                <w:sz w:val="20"/>
              </w:rPr>
            </w:pPr>
            <w:r>
              <w:rPr>
                <w:rFonts w:hint="eastAsia" w:eastAsia="宋体"/>
                <w:sz w:val="20"/>
              </w:rPr>
              <w:t>二、财政专户管理  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34" w:type="dxa"/>
            <w:tcBorders>
              <w:top w:val="nil"/>
              <w:left w:val="single" w:color="auto" w:sz="4" w:space="0"/>
              <w:bottom w:val="single" w:color="auto" w:sz="4" w:space="0"/>
              <w:right w:val="nil"/>
            </w:tcBorders>
            <w:vAlign w:val="center"/>
          </w:tcPr>
          <w:p>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sz w:val="20"/>
              </w:rPr>
            </w:pPr>
          </w:p>
        </w:tc>
        <w:tc>
          <w:tcPr>
            <w:tcW w:w="1158" w:type="dxa"/>
            <w:tcBorders>
              <w:top w:val="nil"/>
              <w:left w:val="nil"/>
              <w:bottom w:val="single" w:color="auto" w:sz="4" w:space="0"/>
              <w:right w:val="single" w:color="auto" w:sz="4" w:space="0"/>
            </w:tcBorders>
            <w:vAlign w:val="center"/>
          </w:tcPr>
          <w:p>
            <w:pPr>
              <w:jc w:val="center"/>
              <w:rPr>
                <w:rFonts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3.69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984"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34" w:type="dxa"/>
            <w:tcBorders>
              <w:top w:val="nil"/>
              <w:left w:val="single" w:color="auto" w:sz="4" w:space="0"/>
              <w:bottom w:val="single" w:color="auto" w:sz="4" w:space="0"/>
              <w:right w:val="nil"/>
            </w:tcBorders>
            <w:vAlign w:val="center"/>
          </w:tcPr>
          <w:p>
            <w:pPr>
              <w:widowControl/>
              <w:jc w:val="center"/>
              <w:rPr>
                <w:rFonts w:eastAsia="宋体"/>
                <w:kern w:val="0"/>
                <w:sz w:val="20"/>
              </w:rPr>
            </w:pPr>
            <w:r>
              <w:rPr>
                <w:rFonts w:hint="eastAsia" w:eastAsia="宋体"/>
                <w:kern w:val="0"/>
                <w:sz w:val="20"/>
              </w:rPr>
              <w:t>3.69</w:t>
            </w:r>
          </w:p>
        </w:tc>
        <w:tc>
          <w:tcPr>
            <w:tcW w:w="1342"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82" w:type="dxa"/>
            <w:gridSpan w:val="2"/>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58" w:type="dxa"/>
            <w:tcBorders>
              <w:top w:val="nil"/>
              <w:left w:val="nil"/>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p>
    <w:p>
      <w:pPr>
        <w:jc w:val="center"/>
        <w:rPr>
          <w:rFonts w:eastAsia="方正小标宋简体"/>
          <w:sz w:val="44"/>
        </w:rPr>
      </w:pP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590" w:type="dxa"/>
        <w:jc w:val="center"/>
        <w:tblLayout w:type="fixed"/>
        <w:tblCellMar>
          <w:top w:w="0" w:type="dxa"/>
          <w:left w:w="108" w:type="dxa"/>
          <w:bottom w:w="0" w:type="dxa"/>
          <w:right w:w="108" w:type="dxa"/>
        </w:tblCellMar>
      </w:tblPr>
      <w:tblGrid>
        <w:gridCol w:w="877"/>
        <w:gridCol w:w="857"/>
        <w:gridCol w:w="844"/>
        <w:gridCol w:w="851"/>
        <w:gridCol w:w="283"/>
        <w:gridCol w:w="290"/>
        <w:gridCol w:w="419"/>
        <w:gridCol w:w="425"/>
        <w:gridCol w:w="407"/>
        <w:gridCol w:w="19"/>
        <w:gridCol w:w="425"/>
        <w:gridCol w:w="425"/>
        <w:gridCol w:w="125"/>
        <w:gridCol w:w="288"/>
        <w:gridCol w:w="210"/>
        <w:gridCol w:w="357"/>
        <w:gridCol w:w="579"/>
        <w:gridCol w:w="236"/>
        <w:gridCol w:w="190"/>
        <w:gridCol w:w="425"/>
        <w:gridCol w:w="484"/>
        <w:gridCol w:w="397"/>
        <w:gridCol w:w="177"/>
      </w:tblGrid>
      <w:tr>
        <w:tblPrEx>
          <w:tblCellMar>
            <w:top w:w="0" w:type="dxa"/>
            <w:left w:w="108" w:type="dxa"/>
            <w:bottom w:w="0" w:type="dxa"/>
            <w:right w:w="108" w:type="dxa"/>
          </w:tblCellMar>
        </w:tblPrEx>
        <w:trPr>
          <w:trHeight w:val="335" w:hRule="atLeast"/>
          <w:jc w:val="center"/>
        </w:trPr>
        <w:tc>
          <w:tcPr>
            <w:tcW w:w="877" w:type="dxa"/>
            <w:tcBorders>
              <w:bottom w:val="single" w:color="000000" w:sz="4" w:space="0"/>
            </w:tcBorders>
          </w:tcPr>
          <w:p>
            <w:pPr>
              <w:autoSpaceDN w:val="0"/>
              <w:jc w:val="left"/>
              <w:textAlignment w:val="center"/>
              <w:rPr>
                <w:rFonts w:eastAsia="华文细黑"/>
                <w:color w:val="000000"/>
                <w:sz w:val="20"/>
              </w:rPr>
            </w:pPr>
          </w:p>
        </w:tc>
        <w:tc>
          <w:tcPr>
            <w:tcW w:w="4376" w:type="dxa"/>
            <w:gridSpan w:val="8"/>
            <w:tcBorders>
              <w:bottom w:val="single" w:color="000000" w:sz="4" w:space="0"/>
            </w:tcBorders>
            <w:vAlign w:val="center"/>
          </w:tcPr>
          <w:p>
            <w:pPr>
              <w:autoSpaceDN w:val="0"/>
              <w:jc w:val="left"/>
              <w:textAlignment w:val="center"/>
              <w:rPr>
                <w:rFonts w:eastAsia="华文细黑"/>
                <w:color w:val="000000"/>
                <w:sz w:val="20"/>
              </w:rPr>
            </w:pPr>
          </w:p>
        </w:tc>
        <w:tc>
          <w:tcPr>
            <w:tcW w:w="994" w:type="dxa"/>
            <w:gridSpan w:val="4"/>
            <w:vAlign w:val="center"/>
          </w:tcPr>
          <w:p>
            <w:pPr>
              <w:autoSpaceDN w:val="0"/>
              <w:jc w:val="left"/>
              <w:textAlignment w:val="center"/>
              <w:rPr>
                <w:rFonts w:eastAsia="华文细黑"/>
                <w:color w:val="000000"/>
                <w:sz w:val="20"/>
              </w:rPr>
            </w:pPr>
          </w:p>
        </w:tc>
        <w:tc>
          <w:tcPr>
            <w:tcW w:w="498" w:type="dxa"/>
            <w:gridSpan w:val="2"/>
            <w:vAlign w:val="center"/>
          </w:tcPr>
          <w:p>
            <w:pPr>
              <w:autoSpaceDN w:val="0"/>
              <w:jc w:val="left"/>
              <w:textAlignment w:val="center"/>
              <w:rPr>
                <w:rFonts w:eastAsia="华文细黑"/>
                <w:color w:val="000000"/>
                <w:sz w:val="20"/>
              </w:rPr>
            </w:pPr>
          </w:p>
        </w:tc>
        <w:tc>
          <w:tcPr>
            <w:tcW w:w="936" w:type="dxa"/>
            <w:gridSpan w:val="2"/>
            <w:vAlign w:val="center"/>
          </w:tcPr>
          <w:p>
            <w:pPr>
              <w:autoSpaceDN w:val="0"/>
              <w:jc w:val="left"/>
              <w:textAlignment w:val="center"/>
              <w:rPr>
                <w:rFonts w:eastAsia="华文细黑"/>
                <w:color w:val="000000"/>
                <w:sz w:val="20"/>
              </w:rPr>
            </w:pPr>
          </w:p>
        </w:tc>
        <w:tc>
          <w:tcPr>
            <w:tcW w:w="236" w:type="dxa"/>
            <w:vAlign w:val="bottom"/>
          </w:tcPr>
          <w:p>
            <w:pPr>
              <w:autoSpaceDN w:val="0"/>
              <w:jc w:val="right"/>
              <w:textAlignment w:val="bottom"/>
              <w:rPr>
                <w:rFonts w:eastAsia="宋体"/>
                <w:color w:val="000000"/>
                <w:sz w:val="20"/>
              </w:rPr>
            </w:pPr>
          </w:p>
        </w:tc>
        <w:tc>
          <w:tcPr>
            <w:tcW w:w="1673" w:type="dxa"/>
            <w:gridSpan w:val="5"/>
            <w:vAlign w:val="bottom"/>
          </w:tcPr>
          <w:p>
            <w:pPr>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177" w:type="dxa"/>
          <w:trHeight w:val="517" w:hRule="atLeast"/>
          <w:jc w:val="center"/>
        </w:trPr>
        <w:tc>
          <w:tcPr>
            <w:tcW w:w="877" w:type="dxa"/>
            <w:vMerge w:val="restart"/>
            <w:tcBorders>
              <w:left w:val="single" w:color="000000" w:sz="4" w:space="0"/>
              <w:right w:val="single" w:color="000000" w:sz="4" w:space="0"/>
            </w:tcBorders>
            <w:vAlign w:val="center"/>
          </w:tcPr>
          <w:p>
            <w:pPr>
              <w:widowControl/>
              <w:jc w:val="center"/>
              <w:rPr>
                <w:rFonts w:ascii="宋体" w:hAnsi="宋体" w:eastAsia="宋体" w:cs="宋体"/>
                <w:color w:val="000000"/>
                <w:sz w:val="20"/>
              </w:rPr>
            </w:pPr>
            <w:r>
              <w:rPr>
                <w:rFonts w:hint="eastAsia" w:ascii="宋体" w:hAnsi="宋体" w:eastAsia="宋体" w:cs="宋体"/>
                <w:color w:val="000000"/>
                <w:sz w:val="20"/>
              </w:rPr>
              <w:t>部门（单位）名称</w:t>
            </w:r>
          </w:p>
        </w:tc>
        <w:tc>
          <w:tcPr>
            <w:tcW w:w="85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总计</w:t>
            </w:r>
          </w:p>
        </w:tc>
        <w:tc>
          <w:tcPr>
            <w:tcW w:w="4801" w:type="dxa"/>
            <w:gridSpan w:val="12"/>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本年预算</w:t>
            </w:r>
          </w:p>
        </w:tc>
        <w:tc>
          <w:tcPr>
            <w:tcW w:w="2878" w:type="dxa"/>
            <w:gridSpan w:val="8"/>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上年结转结余</w:t>
            </w:r>
          </w:p>
        </w:tc>
      </w:tr>
      <w:tr>
        <w:tblPrEx>
          <w:tblCellMar>
            <w:top w:w="0" w:type="dxa"/>
            <w:left w:w="108" w:type="dxa"/>
            <w:bottom w:w="0" w:type="dxa"/>
            <w:right w:w="108" w:type="dxa"/>
          </w:tblCellMar>
        </w:tblPrEx>
        <w:trPr>
          <w:gridAfter w:val="1"/>
          <w:wAfter w:w="177" w:type="dxa"/>
          <w:trHeight w:val="517" w:hRule="atLeast"/>
          <w:jc w:val="center"/>
        </w:trPr>
        <w:tc>
          <w:tcPr>
            <w:tcW w:w="877" w:type="dxa"/>
            <w:vMerge w:val="continue"/>
            <w:tcBorders>
              <w:left w:val="single" w:color="000000" w:sz="4" w:space="0"/>
              <w:right w:val="single" w:color="000000" w:sz="4" w:space="0"/>
            </w:tcBorders>
            <w:vAlign w:val="center"/>
          </w:tcPr>
          <w:p>
            <w:pPr>
              <w:widowControl/>
              <w:jc w:val="left"/>
              <w:rPr>
                <w:rFonts w:ascii="宋体" w:hAnsi="宋体" w:eastAsia="宋体" w:cs="宋体"/>
                <w:color w:val="000000"/>
                <w:sz w:val="20"/>
              </w:rPr>
            </w:pPr>
          </w:p>
        </w:tc>
        <w:tc>
          <w:tcPr>
            <w:tcW w:w="857" w:type="dxa"/>
            <w:vMerge w:val="continue"/>
            <w:tcBorders>
              <w:left w:val="single" w:color="000000" w:sz="4" w:space="0"/>
              <w:right w:val="single" w:color="000000" w:sz="4" w:space="0"/>
            </w:tcBorders>
            <w:vAlign w:val="center"/>
          </w:tcPr>
          <w:p>
            <w:pPr>
              <w:autoSpaceDN w:val="0"/>
              <w:jc w:val="center"/>
              <w:textAlignment w:val="center"/>
              <w:rPr>
                <w:rFonts w:ascii="宋体" w:hAnsi="宋体" w:eastAsia="宋体" w:cs="宋体"/>
                <w:color w:val="000000"/>
                <w:sz w:val="20"/>
              </w:rPr>
            </w:pPr>
          </w:p>
        </w:tc>
        <w:tc>
          <w:tcPr>
            <w:tcW w:w="844" w:type="dxa"/>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24" w:type="dxa"/>
            <w:gridSpan w:val="3"/>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财政拨款收入</w:t>
            </w:r>
          </w:p>
        </w:tc>
        <w:tc>
          <w:tcPr>
            <w:tcW w:w="419" w:type="dxa"/>
            <w:vMerge w:val="restart"/>
            <w:tcBorders>
              <w:top w:val="single" w:color="000000" w:sz="4" w:space="0"/>
              <w:left w:val="single" w:color="auto"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2114" w:type="dxa"/>
            <w:gridSpan w:val="7"/>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单位资            金收入</w:t>
            </w:r>
          </w:p>
        </w:tc>
        <w:tc>
          <w:tcPr>
            <w:tcW w:w="567" w:type="dxa"/>
            <w:gridSpan w:val="2"/>
            <w:vMerge w:val="restart"/>
            <w:tcBorders>
              <w:top w:val="single" w:color="000000" w:sz="4" w:space="0"/>
              <w:left w:val="single" w:color="000000" w:sz="4" w:space="0"/>
              <w:right w:val="single" w:color="auto" w:sz="4" w:space="0"/>
            </w:tcBorders>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30" w:type="dxa"/>
            <w:gridSpan w:val="4"/>
            <w:tcBorders>
              <w:top w:val="single" w:color="000000" w:sz="4" w:space="0"/>
              <w:left w:val="single" w:color="auto" w:sz="4" w:space="0"/>
              <w:right w:val="single" w:color="auto"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财政拨款结转</w:t>
            </w:r>
          </w:p>
        </w:tc>
        <w:tc>
          <w:tcPr>
            <w:tcW w:w="881" w:type="dxa"/>
            <w:gridSpan w:val="2"/>
            <w:tcBorders>
              <w:top w:val="single" w:color="000000" w:sz="4" w:space="0"/>
              <w:left w:val="single" w:color="auto" w:sz="4" w:space="0"/>
              <w:right w:val="single" w:color="000000" w:sz="4" w:space="0"/>
            </w:tcBorders>
            <w:vAlign w:val="center"/>
          </w:tcPr>
          <w:p>
            <w:pPr>
              <w:autoSpaceDN w:val="0"/>
              <w:jc w:val="center"/>
              <w:textAlignment w:val="center"/>
              <w:rPr>
                <w:rFonts w:ascii="宋体" w:hAnsi="宋体" w:eastAsia="宋体" w:cs="宋体"/>
                <w:color w:val="000000"/>
                <w:sz w:val="20"/>
              </w:rPr>
            </w:pPr>
            <w:r>
              <w:rPr>
                <w:rFonts w:hint="eastAsia" w:ascii="宋体" w:hAnsi="宋体" w:eastAsia="宋体" w:cs="宋体"/>
                <w:color w:val="000000"/>
                <w:sz w:val="20"/>
              </w:rPr>
              <w:t>非财政拨款结转结余</w:t>
            </w:r>
          </w:p>
        </w:tc>
      </w:tr>
      <w:tr>
        <w:tblPrEx>
          <w:tblCellMar>
            <w:top w:w="0" w:type="dxa"/>
            <w:left w:w="108" w:type="dxa"/>
            <w:bottom w:w="0" w:type="dxa"/>
            <w:right w:w="108" w:type="dxa"/>
          </w:tblCellMar>
        </w:tblPrEx>
        <w:trPr>
          <w:gridAfter w:val="1"/>
          <w:wAfter w:w="177" w:type="dxa"/>
          <w:trHeight w:val="2818" w:hRule="atLeast"/>
          <w:jc w:val="center"/>
        </w:trPr>
        <w:tc>
          <w:tcPr>
            <w:tcW w:w="877" w:type="dxa"/>
            <w:vMerge w:val="continue"/>
            <w:tcBorders>
              <w:left w:val="single" w:color="000000" w:sz="4" w:space="0"/>
              <w:bottom w:val="single" w:color="000000" w:sz="4" w:space="0"/>
              <w:right w:val="single" w:color="000000" w:sz="4" w:space="0"/>
            </w:tcBorders>
            <w:shd w:val="solid" w:color="FFFFFF" w:fill="auto"/>
            <w:vAlign w:val="center"/>
          </w:tcPr>
          <w:p>
            <w:pPr>
              <w:widowControl/>
              <w:jc w:val="left"/>
              <w:rPr>
                <w:rFonts w:ascii="宋体" w:hAnsi="宋体" w:eastAsia="宋体" w:cs="宋体"/>
                <w:color w:val="000000"/>
                <w:sz w:val="20"/>
                <w:shd w:val="clear" w:color="auto" w:fill="FFFFFF"/>
              </w:rPr>
            </w:pPr>
          </w:p>
        </w:tc>
        <w:tc>
          <w:tcPr>
            <w:tcW w:w="857" w:type="dxa"/>
            <w:vMerge w:val="continue"/>
            <w:tcBorders>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ascii="宋体" w:hAnsi="宋体" w:eastAsia="宋体" w:cs="宋体"/>
                <w:color w:val="000000"/>
                <w:sz w:val="20"/>
                <w:shd w:val="clear" w:color="auto" w:fill="FFFFFF"/>
              </w:rPr>
            </w:pPr>
          </w:p>
        </w:tc>
        <w:tc>
          <w:tcPr>
            <w:tcW w:w="844" w:type="dxa"/>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851"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283" w:type="dxa"/>
            <w:tcBorders>
              <w:top w:val="single" w:color="000000" w:sz="4" w:space="0"/>
              <w:left w:val="single" w:color="000000" w:sz="4" w:space="0"/>
              <w:bottom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29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419" w:type="dxa"/>
            <w:vMerge w:val="continue"/>
            <w:tcBorders>
              <w:left w:val="single" w:color="auto" w:sz="4" w:space="0"/>
              <w:bottom w:val="single" w:color="000000" w:sz="4" w:space="0"/>
              <w:right w:val="single" w:color="auto" w:sz="4" w:space="0"/>
            </w:tcBorders>
            <w:shd w:val="solid" w:color="FFFFFF" w:fill="auto"/>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42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567" w:type="dxa"/>
            <w:gridSpan w:val="2"/>
            <w:vMerge w:val="continue"/>
            <w:tcBorders>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p>
        </w:tc>
        <w:tc>
          <w:tcPr>
            <w:tcW w:w="57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extDirection w:val="tbLrV"/>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2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484"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pPr>
              <w:shd w:val="solid" w:color="FFFFFF" w:fill="auto"/>
              <w:autoSpaceDN w:val="0"/>
              <w:ind w:left="113" w:right="113"/>
              <w:jc w:val="center"/>
              <w:textAlignment w:val="center"/>
              <w:rPr>
                <w:rFonts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tblPrEx>
          <w:tblCellMar>
            <w:top w:w="0" w:type="dxa"/>
            <w:left w:w="108" w:type="dxa"/>
            <w:bottom w:w="0" w:type="dxa"/>
            <w:right w:w="108" w:type="dxa"/>
          </w:tblCellMar>
        </w:tblPrEx>
        <w:trPr>
          <w:gridAfter w:val="1"/>
          <w:wAfter w:w="177" w:type="dxa"/>
          <w:trHeight w:val="517" w:hRule="atLeast"/>
          <w:jc w:val="center"/>
        </w:trPr>
        <w:tc>
          <w:tcPr>
            <w:tcW w:w="87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r>
              <w:rPr>
                <w:rFonts w:eastAsia="宋体"/>
                <w:color w:val="000000"/>
                <w:sz w:val="20"/>
                <w:shd w:val="clear" w:color="auto" w:fill="FFFFFF"/>
              </w:rPr>
              <w:t>通化市统计局东昌区分局</w:t>
            </w: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150.82</w:t>
            </w:r>
          </w:p>
        </w:tc>
        <w:tc>
          <w:tcPr>
            <w:tcW w:w="84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147.13</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147.13</w:t>
            </w:r>
          </w:p>
        </w:tc>
        <w:tc>
          <w:tcPr>
            <w:tcW w:w="283"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3.69</w:t>
            </w:r>
          </w:p>
        </w:tc>
        <w:tc>
          <w:tcPr>
            <w:tcW w:w="5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3.69</w:t>
            </w: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77" w:type="dxa"/>
          <w:trHeight w:val="517" w:hRule="atLeast"/>
          <w:jc w:val="center"/>
        </w:trPr>
        <w:tc>
          <w:tcPr>
            <w:tcW w:w="87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4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3"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77" w:type="dxa"/>
          <w:trHeight w:val="517" w:hRule="atLeast"/>
          <w:jc w:val="center"/>
        </w:trPr>
        <w:tc>
          <w:tcPr>
            <w:tcW w:w="87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4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3"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77" w:type="dxa"/>
          <w:trHeight w:val="517" w:hRule="atLeast"/>
          <w:jc w:val="center"/>
        </w:trPr>
        <w:tc>
          <w:tcPr>
            <w:tcW w:w="877" w:type="dxa"/>
            <w:tcBorders>
              <w:top w:val="single" w:color="000000" w:sz="4" w:space="0"/>
              <w:left w:val="single" w:color="000000" w:sz="4" w:space="0"/>
              <w:bottom w:val="single" w:color="000000" w:sz="4" w:space="0"/>
            </w:tcBorders>
            <w:shd w:val="solid" w:color="FFFFFF" w:fill="auto"/>
            <w:vAlign w:val="center"/>
          </w:tcPr>
          <w:p>
            <w:pPr>
              <w:widowControl/>
              <w:jc w:val="left"/>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4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83"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177" w:type="dxa"/>
          <w:trHeight w:val="530" w:hRule="atLeast"/>
          <w:jc w:val="center"/>
        </w:trPr>
        <w:tc>
          <w:tcPr>
            <w:tcW w:w="877"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150.82</w:t>
            </w:r>
          </w:p>
        </w:tc>
        <w:tc>
          <w:tcPr>
            <w:tcW w:w="84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147.13</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147.13</w:t>
            </w:r>
          </w:p>
        </w:tc>
        <w:tc>
          <w:tcPr>
            <w:tcW w:w="283" w:type="dxa"/>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29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9" w:type="dxa"/>
            <w:tcBorders>
              <w:top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41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p>
        </w:tc>
        <w:tc>
          <w:tcPr>
            <w:tcW w:w="56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3.69</w:t>
            </w:r>
          </w:p>
        </w:tc>
        <w:tc>
          <w:tcPr>
            <w:tcW w:w="579"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3.69</w:t>
            </w:r>
          </w:p>
        </w:tc>
        <w:tc>
          <w:tcPr>
            <w:tcW w:w="426" w:type="dxa"/>
            <w:gridSpan w:val="2"/>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jc w:val="right"/>
              <w:textAlignment w:val="center"/>
              <w:rPr>
                <w:color w:val="000000"/>
                <w:sz w:val="20"/>
                <w:shd w:val="clear" w:color="auto" w:fill="FFFFFF"/>
              </w:rPr>
            </w:pP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48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9841" w:type="dxa"/>
              <w:tblInd w:w="445" w:type="dxa"/>
              <w:tblLayout w:type="fixed"/>
              <w:tblCellMar>
                <w:top w:w="15" w:type="dxa"/>
                <w:left w:w="15" w:type="dxa"/>
                <w:bottom w:w="15" w:type="dxa"/>
                <w:right w:w="15" w:type="dxa"/>
              </w:tblCellMar>
            </w:tblPr>
            <w:tblGrid>
              <w:gridCol w:w="2297"/>
              <w:gridCol w:w="1119"/>
              <w:gridCol w:w="1306"/>
              <w:gridCol w:w="1090"/>
              <w:gridCol w:w="1297"/>
              <w:gridCol w:w="1266"/>
              <w:gridCol w:w="30"/>
              <w:gridCol w:w="1297"/>
              <w:gridCol w:w="139"/>
            </w:tblGrid>
            <w:tr>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vAlign w:val="center"/>
                </w:tcPr>
                <w:p>
                  <w:pPr>
                    <w:widowControl/>
                    <w:jc w:val="left"/>
                    <w:rPr>
                      <w:rFonts w:eastAsia="华文细黑"/>
                      <w:color w:val="000000"/>
                      <w:kern w:val="0"/>
                      <w:sz w:val="20"/>
                    </w:rPr>
                  </w:pPr>
                </w:p>
              </w:tc>
              <w:tc>
                <w:tcPr>
                  <w:tcW w:w="1297" w:type="dxa"/>
                  <w:tcBorders>
                    <w:bottom w:val="single" w:color="000000" w:sz="4" w:space="0"/>
                  </w:tcBorders>
                  <w:vAlign w:val="center"/>
                </w:tcPr>
                <w:p>
                  <w:pPr>
                    <w:widowControl/>
                    <w:jc w:val="right"/>
                    <w:rPr>
                      <w:rFonts w:eastAsia="华文细黑"/>
                      <w:color w:val="000000"/>
                      <w:kern w:val="0"/>
                      <w:sz w:val="20"/>
                    </w:rPr>
                  </w:pPr>
                </w:p>
              </w:tc>
              <w:tc>
                <w:tcPr>
                  <w:tcW w:w="1296" w:type="dxa"/>
                  <w:gridSpan w:val="2"/>
                  <w:tcBorders>
                    <w:bottom w:val="single" w:color="000000" w:sz="4" w:space="0"/>
                  </w:tcBorders>
                  <w:vAlign w:val="center"/>
                </w:tcPr>
                <w:p>
                  <w:pPr>
                    <w:widowControl/>
                    <w:jc w:val="right"/>
                    <w:rPr>
                      <w:rFonts w:eastAsia="华文细黑"/>
                      <w:color w:val="000000"/>
                      <w:kern w:val="0"/>
                      <w:sz w:val="20"/>
                    </w:rPr>
                  </w:pPr>
                </w:p>
              </w:tc>
              <w:tc>
                <w:tcPr>
                  <w:tcW w:w="1297" w:type="dxa"/>
                  <w:tcBorders>
                    <w:bottom w:val="single" w:color="000000" w:sz="4" w:space="0"/>
                  </w:tcBorders>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512" w:hRule="atLeast"/>
              </w:trPr>
              <w:tc>
                <w:tcPr>
                  <w:tcW w:w="22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19"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事业单位</w:t>
                  </w:r>
                </w:p>
                <w:p>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rPr>
                      <w:rFonts w:eastAsia="华文细黑"/>
                      <w:color w:val="000000"/>
                      <w:kern w:val="0"/>
                      <w:sz w:val="20"/>
                    </w:rPr>
                  </w:pPr>
                  <w:r>
                    <w:rPr>
                      <w:rFonts w:hint="eastAsia" w:eastAsia="宋体"/>
                      <w:color w:val="000000"/>
                      <w:kern w:val="0"/>
                      <w:sz w:val="20"/>
                    </w:rPr>
                    <w:t>一、一般公共服务支出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125.40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rPr>
                      <w:rFonts w:eastAsia="华文细黑"/>
                      <w:color w:val="000000"/>
                      <w:kern w:val="0"/>
                      <w:sz w:val="20"/>
                    </w:rPr>
                  </w:pPr>
                  <w:r>
                    <w:rPr>
                      <w:rFonts w:hint="eastAsia" w:eastAsia="宋体"/>
                      <w:color w:val="000000"/>
                      <w:kern w:val="0"/>
                      <w:sz w:val="20"/>
                      <w:szCs w:val="22"/>
                    </w:rPr>
                    <w:t>统计信息事务</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125.40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宋体"/>
                      <w:color w:val="000000"/>
                      <w:kern w:val="0"/>
                      <w:sz w:val="20"/>
                    </w:rPr>
                  </w:pPr>
                  <w:r>
                    <w:rPr>
                      <w:rFonts w:hint="eastAsia" w:eastAsia="宋体"/>
                      <w:color w:val="000000"/>
                      <w:kern w:val="0"/>
                      <w:sz w:val="20"/>
                      <w:szCs w:val="22"/>
                    </w:rPr>
                    <w:t>行政运行</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宋体"/>
                      <w:color w:val="000000"/>
                      <w:kern w:val="0"/>
                      <w:sz w:val="20"/>
                    </w:rPr>
                  </w:pPr>
                  <w:r>
                    <w:rPr>
                      <w:rFonts w:hint="eastAsia" w:eastAsia="宋体"/>
                      <w:color w:val="000000"/>
                      <w:kern w:val="0"/>
                      <w:sz w:val="20"/>
                      <w:szCs w:val="22"/>
                    </w:rPr>
                    <w:t>一般行政管理事务</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21.07</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宋体"/>
                      <w:color w:val="000000"/>
                      <w:kern w:val="0"/>
                      <w:sz w:val="20"/>
                      <w:szCs w:val="22"/>
                    </w:rPr>
                  </w:pPr>
                  <w:r>
                    <w:rPr>
                      <w:rFonts w:hint="eastAsia" w:eastAsia="宋体"/>
                      <w:color w:val="000000"/>
                      <w:kern w:val="0"/>
                      <w:sz w:val="20"/>
                      <w:szCs w:val="22"/>
                    </w:rPr>
                    <w:t>专项普查活动</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41.58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41.58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szCs w:val="22"/>
                    </w:rPr>
                    <w:t>二、社会保障和就业支出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rPr>
                      <w:rFonts w:eastAsia="宋体"/>
                      <w:color w:val="000000"/>
                      <w:kern w:val="0"/>
                      <w:sz w:val="20"/>
                    </w:rPr>
                  </w:pPr>
                  <w:r>
                    <w:rPr>
                      <w:rFonts w:hint="eastAsia" w:eastAsia="宋体"/>
                      <w:color w:val="000000"/>
                      <w:kern w:val="0"/>
                      <w:sz w:val="20"/>
                      <w:szCs w:val="22"/>
                    </w:rPr>
                    <w:t>行政事业单位养老支出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宋体"/>
                      <w:color w:val="000000"/>
                      <w:kern w:val="0"/>
                      <w:sz w:val="20"/>
                    </w:rPr>
                  </w:pPr>
                  <w:r>
                    <w:rPr>
                      <w:rFonts w:hint="eastAsia" w:eastAsia="宋体"/>
                      <w:color w:val="000000"/>
                      <w:kern w:val="0"/>
                      <w:sz w:val="20"/>
                      <w:szCs w:val="22"/>
                    </w:rPr>
                    <w:t>行政单位离退休</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华文细黑"/>
                      <w:color w:val="000000"/>
                      <w:kern w:val="0"/>
                      <w:sz w:val="20"/>
                    </w:rPr>
                  </w:pPr>
                  <w:r>
                    <w:rPr>
                      <w:rFonts w:hint="eastAsia" w:eastAsia="宋体"/>
                      <w:color w:val="000000"/>
                      <w:kern w:val="0"/>
                      <w:sz w:val="20"/>
                      <w:szCs w:val="22"/>
                    </w:rPr>
                    <w:t>机关事业单位基本养老保险缴费支出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rPr>
                      <w:rFonts w:eastAsia="华文细黑"/>
                      <w:color w:val="000000"/>
                      <w:kern w:val="0"/>
                      <w:sz w:val="20"/>
                    </w:rPr>
                  </w:pPr>
                  <w:r>
                    <w:rPr>
                      <w:rFonts w:hint="eastAsia" w:eastAsia="宋体"/>
                      <w:color w:val="000000"/>
                      <w:kern w:val="0"/>
                      <w:sz w:val="20"/>
                      <w:szCs w:val="22"/>
                    </w:rPr>
                    <w:t>三、卫生健康支出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rPr>
                      <w:rFonts w:eastAsia="华文细黑"/>
                      <w:color w:val="000000"/>
                      <w:kern w:val="0"/>
                      <w:sz w:val="20"/>
                    </w:rPr>
                  </w:pPr>
                  <w:r>
                    <w:rPr>
                      <w:rFonts w:hint="eastAsia" w:eastAsia="宋体"/>
                      <w:color w:val="000000"/>
                      <w:kern w:val="0"/>
                      <w:sz w:val="20"/>
                      <w:szCs w:val="22"/>
                    </w:rPr>
                    <w:t>行政事业单位医疗</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华文细黑"/>
                      <w:color w:val="000000"/>
                      <w:kern w:val="0"/>
                      <w:sz w:val="20"/>
                    </w:rPr>
                  </w:pPr>
                  <w:r>
                    <w:rPr>
                      <w:rFonts w:hint="eastAsia" w:eastAsia="宋体"/>
                      <w:color w:val="000000"/>
                      <w:kern w:val="0"/>
                      <w:sz w:val="20"/>
                      <w:szCs w:val="22"/>
                    </w:rPr>
                    <w:t>行政单位医疗</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rPr>
                      <w:rFonts w:eastAsia="华文细黑"/>
                      <w:color w:val="000000"/>
                      <w:kern w:val="0"/>
                      <w:sz w:val="20"/>
                    </w:rPr>
                  </w:pPr>
                  <w:r>
                    <w:rPr>
                      <w:rFonts w:hint="eastAsia" w:eastAsia="宋体"/>
                      <w:color w:val="000000"/>
                      <w:kern w:val="0"/>
                      <w:sz w:val="20"/>
                      <w:szCs w:val="22"/>
                    </w:rPr>
                    <w:t>四、住房保障支出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rPr>
                      <w:rFonts w:eastAsia="华文细黑"/>
                      <w:color w:val="000000"/>
                      <w:kern w:val="0"/>
                      <w:sz w:val="20"/>
                    </w:rPr>
                  </w:pPr>
                  <w:r>
                    <w:rPr>
                      <w:rFonts w:hint="eastAsia" w:eastAsia="宋体"/>
                      <w:color w:val="000000"/>
                      <w:kern w:val="0"/>
                      <w:sz w:val="20"/>
                      <w:szCs w:val="22"/>
                    </w:rPr>
                    <w:t>住房改革支出</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rPr>
                      <w:rFonts w:eastAsia="华文细黑"/>
                      <w:color w:val="000000"/>
                      <w:kern w:val="0"/>
                      <w:sz w:val="20"/>
                    </w:rPr>
                  </w:pPr>
                  <w:r>
                    <w:rPr>
                      <w:rFonts w:hint="eastAsia" w:eastAsia="宋体"/>
                      <w:color w:val="000000"/>
                      <w:kern w:val="0"/>
                      <w:sz w:val="20"/>
                      <w:szCs w:val="22"/>
                    </w:rPr>
                    <w:t>住房公积金</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2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111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150.82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88.17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rPr>
                <w:trHeight w:val="634" w:hRule="atLeast"/>
              </w:trPr>
              <w:tc>
                <w:tcPr>
                  <w:tcW w:w="9640" w:type="dxa"/>
                  <w:gridSpan w:val="8"/>
                  <w:tcBorders>
                    <w:top w:val="nil"/>
                    <w:left w:val="nil"/>
                    <w:bottom w:val="nil"/>
                    <w:right w:val="nil"/>
                  </w:tcBorders>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   预算数</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4年   预算数</w:t>
                  </w:r>
                </w:p>
              </w:tc>
              <w:tc>
                <w:tcPr>
                  <w:tcW w:w="1148" w:type="dxa"/>
                  <w:tcBorders>
                    <w:top w:val="single" w:color="auto" w:sz="4" w:space="0"/>
                    <w:left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125.40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124.65</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0.75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二</w:t>
                  </w:r>
                  <w:r>
                    <w:rPr>
                      <w:rFonts w:hint="eastAsia" w:eastAsia="宋体"/>
                      <w:color w:val="000000"/>
                      <w:sz w:val="20"/>
                    </w:rPr>
                    <w:t>）</w:t>
                  </w:r>
                  <w:r>
                    <w:rPr>
                      <w:rFonts w:hint="eastAsia" w:eastAsia="宋体"/>
                      <w:color w:val="000000"/>
                      <w:kern w:val="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15.41</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13.48</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1.93</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w:t>
                  </w:r>
                  <w:r>
                    <w:rPr>
                      <w:rFonts w:hint="eastAsia" w:eastAsia="宋体"/>
                      <w:color w:val="000000"/>
                      <w:kern w:val="0"/>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2.26</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2.26</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7.74</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6.74</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1.00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150.82</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147.13</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kern w:val="0"/>
                      <w:sz w:val="20"/>
                    </w:rPr>
                  </w:pPr>
                  <w:r>
                    <w:rPr>
                      <w:rFonts w:hint="eastAsia" w:eastAsia="宋体"/>
                      <w:kern w:val="0"/>
                      <w:sz w:val="20"/>
                    </w:rPr>
                    <w:t>3.69</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vAlign w:val="bottom"/>
          </w:tcPr>
          <w:p>
            <w:pPr>
              <w:widowControl/>
              <w:rPr>
                <w:rFonts w:eastAsia="方正小标宋简体"/>
                <w:kern w:val="0"/>
                <w:sz w:val="44"/>
                <w:szCs w:val="44"/>
              </w:rPr>
            </w:pP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int="eastAsia" w:hAnsi="楷体" w:eastAsia="楷体"/>
              </w:rPr>
              <w:tab/>
            </w:r>
            <w:r>
              <w:rPr>
                <w:rFonts w:hAnsi="楷体" w:eastAsia="楷体"/>
              </w:rPr>
              <w:br w:type="page"/>
            </w: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49.62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textAlignment w:val="center"/>
                    <w:rPr>
                      <w:rFonts w:eastAsia="华文细黑"/>
                      <w:color w:val="000000"/>
                      <w:kern w:val="0"/>
                      <w:sz w:val="20"/>
                    </w:rPr>
                  </w:pPr>
                  <w:r>
                    <w:rPr>
                      <w:rFonts w:hint="eastAsia" w:ascii="宋体" w:hAnsi="宋体" w:eastAsia="宋体" w:cs="宋体"/>
                      <w:color w:val="000000"/>
                      <w:kern w:val="0"/>
                      <w:sz w:val="20"/>
                      <w:lang w:bidi="ar"/>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49.62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lang w:bidi="ar"/>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49.62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lang w:bidi="ar"/>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21.07</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41.58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41.58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200" w:firstLineChars="100"/>
                    <w:jc w:val="left"/>
                    <w:textAlignment w:val="center"/>
                    <w:rPr>
                      <w:rFonts w:eastAsia="宋体"/>
                      <w:color w:val="000000"/>
                      <w:kern w:val="0"/>
                      <w:sz w:val="20"/>
                    </w:rPr>
                  </w:pPr>
                  <w:r>
                    <w:rPr>
                      <w:rFonts w:hint="eastAsia" w:ascii="宋体" w:hAnsi="宋体" w:eastAsia="宋体" w:cs="宋体"/>
                      <w:color w:val="000000"/>
                      <w:kern w:val="0"/>
                      <w:sz w:val="20"/>
                      <w:lang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宋体"/>
                      <w:color w:val="000000"/>
                      <w:kern w:val="0"/>
                      <w:sz w:val="20"/>
                    </w:rPr>
                  </w:pPr>
                  <w:r>
                    <w:rPr>
                      <w:rFonts w:hint="eastAsia" w:eastAsia="宋体"/>
                      <w:color w:val="000000"/>
                      <w:kern w:val="0"/>
                      <w:sz w:val="20"/>
                    </w:rPr>
                    <w:t>15.42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eastAsia="宋体"/>
                      <w:color w:val="000000"/>
                      <w:kern w:val="0"/>
                      <w:sz w:val="20"/>
                    </w:rPr>
                  </w:pPr>
                  <w:r>
                    <w:rPr>
                      <w:rFonts w:hint="eastAsia" w:ascii="宋体" w:hAnsi="宋体" w:eastAsia="宋体" w:cs="宋体"/>
                      <w:color w:val="000000"/>
                      <w:kern w:val="0"/>
                      <w:sz w:val="20"/>
                      <w:lang w:bidi="ar"/>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ind w:firstLine="400" w:firstLineChars="200"/>
                    <w:jc w:val="left"/>
                    <w:textAlignment w:val="center"/>
                    <w:rPr>
                      <w:rFonts w:eastAsia="华文细黑"/>
                      <w:color w:val="000000"/>
                      <w:kern w:val="0"/>
                      <w:sz w:val="20"/>
                    </w:rPr>
                  </w:pPr>
                  <w:r>
                    <w:rPr>
                      <w:rFonts w:hint="eastAsia" w:ascii="宋体" w:hAnsi="宋体" w:eastAsia="宋体" w:cs="宋体"/>
                      <w:color w:val="000000"/>
                      <w:kern w:val="0"/>
                      <w:sz w:val="20"/>
                      <w:lang w:bidi="ar"/>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left"/>
                    <w:textAlignment w:val="center"/>
                    <w:rPr>
                      <w:rFonts w:eastAsia="华文细黑"/>
                      <w:color w:val="000000"/>
                      <w:kern w:val="0"/>
                      <w:sz w:val="20"/>
                    </w:rPr>
                  </w:pPr>
                  <w:r>
                    <w:rPr>
                      <w:rFonts w:hint="eastAsia" w:ascii="宋体" w:hAnsi="宋体" w:eastAsia="宋体" w:cs="宋体"/>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150.82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88.17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75.04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62.65</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pPr>
              <w:widowControl/>
              <w:jc w:val="center"/>
              <w:rPr>
                <w:rFonts w:eastAsia="方正小标宋简体"/>
                <w:kern w:val="0"/>
                <w:sz w:val="44"/>
                <w:szCs w:val="44"/>
              </w:rPr>
            </w:pPr>
            <w:r>
              <w:rPr>
                <w:rFonts w:hint="eastAsia" w:eastAsia="楷体"/>
              </w:rPr>
              <w:t xml:space="preserve">   </w:t>
            </w: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1014" w:hRule="atLeast"/>
          <w:jc w:val="center"/>
        </w:trPr>
        <w:tc>
          <w:tcPr>
            <w:tcW w:w="3176" w:type="dxa"/>
            <w:tcBorders>
              <w:top w:val="single" w:color="auto" w:sz="4" w:space="0"/>
              <w:left w:val="single" w:color="auto" w:sz="4" w:space="0"/>
              <w:right w:val="single" w:color="auto" w:sz="4" w:space="0"/>
            </w:tcBorders>
            <w:vAlign w:val="center"/>
          </w:tcPr>
          <w:p>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left"/>
              <w:textAlignment w:val="center"/>
              <w:rPr>
                <w:rFonts w:eastAsia="宋体"/>
                <w:color w:val="000000"/>
                <w:kern w:val="0"/>
                <w:sz w:val="20"/>
              </w:rPr>
            </w:pPr>
            <w:r>
              <w:rPr>
                <w:rFonts w:hint="eastAsia"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68.27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68.27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color w:val="000000"/>
                <w:kern w:val="0"/>
                <w:sz w:val="20"/>
              </w:rPr>
            </w:pPr>
            <w:r>
              <w:rPr>
                <w:rFonts w:hint="eastAsia"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20.73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20.73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color w:val="000000"/>
                <w:kern w:val="0"/>
                <w:sz w:val="20"/>
              </w:rPr>
            </w:pPr>
            <w:r>
              <w:rPr>
                <w:rFonts w:hint="eastAsia"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13.30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13.30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color w:val="000000"/>
                <w:kern w:val="0"/>
                <w:sz w:val="20"/>
              </w:rPr>
            </w:pPr>
            <w:r>
              <w:rPr>
                <w:rFonts w:hint="eastAsia"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12.88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12.88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kern w:val="0"/>
                <w:sz w:val="20"/>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8.96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kern w:val="0"/>
                <w:sz w:val="20"/>
              </w:rPr>
            </w:pPr>
            <w:r>
              <w:rPr>
                <w:rFonts w:hint="eastAsia" w:eastAsia="宋体"/>
                <w:color w:val="000000"/>
                <w:sz w:val="20"/>
                <w:szCs w:val="22"/>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2.19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kern w:val="0"/>
                <w:sz w:val="20"/>
              </w:rPr>
            </w:pPr>
            <w:r>
              <w:rPr>
                <w:rFonts w:hint="eastAsia" w:eastAsia="宋体"/>
                <w:color w:val="000000"/>
                <w:sz w:val="20"/>
                <w:szCs w:val="22"/>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0.69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0.69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ind w:firstLine="200" w:firstLineChars="100"/>
              <w:jc w:val="left"/>
              <w:textAlignment w:val="center"/>
              <w:rPr>
                <w:rFonts w:eastAsia="宋体"/>
                <w:kern w:val="0"/>
                <w:sz w:val="20"/>
              </w:rPr>
            </w:pPr>
            <w:r>
              <w:rPr>
                <w:rFonts w:hint="eastAsia" w:eastAsia="宋体"/>
                <w:color w:val="000000"/>
                <w:sz w:val="20"/>
                <w:szCs w:val="22"/>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r>
              <w:rPr>
                <w:rFonts w:hint="eastAsia" w:eastAsia="宋体"/>
                <w:color w:val="000000"/>
                <w:kern w:val="0"/>
                <w:sz w:val="20"/>
              </w:rPr>
              <w:t>7.74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200" w:firstLineChars="100"/>
              <w:jc w:val="left"/>
              <w:textAlignment w:val="center"/>
              <w:rPr>
                <w:rFonts w:eastAsia="宋体"/>
                <w:color w:val="000000"/>
                <w:kern w:val="0"/>
                <w:sz w:val="20"/>
              </w:rPr>
            </w:pPr>
            <w:r>
              <w:rPr>
                <w:rFonts w:hint="eastAsia" w:eastAsia="宋体"/>
                <w:color w:val="000000"/>
                <w:sz w:val="20"/>
                <w:szCs w:val="22"/>
              </w:rPr>
              <w:t>医疗费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0.96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0.96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200" w:firstLineChars="100"/>
              <w:jc w:val="left"/>
              <w:textAlignment w:val="center"/>
              <w:rPr>
                <w:rFonts w:eastAsia="宋体"/>
                <w:kern w:val="0"/>
                <w:sz w:val="20"/>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0.82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0.82</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10.13</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10.13</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ind w:firstLine="200" w:firstLineChars="100"/>
              <w:jc w:val="left"/>
              <w:textAlignment w:val="center"/>
              <w:rPr>
                <w:rFonts w:eastAsia="宋体"/>
                <w:color w:val="000000"/>
                <w:kern w:val="0"/>
                <w:sz w:val="20"/>
              </w:rPr>
            </w:pPr>
            <w:r>
              <w:rPr>
                <w:rFonts w:hint="eastAsia"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0.59</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0.59</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印刷费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0.20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0.20</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差旅费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1.30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1.30</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培训费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1.30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1.30</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工会经费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0.68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0.68</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福利费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2.32</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2.32</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其他交通费用</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3.36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3.36</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eastAsia="宋体"/>
                <w:color w:val="000000"/>
                <w:kern w:val="0"/>
                <w:sz w:val="20"/>
              </w:rPr>
            </w:pPr>
            <w:r>
              <w:rPr>
                <w:rFonts w:hint="eastAsia" w:eastAsia="宋体"/>
                <w:color w:val="000000"/>
                <w:sz w:val="20"/>
                <w:szCs w:val="22"/>
              </w:rPr>
              <w:t>　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0.38</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0.38</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eastAsia="宋体"/>
                <w:color w:val="000000"/>
                <w:kern w:val="0"/>
                <w:sz w:val="20"/>
              </w:rPr>
            </w:pPr>
            <w:r>
              <w:rPr>
                <w:rFonts w:hint="eastAsia" w:ascii="宋体" w:hAnsi="宋体" w:eastAsia="宋体" w:cs="宋体"/>
                <w:color w:val="00000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6.76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6.76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6.46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6.46</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eastAsia="宋体"/>
                <w:color w:val="000000"/>
                <w:kern w:val="0"/>
                <w:sz w:val="20"/>
              </w:rPr>
            </w:pPr>
            <w:r>
              <w:rPr>
                <w:rFonts w:hint="eastAsia" w:ascii="宋体" w:hAnsi="宋体" w:eastAsia="宋体" w:cs="宋体"/>
                <w:color w:val="000000"/>
                <w:kern w:val="0"/>
                <w:sz w:val="20"/>
                <w:lang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0.30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0.30</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3.00</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 xml:space="preserve">  办公设备购置</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3.00</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3.00</w:t>
            </w:r>
          </w:p>
        </w:tc>
      </w:tr>
      <w:tr>
        <w:tblPrEx>
          <w:tblCellMar>
            <w:top w:w="0" w:type="dxa"/>
            <w:left w:w="108" w:type="dxa"/>
            <w:bottom w:w="0" w:type="dxa"/>
            <w:right w:w="108" w:type="dxa"/>
          </w:tblCellMar>
        </w:tblPrEx>
        <w:trPr>
          <w:trHeight w:val="28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88.16</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75.03</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hint="eastAsia" w:eastAsia="宋体"/>
                <w:color w:val="000000"/>
                <w:kern w:val="0"/>
                <w:sz w:val="20"/>
              </w:rPr>
              <w:t>13.13</w:t>
            </w:r>
          </w:p>
        </w:tc>
      </w:tr>
    </w:tbl>
    <w:p>
      <w:pPr>
        <w:rPr>
          <w:sz w:val="16"/>
          <w:szCs w:val="16"/>
        </w:rPr>
      </w:pPr>
    </w:p>
    <w:p>
      <w:pPr>
        <w:rPr>
          <w:sz w:val="16"/>
          <w:szCs w:val="16"/>
        </w:rPr>
      </w:pPr>
    </w:p>
    <w:p>
      <w:pPr>
        <w:rPr>
          <w:sz w:val="16"/>
          <w:szCs w:val="16"/>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pPr>
              <w:widowControl/>
              <w:jc w:val="left"/>
              <w:rPr>
                <w:color w:val="000000"/>
                <w:kern w:val="0"/>
                <w:sz w:val="28"/>
                <w:szCs w:val="28"/>
              </w:rPr>
            </w:pPr>
          </w:p>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firstLineChars="200"/>
              <w:jc w:val="left"/>
              <w:rPr>
                <w:color w:val="000000"/>
                <w:kern w:val="0"/>
                <w:sz w:val="28"/>
                <w:szCs w:val="28"/>
              </w:rPr>
            </w:pPr>
            <w:r>
              <w:rPr>
                <w:rFonts w:hint="eastAsia"/>
                <w:color w:val="000000"/>
                <w:kern w:val="0"/>
                <w:sz w:val="28"/>
                <w:szCs w:val="28"/>
                <w:lang w:val="en-US" w:eastAsia="zh-CN"/>
              </w:rPr>
              <w:t>2.“2024年预算数”的实有人员10人，其中：在职人员5人，离退休人员5</w:t>
            </w:r>
            <w:bookmarkStart w:id="0" w:name="_GoBack"/>
            <w:bookmarkEnd w:id="0"/>
            <w:r>
              <w:rPr>
                <w:rFonts w:hint="eastAsia"/>
                <w:color w:val="000000"/>
                <w:kern w:val="0"/>
                <w:sz w:val="28"/>
                <w:szCs w:val="28"/>
                <w:lang w:val="en-US" w:eastAsia="zh-CN"/>
              </w:rPr>
              <w:t>人。</w:t>
            </w: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p>
          <w:p>
            <w:pPr>
              <w:widowControl/>
              <w:jc w:val="left"/>
              <w:rPr>
                <w:color w:val="000000"/>
                <w:kern w:val="0"/>
                <w:sz w:val="28"/>
                <w:szCs w:val="28"/>
              </w:rPr>
            </w:pPr>
            <w:r>
              <w:rPr>
                <w:color w:val="000000"/>
                <w:kern w:val="0"/>
                <w:sz w:val="28"/>
                <w:szCs w:val="28"/>
              </w:rPr>
              <w:br w:type="textWrapping"/>
            </w:r>
            <w:r>
              <w:rPr>
                <w:rFonts w:eastAsia="宋体"/>
                <w:color w:val="000000"/>
                <w:kern w:val="0"/>
                <w:sz w:val="28"/>
                <w:szCs w:val="28"/>
              </w:rPr>
              <w:t xml:space="preserve">      </w:t>
            </w:r>
            <w:r>
              <w:rPr>
                <w:rFonts w:hint="eastAsia"/>
                <w:color w:val="000000"/>
                <w:kern w:val="0"/>
                <w:sz w:val="28"/>
                <w:szCs w:val="28"/>
              </w:rPr>
              <w:t xml:space="preserve">     </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sectPr>
          <w:footerReference r:id="rId10" w:type="first"/>
          <w:footerReference r:id="rId9" w:type="default"/>
          <w:pgSz w:w="11907" w:h="16840"/>
          <w:pgMar w:top="2041" w:right="1474" w:bottom="2041" w:left="1474" w:header="851" w:footer="1587" w:gutter="0"/>
          <w:pgNumType w:fmt="numberInDash" w:start="1"/>
          <w:cols w:space="720" w:num="1"/>
          <w:docGrid w:type="lines" w:linePitch="574" w:charSpace="0"/>
        </w:sect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8"/>
        <w:gridCol w:w="374"/>
        <w:gridCol w:w="991"/>
        <w:gridCol w:w="991"/>
        <w:gridCol w:w="710"/>
        <w:gridCol w:w="709"/>
        <w:gridCol w:w="426"/>
        <w:gridCol w:w="426"/>
        <w:gridCol w:w="426"/>
        <w:gridCol w:w="426"/>
        <w:gridCol w:w="424"/>
        <w:gridCol w:w="426"/>
        <w:gridCol w:w="424"/>
        <w:gridCol w:w="428"/>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00" w:type="pct"/>
            <w:gridSpan w:val="16"/>
            <w:tcBorders>
              <w:top w:val="nil"/>
              <w:left w:val="nil"/>
              <w:bottom w:val="nil"/>
              <w:right w:val="nil"/>
            </w:tcBorders>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7"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267"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763" w:type="pct"/>
            <w:gridSpan w:val="2"/>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554"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397" w:type="pct"/>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348" w:type="pct"/>
            <w:gridSpan w:val="5"/>
            <w:tcBorders>
              <w:top w:val="nil"/>
              <w:left w:val="nil"/>
              <w:right w:val="nil"/>
            </w:tcBorders>
            <w:vAlign w:val="center"/>
          </w:tcPr>
          <w:p>
            <w:pPr>
              <w:autoSpaceDN w:val="0"/>
              <w:jc w:val="center"/>
              <w:textAlignment w:val="center"/>
              <w:rPr>
                <w:rFonts w:ascii="Calibri" w:hAnsi="Calibri" w:eastAsia="华文细黑"/>
                <w:color w:val="000000"/>
                <w:sz w:val="20"/>
                <w:szCs w:val="22"/>
              </w:rPr>
            </w:pPr>
          </w:p>
        </w:tc>
        <w:tc>
          <w:tcPr>
            <w:tcW w:w="1214" w:type="pct"/>
            <w:gridSpan w:val="5"/>
            <w:tcBorders>
              <w:top w:val="nil"/>
              <w:left w:val="nil"/>
              <w:right w:val="nil"/>
            </w:tcBorders>
            <w:vAlign w:val="bottom"/>
          </w:tcPr>
          <w:p>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57" w:type="pct"/>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类型</w:t>
            </w:r>
          </w:p>
        </w:tc>
        <w:tc>
          <w:tcPr>
            <w:tcW w:w="1030" w:type="pct"/>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项目名称</w:t>
            </w:r>
          </w:p>
        </w:tc>
        <w:tc>
          <w:tcPr>
            <w:tcW w:w="554" w:type="pct"/>
            <w:vMerge w:val="restart"/>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部门（单位）名称</w:t>
            </w:r>
          </w:p>
        </w:tc>
        <w:tc>
          <w:tcPr>
            <w:tcW w:w="397" w:type="pct"/>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1348" w:type="pct"/>
            <w:gridSpan w:val="5"/>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本年预算</w:t>
            </w:r>
          </w:p>
        </w:tc>
        <w:tc>
          <w:tcPr>
            <w:tcW w:w="1214" w:type="pct"/>
            <w:gridSpan w:val="5"/>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57" w:type="pct"/>
            <w:vMerge w:val="continue"/>
            <w:vAlign w:val="center"/>
          </w:tcPr>
          <w:p>
            <w:pPr>
              <w:autoSpaceDN w:val="0"/>
              <w:jc w:val="center"/>
              <w:textAlignment w:val="center"/>
              <w:rPr>
                <w:rFonts w:ascii="Calibri" w:hAnsi="Calibri" w:eastAsia="华文细黑"/>
                <w:color w:val="000000"/>
                <w:sz w:val="20"/>
                <w:szCs w:val="22"/>
              </w:rPr>
            </w:pPr>
          </w:p>
        </w:tc>
        <w:tc>
          <w:tcPr>
            <w:tcW w:w="476" w:type="pct"/>
            <w:gridSpan w:val="2"/>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554" w:type="pct"/>
            <w:vMerge w:val="restar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二级  项目</w:t>
            </w:r>
          </w:p>
        </w:tc>
        <w:tc>
          <w:tcPr>
            <w:tcW w:w="554" w:type="pct"/>
            <w:vMerge w:val="continue"/>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397" w:type="pct"/>
            <w:vMerge w:val="continue"/>
            <w:vAlign w:val="center"/>
          </w:tcPr>
          <w:p>
            <w:pPr>
              <w:autoSpaceDN w:val="0"/>
              <w:jc w:val="center"/>
              <w:textAlignment w:val="center"/>
              <w:rPr>
                <w:rFonts w:ascii="Calibri" w:hAnsi="Calibri" w:eastAsia="华文细黑"/>
                <w:color w:val="000000"/>
                <w:sz w:val="20"/>
                <w:szCs w:val="22"/>
              </w:rPr>
            </w:pPr>
          </w:p>
        </w:tc>
        <w:tc>
          <w:tcPr>
            <w:tcW w:w="872" w:type="pct"/>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238" w:type="pct"/>
            <w:vMerge w:val="restart"/>
            <w:textDirection w:val="tbLr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38" w:type="pct"/>
            <w:vMerge w:val="restart"/>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c>
          <w:tcPr>
            <w:tcW w:w="712" w:type="pct"/>
            <w:gridSpan w:val="3"/>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502" w:type="pct"/>
            <w:gridSpan w:val="2"/>
            <w:vAlign w:val="center"/>
          </w:tcPr>
          <w:p>
            <w:pPr>
              <w:tabs>
                <w:tab w:val="left" w:pos="492"/>
              </w:tabs>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57" w:type="pct"/>
            <w:vMerge w:val="continue"/>
            <w:vAlign w:val="center"/>
          </w:tcPr>
          <w:p>
            <w:pPr>
              <w:autoSpaceDN w:val="0"/>
              <w:jc w:val="center"/>
              <w:textAlignment w:val="center"/>
              <w:rPr>
                <w:rFonts w:ascii="Calibri" w:hAnsi="Calibri" w:eastAsia="华文细黑"/>
                <w:color w:val="000000"/>
                <w:sz w:val="20"/>
                <w:szCs w:val="22"/>
              </w:rPr>
            </w:pPr>
          </w:p>
        </w:tc>
        <w:tc>
          <w:tcPr>
            <w:tcW w:w="476" w:type="pct"/>
            <w:gridSpan w:val="2"/>
            <w:vMerge w:val="continue"/>
            <w:vAlign w:val="center"/>
          </w:tcPr>
          <w:p>
            <w:pPr>
              <w:autoSpaceDN w:val="0"/>
              <w:jc w:val="center"/>
              <w:textAlignment w:val="center"/>
              <w:rPr>
                <w:rFonts w:ascii="Calibri" w:hAnsi="Calibri" w:eastAsia="华文细黑"/>
                <w:color w:val="000000"/>
                <w:sz w:val="20"/>
                <w:szCs w:val="22"/>
              </w:rPr>
            </w:pPr>
          </w:p>
        </w:tc>
        <w:tc>
          <w:tcPr>
            <w:tcW w:w="554" w:type="pct"/>
            <w:vMerge w:val="continue"/>
            <w:vAlign w:val="center"/>
          </w:tcPr>
          <w:p>
            <w:pPr>
              <w:autoSpaceDN w:val="0"/>
              <w:jc w:val="center"/>
              <w:textAlignment w:val="center"/>
              <w:rPr>
                <w:rFonts w:ascii="Calibri" w:hAnsi="Calibri" w:eastAsia="华文细黑"/>
                <w:color w:val="000000"/>
                <w:sz w:val="20"/>
                <w:szCs w:val="22"/>
              </w:rPr>
            </w:pPr>
          </w:p>
        </w:tc>
        <w:tc>
          <w:tcPr>
            <w:tcW w:w="554" w:type="pct"/>
            <w:vMerge w:val="continue"/>
            <w:vAlign w:val="center"/>
          </w:tcPr>
          <w:p>
            <w:pPr>
              <w:autoSpaceDN w:val="0"/>
              <w:jc w:val="center"/>
              <w:textAlignment w:val="center"/>
              <w:rPr>
                <w:rFonts w:ascii="Calibri" w:hAnsi="Calibri" w:eastAsia="华文细黑"/>
                <w:color w:val="000000"/>
                <w:sz w:val="20"/>
                <w:szCs w:val="22"/>
              </w:rPr>
            </w:pPr>
          </w:p>
        </w:tc>
        <w:tc>
          <w:tcPr>
            <w:tcW w:w="397" w:type="pct"/>
            <w:vMerge w:val="continue"/>
            <w:vAlign w:val="center"/>
          </w:tcPr>
          <w:p>
            <w:pPr>
              <w:autoSpaceDN w:val="0"/>
              <w:jc w:val="center"/>
              <w:textAlignment w:val="center"/>
              <w:rPr>
                <w:rFonts w:ascii="Calibri" w:hAnsi="Calibri" w:eastAsia="华文细黑"/>
                <w:color w:val="000000"/>
                <w:sz w:val="20"/>
                <w:szCs w:val="22"/>
              </w:rPr>
            </w:pPr>
          </w:p>
        </w:tc>
        <w:tc>
          <w:tcPr>
            <w:tcW w:w="396"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238"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38"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国有资本经营预算</w:t>
            </w:r>
          </w:p>
        </w:tc>
        <w:tc>
          <w:tcPr>
            <w:tcW w:w="238" w:type="pct"/>
            <w:vMerge w:val="continue"/>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38" w:type="pct"/>
            <w:vMerge w:val="continue"/>
            <w:textDirection w:val="tbLrV"/>
            <w:vAlign w:val="center"/>
          </w:tcPr>
          <w:p>
            <w:pPr>
              <w:autoSpaceDN w:val="0"/>
              <w:ind w:left="113" w:right="113"/>
              <w:jc w:val="center"/>
              <w:textAlignment w:val="center"/>
              <w:rPr>
                <w:rFonts w:ascii="Calibri" w:hAnsi="Calibri" w:eastAsia="华文细黑"/>
                <w:color w:val="000000"/>
                <w:sz w:val="20"/>
                <w:szCs w:val="22"/>
              </w:rPr>
            </w:pPr>
          </w:p>
        </w:tc>
        <w:tc>
          <w:tcPr>
            <w:tcW w:w="237"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238"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237"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239" w:type="pct"/>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财政专户管理资金</w:t>
            </w:r>
          </w:p>
        </w:tc>
        <w:tc>
          <w:tcPr>
            <w:tcW w:w="263" w:type="pct"/>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57" w:type="pct"/>
            <w:vAlign w:val="center"/>
          </w:tcPr>
          <w:p>
            <w:pPr>
              <w:jc w:val="center"/>
              <w:rPr>
                <w:rFonts w:ascii="Calibri" w:hAnsi="Calibri" w:eastAsia="楷体"/>
                <w:kern w:val="0"/>
                <w:szCs w:val="32"/>
              </w:rPr>
            </w:pPr>
            <w:r>
              <w:rPr>
                <w:rFonts w:hint="eastAsia" w:ascii="宋体" w:hAnsi="宋体" w:eastAsia="宋体" w:cs="宋体"/>
                <w:color w:val="000000"/>
                <w:kern w:val="0"/>
                <w:sz w:val="20"/>
                <w:lang w:bidi="ar"/>
              </w:rPr>
              <w:t>专项业务支出</w:t>
            </w:r>
          </w:p>
        </w:tc>
        <w:tc>
          <w:tcPr>
            <w:tcW w:w="476" w:type="pct"/>
            <w:gridSpan w:val="2"/>
            <w:vAlign w:val="center"/>
          </w:tcPr>
          <w:p>
            <w:pPr>
              <w:jc w:val="center"/>
              <w:rPr>
                <w:rFonts w:ascii="Calibri" w:hAnsi="Calibri" w:eastAsia="楷体"/>
                <w:kern w:val="0"/>
                <w:szCs w:val="32"/>
              </w:rPr>
            </w:pPr>
          </w:p>
        </w:tc>
        <w:tc>
          <w:tcPr>
            <w:tcW w:w="554" w:type="pct"/>
            <w:vAlign w:val="center"/>
          </w:tcPr>
          <w:p>
            <w:pPr>
              <w:jc w:val="center"/>
              <w:rPr>
                <w:rFonts w:ascii="Calibri" w:hAnsi="Calibri" w:eastAsia="楷体"/>
                <w:kern w:val="0"/>
                <w:szCs w:val="32"/>
              </w:rPr>
            </w:pPr>
          </w:p>
        </w:tc>
        <w:tc>
          <w:tcPr>
            <w:tcW w:w="554" w:type="pct"/>
            <w:vAlign w:val="center"/>
          </w:tcPr>
          <w:p>
            <w:pPr>
              <w:spacing w:line="700" w:lineRule="exact"/>
              <w:jc w:val="center"/>
              <w:rPr>
                <w:rFonts w:ascii="Calibri" w:hAnsi="Calibri" w:eastAsia="楷体"/>
                <w:kern w:val="0"/>
                <w:szCs w:val="32"/>
              </w:rPr>
            </w:pP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62.65</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62.65</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7" w:type="pct"/>
            <w:vAlign w:val="center"/>
          </w:tcPr>
          <w:p>
            <w:pPr>
              <w:jc w:val="center"/>
              <w:rPr>
                <w:rFonts w:ascii="Calibri" w:hAnsi="Calibri" w:eastAsia="楷体"/>
                <w:kern w:val="0"/>
                <w:szCs w:val="32"/>
              </w:rPr>
            </w:pPr>
          </w:p>
        </w:tc>
        <w:tc>
          <w:tcPr>
            <w:tcW w:w="476" w:type="pct"/>
            <w:gridSpan w:val="2"/>
            <w:vAlign w:val="center"/>
          </w:tcPr>
          <w:p>
            <w:pPr>
              <w:jc w:val="center"/>
              <w:rPr>
                <w:rFonts w:ascii="宋体" w:hAnsi="宋体" w:eastAsia="宋体" w:cs="宋体"/>
                <w:color w:val="000000"/>
                <w:kern w:val="0"/>
                <w:sz w:val="20"/>
                <w:lang w:bidi="ar"/>
              </w:rPr>
            </w:pPr>
            <w:r>
              <w:rPr>
                <w:rFonts w:ascii="宋体" w:hAnsi="宋体" w:eastAsia="宋体" w:cs="宋体"/>
                <w:color w:val="000000"/>
                <w:kern w:val="0"/>
                <w:sz w:val="20"/>
                <w:lang w:bidi="ar"/>
              </w:rPr>
              <w:t>专项普查活动</w:t>
            </w:r>
          </w:p>
        </w:tc>
        <w:tc>
          <w:tcPr>
            <w:tcW w:w="554" w:type="pct"/>
            <w:vAlign w:val="center"/>
          </w:tcPr>
          <w:p>
            <w:pPr>
              <w:jc w:val="center"/>
              <w:rPr>
                <w:rFonts w:ascii="Calibri" w:hAnsi="Calibri" w:eastAsia="楷体"/>
                <w:kern w:val="0"/>
                <w:szCs w:val="32"/>
              </w:rPr>
            </w:pPr>
          </w:p>
        </w:tc>
        <w:tc>
          <w:tcPr>
            <w:tcW w:w="554" w:type="pct"/>
            <w:vAlign w:val="center"/>
          </w:tcPr>
          <w:p>
            <w:pPr>
              <w:spacing w:line="700" w:lineRule="exact"/>
              <w:jc w:val="center"/>
              <w:rPr>
                <w:rFonts w:ascii="Calibri" w:hAnsi="Calibri" w:eastAsia="楷体"/>
                <w:kern w:val="0"/>
                <w:szCs w:val="32"/>
              </w:rPr>
            </w:pP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41.58</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41.58</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7" w:type="pct"/>
            <w:vAlign w:val="center"/>
          </w:tcPr>
          <w:p>
            <w:pPr>
              <w:jc w:val="center"/>
              <w:rPr>
                <w:rFonts w:ascii="Calibri" w:hAnsi="Calibri" w:eastAsia="楷体"/>
                <w:kern w:val="0"/>
                <w:szCs w:val="32"/>
              </w:rPr>
            </w:pPr>
          </w:p>
        </w:tc>
        <w:tc>
          <w:tcPr>
            <w:tcW w:w="476" w:type="pct"/>
            <w:gridSpan w:val="2"/>
            <w:vAlign w:val="center"/>
          </w:tcPr>
          <w:p>
            <w:pPr>
              <w:jc w:val="center"/>
              <w:rPr>
                <w:rFonts w:ascii="Calibri" w:hAnsi="Calibri" w:eastAsia="楷体"/>
                <w:kern w:val="0"/>
                <w:szCs w:val="32"/>
              </w:rPr>
            </w:pPr>
          </w:p>
        </w:tc>
        <w:tc>
          <w:tcPr>
            <w:tcW w:w="554" w:type="pct"/>
            <w:vAlign w:val="center"/>
          </w:tcPr>
          <w:p>
            <w:pPr>
              <w:jc w:val="center"/>
              <w:rPr>
                <w:rFonts w:ascii="宋体" w:hAnsi="宋体" w:eastAsia="宋体" w:cs="宋体"/>
                <w:color w:val="000000"/>
                <w:kern w:val="0"/>
                <w:sz w:val="20"/>
                <w:lang w:bidi="ar"/>
              </w:rPr>
            </w:pPr>
            <w:r>
              <w:rPr>
                <w:rFonts w:ascii="宋体" w:hAnsi="宋体" w:eastAsia="宋体" w:cs="宋体"/>
                <w:color w:val="000000"/>
                <w:kern w:val="0"/>
                <w:sz w:val="20"/>
                <w:lang w:bidi="ar"/>
              </w:rPr>
              <w:t>第五次全国经济普查经费</w:t>
            </w:r>
          </w:p>
        </w:tc>
        <w:tc>
          <w:tcPr>
            <w:tcW w:w="554" w:type="pct"/>
            <w:vAlign w:val="center"/>
          </w:tcPr>
          <w:p>
            <w:pPr>
              <w:jc w:val="center"/>
              <w:rPr>
                <w:rFonts w:ascii="Calibri" w:hAnsi="Calibri" w:eastAsia="楷体"/>
                <w:kern w:val="0"/>
                <w:szCs w:val="32"/>
              </w:rPr>
            </w:pPr>
            <w:r>
              <w:rPr>
                <w:rFonts w:hint="eastAsia" w:ascii="宋体" w:hAnsi="宋体" w:eastAsia="宋体" w:cs="宋体"/>
                <w:color w:val="000000"/>
                <w:kern w:val="0"/>
                <w:sz w:val="20"/>
                <w:lang w:bidi="ar"/>
              </w:rPr>
              <w:t>通化市统计局东昌区分局</w:t>
            </w: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41.58</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41.58</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7" w:type="pct"/>
            <w:vAlign w:val="center"/>
          </w:tcPr>
          <w:p>
            <w:pPr>
              <w:spacing w:line="700" w:lineRule="exact"/>
              <w:jc w:val="center"/>
              <w:rPr>
                <w:rFonts w:ascii="Calibri" w:hAnsi="Calibri" w:eastAsia="楷体"/>
                <w:kern w:val="0"/>
                <w:szCs w:val="32"/>
              </w:rPr>
            </w:pPr>
          </w:p>
        </w:tc>
        <w:tc>
          <w:tcPr>
            <w:tcW w:w="476" w:type="pct"/>
            <w:gridSpan w:val="2"/>
            <w:vAlign w:val="center"/>
          </w:tcPr>
          <w:p>
            <w:pPr>
              <w:jc w:val="center"/>
              <w:rPr>
                <w:rFonts w:ascii="宋体" w:hAnsi="宋体" w:eastAsia="宋体" w:cs="宋体"/>
                <w:color w:val="000000"/>
                <w:kern w:val="0"/>
                <w:sz w:val="20"/>
                <w:lang w:bidi="ar"/>
              </w:rPr>
            </w:pPr>
            <w:r>
              <w:rPr>
                <w:rFonts w:ascii="宋体" w:hAnsi="宋体" w:eastAsia="宋体" w:cs="宋体"/>
                <w:color w:val="000000"/>
                <w:kern w:val="0"/>
                <w:sz w:val="20"/>
                <w:lang w:bidi="ar"/>
              </w:rPr>
              <w:t>专项统计业务</w:t>
            </w:r>
          </w:p>
        </w:tc>
        <w:tc>
          <w:tcPr>
            <w:tcW w:w="554" w:type="pct"/>
            <w:vAlign w:val="center"/>
          </w:tcPr>
          <w:p>
            <w:pPr>
              <w:jc w:val="center"/>
              <w:rPr>
                <w:rFonts w:ascii="Calibri" w:hAnsi="Calibri" w:eastAsia="楷体"/>
                <w:kern w:val="0"/>
                <w:szCs w:val="32"/>
              </w:rPr>
            </w:pPr>
          </w:p>
        </w:tc>
        <w:tc>
          <w:tcPr>
            <w:tcW w:w="554" w:type="pct"/>
            <w:vAlign w:val="center"/>
          </w:tcPr>
          <w:p>
            <w:pPr>
              <w:spacing w:line="700" w:lineRule="exact"/>
              <w:jc w:val="center"/>
              <w:rPr>
                <w:rFonts w:ascii="Calibri" w:hAnsi="Calibri" w:eastAsia="楷体"/>
                <w:kern w:val="0"/>
                <w:szCs w:val="32"/>
              </w:rPr>
            </w:pP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21.07</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21.07</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7" w:type="pct"/>
            <w:vAlign w:val="center"/>
          </w:tcPr>
          <w:p>
            <w:pPr>
              <w:spacing w:line="700" w:lineRule="exact"/>
              <w:jc w:val="center"/>
              <w:rPr>
                <w:rFonts w:ascii="Calibri" w:hAnsi="Calibri" w:eastAsia="楷体"/>
                <w:kern w:val="0"/>
                <w:szCs w:val="32"/>
              </w:rPr>
            </w:pPr>
          </w:p>
        </w:tc>
        <w:tc>
          <w:tcPr>
            <w:tcW w:w="476" w:type="pct"/>
            <w:gridSpan w:val="2"/>
            <w:vAlign w:val="center"/>
          </w:tcPr>
          <w:p>
            <w:pPr>
              <w:jc w:val="center"/>
              <w:rPr>
                <w:rFonts w:ascii="宋体" w:hAnsi="宋体" w:eastAsia="宋体" w:cs="宋体"/>
                <w:color w:val="000000"/>
                <w:kern w:val="0"/>
                <w:sz w:val="20"/>
                <w:lang w:bidi="ar"/>
              </w:rPr>
            </w:pPr>
          </w:p>
        </w:tc>
        <w:tc>
          <w:tcPr>
            <w:tcW w:w="554" w:type="pct"/>
            <w:vAlign w:val="center"/>
          </w:tcPr>
          <w:p>
            <w:pPr>
              <w:jc w:val="center"/>
              <w:rPr>
                <w:rFonts w:ascii="宋体" w:hAnsi="宋体" w:eastAsia="宋体" w:cs="宋体"/>
                <w:color w:val="000000"/>
                <w:kern w:val="0"/>
                <w:sz w:val="20"/>
                <w:lang w:bidi="ar"/>
              </w:rPr>
            </w:pPr>
            <w:r>
              <w:rPr>
                <w:rFonts w:ascii="宋体" w:hAnsi="宋体" w:eastAsia="宋体" w:cs="宋体"/>
                <w:color w:val="000000"/>
                <w:kern w:val="0"/>
                <w:sz w:val="20"/>
                <w:lang w:bidi="ar"/>
              </w:rPr>
              <w:t>统计调查经费</w:t>
            </w:r>
          </w:p>
        </w:tc>
        <w:tc>
          <w:tcPr>
            <w:tcW w:w="554" w:type="pct"/>
            <w:vAlign w:val="center"/>
          </w:tcPr>
          <w:p>
            <w:pPr>
              <w:jc w:val="center"/>
              <w:rPr>
                <w:rFonts w:ascii="Calibri" w:hAnsi="Calibri" w:eastAsia="楷体"/>
                <w:kern w:val="0"/>
                <w:szCs w:val="32"/>
              </w:rPr>
            </w:pPr>
            <w:r>
              <w:rPr>
                <w:rFonts w:hint="eastAsia" w:ascii="宋体" w:hAnsi="宋体" w:eastAsia="宋体" w:cs="宋体"/>
                <w:color w:val="000000"/>
                <w:kern w:val="0"/>
                <w:sz w:val="20"/>
                <w:lang w:bidi="ar"/>
              </w:rPr>
              <w:t>通化市统计局东昌区分局</w:t>
            </w: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21.07</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21.07</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7" w:type="pct"/>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476" w:type="pct"/>
            <w:gridSpan w:val="2"/>
            <w:vAlign w:val="center"/>
          </w:tcPr>
          <w:p>
            <w:pPr>
              <w:autoSpaceDN w:val="0"/>
              <w:jc w:val="center"/>
              <w:textAlignment w:val="center"/>
              <w:rPr>
                <w:rFonts w:ascii="Calibri" w:hAnsi="Calibri" w:eastAsia="华文细黑"/>
                <w:color w:val="000000"/>
                <w:sz w:val="20"/>
                <w:szCs w:val="22"/>
              </w:rPr>
            </w:pPr>
          </w:p>
        </w:tc>
        <w:tc>
          <w:tcPr>
            <w:tcW w:w="554" w:type="pct"/>
            <w:vAlign w:val="center"/>
          </w:tcPr>
          <w:p>
            <w:pPr>
              <w:spacing w:line="700" w:lineRule="exact"/>
              <w:jc w:val="center"/>
              <w:rPr>
                <w:rFonts w:ascii="Calibri" w:hAnsi="Calibri" w:eastAsia="楷体"/>
                <w:kern w:val="0"/>
                <w:szCs w:val="32"/>
              </w:rPr>
            </w:pPr>
          </w:p>
        </w:tc>
        <w:tc>
          <w:tcPr>
            <w:tcW w:w="554" w:type="pct"/>
            <w:vAlign w:val="center"/>
          </w:tcPr>
          <w:p>
            <w:pPr>
              <w:spacing w:line="700" w:lineRule="exact"/>
              <w:jc w:val="center"/>
              <w:rPr>
                <w:rFonts w:ascii="Calibri" w:hAnsi="Calibri" w:eastAsia="楷体"/>
                <w:kern w:val="0"/>
                <w:szCs w:val="32"/>
              </w:rPr>
            </w:pPr>
          </w:p>
        </w:tc>
        <w:tc>
          <w:tcPr>
            <w:tcW w:w="397" w:type="pct"/>
            <w:vAlign w:val="center"/>
          </w:tcPr>
          <w:p>
            <w:pPr>
              <w:spacing w:line="700" w:lineRule="exact"/>
              <w:jc w:val="center"/>
              <w:rPr>
                <w:rFonts w:eastAsia="宋体"/>
                <w:color w:val="000000"/>
                <w:kern w:val="0"/>
                <w:sz w:val="20"/>
              </w:rPr>
            </w:pPr>
            <w:r>
              <w:rPr>
                <w:rFonts w:hint="eastAsia" w:eastAsia="宋体"/>
                <w:color w:val="000000"/>
                <w:kern w:val="0"/>
                <w:sz w:val="20"/>
              </w:rPr>
              <w:t>62.65</w:t>
            </w:r>
          </w:p>
        </w:tc>
        <w:tc>
          <w:tcPr>
            <w:tcW w:w="396" w:type="pct"/>
            <w:vAlign w:val="center"/>
          </w:tcPr>
          <w:p>
            <w:pPr>
              <w:spacing w:line="700" w:lineRule="exact"/>
              <w:jc w:val="center"/>
              <w:rPr>
                <w:rFonts w:eastAsia="宋体"/>
                <w:color w:val="000000"/>
                <w:kern w:val="0"/>
                <w:sz w:val="20"/>
              </w:rPr>
            </w:pPr>
            <w:r>
              <w:rPr>
                <w:rFonts w:hint="eastAsia" w:eastAsia="宋体"/>
                <w:color w:val="000000"/>
                <w:kern w:val="0"/>
                <w:sz w:val="20"/>
              </w:rPr>
              <w:t>62.65</w:t>
            </w: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8" w:type="pct"/>
            <w:vAlign w:val="center"/>
          </w:tcPr>
          <w:p>
            <w:pPr>
              <w:spacing w:line="700" w:lineRule="exact"/>
              <w:jc w:val="center"/>
              <w:rPr>
                <w:rFonts w:ascii="Calibri" w:hAnsi="Calibri" w:eastAsia="楷体"/>
                <w:kern w:val="0"/>
                <w:szCs w:val="32"/>
              </w:rPr>
            </w:pPr>
          </w:p>
        </w:tc>
        <w:tc>
          <w:tcPr>
            <w:tcW w:w="237" w:type="pct"/>
            <w:vAlign w:val="center"/>
          </w:tcPr>
          <w:p>
            <w:pPr>
              <w:spacing w:line="700" w:lineRule="exact"/>
              <w:jc w:val="center"/>
              <w:rPr>
                <w:rFonts w:ascii="Calibri" w:hAnsi="Calibri" w:eastAsia="楷体"/>
                <w:kern w:val="0"/>
                <w:szCs w:val="32"/>
              </w:rPr>
            </w:pPr>
          </w:p>
        </w:tc>
        <w:tc>
          <w:tcPr>
            <w:tcW w:w="239" w:type="pct"/>
            <w:vAlign w:val="center"/>
          </w:tcPr>
          <w:p>
            <w:pPr>
              <w:spacing w:line="700" w:lineRule="exact"/>
              <w:jc w:val="center"/>
              <w:rPr>
                <w:rFonts w:ascii="Calibri" w:hAnsi="Calibri" w:eastAsia="楷体"/>
                <w:kern w:val="0"/>
                <w:szCs w:val="32"/>
              </w:rPr>
            </w:pPr>
          </w:p>
        </w:tc>
        <w:tc>
          <w:tcPr>
            <w:tcW w:w="263" w:type="pct"/>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pPr>
              <w:jc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pPr>
              <w:jc w:val="center"/>
              <w:rPr>
                <w:rFonts w:ascii="华文细黑" w:hAnsi="华文细黑" w:eastAsia="华文细黑" w:cs="华文细黑"/>
                <w:kern w:val="0"/>
                <w:sz w:val="20"/>
                <w:szCs w:val="20"/>
              </w:rPr>
            </w:pPr>
          </w:p>
        </w:tc>
        <w:tc>
          <w:tcPr>
            <w:tcW w:w="1284" w:type="dxa"/>
            <w:vMerge w:val="continue"/>
            <w:tcBorders>
              <w:top w:val="single" w:color="auto" w:sz="4" w:space="0"/>
            </w:tcBorders>
            <w:vAlign w:val="center"/>
          </w:tcPr>
          <w:p>
            <w:pPr>
              <w:jc w:val="center"/>
              <w:rPr>
                <w:rFonts w:ascii="华文细黑" w:hAnsi="华文细黑" w:eastAsia="华文细黑" w:cs="华文细黑"/>
                <w:kern w:val="0"/>
                <w:sz w:val="20"/>
                <w:szCs w:val="20"/>
              </w:rPr>
            </w:pPr>
          </w:p>
        </w:tc>
        <w:tc>
          <w:tcPr>
            <w:tcW w:w="667" w:type="dxa"/>
            <w:tcBorders>
              <w:top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pPr>
              <w:jc w:val="center"/>
              <w:rPr>
                <w:rFonts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pPr>
              <w:jc w:val="center"/>
              <w:rPr>
                <w:rFonts w:ascii="华文细黑" w:hAnsi="华文细黑" w:eastAsia="华文细黑" w:cs="华文细黑"/>
                <w:kern w:val="0"/>
                <w:sz w:val="20"/>
                <w:szCs w:val="20"/>
              </w:rPr>
            </w:pPr>
          </w:p>
        </w:tc>
        <w:tc>
          <w:tcPr>
            <w:tcW w:w="1036" w:type="dxa"/>
            <w:vMerge w:val="continue"/>
            <w:tcBorders>
              <w:top w:val="single" w:color="auto" w:sz="4" w:space="0"/>
            </w:tcBorders>
            <w:vAlign w:val="center"/>
          </w:tcPr>
          <w:p>
            <w:pPr>
              <w:jc w:val="center"/>
              <w:rPr>
                <w:rFonts w:ascii="华文细黑" w:hAnsi="华文细黑" w:eastAsia="华文细黑" w:cs="华文细黑"/>
                <w:kern w:val="0"/>
                <w:sz w:val="20"/>
                <w:szCs w:val="20"/>
              </w:rPr>
            </w:pPr>
          </w:p>
        </w:tc>
        <w:tc>
          <w:tcPr>
            <w:tcW w:w="803" w:type="dxa"/>
            <w:vMerge w:val="continue"/>
            <w:tcBorders>
              <w:top w:val="single" w:color="auto" w:sz="4" w:space="0"/>
            </w:tcBorders>
            <w:vAlign w:val="center"/>
          </w:tcPr>
          <w:p>
            <w:pPr>
              <w:jc w:val="cente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pPr>
              <w:rPr>
                <w:rFonts w:ascii="华文细黑" w:hAnsi="华文细黑" w:eastAsia="华文细黑" w:cs="华文细黑"/>
                <w:kern w:val="0"/>
                <w:sz w:val="20"/>
                <w:szCs w:val="20"/>
              </w:rPr>
            </w:pPr>
          </w:p>
        </w:tc>
        <w:tc>
          <w:tcPr>
            <w:tcW w:w="667" w:type="dxa"/>
            <w:vAlign w:val="center"/>
          </w:tcPr>
          <w:p>
            <w:pPr>
              <w:rPr>
                <w:rFonts w:ascii="华文细黑" w:hAnsi="华文细黑" w:eastAsia="华文细黑" w:cs="华文细黑"/>
                <w:kern w:val="0"/>
                <w:sz w:val="20"/>
                <w:szCs w:val="20"/>
              </w:rPr>
            </w:pPr>
          </w:p>
        </w:tc>
        <w:tc>
          <w:tcPr>
            <w:tcW w:w="666" w:type="dxa"/>
            <w:vAlign w:val="center"/>
          </w:tcPr>
          <w:p>
            <w:pPr>
              <w:rPr>
                <w:rFonts w:ascii="华文细黑" w:hAnsi="华文细黑" w:eastAsia="华文细黑" w:cs="华文细黑"/>
                <w:kern w:val="0"/>
                <w:sz w:val="20"/>
                <w:szCs w:val="20"/>
              </w:rPr>
            </w:pPr>
          </w:p>
        </w:tc>
        <w:tc>
          <w:tcPr>
            <w:tcW w:w="717" w:type="dxa"/>
            <w:vAlign w:val="center"/>
          </w:tcPr>
          <w:p>
            <w:pPr>
              <w:rPr>
                <w:rFonts w:ascii="华文细黑" w:hAnsi="华文细黑" w:eastAsia="华文细黑" w:cs="华文细黑"/>
                <w:kern w:val="0"/>
                <w:sz w:val="20"/>
                <w:szCs w:val="20"/>
              </w:rPr>
            </w:pPr>
          </w:p>
        </w:tc>
        <w:tc>
          <w:tcPr>
            <w:tcW w:w="728" w:type="dxa"/>
            <w:vAlign w:val="center"/>
          </w:tcPr>
          <w:p>
            <w:pPr>
              <w:rPr>
                <w:rFonts w:ascii="华文细黑" w:hAnsi="华文细黑" w:eastAsia="华文细黑" w:cs="华文细黑"/>
                <w:kern w:val="0"/>
                <w:sz w:val="20"/>
                <w:szCs w:val="20"/>
              </w:rPr>
            </w:pPr>
          </w:p>
        </w:tc>
        <w:tc>
          <w:tcPr>
            <w:tcW w:w="1063" w:type="dxa"/>
            <w:vAlign w:val="center"/>
          </w:tcPr>
          <w:p>
            <w:pPr>
              <w:rPr>
                <w:rFonts w:ascii="华文细黑" w:hAnsi="华文细黑" w:eastAsia="华文细黑" w:cs="华文细黑"/>
                <w:kern w:val="0"/>
                <w:sz w:val="20"/>
                <w:szCs w:val="20"/>
              </w:rPr>
            </w:pPr>
          </w:p>
        </w:tc>
        <w:tc>
          <w:tcPr>
            <w:tcW w:w="1036" w:type="dxa"/>
            <w:vAlign w:val="center"/>
          </w:tcPr>
          <w:p>
            <w:pPr>
              <w:rPr>
                <w:rFonts w:ascii="华文细黑" w:hAnsi="华文细黑" w:eastAsia="华文细黑" w:cs="华文细黑"/>
                <w:kern w:val="0"/>
                <w:sz w:val="20"/>
                <w:szCs w:val="20"/>
              </w:rPr>
            </w:pPr>
          </w:p>
        </w:tc>
        <w:tc>
          <w:tcPr>
            <w:tcW w:w="803" w:type="dxa"/>
            <w:vAlign w:val="center"/>
          </w:tcPr>
          <w:p>
            <w:pPr>
              <w:rPr>
                <w:rFonts w:ascii="华文细黑" w:hAnsi="华文细黑" w:eastAsia="华文细黑" w:cs="华文细黑"/>
                <w:kern w:val="0"/>
                <w:sz w:val="20"/>
                <w:szCs w:val="20"/>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83"/>
        <w:gridCol w:w="142"/>
        <w:gridCol w:w="567"/>
        <w:gridCol w:w="284"/>
        <w:gridCol w:w="567"/>
        <w:gridCol w:w="283"/>
        <w:gridCol w:w="567"/>
        <w:gridCol w:w="284"/>
        <w:gridCol w:w="425"/>
        <w:gridCol w:w="992"/>
        <w:gridCol w:w="709"/>
        <w:gridCol w:w="567"/>
        <w:gridCol w:w="283"/>
        <w:gridCol w:w="1134"/>
        <w:gridCol w:w="993"/>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7"/>
            <w:tcBorders>
              <w:top w:val="nil"/>
              <w:left w:val="nil"/>
              <w:bottom w:val="single" w:color="000000" w:sz="4" w:space="0"/>
              <w:right w:val="nil"/>
            </w:tcBorders>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92" w:type="dxa"/>
            <w:tcBorders>
              <w:top w:val="single" w:color="000000" w:sz="4" w:space="0"/>
              <w:left w:val="single" w:color="000000" w:sz="4" w:space="0"/>
              <w:bottom w:val="single" w:color="000000" w:sz="4" w:space="0"/>
              <w:right w:val="single" w:color="000000" w:sz="4" w:space="0"/>
            </w:tcBorders>
            <w:vAlign w:val="center"/>
          </w:tcPr>
          <w:p>
            <w:pPr>
              <w:rPr>
                <w:rFonts w:ascii="华文细黑" w:hAnsi="华文细黑" w:eastAsia="华文细黑" w:cs="华文细黑"/>
                <w:kern w:val="0"/>
                <w:sz w:val="20"/>
                <w:szCs w:val="20"/>
              </w:rPr>
            </w:pPr>
            <w:r>
              <w:rPr>
                <w:rFonts w:ascii="华文细黑" w:hAnsi="华文细黑" w:eastAsia="华文细黑" w:cs="华文细黑"/>
                <w:kern w:val="0"/>
                <w:sz w:val="20"/>
                <w:szCs w:val="20"/>
              </w:rPr>
              <w:t>单位名称</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年度资金总额 （万元）</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年度绩效目标</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92" w:type="dxa"/>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通化市统计局东昌区分局</w:t>
            </w:r>
          </w:p>
        </w:tc>
        <w:tc>
          <w:tcPr>
            <w:tcW w:w="425"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统计调查经费</w:t>
            </w:r>
          </w:p>
        </w:tc>
        <w:tc>
          <w:tcPr>
            <w:tcW w:w="851" w:type="dxa"/>
            <w:gridSpan w:val="2"/>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21.07</w:t>
            </w:r>
          </w:p>
        </w:tc>
        <w:tc>
          <w:tcPr>
            <w:tcW w:w="850"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按照上级统计部门工作要求，组织实施年度统计调查任务，全面、及时、准确地上报各专业统计报表，及时发布统计公报，为社会公众需要和政府决策提供翔实统计数据。</w:t>
            </w:r>
          </w:p>
        </w:tc>
        <w:tc>
          <w:tcPr>
            <w:tcW w:w="851" w:type="dxa"/>
            <w:gridSpan w:val="2"/>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成本指标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经济成本指标</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培训人均成本</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反映培训成本控制情况</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default" w:ascii="Arial" w:hAnsi="Arial" w:eastAsia="华文细黑" w:cs="Arial"/>
                <w:kern w:val="0"/>
                <w:sz w:val="20"/>
                <w:szCs w:val="20"/>
              </w:rPr>
              <w:t>≤</w:t>
            </w:r>
            <w:r>
              <w:rPr>
                <w:rFonts w:hint="eastAsia" w:ascii="Times New Roman" w:hAnsi="Times New Roman" w:eastAsia="宋体"/>
                <w:color w:val="000000"/>
                <w:kern w:val="0"/>
                <w:sz w:val="20"/>
                <w:szCs w:val="20"/>
              </w:rPr>
              <w:t>300</w:t>
            </w:r>
            <w:r>
              <w:rPr>
                <w:rFonts w:hint="eastAsia" w:ascii="华文细黑" w:hAnsi="华文细黑" w:eastAsia="华文细黑" w:cs="华文细黑"/>
                <w:kern w:val="0"/>
                <w:sz w:val="20"/>
                <w:szCs w:val="20"/>
              </w:rPr>
              <w:t>元/人/天</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restart"/>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417" w:type="dxa"/>
            <w:gridSpan w:val="2"/>
            <w:vMerge w:val="restart"/>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统计培训人次</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反映培训各级统计机构及辅助调查人员数情况</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160</w:t>
            </w:r>
            <w:r>
              <w:rPr>
                <w:rFonts w:hint="eastAsia" w:ascii="华文细黑" w:hAnsi="华文细黑" w:eastAsia="华文细黑" w:cs="华文细黑"/>
                <w:kern w:val="0"/>
                <w:sz w:val="20"/>
                <w:szCs w:val="20"/>
              </w:rPr>
              <w:t>人</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vAlign w:val="center"/>
          </w:tcPr>
          <w:p>
            <w:pPr>
              <w:jc w:val="center"/>
              <w:rPr>
                <w:rFonts w:ascii="华文细黑" w:hAnsi="华文细黑" w:eastAsia="华文细黑" w:cs="华文细黑"/>
                <w:kern w:val="0"/>
                <w:sz w:val="20"/>
                <w:szCs w:val="20"/>
              </w:rPr>
            </w:pPr>
          </w:p>
        </w:tc>
        <w:tc>
          <w:tcPr>
            <w:tcW w:w="1417" w:type="dxa"/>
            <w:gridSpan w:val="2"/>
            <w:vMerge w:val="continue"/>
            <w:vAlign w:val="center"/>
          </w:tcPr>
          <w:p>
            <w:pPr>
              <w:jc w:val="center"/>
              <w:rPr>
                <w:rFonts w:ascii="华文细黑" w:hAnsi="华文细黑" w:eastAsia="华文细黑" w:cs="华文细黑"/>
                <w:kern w:val="0"/>
                <w:sz w:val="20"/>
                <w:szCs w:val="20"/>
              </w:rPr>
            </w:pP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编印统计公报</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编制并印发上一年度统计公报，为区委、区政府决策提供依据</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90</w:t>
            </w:r>
            <w:r>
              <w:rPr>
                <w:rFonts w:hint="eastAsia" w:ascii="华文细黑" w:hAnsi="华文细黑" w:eastAsia="华文细黑" w:cs="华文细黑"/>
                <w:kern w:val="0"/>
                <w:sz w:val="20"/>
                <w:szCs w:val="20"/>
              </w:rPr>
              <w:t>本</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vAlign w:val="center"/>
          </w:tcPr>
          <w:p>
            <w:pPr>
              <w:jc w:val="center"/>
              <w:rPr>
                <w:rFonts w:ascii="华文细黑" w:hAnsi="华文细黑" w:eastAsia="华文细黑" w:cs="华文细黑"/>
                <w:kern w:val="0"/>
                <w:sz w:val="20"/>
                <w:szCs w:val="20"/>
              </w:rPr>
            </w:pPr>
          </w:p>
        </w:tc>
        <w:tc>
          <w:tcPr>
            <w:tcW w:w="1417" w:type="dxa"/>
            <w:gridSpan w:val="2"/>
            <w:vMerge w:val="continue"/>
            <w:vAlign w:val="center"/>
          </w:tcPr>
          <w:p>
            <w:pPr>
              <w:jc w:val="center"/>
              <w:rPr>
                <w:rFonts w:ascii="华文细黑" w:hAnsi="华文细黑" w:eastAsia="华文细黑" w:cs="华文细黑"/>
                <w:kern w:val="0"/>
                <w:sz w:val="20"/>
                <w:szCs w:val="20"/>
              </w:rPr>
            </w:pP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统计分析报告篇数</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反映统计分析报告篇数情况</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2</w:t>
            </w:r>
            <w:r>
              <w:rPr>
                <w:rFonts w:hint="eastAsia" w:ascii="华文细黑" w:hAnsi="华文细黑" w:eastAsia="华文细黑" w:cs="华文细黑"/>
                <w:kern w:val="0"/>
                <w:sz w:val="20"/>
                <w:szCs w:val="20"/>
              </w:rPr>
              <w:t>篇</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2"/>
              </w:rPr>
            </w:pPr>
          </w:p>
        </w:tc>
        <w:tc>
          <w:tcPr>
            <w:tcW w:w="851" w:type="dxa"/>
            <w:gridSpan w:val="2"/>
            <w:vMerge w:val="continue"/>
            <w:vAlign w:val="center"/>
          </w:tcPr>
          <w:p>
            <w:pPr>
              <w:jc w:val="center"/>
              <w:rPr>
                <w:rFonts w:ascii="华文细黑" w:hAnsi="华文细黑" w:eastAsia="华文细黑" w:cs="华文细黑"/>
                <w:kern w:val="0"/>
                <w:sz w:val="20"/>
                <w:szCs w:val="20"/>
              </w:rPr>
            </w:pPr>
          </w:p>
        </w:tc>
        <w:tc>
          <w:tcPr>
            <w:tcW w:w="1417" w:type="dxa"/>
            <w:gridSpan w:val="2"/>
            <w:vMerge w:val="continue"/>
            <w:vAlign w:val="center"/>
          </w:tcPr>
          <w:p>
            <w:pPr>
              <w:jc w:val="center"/>
              <w:rPr>
                <w:rFonts w:ascii="华文细黑" w:hAnsi="华文细黑" w:eastAsia="华文细黑" w:cs="华文细黑"/>
                <w:kern w:val="0"/>
                <w:sz w:val="20"/>
                <w:szCs w:val="20"/>
              </w:rPr>
            </w:pP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开展统计普法宣传</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在全区范围内开展统计普法宣传</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2</w:t>
            </w:r>
            <w:r>
              <w:rPr>
                <w:rFonts w:hint="eastAsia" w:ascii="华文细黑" w:hAnsi="华文细黑" w:eastAsia="华文细黑" w:cs="华文细黑"/>
                <w:kern w:val="0"/>
                <w:sz w:val="20"/>
                <w:szCs w:val="20"/>
              </w:rPr>
              <w:t>次</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vAlign w:val="center"/>
          </w:tcPr>
          <w:p>
            <w:pPr>
              <w:jc w:val="center"/>
              <w:rPr>
                <w:rFonts w:ascii="华文细黑" w:hAnsi="华文细黑" w:eastAsia="华文细黑" w:cs="华文细黑"/>
                <w:kern w:val="0"/>
                <w:sz w:val="20"/>
                <w:szCs w:val="20"/>
              </w:rPr>
            </w:pPr>
          </w:p>
        </w:tc>
        <w:tc>
          <w:tcPr>
            <w:tcW w:w="1417"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培训合格率</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反映培训人员考核合格情况</w:t>
            </w:r>
          </w:p>
        </w:tc>
        <w:tc>
          <w:tcPr>
            <w:tcW w:w="993"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r>
              <w:rPr>
                <w:rFonts w:hint="eastAsia" w:ascii="Times New Roman" w:hAnsi="Times New Roman" w:eastAsia="宋体"/>
                <w:color w:val="000000"/>
                <w:kern w:val="0"/>
                <w:sz w:val="20"/>
                <w:szCs w:val="20"/>
              </w:rPr>
              <w:t>100</w:t>
            </w:r>
            <w:r>
              <w:rPr>
                <w:rFonts w:hint="eastAsia" w:ascii="华文细黑" w:hAnsi="华文细黑" w:eastAsia="华文细黑" w:cs="华文细黑"/>
                <w:kern w:val="0"/>
                <w:sz w:val="20"/>
                <w:szCs w:val="20"/>
              </w:rPr>
              <w:t>%</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vAlign w:val="center"/>
          </w:tcPr>
          <w:p>
            <w:pPr>
              <w:jc w:val="center"/>
              <w:rPr>
                <w:rFonts w:ascii="华文细黑" w:hAnsi="华文细黑" w:eastAsia="华文细黑" w:cs="华文细黑"/>
                <w:kern w:val="0"/>
                <w:sz w:val="20"/>
                <w:szCs w:val="20"/>
              </w:rPr>
            </w:pPr>
          </w:p>
        </w:tc>
        <w:tc>
          <w:tcPr>
            <w:tcW w:w="1417"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完成“双随机”统计执法检查</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反映统计执法检查及时情况</w:t>
            </w:r>
          </w:p>
        </w:tc>
        <w:tc>
          <w:tcPr>
            <w:tcW w:w="993" w:type="dxa"/>
            <w:vAlign w:val="center"/>
          </w:tcPr>
          <w:p>
            <w:pPr>
              <w:jc w:val="center"/>
              <w:rPr>
                <w:rFonts w:ascii="华文细黑" w:hAnsi="华文细黑" w:eastAsia="华文细黑" w:cs="华文细黑"/>
                <w:kern w:val="0"/>
                <w:sz w:val="20"/>
                <w:szCs w:val="20"/>
              </w:rPr>
            </w:pPr>
            <w:r>
              <w:rPr>
                <w:rFonts w:hint="eastAsia" w:ascii="Times New Roman" w:hAnsi="Times New Roman" w:eastAsia="宋体"/>
                <w:color w:val="000000"/>
                <w:kern w:val="0"/>
                <w:sz w:val="20"/>
                <w:szCs w:val="20"/>
              </w:rPr>
              <w:t>11</w:t>
            </w:r>
            <w:r>
              <w:rPr>
                <w:rFonts w:hint="eastAsia" w:ascii="华文细黑" w:hAnsi="华文细黑" w:eastAsia="华文细黑" w:cs="华文细黑"/>
                <w:kern w:val="0"/>
                <w:sz w:val="20"/>
                <w:szCs w:val="20"/>
              </w:rPr>
              <w:t>月底前</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92" w:type="dxa"/>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42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417"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1276"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向社会公众提供统计公报</w:t>
            </w:r>
          </w:p>
        </w:tc>
        <w:tc>
          <w:tcPr>
            <w:tcW w:w="1417" w:type="dxa"/>
            <w:gridSpan w:val="2"/>
            <w:vAlign w:val="center"/>
          </w:tcPr>
          <w:p>
            <w:pPr>
              <w:jc w:val="left"/>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向社会公众提供统计公报篇数</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1</w:t>
            </w:r>
            <w:r>
              <w:rPr>
                <w:rFonts w:hint="eastAsia" w:ascii="华文细黑" w:hAnsi="华文细黑" w:eastAsia="华文细黑" w:cs="华文细黑"/>
                <w:kern w:val="0"/>
                <w:sz w:val="20"/>
                <w:szCs w:val="20"/>
              </w:rPr>
              <w:t>篇</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7"/>
            <w:tcBorders>
              <w:top w:val="nil"/>
              <w:left w:val="nil"/>
              <w:bottom w:val="single" w:color="000000" w:sz="4" w:space="0"/>
              <w:right w:val="nil"/>
            </w:tcBorders>
          </w:tcPr>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p>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位名称</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年度资金总额   （万元）</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年度绩效目标</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675"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通化市统计局东昌区分局</w:t>
            </w:r>
          </w:p>
        </w:tc>
        <w:tc>
          <w:tcPr>
            <w:tcW w:w="709"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ascii="华文细黑" w:hAnsi="华文细黑" w:eastAsia="华文细黑" w:cs="华文细黑"/>
                <w:kern w:val="0"/>
                <w:sz w:val="20"/>
                <w:szCs w:val="20"/>
              </w:rPr>
              <w:t>第五次全国经济普查经费</w:t>
            </w:r>
          </w:p>
        </w:tc>
        <w:tc>
          <w:tcPr>
            <w:tcW w:w="851" w:type="dxa"/>
            <w:gridSpan w:val="2"/>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41.58</w:t>
            </w:r>
          </w:p>
        </w:tc>
        <w:tc>
          <w:tcPr>
            <w:tcW w:w="850"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有计划落实开展第五次全国经济普查登记工作，及时发布经济普查数据和信息。</w:t>
            </w:r>
          </w:p>
        </w:tc>
        <w:tc>
          <w:tcPr>
            <w:tcW w:w="709" w:type="dxa"/>
            <w:gridSpan w:val="2"/>
            <w:vMerge w:val="restart"/>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701" w:type="dxa"/>
            <w:gridSpan w:val="2"/>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850" w:type="dxa"/>
            <w:gridSpan w:val="2"/>
            <w:tcBorders>
              <w:top w:val="single" w:color="000000" w:sz="4" w:space="0"/>
              <w:left w:val="single" w:color="000000" w:sz="4" w:space="0"/>
              <w:right w:val="single" w:color="000000" w:sz="4" w:space="0"/>
            </w:tcBorders>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聘用普查人员数</w:t>
            </w:r>
          </w:p>
        </w:tc>
        <w:tc>
          <w:tcPr>
            <w:tcW w:w="1134" w:type="dxa"/>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反映普查员人员数量</w:t>
            </w:r>
          </w:p>
        </w:tc>
        <w:tc>
          <w:tcPr>
            <w:tcW w:w="993" w:type="dxa"/>
            <w:tcBorders>
              <w:top w:val="single" w:color="000000" w:sz="4" w:space="0"/>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r>
              <w:rPr>
                <w:rFonts w:hint="default" w:ascii="Arial" w:hAnsi="Arial" w:eastAsia="宋体" w:cs="Arial"/>
                <w:kern w:val="0"/>
                <w:sz w:val="20"/>
                <w:szCs w:val="20"/>
                <w:vertAlign w:val="baseline"/>
                <w:lang w:val="en-US" w:eastAsia="zh-CN"/>
              </w:rPr>
              <w:t>≥</w:t>
            </w:r>
            <w:r>
              <w:rPr>
                <w:rFonts w:hint="eastAsia" w:ascii="Times New Roman" w:hAnsi="Times New Roman" w:eastAsia="宋体"/>
                <w:color w:val="000000"/>
                <w:kern w:val="0"/>
                <w:sz w:val="20"/>
                <w:szCs w:val="20"/>
              </w:rPr>
              <w:t>150</w:t>
            </w:r>
            <w:r>
              <w:rPr>
                <w:rFonts w:hint="eastAsia" w:ascii="华文细黑" w:hAnsi="华文细黑" w:eastAsia="华文细黑" w:cs="华文细黑"/>
                <w:kern w:val="0"/>
                <w:sz w:val="20"/>
                <w:szCs w:val="20"/>
              </w:rPr>
              <w:t>人</w:t>
            </w:r>
          </w:p>
        </w:tc>
        <w:tc>
          <w:tcPr>
            <w:tcW w:w="469" w:type="dxa"/>
            <w:tcBorders>
              <w:top w:val="single" w:color="000000" w:sz="4" w:space="0"/>
              <w:left w:val="single" w:color="000000" w:sz="4" w:space="0"/>
              <w:right w:val="single" w:color="000000" w:sz="4" w:space="0"/>
            </w:tcBorders>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1701" w:type="dxa"/>
            <w:gridSpan w:val="2"/>
            <w:vMerge w:val="restart"/>
            <w:tcBorders>
              <w:left w:val="single" w:color="000000" w:sz="4" w:space="0"/>
            </w:tcBorders>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850"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普查完成及时率</w:t>
            </w:r>
          </w:p>
        </w:tc>
        <w:tc>
          <w:tcPr>
            <w:tcW w:w="1134"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反映普查完成及时的情况</w:t>
            </w:r>
          </w:p>
        </w:tc>
        <w:tc>
          <w:tcPr>
            <w:tcW w:w="993"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r>
              <w:rPr>
                <w:rFonts w:hint="eastAsia" w:ascii="Times New Roman" w:hAnsi="Times New Roman" w:eastAsia="宋体"/>
                <w:color w:val="000000"/>
                <w:kern w:val="0"/>
                <w:sz w:val="20"/>
                <w:szCs w:val="20"/>
              </w:rPr>
              <w:t>100</w:t>
            </w:r>
            <w:r>
              <w:rPr>
                <w:rFonts w:hint="eastAsia" w:ascii="华文细黑" w:hAnsi="华文细黑" w:eastAsia="华文细黑" w:cs="华文细黑"/>
                <w:kern w:val="0"/>
                <w:sz w:val="20"/>
                <w:szCs w:val="20"/>
              </w:rPr>
              <w:t>%</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7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1701" w:type="dxa"/>
            <w:gridSpan w:val="2"/>
            <w:vMerge w:val="continue"/>
            <w:tcBorders>
              <w:lef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普查员、普查指导员补助发放及时率</w:t>
            </w:r>
          </w:p>
        </w:tc>
        <w:tc>
          <w:tcPr>
            <w:tcW w:w="1134"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普查员、普查指导员补助发放及时情况</w:t>
            </w:r>
          </w:p>
        </w:tc>
        <w:tc>
          <w:tcPr>
            <w:tcW w:w="993" w:type="dxa"/>
            <w:vAlign w:val="center"/>
          </w:tcPr>
          <w:p>
            <w:pPr>
              <w:jc w:val="center"/>
              <w:rPr>
                <w:rFonts w:ascii="华文细黑" w:hAnsi="华文细黑" w:eastAsia="华文细黑" w:cs="华文细黑"/>
                <w:kern w:val="0"/>
                <w:sz w:val="20"/>
                <w:szCs w:val="20"/>
              </w:rPr>
            </w:pPr>
            <w:r>
              <w:rPr>
                <w:rFonts w:hint="default" w:ascii="Arial" w:hAnsi="Arial" w:eastAsia="华文细黑" w:cs="Arial"/>
                <w:kern w:val="0"/>
                <w:sz w:val="20"/>
                <w:szCs w:val="20"/>
              </w:rPr>
              <w:t>≤</w:t>
            </w:r>
            <w:r>
              <w:rPr>
                <w:rFonts w:hint="eastAsia" w:ascii="Times New Roman" w:hAnsi="Times New Roman" w:eastAsia="宋体"/>
                <w:color w:val="000000"/>
                <w:kern w:val="0"/>
                <w:sz w:val="20"/>
                <w:szCs w:val="20"/>
              </w:rPr>
              <w:t>9</w:t>
            </w:r>
            <w:r>
              <w:rPr>
                <w:rFonts w:hint="eastAsia" w:ascii="华文细黑" w:hAnsi="华文细黑" w:eastAsia="华文细黑" w:cs="华文细黑"/>
                <w:kern w:val="0"/>
                <w:sz w:val="20"/>
                <w:szCs w:val="20"/>
              </w:rPr>
              <w:t>月</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1"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850" w:type="dxa"/>
            <w:gridSpan w:val="2"/>
            <w:vMerge w:val="continue"/>
            <w:tcBorders>
              <w:left w:val="single" w:color="000000" w:sz="4" w:space="0"/>
              <w:right w:val="single" w:color="000000" w:sz="4" w:space="0"/>
            </w:tcBorders>
            <w:vAlign w:val="center"/>
          </w:tcPr>
          <w:p>
            <w:pPr>
              <w:jc w:val="center"/>
              <w:rPr>
                <w:rFonts w:ascii="华文细黑" w:hAnsi="华文细黑" w:eastAsia="华文细黑" w:cs="华文细黑"/>
                <w:kern w:val="0"/>
                <w:sz w:val="20"/>
                <w:szCs w:val="20"/>
              </w:rPr>
            </w:pPr>
          </w:p>
        </w:tc>
        <w:tc>
          <w:tcPr>
            <w:tcW w:w="709"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701" w:type="dxa"/>
            <w:gridSpan w:val="2"/>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850" w:type="dxa"/>
            <w:gridSpan w:val="2"/>
            <w:vAlign w:val="center"/>
          </w:tcPr>
          <w:p>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普查员、普查指导员补贴发放覆盖率</w:t>
            </w:r>
          </w:p>
        </w:tc>
        <w:tc>
          <w:tcPr>
            <w:tcW w:w="1134"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反映普查员、普查指导员补贴发放覆盖率情况</w:t>
            </w:r>
          </w:p>
        </w:tc>
        <w:tc>
          <w:tcPr>
            <w:tcW w:w="993" w:type="dxa"/>
            <w:vAlign w:val="center"/>
          </w:tcPr>
          <w:p>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r>
              <w:rPr>
                <w:rFonts w:hint="eastAsia" w:ascii="Times New Roman" w:hAnsi="Times New Roman" w:eastAsia="宋体"/>
                <w:color w:val="000000"/>
                <w:kern w:val="0"/>
                <w:sz w:val="20"/>
                <w:szCs w:val="20"/>
              </w:rPr>
              <w:t>100</w:t>
            </w:r>
            <w:r>
              <w:rPr>
                <w:rFonts w:hint="eastAsia" w:ascii="华文细黑" w:hAnsi="华文细黑" w:eastAsia="华文细黑" w:cs="华文细黑"/>
                <w:kern w:val="0"/>
                <w:sz w:val="20"/>
                <w:szCs w:val="20"/>
              </w:rPr>
              <w:t>%</w:t>
            </w:r>
          </w:p>
        </w:tc>
        <w:tc>
          <w:tcPr>
            <w:tcW w:w="469" w:type="dxa"/>
            <w:vAlign w:val="center"/>
          </w:tcPr>
          <w:p>
            <w:pPr>
              <w:jc w:val="center"/>
              <w:rPr>
                <w:rFonts w:ascii="Times New Roman" w:hAnsi="Times New Roman" w:eastAsia="宋体"/>
                <w:color w:val="000000"/>
                <w:kern w:val="0"/>
                <w:sz w:val="20"/>
                <w:szCs w:val="20"/>
              </w:rPr>
            </w:pPr>
            <w:r>
              <w:rPr>
                <w:rFonts w:hint="eastAsia" w:ascii="Times New Roman" w:hAnsi="Times New Roman" w:eastAsia="宋体"/>
                <w:color w:val="000000"/>
                <w:kern w:val="0"/>
                <w:sz w:val="20"/>
                <w:szCs w:val="20"/>
              </w:rPr>
              <w:t>40</w:t>
            </w:r>
          </w:p>
        </w:tc>
      </w:tr>
    </w:tbl>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24</w:t>
      </w:r>
      <w:r>
        <w:rPr>
          <w:rFonts w:eastAsia="黑体"/>
          <w:szCs w:val="32"/>
        </w:rPr>
        <w:t>年收支预算总体情况</w:t>
      </w:r>
    </w:p>
    <w:p>
      <w:pPr>
        <w:ind w:firstLine="640" w:firstLineChars="200"/>
        <w:rPr>
          <w:szCs w:val="32"/>
        </w:rPr>
      </w:pPr>
      <w:r>
        <w:rPr>
          <w:szCs w:val="32"/>
        </w:rPr>
        <w:t>按照综合预算的原则，所有收入和支出全部纳入单位预算管理。收入包括：一般公共预算拨款收入</w:t>
      </w:r>
      <w:r>
        <w:rPr>
          <w:rFonts w:hint="eastAsia"/>
          <w:szCs w:val="32"/>
        </w:rPr>
        <w:t>、</w:t>
      </w:r>
      <w:r>
        <w:rPr>
          <w:szCs w:val="32"/>
        </w:rPr>
        <w:t>上年结转；支出包括：一般公共服务支出、社会保障和就业支出、卫生健康支出及住房保障支出。20</w:t>
      </w:r>
      <w:r>
        <w:rPr>
          <w:rFonts w:hint="eastAsia"/>
          <w:szCs w:val="32"/>
        </w:rPr>
        <w:t>24</w:t>
      </w:r>
      <w:r>
        <w:rPr>
          <w:szCs w:val="32"/>
        </w:rPr>
        <w:t>年收支总预算</w:t>
      </w:r>
      <w:r>
        <w:rPr>
          <w:rFonts w:hint="eastAsia"/>
          <w:szCs w:val="32"/>
        </w:rPr>
        <w:t>150.82</w:t>
      </w:r>
      <w:r>
        <w:rPr>
          <w:szCs w:val="32"/>
        </w:rPr>
        <w:t>万元</w:t>
      </w:r>
      <w:r>
        <w:rPr>
          <w:rFonts w:hint="eastAsia"/>
          <w:szCs w:val="32"/>
        </w:rPr>
        <w:t>，其中：本年预算147.13万元；上年结转3.69万元。2024年本年预算</w:t>
      </w:r>
      <w:r>
        <w:rPr>
          <w:szCs w:val="32"/>
        </w:rPr>
        <w:t>比20</w:t>
      </w:r>
      <w:r>
        <w:rPr>
          <w:rFonts w:hint="eastAsia"/>
          <w:szCs w:val="32"/>
        </w:rPr>
        <w:t>23</w:t>
      </w:r>
      <w:r>
        <w:rPr>
          <w:szCs w:val="32"/>
        </w:rPr>
        <w:t>年</w:t>
      </w:r>
      <w:r>
        <w:rPr>
          <w:rFonts w:hint="eastAsia"/>
          <w:szCs w:val="32"/>
        </w:rPr>
        <w:t>当年</w:t>
      </w:r>
      <w:r>
        <w:rPr>
          <w:szCs w:val="32"/>
        </w:rPr>
        <w:t>预算增加</w:t>
      </w:r>
      <w:r>
        <w:rPr>
          <w:rFonts w:hint="eastAsia"/>
          <w:szCs w:val="32"/>
        </w:rPr>
        <w:t>47.29</w:t>
      </w:r>
      <w:r>
        <w:rPr>
          <w:szCs w:val="32"/>
        </w:rPr>
        <w:t>万元，主要原因是</w:t>
      </w:r>
      <w:r>
        <w:rPr>
          <w:rFonts w:hint="eastAsia"/>
          <w:szCs w:val="32"/>
        </w:rPr>
        <w:t>项目经费</w:t>
      </w:r>
      <w:r>
        <w:rPr>
          <w:szCs w:val="32"/>
        </w:rPr>
        <w:t>增加。</w:t>
      </w:r>
      <w:r>
        <w:rPr>
          <w:rFonts w:hint="eastAsia"/>
          <w:szCs w:val="32"/>
        </w:rPr>
        <w:t xml:space="preserve"> </w:t>
      </w:r>
    </w:p>
    <w:p>
      <w:pPr>
        <w:ind w:firstLine="640" w:firstLineChars="200"/>
        <w:rPr>
          <w:rFonts w:eastAsia="黑体"/>
          <w:szCs w:val="32"/>
        </w:rPr>
      </w:pPr>
      <w:r>
        <w:rPr>
          <w:rFonts w:eastAsia="黑体"/>
          <w:szCs w:val="32"/>
        </w:rPr>
        <w:t>二、20</w:t>
      </w:r>
      <w:r>
        <w:rPr>
          <w:rFonts w:hint="eastAsia" w:eastAsia="黑体"/>
          <w:szCs w:val="32"/>
        </w:rPr>
        <w:t>24</w:t>
      </w:r>
      <w:r>
        <w:rPr>
          <w:rFonts w:eastAsia="黑体"/>
          <w:szCs w:val="32"/>
        </w:rPr>
        <w:t>年收入预算情况</w:t>
      </w:r>
    </w:p>
    <w:p>
      <w:pPr>
        <w:ind w:firstLine="640" w:firstLineChars="200"/>
        <w:rPr>
          <w:szCs w:val="32"/>
        </w:rPr>
      </w:pPr>
      <w:r>
        <w:rPr>
          <w:szCs w:val="32"/>
        </w:rPr>
        <w:t>20</w:t>
      </w:r>
      <w:r>
        <w:rPr>
          <w:rFonts w:hint="eastAsia"/>
          <w:szCs w:val="32"/>
        </w:rPr>
        <w:t>24</w:t>
      </w:r>
      <w:r>
        <w:rPr>
          <w:szCs w:val="32"/>
        </w:rPr>
        <w:t>年收入预算</w:t>
      </w:r>
      <w:r>
        <w:rPr>
          <w:rFonts w:hint="eastAsia"/>
          <w:szCs w:val="32"/>
        </w:rPr>
        <w:t>150.82</w:t>
      </w:r>
      <w:r>
        <w:rPr>
          <w:szCs w:val="32"/>
        </w:rPr>
        <w:t>万元，其中：本年收入</w:t>
      </w:r>
      <w:r>
        <w:rPr>
          <w:rFonts w:hint="eastAsia"/>
          <w:szCs w:val="32"/>
        </w:rPr>
        <w:t>147.13</w:t>
      </w:r>
      <w:r>
        <w:rPr>
          <w:szCs w:val="32"/>
        </w:rPr>
        <w:t>万元，占</w:t>
      </w:r>
      <w:r>
        <w:rPr>
          <w:rFonts w:hint="eastAsia"/>
          <w:szCs w:val="32"/>
        </w:rPr>
        <w:t>97.55</w:t>
      </w:r>
      <w:r>
        <w:rPr>
          <w:szCs w:val="32"/>
        </w:rPr>
        <w:t>%；上年结转</w:t>
      </w:r>
      <w:r>
        <w:rPr>
          <w:rFonts w:hint="eastAsia"/>
          <w:szCs w:val="32"/>
        </w:rPr>
        <w:t>结余3.69</w:t>
      </w:r>
      <w:r>
        <w:rPr>
          <w:szCs w:val="32"/>
        </w:rPr>
        <w:t>万元，占</w:t>
      </w:r>
      <w:r>
        <w:rPr>
          <w:rFonts w:hint="eastAsia"/>
          <w:szCs w:val="32"/>
        </w:rPr>
        <w:t>2.45</w:t>
      </w:r>
      <w:r>
        <w:rPr>
          <w:szCs w:val="32"/>
        </w:rPr>
        <w:t>%。本年收入中，一般公共预算拨款收入</w:t>
      </w:r>
      <w:r>
        <w:rPr>
          <w:rFonts w:hint="eastAsia"/>
          <w:szCs w:val="32"/>
        </w:rPr>
        <w:t>147.13</w:t>
      </w:r>
      <w:r>
        <w:rPr>
          <w:szCs w:val="32"/>
        </w:rPr>
        <w:t>万元，占</w:t>
      </w:r>
      <w:r>
        <w:rPr>
          <w:rFonts w:hint="eastAsia"/>
          <w:szCs w:val="32"/>
        </w:rPr>
        <w:t>100</w:t>
      </w:r>
      <w:r>
        <w:rPr>
          <w:szCs w:val="32"/>
        </w:rPr>
        <w:t>%</w:t>
      </w:r>
      <w:r>
        <w:rPr>
          <w:rFonts w:hint="eastAsia"/>
          <w:szCs w:val="32"/>
        </w:rPr>
        <w:t>。</w:t>
      </w:r>
      <w:r>
        <w:rPr>
          <w:szCs w:val="32"/>
        </w:rPr>
        <w:t>上年结转</w:t>
      </w:r>
      <w:r>
        <w:rPr>
          <w:rFonts w:hint="eastAsia"/>
          <w:szCs w:val="32"/>
        </w:rPr>
        <w:t>中，一般公共预算拨款结转3.69</w:t>
      </w:r>
      <w:r>
        <w:rPr>
          <w:szCs w:val="32"/>
        </w:rPr>
        <w:t>万元，占</w:t>
      </w:r>
      <w:r>
        <w:rPr>
          <w:rFonts w:hint="eastAsia"/>
          <w:szCs w:val="32"/>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4</w:t>
      </w:r>
      <w:r>
        <w:rPr>
          <w:rFonts w:eastAsia="黑体"/>
          <w:szCs w:val="32"/>
        </w:rPr>
        <w:t>年支出预算情况</w:t>
      </w:r>
    </w:p>
    <w:p>
      <w:pPr>
        <w:ind w:firstLine="640" w:firstLineChars="200"/>
        <w:rPr>
          <w:szCs w:val="32"/>
        </w:rPr>
      </w:pPr>
      <w:r>
        <w:rPr>
          <w:szCs w:val="32"/>
        </w:rPr>
        <w:t>20</w:t>
      </w:r>
      <w:r>
        <w:rPr>
          <w:rFonts w:hint="eastAsia"/>
          <w:szCs w:val="32"/>
        </w:rPr>
        <w:t>24</w:t>
      </w:r>
      <w:r>
        <w:rPr>
          <w:szCs w:val="32"/>
        </w:rPr>
        <w:t>年支出预算</w:t>
      </w:r>
      <w:r>
        <w:rPr>
          <w:rFonts w:hint="eastAsia"/>
          <w:szCs w:val="32"/>
        </w:rPr>
        <w:t>150.82</w:t>
      </w:r>
      <w:r>
        <w:rPr>
          <w:szCs w:val="32"/>
        </w:rPr>
        <w:t>万元，其中：基本支出</w:t>
      </w:r>
      <w:r>
        <w:rPr>
          <w:rFonts w:hint="eastAsia"/>
          <w:szCs w:val="32"/>
        </w:rPr>
        <w:t>88.17</w:t>
      </w:r>
      <w:r>
        <w:rPr>
          <w:szCs w:val="32"/>
        </w:rPr>
        <w:t>万元，占</w:t>
      </w:r>
      <w:r>
        <w:rPr>
          <w:rFonts w:hint="eastAsia"/>
          <w:szCs w:val="32"/>
        </w:rPr>
        <w:t>58.46</w:t>
      </w:r>
      <w:r>
        <w:rPr>
          <w:szCs w:val="32"/>
        </w:rPr>
        <w:t>%；项目支出</w:t>
      </w:r>
      <w:r>
        <w:rPr>
          <w:rFonts w:hint="eastAsia"/>
          <w:szCs w:val="32"/>
        </w:rPr>
        <w:t>62.65</w:t>
      </w:r>
      <w:r>
        <w:rPr>
          <w:szCs w:val="32"/>
        </w:rPr>
        <w:t>万元，占</w:t>
      </w:r>
      <w:r>
        <w:rPr>
          <w:rFonts w:hint="eastAsia"/>
          <w:szCs w:val="32"/>
        </w:rPr>
        <w:t>41.54</w:t>
      </w:r>
      <w:r>
        <w:rPr>
          <w:szCs w:val="32"/>
        </w:rPr>
        <w:t>%。</w:t>
      </w:r>
    </w:p>
    <w:p>
      <w:pPr>
        <w:ind w:firstLine="600"/>
        <w:rPr>
          <w:rFonts w:eastAsia="黑体"/>
          <w:szCs w:val="32"/>
        </w:rPr>
      </w:pPr>
      <w:r>
        <w:rPr>
          <w:rFonts w:eastAsia="黑体"/>
          <w:szCs w:val="32"/>
        </w:rPr>
        <w:t>四、20</w:t>
      </w:r>
      <w:r>
        <w:rPr>
          <w:rFonts w:hint="eastAsia" w:eastAsia="黑体"/>
          <w:szCs w:val="32"/>
        </w:rPr>
        <w:t>2</w:t>
      </w:r>
      <w:r>
        <w:rPr>
          <w:rFonts w:hint="eastAsia"/>
          <w:szCs w:val="32"/>
        </w:rPr>
        <w:t>4</w:t>
      </w:r>
      <w:r>
        <w:rPr>
          <w:rFonts w:eastAsia="黑体"/>
          <w:szCs w:val="32"/>
        </w:rPr>
        <w:t>年财政拨款收支预算情况</w:t>
      </w:r>
    </w:p>
    <w:p>
      <w:pPr>
        <w:ind w:firstLine="600"/>
        <w:rPr>
          <w:szCs w:val="32"/>
        </w:rPr>
      </w:pPr>
      <w:r>
        <w:rPr>
          <w:szCs w:val="32"/>
        </w:rPr>
        <w:t>20</w:t>
      </w:r>
      <w:r>
        <w:rPr>
          <w:rFonts w:hint="eastAsia"/>
          <w:szCs w:val="32"/>
        </w:rPr>
        <w:t>24</w:t>
      </w:r>
      <w:r>
        <w:rPr>
          <w:szCs w:val="32"/>
        </w:rPr>
        <w:t>年财政拨款收支总预算</w:t>
      </w:r>
      <w:r>
        <w:rPr>
          <w:rFonts w:hint="eastAsia"/>
          <w:szCs w:val="32"/>
        </w:rPr>
        <w:t>150.82</w:t>
      </w:r>
      <w:r>
        <w:rPr>
          <w:szCs w:val="32"/>
        </w:rPr>
        <w:t>万元，其中：</w:t>
      </w:r>
      <w:r>
        <w:rPr>
          <w:rFonts w:hint="eastAsia"/>
          <w:szCs w:val="32"/>
        </w:rPr>
        <w:t>本年预算147.13</w:t>
      </w:r>
      <w:r>
        <w:rPr>
          <w:szCs w:val="32"/>
        </w:rPr>
        <w:t>万元</w:t>
      </w:r>
      <w:r>
        <w:rPr>
          <w:rFonts w:hint="eastAsia"/>
          <w:szCs w:val="32"/>
        </w:rPr>
        <w:t>，上年结转3.69</w:t>
      </w:r>
      <w:r>
        <w:rPr>
          <w:szCs w:val="32"/>
        </w:rPr>
        <w:t>万元</w:t>
      </w:r>
      <w:r>
        <w:rPr>
          <w:rFonts w:hint="eastAsia"/>
          <w:szCs w:val="32"/>
        </w:rPr>
        <w:t>。</w:t>
      </w:r>
      <w:r>
        <w:rPr>
          <w:szCs w:val="32"/>
        </w:rPr>
        <w:t>支出包括：</w:t>
      </w:r>
      <w:r>
        <w:rPr>
          <w:kern w:val="0"/>
          <w:szCs w:val="32"/>
        </w:rPr>
        <w:t>一般公共服务支出</w:t>
      </w:r>
      <w:r>
        <w:rPr>
          <w:rFonts w:hint="eastAsia"/>
          <w:szCs w:val="32"/>
        </w:rPr>
        <w:t>125.40</w:t>
      </w:r>
      <w:r>
        <w:rPr>
          <w:szCs w:val="32"/>
        </w:rPr>
        <w:t>万元，</w:t>
      </w:r>
      <w:r>
        <w:rPr>
          <w:kern w:val="0"/>
          <w:szCs w:val="32"/>
        </w:rPr>
        <w:t>社会保障和就业支出</w:t>
      </w:r>
      <w:r>
        <w:rPr>
          <w:rFonts w:hint="eastAsia"/>
          <w:szCs w:val="32"/>
        </w:rPr>
        <w:t>15.41</w:t>
      </w:r>
      <w:r>
        <w:rPr>
          <w:szCs w:val="32"/>
        </w:rPr>
        <w:t>万元，</w:t>
      </w:r>
      <w:r>
        <w:rPr>
          <w:kern w:val="0"/>
          <w:szCs w:val="32"/>
        </w:rPr>
        <w:t>卫生</w:t>
      </w:r>
      <w:r>
        <w:rPr>
          <w:rFonts w:hint="eastAsia"/>
          <w:kern w:val="0"/>
          <w:szCs w:val="32"/>
        </w:rPr>
        <w:t>健康</w:t>
      </w:r>
      <w:r>
        <w:rPr>
          <w:kern w:val="0"/>
          <w:szCs w:val="32"/>
        </w:rPr>
        <w:t>支出</w:t>
      </w:r>
      <w:r>
        <w:rPr>
          <w:rFonts w:hint="eastAsia"/>
          <w:szCs w:val="32"/>
        </w:rPr>
        <w:t>2.26</w:t>
      </w:r>
      <w:r>
        <w:rPr>
          <w:szCs w:val="32"/>
        </w:rPr>
        <w:t>万元，</w:t>
      </w:r>
      <w:r>
        <w:rPr>
          <w:kern w:val="0"/>
          <w:szCs w:val="32"/>
        </w:rPr>
        <w:t>住房保障支出</w:t>
      </w:r>
      <w:r>
        <w:rPr>
          <w:rFonts w:hint="eastAsia"/>
          <w:szCs w:val="32"/>
        </w:rPr>
        <w:t>7.74</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24</w:t>
      </w:r>
      <w:r>
        <w:rPr>
          <w:szCs w:val="32"/>
        </w:rPr>
        <w:t>年一般公共预算拨款</w:t>
      </w:r>
      <w:r>
        <w:rPr>
          <w:rFonts w:hint="eastAsia"/>
          <w:szCs w:val="32"/>
        </w:rPr>
        <w:t>150.82</w:t>
      </w:r>
      <w:r>
        <w:rPr>
          <w:szCs w:val="32"/>
        </w:rPr>
        <w:t>万元，其中：基本支出</w:t>
      </w:r>
      <w:r>
        <w:rPr>
          <w:rFonts w:hint="eastAsia"/>
          <w:szCs w:val="32"/>
        </w:rPr>
        <w:t>88.17</w:t>
      </w:r>
      <w:r>
        <w:rPr>
          <w:szCs w:val="32"/>
        </w:rPr>
        <w:t>万元，占</w:t>
      </w:r>
      <w:r>
        <w:rPr>
          <w:rFonts w:hint="eastAsia"/>
          <w:szCs w:val="32"/>
        </w:rPr>
        <w:t>58.46</w:t>
      </w:r>
      <w:r>
        <w:rPr>
          <w:szCs w:val="32"/>
        </w:rPr>
        <w:t>%；项目支出</w:t>
      </w:r>
      <w:r>
        <w:rPr>
          <w:rFonts w:hint="eastAsia"/>
          <w:szCs w:val="32"/>
        </w:rPr>
        <w:t>62.65</w:t>
      </w:r>
      <w:r>
        <w:rPr>
          <w:szCs w:val="32"/>
        </w:rPr>
        <w:t>万元，占</w:t>
      </w:r>
      <w:r>
        <w:rPr>
          <w:rFonts w:hint="eastAsia"/>
          <w:szCs w:val="32"/>
        </w:rPr>
        <w:t>41.54</w:t>
      </w:r>
      <w:r>
        <w:rPr>
          <w:szCs w:val="32"/>
        </w:rPr>
        <w:t>%。基本支出中，人员经费</w:t>
      </w:r>
      <w:r>
        <w:rPr>
          <w:rFonts w:hint="eastAsia"/>
          <w:szCs w:val="32"/>
        </w:rPr>
        <w:t>75.04</w:t>
      </w:r>
      <w:r>
        <w:rPr>
          <w:szCs w:val="32"/>
        </w:rPr>
        <w:t>万元，占</w:t>
      </w:r>
      <w:r>
        <w:rPr>
          <w:rFonts w:hint="eastAsia"/>
          <w:szCs w:val="32"/>
        </w:rPr>
        <w:t>85.11</w:t>
      </w:r>
      <w:r>
        <w:rPr>
          <w:szCs w:val="32"/>
        </w:rPr>
        <w:t>%；公用经费</w:t>
      </w:r>
      <w:r>
        <w:rPr>
          <w:rFonts w:hint="eastAsia"/>
          <w:szCs w:val="32"/>
        </w:rPr>
        <w:t>13.13</w:t>
      </w:r>
      <w:r>
        <w:rPr>
          <w:szCs w:val="32"/>
        </w:rPr>
        <w:t>万元，占</w:t>
      </w:r>
      <w:r>
        <w:rPr>
          <w:rFonts w:hint="eastAsia"/>
          <w:szCs w:val="32"/>
        </w:rPr>
        <w:t>14.89</w:t>
      </w:r>
      <w:r>
        <w:rPr>
          <w:szCs w:val="32"/>
        </w:rPr>
        <w:t>%。</w:t>
      </w:r>
    </w:p>
    <w:p>
      <w:pPr>
        <w:spacing w:line="520" w:lineRule="exact"/>
        <w:ind w:firstLine="518" w:firstLineChars="162"/>
        <w:rPr>
          <w:szCs w:val="32"/>
        </w:rPr>
      </w:pPr>
      <w:r>
        <w:rPr>
          <w:szCs w:val="32"/>
        </w:rPr>
        <w:t>一般公共服务（类）支出</w:t>
      </w:r>
      <w:r>
        <w:rPr>
          <w:rFonts w:hint="eastAsia"/>
          <w:szCs w:val="32"/>
        </w:rPr>
        <w:t>125.40</w:t>
      </w:r>
      <w:r>
        <w:rPr>
          <w:szCs w:val="32"/>
        </w:rPr>
        <w:t>万元，占</w:t>
      </w:r>
      <w:r>
        <w:rPr>
          <w:rFonts w:hint="eastAsia"/>
          <w:szCs w:val="32"/>
        </w:rPr>
        <w:t>83.15</w:t>
      </w:r>
      <w:r>
        <w:rPr>
          <w:szCs w:val="32"/>
        </w:rPr>
        <w:t>%，主要用于保障职工工资、维持机关正常运转、完成年度统计工作任务。</w:t>
      </w:r>
    </w:p>
    <w:p>
      <w:pPr>
        <w:spacing w:line="520" w:lineRule="exact"/>
        <w:ind w:firstLine="518" w:firstLineChars="162"/>
        <w:rPr>
          <w:szCs w:val="32"/>
        </w:rPr>
      </w:pPr>
      <w:r>
        <w:rPr>
          <w:szCs w:val="32"/>
        </w:rPr>
        <w:t>社会保障和就业（类）支出</w:t>
      </w:r>
      <w:r>
        <w:rPr>
          <w:rFonts w:hint="eastAsia"/>
          <w:szCs w:val="32"/>
        </w:rPr>
        <w:t>15.42</w:t>
      </w:r>
      <w:r>
        <w:rPr>
          <w:szCs w:val="32"/>
        </w:rPr>
        <w:t>万元，占</w:t>
      </w:r>
      <w:r>
        <w:rPr>
          <w:rFonts w:hint="eastAsia"/>
          <w:szCs w:val="32"/>
        </w:rPr>
        <w:t>10.22</w:t>
      </w:r>
      <w:r>
        <w:rPr>
          <w:szCs w:val="32"/>
        </w:rPr>
        <w:t>%，主要用于保障</w:t>
      </w:r>
      <w:r>
        <w:rPr>
          <w:rFonts w:hint="eastAsia" w:ascii="仿宋_GB2312" w:hAnsi="仿宋"/>
          <w:szCs w:val="32"/>
        </w:rPr>
        <w:t>行政单位离退休、</w:t>
      </w:r>
      <w:r>
        <w:rPr>
          <w:szCs w:val="32"/>
        </w:rPr>
        <w:t>机关单位基本养老保险缴费支出。</w:t>
      </w:r>
    </w:p>
    <w:p>
      <w:pPr>
        <w:spacing w:line="520" w:lineRule="exact"/>
        <w:ind w:firstLine="518" w:firstLineChars="162"/>
        <w:rPr>
          <w:szCs w:val="32"/>
        </w:rPr>
      </w:pPr>
      <w:r>
        <w:rPr>
          <w:rFonts w:hint="eastAsia"/>
          <w:szCs w:val="32"/>
        </w:rPr>
        <w:t>卫生健康</w:t>
      </w:r>
      <w:r>
        <w:rPr>
          <w:szCs w:val="32"/>
        </w:rPr>
        <w:t>支出（类）支出</w:t>
      </w:r>
      <w:r>
        <w:rPr>
          <w:rFonts w:hint="eastAsia"/>
          <w:szCs w:val="32"/>
        </w:rPr>
        <w:t>2.26</w:t>
      </w:r>
      <w:r>
        <w:rPr>
          <w:szCs w:val="32"/>
        </w:rPr>
        <w:t>万元，占</w:t>
      </w:r>
      <w:r>
        <w:rPr>
          <w:rFonts w:hint="eastAsia"/>
          <w:szCs w:val="32"/>
        </w:rPr>
        <w:t>1.50</w:t>
      </w:r>
      <w:r>
        <w:rPr>
          <w:szCs w:val="32"/>
        </w:rPr>
        <w:t>%，主要用于缴纳职工医疗保险。</w:t>
      </w:r>
    </w:p>
    <w:p>
      <w:pPr>
        <w:spacing w:line="520" w:lineRule="exact"/>
        <w:ind w:firstLine="518" w:firstLineChars="162"/>
        <w:rPr>
          <w:szCs w:val="32"/>
        </w:rPr>
      </w:pPr>
      <w:r>
        <w:rPr>
          <w:szCs w:val="32"/>
        </w:rPr>
        <w:t>住房保障（类）支出</w:t>
      </w:r>
      <w:r>
        <w:rPr>
          <w:rFonts w:hint="eastAsia"/>
          <w:szCs w:val="32"/>
        </w:rPr>
        <w:t>7.74</w:t>
      </w:r>
      <w:r>
        <w:rPr>
          <w:szCs w:val="32"/>
        </w:rPr>
        <w:t>万元，占</w:t>
      </w:r>
      <w:r>
        <w:rPr>
          <w:rFonts w:hint="eastAsia"/>
          <w:szCs w:val="32"/>
        </w:rPr>
        <w:t>5.13</w:t>
      </w:r>
      <w:r>
        <w:rPr>
          <w:szCs w:val="32"/>
        </w:rPr>
        <w:t>%，主要用于缴纳职工</w:t>
      </w:r>
      <w:r>
        <w:rPr>
          <w:rFonts w:hint="eastAsia"/>
          <w:szCs w:val="32"/>
        </w:rPr>
        <w:t>住房公积金</w:t>
      </w:r>
      <w:r>
        <w:rPr>
          <w:szCs w:val="32"/>
        </w:rPr>
        <w:t>。</w:t>
      </w:r>
    </w:p>
    <w:p>
      <w:pPr>
        <w:spacing w:line="520" w:lineRule="exact"/>
        <w:ind w:firstLine="518" w:firstLineChars="162"/>
        <w:rPr>
          <w:rFonts w:eastAsia="黑体"/>
          <w:szCs w:val="32"/>
        </w:rPr>
      </w:pP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pPr>
        <w:ind w:firstLine="640"/>
        <w:rPr>
          <w:szCs w:val="32"/>
        </w:rPr>
      </w:pPr>
      <w:r>
        <w:rPr>
          <w:szCs w:val="32"/>
        </w:rPr>
        <w:t>20</w:t>
      </w:r>
      <w:r>
        <w:rPr>
          <w:rFonts w:hint="eastAsia"/>
          <w:szCs w:val="32"/>
        </w:rPr>
        <w:t>24</w:t>
      </w:r>
      <w:r>
        <w:rPr>
          <w:szCs w:val="32"/>
        </w:rPr>
        <w:t>年一般公共预算基本支出</w:t>
      </w:r>
      <w:r>
        <w:rPr>
          <w:rFonts w:hint="eastAsia"/>
          <w:szCs w:val="32"/>
        </w:rPr>
        <w:t>88.16</w:t>
      </w:r>
      <w:r>
        <w:rPr>
          <w:szCs w:val="32"/>
        </w:rPr>
        <w:t>万元，其中：</w:t>
      </w:r>
    </w:p>
    <w:p>
      <w:pPr>
        <w:ind w:firstLine="640" w:firstLineChars="200"/>
        <w:rPr>
          <w:kern w:val="0"/>
          <w:szCs w:val="32"/>
        </w:rPr>
      </w:pPr>
      <w:r>
        <w:rPr>
          <w:szCs w:val="32"/>
        </w:rPr>
        <w:t>人员经费</w:t>
      </w:r>
      <w:r>
        <w:rPr>
          <w:rFonts w:hint="eastAsia"/>
          <w:szCs w:val="32"/>
        </w:rPr>
        <w:t>75.03</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机关事业单位基本养老保险缴费</w:t>
      </w:r>
      <w:r>
        <w:rPr>
          <w:szCs w:val="32"/>
        </w:rPr>
        <w:t>、</w:t>
      </w:r>
      <w:r>
        <w:rPr>
          <w:rFonts w:hint="eastAsia"/>
          <w:kern w:val="0"/>
          <w:szCs w:val="32"/>
        </w:rPr>
        <w:t>职工基本医疗保险缴费、</w:t>
      </w:r>
      <w:r>
        <w:rPr>
          <w:rFonts w:hint="eastAsia"/>
          <w:szCs w:val="32"/>
        </w:rPr>
        <w:t>其他社会保障缴费、</w:t>
      </w:r>
      <w:r>
        <w:rPr>
          <w:kern w:val="0"/>
          <w:szCs w:val="32"/>
        </w:rPr>
        <w:t>其他工资福利支出</w:t>
      </w:r>
      <w:r>
        <w:rPr>
          <w:szCs w:val="32"/>
        </w:rPr>
        <w:t>、</w:t>
      </w:r>
      <w:r>
        <w:rPr>
          <w:kern w:val="0"/>
          <w:szCs w:val="32"/>
        </w:rPr>
        <w:t>住房公积金</w:t>
      </w:r>
      <w:r>
        <w:rPr>
          <w:szCs w:val="32"/>
        </w:rPr>
        <w:t>、</w:t>
      </w:r>
      <w:r>
        <w:rPr>
          <w:rFonts w:hint="eastAsia"/>
          <w:szCs w:val="32"/>
        </w:rPr>
        <w:t>医疗费、</w:t>
      </w:r>
      <w:r>
        <w:rPr>
          <w:kern w:val="0"/>
          <w:szCs w:val="32"/>
        </w:rPr>
        <w:t>退休费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rPr>
        <w:t>13.13</w:t>
      </w:r>
      <w:r>
        <w:rPr>
          <w:szCs w:val="32"/>
        </w:rPr>
        <w:t>万元，主要包括：</w:t>
      </w:r>
      <w:r>
        <w:rPr>
          <w:kern w:val="0"/>
          <w:szCs w:val="32"/>
        </w:rPr>
        <w:t>办公费</w:t>
      </w:r>
      <w:r>
        <w:rPr>
          <w:szCs w:val="32"/>
        </w:rPr>
        <w:t>、</w:t>
      </w:r>
      <w:r>
        <w:rPr>
          <w:kern w:val="0"/>
          <w:szCs w:val="32"/>
        </w:rPr>
        <w:t>印刷费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其他交通补助</w:t>
      </w:r>
      <w:r>
        <w:rPr>
          <w:szCs w:val="32"/>
        </w:rPr>
        <w:t>、</w:t>
      </w:r>
      <w:r>
        <w:rPr>
          <w:kern w:val="0"/>
          <w:szCs w:val="32"/>
        </w:rPr>
        <w:t>其他商品和服务支出</w:t>
      </w:r>
      <w:r>
        <w:rPr>
          <w:rFonts w:hint="eastAsia"/>
          <w:kern w:val="0"/>
          <w:szCs w:val="32"/>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24</w:t>
      </w:r>
      <w:r>
        <w:rPr>
          <w:szCs w:val="32"/>
        </w:rPr>
        <w:t>年“三公”经费预算数为</w:t>
      </w:r>
      <w:r>
        <w:rPr>
          <w:rFonts w:hint="eastAsia"/>
          <w:szCs w:val="32"/>
        </w:rPr>
        <w:t>0</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0.13</w:t>
      </w:r>
      <w:r>
        <w:rPr>
          <w:szCs w:val="32"/>
        </w:rPr>
        <w:t>万元。其中：</w:t>
      </w:r>
    </w:p>
    <w:p>
      <w:pPr>
        <w:ind w:firstLine="640" w:firstLineChars="200"/>
        <w:rPr>
          <w:szCs w:val="32"/>
        </w:rPr>
      </w:pPr>
      <w:r>
        <w:rPr>
          <w:szCs w:val="32"/>
        </w:rPr>
        <w:t>1.因公出国（境）费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年当年预算数</w:t>
      </w:r>
      <w:r>
        <w:rPr>
          <w:rFonts w:hint="eastAsia"/>
          <w:szCs w:val="32"/>
        </w:rPr>
        <w:t>持平。</w:t>
      </w:r>
    </w:p>
    <w:p>
      <w:pPr>
        <w:ind w:firstLine="640" w:firstLineChars="200"/>
        <w:rPr>
          <w:szCs w:val="32"/>
        </w:rPr>
      </w:pPr>
      <w:r>
        <w:rPr>
          <w:szCs w:val="32"/>
        </w:rPr>
        <w:t>2.公务接待费</w:t>
      </w:r>
      <w:r>
        <w:rPr>
          <w:rFonts w:hint="eastAsia"/>
          <w:szCs w:val="32"/>
        </w:rPr>
        <w:t>0</w:t>
      </w:r>
      <w:r>
        <w:rPr>
          <w:szCs w:val="32"/>
        </w:rPr>
        <w:t>万元</w:t>
      </w:r>
      <w:r>
        <w:rPr>
          <w:rFonts w:hint="eastAsia"/>
          <w:szCs w:val="32"/>
        </w:rPr>
        <w:t>，2024年本年预算数</w:t>
      </w:r>
      <w:r>
        <w:rPr>
          <w:szCs w:val="32"/>
        </w:rPr>
        <w:t>比20</w:t>
      </w:r>
      <w:r>
        <w:rPr>
          <w:rFonts w:hint="eastAsia"/>
          <w:szCs w:val="32"/>
        </w:rPr>
        <w:t>23</w:t>
      </w:r>
      <w:r>
        <w:rPr>
          <w:szCs w:val="32"/>
        </w:rPr>
        <w:t>年</w:t>
      </w:r>
      <w:r>
        <w:rPr>
          <w:rFonts w:hint="eastAsia"/>
          <w:szCs w:val="32"/>
        </w:rPr>
        <w:t>当年</w:t>
      </w:r>
      <w:r>
        <w:rPr>
          <w:szCs w:val="32"/>
        </w:rPr>
        <w:t>预算数减少</w:t>
      </w:r>
      <w:r>
        <w:rPr>
          <w:rFonts w:hint="eastAsia"/>
          <w:szCs w:val="32"/>
        </w:rPr>
        <w:t>0.13</w:t>
      </w:r>
      <w:r>
        <w:rPr>
          <w:szCs w:val="32"/>
        </w:rPr>
        <w:t>万元，主要原因是认真贯彻落实中共中央八项规定精神和省财政厅</w:t>
      </w:r>
      <w:r>
        <w:rPr>
          <w:rFonts w:hint="eastAsia"/>
          <w:szCs w:val="32"/>
        </w:rPr>
        <w:t>“过紧日子”有关要求，厉行节约，压减公务接待费预算。</w:t>
      </w:r>
    </w:p>
    <w:p>
      <w:pPr>
        <w:ind w:firstLine="640" w:firstLineChars="200"/>
        <w:rPr>
          <w:rFonts w:eastAsia="黑体"/>
          <w:szCs w:val="32"/>
        </w:rPr>
      </w:pPr>
      <w:r>
        <w:rPr>
          <w:szCs w:val="32"/>
        </w:rPr>
        <w:t>3.公务用车购置及运行费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年当年预算数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年当年预算数</w:t>
      </w:r>
      <w:r>
        <w:rPr>
          <w:rFonts w:hint="eastAsia"/>
          <w:szCs w:val="32"/>
        </w:rPr>
        <w:t>持平</w:t>
      </w:r>
      <w:r>
        <w:rPr>
          <w:szCs w:val="32"/>
        </w:rPr>
        <w:t>；公务用车购置费</w:t>
      </w:r>
      <w:r>
        <w:rPr>
          <w:rFonts w:hint="eastAsia"/>
          <w:szCs w:val="32"/>
        </w:rPr>
        <w:t>0</w:t>
      </w:r>
      <w:r>
        <w:rPr>
          <w:szCs w:val="32"/>
        </w:rPr>
        <w:t>万元</w:t>
      </w:r>
      <w:r>
        <w:rPr>
          <w:rFonts w:hint="eastAsia"/>
          <w:szCs w:val="32"/>
        </w:rPr>
        <w:t>，2024年本年预算数与</w:t>
      </w:r>
      <w:r>
        <w:rPr>
          <w:szCs w:val="32"/>
        </w:rPr>
        <w:t>20</w:t>
      </w:r>
      <w:r>
        <w:rPr>
          <w:rFonts w:hint="eastAsia"/>
          <w:szCs w:val="32"/>
        </w:rPr>
        <w:t>23</w:t>
      </w:r>
      <w:r>
        <w:rPr>
          <w:szCs w:val="32"/>
        </w:rPr>
        <w:t>年当年预算数</w:t>
      </w:r>
      <w:r>
        <w:rPr>
          <w:rFonts w:hint="eastAsia"/>
          <w:szCs w:val="32"/>
        </w:rPr>
        <w:t>持平</w:t>
      </w:r>
      <w:r>
        <w:rPr>
          <w:szCs w:val="32"/>
        </w:rPr>
        <w:t>。</w:t>
      </w:r>
      <w:r>
        <w:rPr>
          <w:rFonts w:hint="eastAsia"/>
          <w:szCs w:val="32"/>
        </w:rPr>
        <w:t xml:space="preserve">      </w:t>
      </w:r>
    </w:p>
    <w:p>
      <w:pPr>
        <w:ind w:firstLine="640" w:firstLineChars="200"/>
        <w:rPr>
          <w:rFonts w:eastAsia="黑体"/>
          <w:szCs w:val="32"/>
        </w:rPr>
      </w:pPr>
      <w:r>
        <w:rPr>
          <w:rFonts w:eastAsia="黑体"/>
          <w:szCs w:val="32"/>
        </w:rPr>
        <w:t>八、20</w:t>
      </w:r>
      <w:r>
        <w:rPr>
          <w:rFonts w:hint="eastAsia" w:eastAsia="黑体"/>
          <w:szCs w:val="32"/>
        </w:rPr>
        <w:t>24</w:t>
      </w:r>
      <w:r>
        <w:rPr>
          <w:rFonts w:eastAsia="黑体"/>
          <w:szCs w:val="32"/>
        </w:rPr>
        <w:t>年政府性基金预算支出情况</w:t>
      </w:r>
    </w:p>
    <w:p>
      <w:pPr>
        <w:ind w:firstLine="640"/>
        <w:rPr>
          <w:szCs w:val="32"/>
        </w:rPr>
      </w:pPr>
      <w:r>
        <w:rPr>
          <w:rFonts w:hint="eastAsia"/>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通化市统计局东昌区分局1</w:t>
      </w:r>
      <w:r>
        <w:rPr>
          <w:szCs w:val="32"/>
        </w:rPr>
        <w:t>家行政单位的机关运行经费财政拨款预算</w:t>
      </w:r>
      <w:r>
        <w:rPr>
          <w:rFonts w:hint="eastAsia"/>
          <w:szCs w:val="32"/>
        </w:rPr>
        <w:t>13.13</w:t>
      </w:r>
      <w:r>
        <w:rPr>
          <w:szCs w:val="32"/>
        </w:rPr>
        <w:t>万元，比20</w:t>
      </w:r>
      <w:r>
        <w:rPr>
          <w:rFonts w:hint="eastAsia"/>
          <w:szCs w:val="32"/>
        </w:rPr>
        <w:t>23</w:t>
      </w:r>
      <w:r>
        <w:rPr>
          <w:szCs w:val="32"/>
        </w:rPr>
        <w:t>年预算减少</w:t>
      </w:r>
      <w:r>
        <w:rPr>
          <w:rFonts w:hint="eastAsia"/>
          <w:szCs w:val="32"/>
        </w:rPr>
        <w:t>1.45</w:t>
      </w:r>
      <w:r>
        <w:rPr>
          <w:szCs w:val="32"/>
        </w:rPr>
        <w:t>万元，下降</w:t>
      </w:r>
      <w:r>
        <w:rPr>
          <w:rFonts w:hint="eastAsia"/>
          <w:szCs w:val="32"/>
        </w:rPr>
        <w:t>9.95</w:t>
      </w:r>
      <w:r>
        <w:rPr>
          <w:szCs w:val="32"/>
        </w:rPr>
        <w:t>%</w:t>
      </w:r>
      <w:r>
        <w:rPr>
          <w:rFonts w:hint="eastAsia"/>
          <w:szCs w:val="32"/>
        </w:rPr>
        <w:t>，主要原因是压减机关运行经费</w:t>
      </w:r>
      <w:r>
        <w:rPr>
          <w:szCs w:val="32"/>
        </w:rPr>
        <w:t>预算。</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24</w:t>
      </w:r>
      <w:r>
        <w:rPr>
          <w:szCs w:val="32"/>
        </w:rPr>
        <w:t>年</w:t>
      </w:r>
      <w:r>
        <w:rPr>
          <w:rFonts w:hint="eastAsia"/>
          <w:szCs w:val="32"/>
        </w:rPr>
        <w:t>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szCs w:val="32"/>
        </w:rPr>
      </w:pPr>
      <w:r>
        <w:rPr>
          <w:rFonts w:hint="eastAsia"/>
          <w:szCs w:val="32"/>
        </w:rPr>
        <w:t>截至2023年8月底，通化市统计局东昌区分局有车辆0辆，土地0平方米，房屋0平方米，单价50万元以上设备0台/套。</w:t>
      </w:r>
    </w:p>
    <w:p>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pPr>
        <w:numPr>
          <w:ilvl w:val="0"/>
          <w:numId w:val="1"/>
        </w:numPr>
        <w:spacing w:line="540" w:lineRule="exact"/>
        <w:ind w:firstLine="640" w:firstLineChars="200"/>
        <w:rPr>
          <w:rFonts w:eastAsia="楷体"/>
          <w:szCs w:val="32"/>
        </w:rPr>
      </w:pPr>
      <w:r>
        <w:rPr>
          <w:rFonts w:hint="eastAsia" w:eastAsia="楷体"/>
          <w:szCs w:val="32"/>
        </w:rPr>
        <w:t>项目支出情况说明</w:t>
      </w:r>
    </w:p>
    <w:p>
      <w:pPr>
        <w:spacing w:line="540" w:lineRule="exact"/>
        <w:ind w:firstLine="640" w:firstLineChars="200"/>
      </w:pPr>
      <w:r>
        <w:t>202</w:t>
      </w:r>
      <w:r>
        <w:rPr>
          <w:rFonts w:hint="eastAsia"/>
        </w:rPr>
        <w:t>4</w:t>
      </w:r>
      <w:r>
        <w:t>年</w:t>
      </w:r>
      <w:r>
        <w:rPr>
          <w:rFonts w:hint="eastAsia"/>
        </w:rPr>
        <w:t>单位</w:t>
      </w:r>
      <w:r>
        <w:t>项目支出</w:t>
      </w:r>
      <w:r>
        <w:rPr>
          <w:rFonts w:hint="eastAsia"/>
          <w:szCs w:val="32"/>
        </w:rPr>
        <w:t>62.65</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本年拨款62.65</w:t>
      </w:r>
      <w:r>
        <w:rPr>
          <w:szCs w:val="32"/>
        </w:rPr>
        <w:t>万元，</w:t>
      </w:r>
      <w:r>
        <w:rPr>
          <w:rFonts w:hint="eastAsia"/>
          <w:szCs w:val="32"/>
        </w:rPr>
        <w:t>财政拨款结转0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按照全面实施预算绩效管理的要求，结合本单位职能和重点工作，2024年将</w:t>
      </w:r>
      <w:r>
        <w:rPr>
          <w:rFonts w:hint="eastAsia"/>
          <w:szCs w:val="32"/>
        </w:rPr>
        <w:t>2</w:t>
      </w:r>
      <w:r>
        <w:rPr>
          <w:rFonts w:hint="eastAsia" w:ascii="宋体" w:hAnsi="宋体"/>
        </w:rPr>
        <w:t>个项目支出的绩效目标和指标向社会公开，涉及金额</w:t>
      </w:r>
      <w:r>
        <w:rPr>
          <w:rFonts w:hint="eastAsia"/>
          <w:szCs w:val="32"/>
        </w:rPr>
        <w:t>62.65</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w:t>
      </w:r>
      <w:r>
        <w:rPr>
          <w:rFonts w:hint="eastAsia"/>
          <w:szCs w:val="32"/>
        </w:rPr>
        <w:t>部门</w:t>
      </w:r>
      <w:r>
        <w:rPr>
          <w:szCs w:val="32"/>
        </w:rPr>
        <w:t>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&#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jlUM7XAQAAswMAAA4AAAAAAAAAAQAgAAAA&#10;HgEAAGRycy9lMm9Eb2MueG1sUEsFBgAAAAAGAAYAWQEAAGcFA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1ZVPMEBAACNAwAADgAAAAAAAAABACAAAAAeAQAAZHJzL2Uyb0RvYy54bWxQSwUG&#10;AAAAAAYABgBZAQAAU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17215"/>
    <w:rsid w:val="000659BF"/>
    <w:rsid w:val="00092889"/>
    <w:rsid w:val="0009332F"/>
    <w:rsid w:val="000A68F5"/>
    <w:rsid w:val="000C6D48"/>
    <w:rsid w:val="000D7FB8"/>
    <w:rsid w:val="000E46F6"/>
    <w:rsid w:val="00101D17"/>
    <w:rsid w:val="00102492"/>
    <w:rsid w:val="001061D6"/>
    <w:rsid w:val="0010767D"/>
    <w:rsid w:val="00114C3F"/>
    <w:rsid w:val="00145456"/>
    <w:rsid w:val="00156BC2"/>
    <w:rsid w:val="001A0053"/>
    <w:rsid w:val="001B4842"/>
    <w:rsid w:val="001D41BB"/>
    <w:rsid w:val="0020718F"/>
    <w:rsid w:val="002300BA"/>
    <w:rsid w:val="00255C15"/>
    <w:rsid w:val="00292A39"/>
    <w:rsid w:val="002A5441"/>
    <w:rsid w:val="002E670C"/>
    <w:rsid w:val="002E7CD8"/>
    <w:rsid w:val="003443AE"/>
    <w:rsid w:val="00344E98"/>
    <w:rsid w:val="00367BC1"/>
    <w:rsid w:val="00370771"/>
    <w:rsid w:val="00372C89"/>
    <w:rsid w:val="00395045"/>
    <w:rsid w:val="00395F7B"/>
    <w:rsid w:val="00396D8D"/>
    <w:rsid w:val="003F700F"/>
    <w:rsid w:val="00400ADD"/>
    <w:rsid w:val="00426F96"/>
    <w:rsid w:val="00487479"/>
    <w:rsid w:val="004F00A6"/>
    <w:rsid w:val="004F154D"/>
    <w:rsid w:val="00501652"/>
    <w:rsid w:val="00514321"/>
    <w:rsid w:val="00584D1B"/>
    <w:rsid w:val="00586A56"/>
    <w:rsid w:val="00590EE4"/>
    <w:rsid w:val="005C0999"/>
    <w:rsid w:val="005D5B16"/>
    <w:rsid w:val="005F314F"/>
    <w:rsid w:val="006065D7"/>
    <w:rsid w:val="00623896"/>
    <w:rsid w:val="0063220F"/>
    <w:rsid w:val="006358AE"/>
    <w:rsid w:val="00676854"/>
    <w:rsid w:val="006B3914"/>
    <w:rsid w:val="006F62A6"/>
    <w:rsid w:val="00707D14"/>
    <w:rsid w:val="00710B1D"/>
    <w:rsid w:val="007638E0"/>
    <w:rsid w:val="007814AF"/>
    <w:rsid w:val="00784C4A"/>
    <w:rsid w:val="00786E35"/>
    <w:rsid w:val="007C1F97"/>
    <w:rsid w:val="007D19C8"/>
    <w:rsid w:val="00812796"/>
    <w:rsid w:val="00825722"/>
    <w:rsid w:val="00841DA8"/>
    <w:rsid w:val="00851A6F"/>
    <w:rsid w:val="00870789"/>
    <w:rsid w:val="00876AFD"/>
    <w:rsid w:val="0088530F"/>
    <w:rsid w:val="00893B8E"/>
    <w:rsid w:val="00896C22"/>
    <w:rsid w:val="008A6EC6"/>
    <w:rsid w:val="008B7EFD"/>
    <w:rsid w:val="008C034B"/>
    <w:rsid w:val="008C1FE2"/>
    <w:rsid w:val="0091631A"/>
    <w:rsid w:val="00932BEF"/>
    <w:rsid w:val="009648C5"/>
    <w:rsid w:val="009744A3"/>
    <w:rsid w:val="00982435"/>
    <w:rsid w:val="00983A8D"/>
    <w:rsid w:val="009851B4"/>
    <w:rsid w:val="009A02FC"/>
    <w:rsid w:val="009B2F41"/>
    <w:rsid w:val="009C6A1B"/>
    <w:rsid w:val="009E093A"/>
    <w:rsid w:val="009E1354"/>
    <w:rsid w:val="00A01B27"/>
    <w:rsid w:val="00A3099E"/>
    <w:rsid w:val="00A34894"/>
    <w:rsid w:val="00A73E5D"/>
    <w:rsid w:val="00A81177"/>
    <w:rsid w:val="00A96058"/>
    <w:rsid w:val="00AA7C91"/>
    <w:rsid w:val="00AB44C3"/>
    <w:rsid w:val="00AD4E96"/>
    <w:rsid w:val="00B05DD3"/>
    <w:rsid w:val="00B211C3"/>
    <w:rsid w:val="00B24547"/>
    <w:rsid w:val="00B47BB9"/>
    <w:rsid w:val="00B60748"/>
    <w:rsid w:val="00B62F90"/>
    <w:rsid w:val="00B668F4"/>
    <w:rsid w:val="00B84388"/>
    <w:rsid w:val="00BA7D5D"/>
    <w:rsid w:val="00BB6FD3"/>
    <w:rsid w:val="00BE1CDD"/>
    <w:rsid w:val="00BE36EB"/>
    <w:rsid w:val="00C21C67"/>
    <w:rsid w:val="00C269B7"/>
    <w:rsid w:val="00C36C22"/>
    <w:rsid w:val="00C4402B"/>
    <w:rsid w:val="00C55740"/>
    <w:rsid w:val="00C56A04"/>
    <w:rsid w:val="00CA1BE6"/>
    <w:rsid w:val="00CA1FFF"/>
    <w:rsid w:val="00CC6E11"/>
    <w:rsid w:val="00CC7209"/>
    <w:rsid w:val="00D33284"/>
    <w:rsid w:val="00D34CBA"/>
    <w:rsid w:val="00D40CAF"/>
    <w:rsid w:val="00D44841"/>
    <w:rsid w:val="00D4515D"/>
    <w:rsid w:val="00D50EE0"/>
    <w:rsid w:val="00D55467"/>
    <w:rsid w:val="00D71247"/>
    <w:rsid w:val="00DD19FB"/>
    <w:rsid w:val="00DD2AF6"/>
    <w:rsid w:val="00DE45B8"/>
    <w:rsid w:val="00DF0F79"/>
    <w:rsid w:val="00E00855"/>
    <w:rsid w:val="00E120B0"/>
    <w:rsid w:val="00E174EB"/>
    <w:rsid w:val="00E22C47"/>
    <w:rsid w:val="00E42CC7"/>
    <w:rsid w:val="00E56F79"/>
    <w:rsid w:val="00E6153C"/>
    <w:rsid w:val="00E67450"/>
    <w:rsid w:val="00E82D48"/>
    <w:rsid w:val="00EB2B69"/>
    <w:rsid w:val="00EC64D2"/>
    <w:rsid w:val="00EC73B7"/>
    <w:rsid w:val="00EE1F67"/>
    <w:rsid w:val="00EF3CC5"/>
    <w:rsid w:val="00F3714A"/>
    <w:rsid w:val="00F47B19"/>
    <w:rsid w:val="00F605CC"/>
    <w:rsid w:val="00F7193F"/>
    <w:rsid w:val="00F8523B"/>
    <w:rsid w:val="00FB37B9"/>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EA26C7A"/>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26E581D"/>
    <w:rsid w:val="22A4003E"/>
    <w:rsid w:val="23135C25"/>
    <w:rsid w:val="23EC61F6"/>
    <w:rsid w:val="244C543C"/>
    <w:rsid w:val="24624768"/>
    <w:rsid w:val="259B5BC5"/>
    <w:rsid w:val="25F62C4E"/>
    <w:rsid w:val="26643D6C"/>
    <w:rsid w:val="26FE109D"/>
    <w:rsid w:val="27073E1E"/>
    <w:rsid w:val="27B04AB3"/>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B80EFF"/>
    <w:rsid w:val="41A35364"/>
    <w:rsid w:val="41C31686"/>
    <w:rsid w:val="41C837BC"/>
    <w:rsid w:val="421643AC"/>
    <w:rsid w:val="42982B4E"/>
    <w:rsid w:val="429F5D0C"/>
    <w:rsid w:val="42D83665"/>
    <w:rsid w:val="434A6B47"/>
    <w:rsid w:val="436B1E42"/>
    <w:rsid w:val="43F9349F"/>
    <w:rsid w:val="456D114B"/>
    <w:rsid w:val="45EB670F"/>
    <w:rsid w:val="46AB7C0D"/>
    <w:rsid w:val="46D44808"/>
    <w:rsid w:val="46ED776B"/>
    <w:rsid w:val="479D2523"/>
    <w:rsid w:val="47CF49E6"/>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5E77759"/>
    <w:rsid w:val="761B13C4"/>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7"/>
    <w:uiPriority w:val="0"/>
    <w:rPr>
      <w:sz w:val="18"/>
      <w:szCs w:val="18"/>
    </w:rPr>
  </w:style>
  <w:style w:type="paragraph" w:styleId="6">
    <w:name w:val="footer"/>
    <w:basedOn w:val="1"/>
    <w:link w:val="16"/>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customStyle="1" w:styleId="13">
    <w:name w:val="font61"/>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Char"/>
    <w:link w:val="6"/>
    <w:autoRedefine/>
    <w:qFormat/>
    <w:uiPriority w:val="0"/>
    <w:rPr>
      <w:rFonts w:eastAsia="仿宋_GB2312"/>
      <w:kern w:val="2"/>
      <w:sz w:val="18"/>
    </w:rPr>
  </w:style>
  <w:style w:type="character" w:customStyle="1" w:styleId="17">
    <w:name w:val="批注框文本 Char"/>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uiPriority w:val="0"/>
    <w:pPr>
      <w:tabs>
        <w:tab w:val="center" w:pos="4153"/>
        <w:tab w:val="right" w:pos="8306"/>
      </w:tabs>
      <w:snapToGrid w:val="0"/>
      <w:jc w:val="left"/>
    </w:pPr>
    <w:rPr>
      <w:sz w:val="18"/>
    </w:rPr>
  </w:style>
  <w:style w:type="paragraph" w:customStyle="1" w:styleId="22">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uiPriority w:val="0"/>
    <w:pPr>
      <w:tabs>
        <w:tab w:val="center" w:pos="4153"/>
        <w:tab w:val="right" w:pos="8306"/>
      </w:tabs>
      <w:snapToGrid w:val="0"/>
      <w:jc w:val="left"/>
    </w:pPr>
    <w:rPr>
      <w:sz w:val="18"/>
    </w:rPr>
  </w:style>
  <w:style w:type="paragraph" w:customStyle="1" w:styleId="28">
    <w:name w:val="页脚 New"/>
    <w:basedOn w:val="1"/>
    <w:uiPriority w:val="0"/>
    <w:pPr>
      <w:tabs>
        <w:tab w:val="center" w:pos="4153"/>
        <w:tab w:val="right" w:pos="8306"/>
      </w:tabs>
      <w:snapToGrid w:val="0"/>
      <w:jc w:val="left"/>
    </w:pPr>
    <w:rPr>
      <w:sz w:val="18"/>
    </w:rPr>
  </w:style>
  <w:style w:type="paragraph" w:customStyle="1" w:styleId="29">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autoRedefine/>
    <w:uiPriority w:val="0"/>
    <w:pPr>
      <w:tabs>
        <w:tab w:val="center" w:pos="4153"/>
        <w:tab w:val="right" w:pos="8306"/>
      </w:tabs>
      <w:snapToGrid w:val="0"/>
      <w:jc w:val="left"/>
    </w:pPr>
    <w:rPr>
      <w:sz w:val="18"/>
    </w:rPr>
  </w:style>
  <w:style w:type="paragraph" w:customStyle="1" w:styleId="78">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uiPriority w:val="0"/>
    <w:rPr>
      <w:rFonts w:eastAsia="宋体"/>
      <w:sz w:val="21"/>
      <w:szCs w:val="21"/>
    </w:rPr>
  </w:style>
  <w:style w:type="paragraph" w:customStyle="1" w:styleId="80">
    <w:name w:val="页脚 New New New New New New New New New New New New New New New New New New New New New New New"/>
    <w:basedOn w:val="1"/>
    <w:autoRedefine/>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FE1A3-6596-438F-9F69-503D9799A3D0}">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1</Pages>
  <Words>1445</Words>
  <Characters>8240</Characters>
  <Lines>68</Lines>
  <Paragraphs>19</Paragraphs>
  <TotalTime>0</TotalTime>
  <ScaleCrop>false</ScaleCrop>
  <LinksUpToDate>false</LinksUpToDate>
  <CharactersWithSpaces>9666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2024-02-23T01:37:00Z</cp:lastPrinted>
  <dcterms:modified xsi:type="dcterms:W3CDTF">2024-02-26T01:54:58Z</dcterms:modified>
  <dc:title>主  持  词</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