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eastAsia="zh-CN"/>
        </w:rPr>
        <w:t>通化市统计局二道江区分局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（一）贯彻执行国家统计方针、政策以及法律、法规，制定全区统计规划及统计调查计划；监督检查统计法律、法规的实施。组织领导全区统计工作，承担确保统计数据真实、准确、及时的责任。</w:t>
      </w:r>
    </w:p>
    <w:p>
      <w:pPr>
        <w:ind w:firstLine="640" w:firstLineChars="200"/>
        <w:rPr>
          <w:rFonts w:hint="eastAsia"/>
          <w:color w:val="000000"/>
          <w:szCs w:val="32"/>
        </w:rPr>
      </w:pPr>
      <w:r>
        <w:rPr>
          <w:rFonts w:hint="eastAsia"/>
          <w:color w:val="000000"/>
          <w:szCs w:val="32"/>
        </w:rPr>
        <w:t>（二）根据国家统一的基本统计制度，建立健全全区国民经济核算体系和统计指标体系，贯彻执行全省统一的基本统计报表制度和统计标准；汇编提供全区国民经济核算资料。</w:t>
      </w:r>
    </w:p>
    <w:p>
      <w:pPr>
        <w:ind w:firstLine="640" w:firstLineChars="200"/>
        <w:rPr>
          <w:rFonts w:hint="eastAsia"/>
          <w:color w:val="000000"/>
          <w:szCs w:val="32"/>
        </w:rPr>
      </w:pPr>
      <w:r>
        <w:rPr>
          <w:rFonts w:hint="eastAsia"/>
          <w:color w:val="000000"/>
          <w:szCs w:val="32"/>
        </w:rPr>
        <w:t>（三）组织实施重大省情省力普查计划；统一组织协调全区社会经济统计调查；汇总、整理全区基本统计资料；对国民经济、科技进步和社会发展等情况进行统计分析、统计预测预警和统计监督，向区委、区政府及有关部门提供统计信息和咨询建议；收集、整理、提供县（市）区统计资料，并进行分析和研究。</w:t>
      </w:r>
    </w:p>
    <w:p>
      <w:pPr>
        <w:ind w:firstLine="640" w:firstLineChars="200"/>
        <w:rPr>
          <w:rFonts w:hint="eastAsia"/>
          <w:color w:val="000000"/>
          <w:szCs w:val="32"/>
        </w:rPr>
      </w:pPr>
      <w:r>
        <w:rPr>
          <w:rFonts w:hint="eastAsia"/>
          <w:color w:val="000000"/>
          <w:szCs w:val="32"/>
        </w:rPr>
        <w:t>（四）统一核定、管理、公布全区基本统计资料，定期向社会公众发布全区国民经济和社会发展情况统计信息。</w:t>
      </w:r>
    </w:p>
    <w:p>
      <w:pPr>
        <w:ind w:firstLine="640" w:firstLineChars="200"/>
        <w:rPr>
          <w:rFonts w:hint="eastAsia"/>
          <w:color w:val="000000"/>
          <w:szCs w:val="32"/>
        </w:rPr>
      </w:pPr>
      <w:r>
        <w:rPr>
          <w:rFonts w:hint="eastAsia"/>
          <w:color w:val="000000"/>
          <w:szCs w:val="32"/>
        </w:rPr>
        <w:t>（五）建立、完善和管理全区统计信息化系统和统计数据库体系；组织指导乡（镇）街统计站信息化网络建设。</w:t>
      </w:r>
    </w:p>
    <w:p>
      <w:pPr>
        <w:ind w:firstLine="640" w:firstLineChars="200"/>
        <w:rPr>
          <w:rFonts w:hint="eastAsia"/>
          <w:color w:val="000000"/>
          <w:szCs w:val="32"/>
        </w:rPr>
      </w:pPr>
      <w:r>
        <w:rPr>
          <w:rFonts w:hint="eastAsia"/>
          <w:color w:val="000000"/>
          <w:szCs w:val="32"/>
        </w:rPr>
        <w:t>（六）依法管理全区统计调查项目和统计标准，指导专业统计基础工作、统计站业务基础建设，组织建立服务业统计信息管理制度，建立健全统计数据质量审核、监控和评估制度，负责重要统计数据的审核、监控和评估。</w:t>
      </w:r>
    </w:p>
    <w:p>
      <w:pPr>
        <w:ind w:firstLine="640" w:firstLineChars="200"/>
        <w:rPr>
          <w:color w:val="000000"/>
          <w:sz w:val="21"/>
          <w:szCs w:val="21"/>
        </w:rPr>
      </w:pPr>
      <w:r>
        <w:rPr>
          <w:rFonts w:hint="eastAsia"/>
          <w:color w:val="000000"/>
          <w:szCs w:val="32"/>
        </w:rPr>
        <w:t>（七）承办省、市统计局和区政府交办的其他事项。</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hint="eastAsia" w:eastAsia="仿宋_GB2312"/>
          <w:u w:val="none"/>
          <w:lang w:eastAsia="zh-CN"/>
        </w:rPr>
        <w:t>通化市统计局二道江区分局</w:t>
      </w:r>
      <w:r>
        <w:rPr>
          <w:rFonts w:eastAsia="仿宋_GB2312"/>
        </w:rPr>
        <w:t>内设</w:t>
      </w:r>
      <w:r>
        <w:rPr>
          <w:rFonts w:hint="eastAsia" w:eastAsia="仿宋_GB2312"/>
          <w:u w:val="none"/>
          <w:lang w:val="en-US" w:eastAsia="zh-CN"/>
        </w:rPr>
        <w:t>1</w:t>
      </w:r>
      <w:r>
        <w:rPr>
          <w:rFonts w:eastAsia="仿宋_GB2312"/>
        </w:rPr>
        <w:t>个机构，</w:t>
      </w:r>
      <w:r>
        <w:rPr>
          <w:rFonts w:hint="eastAsia" w:eastAsia="仿宋_GB2312"/>
          <w:lang w:eastAsia="zh-CN"/>
        </w:rPr>
        <w:t>综合科</w:t>
      </w:r>
      <w:r>
        <w:rPr>
          <w:rFonts w:eastAsia="仿宋_GB2312"/>
        </w:rPr>
        <w:t>。</w:t>
      </w:r>
    </w:p>
    <w:p>
      <w:pPr>
        <w:pStyle w:val="48"/>
        <w:ind w:firstLine="640" w:firstLineChars="200"/>
        <w:rPr>
          <w:rFonts w:eastAsia="仿宋_GB2312"/>
        </w:rPr>
      </w:pPr>
      <w:r>
        <w:rPr>
          <w:rFonts w:hint="eastAsia" w:eastAsia="仿宋_GB2312"/>
          <w:lang w:eastAsia="zh-CN"/>
        </w:rPr>
        <w:t>本单位无下设预算单位</w:t>
      </w:r>
      <w:r>
        <w:rPr>
          <w:rFonts w:eastAsia="仿宋_GB2312"/>
        </w:rPr>
        <w:t>。</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861"/>
        <w:gridCol w:w="936"/>
        <w:gridCol w:w="1205"/>
        <w:gridCol w:w="1068"/>
        <w:gridCol w:w="1401"/>
        <w:gridCol w:w="1309"/>
        <w:gridCol w:w="1077"/>
        <w:gridCol w:w="1051"/>
      </w:tblGrid>
      <w:tr>
        <w:tblPrEx>
          <w:tblCellMar>
            <w:top w:w="0" w:type="dxa"/>
            <w:left w:w="108" w:type="dxa"/>
            <w:bottom w:w="0" w:type="dxa"/>
            <w:right w:w="108" w:type="dxa"/>
          </w:tblCellMar>
        </w:tblPrEx>
        <w:trPr>
          <w:trHeight w:val="525" w:hRule="atLeast"/>
        </w:trPr>
        <w:tc>
          <w:tcPr>
            <w:tcW w:w="9908" w:type="dxa"/>
            <w:gridSpan w:val="8"/>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4002" w:type="dxa"/>
            <w:gridSpan w:val="3"/>
            <w:tcBorders>
              <w:top w:val="nil"/>
              <w:left w:val="nil"/>
              <w:bottom w:val="nil"/>
              <w:right w:val="nil"/>
            </w:tcBorders>
            <w:noWrap w:val="0"/>
            <w:vAlign w:val="center"/>
          </w:tcPr>
          <w:p>
            <w:pPr>
              <w:widowControl/>
              <w:jc w:val="center"/>
              <w:rPr>
                <w:rFonts w:eastAsia="宋体"/>
                <w:kern w:val="0"/>
                <w:sz w:val="20"/>
              </w:rPr>
            </w:pPr>
          </w:p>
        </w:tc>
        <w:tc>
          <w:tcPr>
            <w:tcW w:w="1068" w:type="dxa"/>
            <w:tcBorders>
              <w:top w:val="nil"/>
              <w:left w:val="nil"/>
              <w:bottom w:val="nil"/>
              <w:right w:val="nil"/>
            </w:tcBorders>
            <w:noWrap w:val="0"/>
            <w:vAlign w:val="center"/>
          </w:tcPr>
          <w:p>
            <w:pPr>
              <w:widowControl/>
              <w:jc w:val="center"/>
              <w:rPr>
                <w:rFonts w:eastAsia="宋体"/>
                <w:kern w:val="0"/>
                <w:sz w:val="20"/>
              </w:rPr>
            </w:pPr>
          </w:p>
        </w:tc>
        <w:tc>
          <w:tcPr>
            <w:tcW w:w="2710" w:type="dxa"/>
            <w:gridSpan w:val="2"/>
            <w:tcBorders>
              <w:top w:val="nil"/>
              <w:left w:val="nil"/>
              <w:bottom w:val="nil"/>
              <w:right w:val="nil"/>
            </w:tcBorders>
            <w:noWrap w:val="0"/>
            <w:vAlign w:val="center"/>
          </w:tcPr>
          <w:p>
            <w:pPr>
              <w:widowControl/>
              <w:jc w:val="center"/>
              <w:rPr>
                <w:rFonts w:eastAsia="宋体"/>
                <w:kern w:val="0"/>
                <w:sz w:val="20"/>
              </w:rPr>
            </w:pPr>
          </w:p>
        </w:tc>
        <w:tc>
          <w:tcPr>
            <w:tcW w:w="2128" w:type="dxa"/>
            <w:gridSpan w:val="2"/>
            <w:tcBorders>
              <w:top w:val="nil"/>
              <w:left w:val="nil"/>
              <w:bottom w:val="nil"/>
              <w:right w:val="nil"/>
            </w:tcBorders>
            <w:noWrap w:val="0"/>
            <w:vAlign w:val="center"/>
          </w:tcPr>
          <w:p>
            <w:pPr>
              <w:widowControl/>
              <w:jc w:val="center"/>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861"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3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1205"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06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40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309"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p>
          <w:p>
            <w:pPr>
              <w:widowControl/>
              <w:jc w:val="center"/>
              <w:rPr>
                <w:rFonts w:eastAsia="宋体"/>
                <w:kern w:val="0"/>
                <w:sz w:val="20"/>
              </w:rPr>
            </w:pPr>
            <w:r>
              <w:rPr>
                <w:rFonts w:hint="eastAsia" w:eastAsia="宋体"/>
                <w:kern w:val="0"/>
                <w:sz w:val="20"/>
              </w:rPr>
              <w:t>预算数</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05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90" w:hRule="atLeast"/>
        </w:trPr>
        <w:tc>
          <w:tcPr>
            <w:tcW w:w="1861"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936"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98.62</w:t>
            </w:r>
          </w:p>
        </w:tc>
        <w:tc>
          <w:tcPr>
            <w:tcW w:w="1205"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96.67</w:t>
            </w:r>
          </w:p>
        </w:tc>
        <w:tc>
          <w:tcPr>
            <w:tcW w:w="1068"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1.95</w:t>
            </w:r>
          </w:p>
        </w:tc>
        <w:tc>
          <w:tcPr>
            <w:tcW w:w="1401"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309"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78.31</w:t>
            </w:r>
          </w:p>
        </w:tc>
        <w:tc>
          <w:tcPr>
            <w:tcW w:w="1077"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78.05</w:t>
            </w:r>
          </w:p>
        </w:tc>
        <w:tc>
          <w:tcPr>
            <w:tcW w:w="1051"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0.26</w:t>
            </w: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936"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rPr>
            </w:pPr>
            <w:r>
              <w:rPr>
                <w:rFonts w:hint="eastAsia" w:eastAsia="宋体"/>
                <w:kern w:val="0"/>
                <w:sz w:val="20"/>
                <w:lang w:val="en-US" w:eastAsia="zh-CN"/>
              </w:rPr>
              <w:t>98.62</w:t>
            </w:r>
          </w:p>
        </w:tc>
        <w:tc>
          <w:tcPr>
            <w:tcW w:w="1205"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rPr>
            </w:pPr>
            <w:r>
              <w:rPr>
                <w:rFonts w:hint="eastAsia" w:eastAsia="宋体"/>
                <w:kern w:val="0"/>
                <w:sz w:val="20"/>
                <w:lang w:val="en-US" w:eastAsia="zh-CN"/>
              </w:rPr>
              <w:t>96.67</w:t>
            </w:r>
          </w:p>
        </w:tc>
        <w:tc>
          <w:tcPr>
            <w:tcW w:w="1068"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rPr>
            </w:pPr>
            <w:r>
              <w:rPr>
                <w:rFonts w:hint="eastAsia" w:eastAsia="宋体"/>
                <w:kern w:val="0"/>
                <w:sz w:val="20"/>
                <w:lang w:val="en-US" w:eastAsia="zh-CN"/>
              </w:rPr>
              <w:t>1.95</w:t>
            </w:r>
          </w:p>
        </w:tc>
        <w:tc>
          <w:tcPr>
            <w:tcW w:w="1401"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二、社会保障和就业支出</w:t>
            </w:r>
          </w:p>
        </w:tc>
        <w:tc>
          <w:tcPr>
            <w:tcW w:w="1309"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12.01</w:t>
            </w:r>
          </w:p>
        </w:tc>
        <w:tc>
          <w:tcPr>
            <w:tcW w:w="1077"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11.02</w:t>
            </w:r>
          </w:p>
        </w:tc>
        <w:tc>
          <w:tcPr>
            <w:tcW w:w="1051"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0.99</w:t>
            </w: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93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205"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068"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401"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lang w:val="en-US" w:eastAsia="zh-CN" w:bidi="ar-SA"/>
              </w:rPr>
            </w:pPr>
            <w:r>
              <w:rPr>
                <w:rFonts w:hint="eastAsia" w:eastAsia="宋体"/>
                <w:color w:val="000000"/>
                <w:kern w:val="0"/>
                <w:sz w:val="20"/>
                <w:lang w:eastAsia="zh-CN"/>
              </w:rPr>
              <w:t>三、卫生健康支出</w:t>
            </w:r>
          </w:p>
        </w:tc>
        <w:tc>
          <w:tcPr>
            <w:tcW w:w="1309"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077"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1.91</w:t>
            </w:r>
          </w:p>
        </w:tc>
        <w:tc>
          <w:tcPr>
            <w:tcW w:w="1051"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93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205"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068"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401"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四、住房保障支出</w:t>
            </w:r>
          </w:p>
        </w:tc>
        <w:tc>
          <w:tcPr>
            <w:tcW w:w="1309"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6.40</w:t>
            </w:r>
          </w:p>
        </w:tc>
        <w:tc>
          <w:tcPr>
            <w:tcW w:w="1077"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5.69</w:t>
            </w:r>
          </w:p>
        </w:tc>
        <w:tc>
          <w:tcPr>
            <w:tcW w:w="1051"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0.71</w:t>
            </w: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93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20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68"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401"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309"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077"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51"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93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20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68"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401"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309"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077"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51"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93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20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68"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401"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309"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077"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51"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93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205"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068"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401"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309"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077"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051"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93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205"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068"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401"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309"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077"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051"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93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205"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068"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401"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309"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077"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051"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936"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205"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068"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401"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309"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077"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051"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936"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rPr>
            </w:pPr>
            <w:r>
              <w:rPr>
                <w:rFonts w:hint="eastAsia" w:eastAsia="宋体"/>
                <w:kern w:val="0"/>
                <w:sz w:val="20"/>
                <w:lang w:val="en-US" w:eastAsia="zh-CN"/>
              </w:rPr>
              <w:t>98.62</w:t>
            </w:r>
          </w:p>
        </w:tc>
        <w:tc>
          <w:tcPr>
            <w:tcW w:w="1205"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rPr>
            </w:pPr>
            <w:r>
              <w:rPr>
                <w:rFonts w:hint="eastAsia" w:eastAsia="宋体"/>
                <w:kern w:val="0"/>
                <w:sz w:val="20"/>
                <w:lang w:val="en-US" w:eastAsia="zh-CN"/>
              </w:rPr>
              <w:t>96.67</w:t>
            </w:r>
          </w:p>
        </w:tc>
        <w:tc>
          <w:tcPr>
            <w:tcW w:w="1068"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rPr>
            </w:pPr>
            <w:r>
              <w:rPr>
                <w:rFonts w:hint="eastAsia" w:eastAsia="宋体"/>
                <w:kern w:val="0"/>
                <w:sz w:val="20"/>
                <w:lang w:val="en-US" w:eastAsia="zh-CN"/>
              </w:rPr>
              <w:t>1.95</w:t>
            </w:r>
          </w:p>
        </w:tc>
        <w:tc>
          <w:tcPr>
            <w:tcW w:w="1401"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309"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b/>
                <w:bCs/>
                <w:kern w:val="0"/>
                <w:sz w:val="20"/>
                <w:lang w:val="en-US" w:eastAsia="zh-CN"/>
              </w:rPr>
            </w:pPr>
            <w:r>
              <w:rPr>
                <w:rFonts w:hint="eastAsia" w:eastAsia="宋体"/>
                <w:b w:val="0"/>
                <w:bCs w:val="0"/>
                <w:kern w:val="0"/>
                <w:sz w:val="20"/>
                <w:lang w:val="en-US" w:eastAsia="zh-CN"/>
              </w:rPr>
              <w:t>98.62</w:t>
            </w:r>
          </w:p>
        </w:tc>
        <w:tc>
          <w:tcPr>
            <w:tcW w:w="1077"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96.67</w:t>
            </w:r>
          </w:p>
        </w:tc>
        <w:tc>
          <w:tcPr>
            <w:tcW w:w="1051"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1.95</w:t>
            </w: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93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205"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068"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401"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309"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77"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051"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93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20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68"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401"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309"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77"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51"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861"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936"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rPr>
            </w:pPr>
            <w:r>
              <w:rPr>
                <w:rFonts w:hint="eastAsia" w:eastAsia="宋体"/>
                <w:kern w:val="0"/>
                <w:sz w:val="20"/>
                <w:lang w:val="en-US" w:eastAsia="zh-CN"/>
              </w:rPr>
              <w:t>98.62</w:t>
            </w:r>
          </w:p>
        </w:tc>
        <w:tc>
          <w:tcPr>
            <w:tcW w:w="1205"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rPr>
            </w:pPr>
            <w:r>
              <w:rPr>
                <w:rFonts w:hint="eastAsia" w:eastAsia="宋体"/>
                <w:kern w:val="0"/>
                <w:sz w:val="20"/>
                <w:lang w:val="en-US" w:eastAsia="zh-CN"/>
              </w:rPr>
              <w:t>96.67</w:t>
            </w:r>
          </w:p>
        </w:tc>
        <w:tc>
          <w:tcPr>
            <w:tcW w:w="1068"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rPr>
            </w:pPr>
            <w:r>
              <w:rPr>
                <w:rFonts w:hint="eastAsia" w:eastAsia="宋体"/>
                <w:kern w:val="0"/>
                <w:sz w:val="20"/>
                <w:lang w:val="en-US" w:eastAsia="zh-CN"/>
              </w:rPr>
              <w:t>1.95</w:t>
            </w:r>
          </w:p>
        </w:tc>
        <w:tc>
          <w:tcPr>
            <w:tcW w:w="1401"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309"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98.62</w:t>
            </w:r>
          </w:p>
        </w:tc>
        <w:tc>
          <w:tcPr>
            <w:tcW w:w="1077"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96.67</w:t>
            </w:r>
          </w:p>
        </w:tc>
        <w:tc>
          <w:tcPr>
            <w:tcW w:w="1051"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1.95</w:t>
            </w:r>
          </w:p>
        </w:tc>
      </w:tr>
    </w:tbl>
    <w:p>
      <w:pPr>
        <w:ind w:firstLine="0" w:firstLineChars="0"/>
        <w:rPr>
          <w:rFonts w:eastAsia="楷体_GB2312"/>
          <w:strike/>
        </w:rPr>
      </w:pPr>
    </w:p>
    <w:p>
      <w:pPr>
        <w:ind w:firstLine="640" w:firstLineChars="200"/>
        <w:rPr>
          <w:rFonts w:eastAsia="楷体_GB2312"/>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577" w:type="dxa"/>
        <w:jc w:val="center"/>
        <w:tblLayout w:type="fixed"/>
        <w:tblCellMar>
          <w:top w:w="0" w:type="dxa"/>
          <w:left w:w="108" w:type="dxa"/>
          <w:bottom w:w="0" w:type="dxa"/>
          <w:right w:w="108" w:type="dxa"/>
        </w:tblCellMar>
      </w:tblPr>
      <w:tblGrid>
        <w:gridCol w:w="1429"/>
        <w:gridCol w:w="691"/>
        <w:gridCol w:w="674"/>
        <w:gridCol w:w="708"/>
        <w:gridCol w:w="303"/>
        <w:gridCol w:w="371"/>
        <w:gridCol w:w="472"/>
        <w:gridCol w:w="269"/>
        <w:gridCol w:w="336"/>
        <w:gridCol w:w="440"/>
        <w:gridCol w:w="370"/>
        <w:gridCol w:w="184"/>
        <w:gridCol w:w="169"/>
        <w:gridCol w:w="329"/>
        <w:gridCol w:w="245"/>
        <w:gridCol w:w="588"/>
        <w:gridCol w:w="327"/>
        <w:gridCol w:w="84"/>
        <w:gridCol w:w="280"/>
        <w:gridCol w:w="725"/>
        <w:gridCol w:w="583"/>
      </w:tblGrid>
      <w:tr>
        <w:tblPrEx>
          <w:tblCellMar>
            <w:top w:w="0" w:type="dxa"/>
            <w:left w:w="108" w:type="dxa"/>
            <w:bottom w:w="0" w:type="dxa"/>
            <w:right w:w="108" w:type="dxa"/>
          </w:tblCellMar>
        </w:tblPrEx>
        <w:trPr>
          <w:trHeight w:val="335" w:hRule="atLeast"/>
          <w:jc w:val="center"/>
        </w:trPr>
        <w:tc>
          <w:tcPr>
            <w:tcW w:w="1429" w:type="dxa"/>
            <w:tcBorders>
              <w:bottom w:val="single" w:color="000000" w:sz="4" w:space="0"/>
            </w:tcBorders>
            <w:noWrap w:val="0"/>
            <w:vAlign w:val="top"/>
          </w:tcPr>
          <w:p>
            <w:pPr>
              <w:autoSpaceDN w:val="0"/>
              <w:jc w:val="left"/>
              <w:textAlignment w:val="center"/>
              <w:rPr>
                <w:rFonts w:eastAsia="华文细黑"/>
                <w:color w:val="000000"/>
                <w:sz w:val="20"/>
              </w:rPr>
            </w:pPr>
          </w:p>
        </w:tc>
        <w:tc>
          <w:tcPr>
            <w:tcW w:w="3824"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3"/>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833" w:type="dxa"/>
            <w:gridSpan w:val="2"/>
            <w:noWrap w:val="0"/>
            <w:vAlign w:val="center"/>
          </w:tcPr>
          <w:p>
            <w:pPr>
              <w:autoSpaceDN w:val="0"/>
              <w:jc w:val="left"/>
              <w:textAlignment w:val="center"/>
              <w:rPr>
                <w:rFonts w:eastAsia="华文细黑"/>
                <w:color w:val="000000"/>
                <w:sz w:val="20"/>
              </w:rPr>
            </w:pPr>
          </w:p>
        </w:tc>
        <w:tc>
          <w:tcPr>
            <w:tcW w:w="327" w:type="dxa"/>
            <w:noWrap w:val="0"/>
            <w:vAlign w:val="bottom"/>
          </w:tcPr>
          <w:p>
            <w:pPr>
              <w:autoSpaceDN w:val="0"/>
              <w:jc w:val="right"/>
              <w:textAlignment w:val="bottom"/>
              <w:rPr>
                <w:rFonts w:eastAsia="宋体"/>
                <w:color w:val="000000"/>
                <w:sz w:val="20"/>
              </w:rPr>
            </w:pPr>
          </w:p>
        </w:tc>
        <w:tc>
          <w:tcPr>
            <w:tcW w:w="1672" w:type="dxa"/>
            <w:gridSpan w:val="4"/>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429"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691"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296"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161"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429"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691"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674"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382"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款收入</w:t>
            </w:r>
          </w:p>
        </w:tc>
        <w:tc>
          <w:tcPr>
            <w:tcW w:w="472"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68"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574"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279"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1308"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429"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691"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674"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0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03"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72"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2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5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574"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5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11"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28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72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58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42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r>
              <w:rPr>
                <w:rFonts w:hint="eastAsia" w:eastAsia="宋体"/>
                <w:color w:val="000000"/>
                <w:sz w:val="20"/>
                <w:lang w:val="en-US" w:eastAsia="zh-CN"/>
              </w:rPr>
              <w:t>通化市统计局二道江区分局</w:t>
            </w: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98.62</w:t>
            </w:r>
          </w:p>
        </w:tc>
        <w:tc>
          <w:tcPr>
            <w:tcW w:w="6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96.67</w:t>
            </w: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96.67</w:t>
            </w:r>
          </w:p>
        </w:tc>
        <w:tc>
          <w:tcPr>
            <w:tcW w:w="30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1.95</w:t>
            </w:r>
          </w:p>
        </w:tc>
        <w:tc>
          <w:tcPr>
            <w:tcW w:w="5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1.95</w:t>
            </w:r>
          </w:p>
        </w:tc>
        <w:tc>
          <w:tcPr>
            <w:tcW w:w="4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2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2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2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429"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98.62</w:t>
            </w:r>
          </w:p>
        </w:tc>
        <w:tc>
          <w:tcPr>
            <w:tcW w:w="6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96.67</w:t>
            </w: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96.67</w:t>
            </w:r>
          </w:p>
        </w:tc>
        <w:tc>
          <w:tcPr>
            <w:tcW w:w="30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7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2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5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7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1.95</w:t>
            </w:r>
          </w:p>
        </w:tc>
        <w:tc>
          <w:tcPr>
            <w:tcW w:w="5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1.95</w:t>
            </w:r>
          </w:p>
        </w:tc>
        <w:tc>
          <w:tcPr>
            <w:tcW w:w="4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2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7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3" w:type="dxa"/>
              <w:tblInd w:w="445" w:type="dxa"/>
              <w:tblLayout w:type="fixed"/>
              <w:tblCellMar>
                <w:top w:w="15" w:type="dxa"/>
                <w:left w:w="15" w:type="dxa"/>
                <w:bottom w:w="15" w:type="dxa"/>
                <w:right w:w="15" w:type="dxa"/>
              </w:tblCellMar>
            </w:tblPr>
            <w:tblGrid>
              <w:gridCol w:w="2242"/>
              <w:gridCol w:w="1175"/>
              <w:gridCol w:w="1240"/>
              <w:gridCol w:w="1156"/>
              <w:gridCol w:w="1297"/>
              <w:gridCol w:w="1267"/>
              <w:gridCol w:w="30"/>
              <w:gridCol w:w="1297"/>
              <w:gridCol w:w="139"/>
            </w:tblGrid>
            <w:tr>
              <w:tblPrEx>
                <w:tblCellMar>
                  <w:top w:w="15" w:type="dxa"/>
                  <w:left w:w="15" w:type="dxa"/>
                  <w:bottom w:w="15" w:type="dxa"/>
                  <w:right w:w="15" w:type="dxa"/>
                </w:tblCellMar>
              </w:tblPrEx>
              <w:trPr>
                <w:gridAfter w:val="1"/>
                <w:wAfter w:w="139" w:type="dxa"/>
                <w:trHeight w:val="390" w:hRule="atLeast"/>
              </w:trPr>
              <w:tc>
                <w:tcPr>
                  <w:tcW w:w="5813"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24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75"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23"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78.31</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51.63</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26.68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统计信息事务</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78.31</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51.63</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26.68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51.63</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51.63</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一般行政管理事务</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18.36</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专项普查活动</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8.32</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w:t>
                  </w:r>
                  <w:r>
                    <w:rPr>
                      <w:rFonts w:hint="eastAsia" w:ascii="宋体" w:hAnsi="宋体" w:eastAsia="宋体" w:cs="宋体"/>
                      <w:color w:val="000000"/>
                      <w:kern w:val="0"/>
                      <w:sz w:val="20"/>
                      <w:szCs w:val="20"/>
                      <w:lang w:eastAsia="zh-CN"/>
                    </w:rPr>
                    <w:t>社会保障和就业支出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12.01</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12.01</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行政事业单位养老支出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12.01</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12.01</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行政单位离退休</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4.97</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4.97</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机关事业单位基本养老保险缴费支出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7.04</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7.04</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三、卫生健康支出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1.91</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行政事业单位医疗</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1.91</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行政单位医疗</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1.91</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四、住房保障支出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6.40</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6.40</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住房改革支出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6.40</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6.40</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住房公积金</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6.40</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6.40</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98.63</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71.95</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26.68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Spec="center" w:tblpY="657"/>
              <w:tblOverlap w:val="never"/>
              <w:tblW w:w="0" w:type="auto"/>
              <w:jc w:val="center"/>
              <w:tblLayout w:type="fixed"/>
              <w:tblCellMar>
                <w:top w:w="0" w:type="dxa"/>
                <w:left w:w="108" w:type="dxa"/>
                <w:bottom w:w="0" w:type="dxa"/>
                <w:right w:w="108" w:type="dxa"/>
              </w:tblCellMar>
            </w:tblPr>
            <w:tblGrid>
              <w:gridCol w:w="1442"/>
              <w:gridCol w:w="1126"/>
              <w:gridCol w:w="1126"/>
              <w:gridCol w:w="1126"/>
              <w:gridCol w:w="1459"/>
              <w:gridCol w:w="1163"/>
              <w:gridCol w:w="1112"/>
              <w:gridCol w:w="1086"/>
            </w:tblGrid>
            <w:tr>
              <w:tblPrEx>
                <w:tblCellMar>
                  <w:top w:w="0" w:type="dxa"/>
                  <w:left w:w="108" w:type="dxa"/>
                  <w:bottom w:w="0" w:type="dxa"/>
                  <w:right w:w="108" w:type="dxa"/>
                </w:tblCellMar>
              </w:tblPrEx>
              <w:trPr>
                <w:trHeight w:val="634" w:hRule="atLeast"/>
                <w:jc w:val="center"/>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jc w:val="center"/>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459"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3"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1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98.62</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96.67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1.95</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98.62</w:t>
                  </w: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96.67</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2"/>
                      <w:lang w:val="en-US" w:eastAsia="zh-CN"/>
                    </w:rPr>
                  </w:pPr>
                  <w:r>
                    <w:rPr>
                      <w:rFonts w:hint="eastAsia" w:eastAsia="宋体"/>
                      <w:kern w:val="0"/>
                      <w:sz w:val="20"/>
                      <w:szCs w:val="22"/>
                      <w:lang w:val="en-US" w:eastAsia="zh-CN"/>
                    </w:rPr>
                    <w:t>1.95</w:t>
                  </w:r>
                </w:p>
              </w:tc>
            </w:tr>
            <w:tr>
              <w:tblPrEx>
                <w:tblCellMar>
                  <w:top w:w="0" w:type="dxa"/>
                  <w:left w:w="108" w:type="dxa"/>
                  <w:bottom w:w="0" w:type="dxa"/>
                  <w:right w:w="108" w:type="dxa"/>
                </w:tblCellMar>
              </w:tblPrEx>
              <w:trPr>
                <w:trHeight w:val="63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98.62</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96.67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1.95</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w:t>
                  </w:r>
                  <w:r>
                    <w:rPr>
                      <w:rFonts w:eastAsia="宋体"/>
                      <w:color w:val="000000"/>
                      <w:kern w:val="0"/>
                      <w:sz w:val="20"/>
                    </w:rPr>
                    <w:t>一</w:t>
                  </w:r>
                  <w:r>
                    <w:rPr>
                      <w:rFonts w:hint="eastAsia" w:eastAsia="宋体"/>
                      <w:color w:val="000000"/>
                      <w:kern w:val="0"/>
                      <w:sz w:val="20"/>
                      <w:lang w:eastAsia="zh-CN"/>
                    </w:rPr>
                    <w:t>）</w:t>
                  </w:r>
                  <w:r>
                    <w:rPr>
                      <w:rFonts w:eastAsia="宋体"/>
                      <w:color w:val="000000"/>
                      <w:kern w:val="0"/>
                      <w:sz w:val="20"/>
                    </w:rPr>
                    <w:t>一般公共服务</w:t>
                  </w:r>
                  <w:r>
                    <w:rPr>
                      <w:rFonts w:hint="eastAsia" w:eastAsia="宋体"/>
                      <w:color w:val="000000"/>
                      <w:kern w:val="0"/>
                      <w:sz w:val="20"/>
                      <w:lang w:eastAsia="zh-CN"/>
                    </w:rPr>
                    <w:t>支出</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78.31</w:t>
                  </w: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78.05</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0.26</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（二）</w:t>
                  </w:r>
                  <w:r>
                    <w:rPr>
                      <w:rFonts w:hint="eastAsia" w:eastAsia="宋体"/>
                      <w:color w:val="000000"/>
                      <w:kern w:val="0"/>
                      <w:sz w:val="20"/>
                      <w:szCs w:val="20"/>
                      <w:lang w:eastAsia="zh-CN"/>
                    </w:rPr>
                    <w:t>社会保障和就业支出</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12.01</w:t>
                  </w: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11.02</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0.99</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（三）</w:t>
                  </w:r>
                  <w:r>
                    <w:rPr>
                      <w:rFonts w:hint="eastAsia" w:eastAsia="宋体"/>
                      <w:color w:val="000000"/>
                      <w:kern w:val="0"/>
                      <w:sz w:val="20"/>
                      <w:lang w:eastAsia="zh-CN"/>
                    </w:rPr>
                    <w:t>卫生健康支出</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1.91</w:t>
                  </w: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1.91</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lang w:eastAsia="zh-CN"/>
                    </w:rPr>
                    <w:t>住房保障支出</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6.40</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5.69</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0.71</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r>
            <w:tr>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黑体"/>
                      <w:kern w:val="0"/>
                      <w:sz w:val="20"/>
                      <w:lang w:val="en-US" w:eastAsia="zh-CN"/>
                    </w:rPr>
                    <w:t>98.62</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96.67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1.95</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98.62</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96.67</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1.95</w:t>
                  </w: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pPr w:leftFromText="180" w:rightFromText="180" w:vertAnchor="text" w:horzAnchor="page" w:tblpX="830" w:tblpY="-2"/>
        <w:tblOverlap w:val="never"/>
        <w:tblW w:w="0" w:type="auto"/>
        <w:tblInd w:w="0" w:type="dxa"/>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ind w:firstLine="1760" w:firstLineChars="400"/>
                    <w:jc w:val="both"/>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78.31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51.63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41.04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10.59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26.68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78.31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51.63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41.04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10.59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26.68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51.63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51.63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41.04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10.59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18.36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18.36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w:t>
                  </w:r>
                  <w:r>
                    <w:rPr>
                      <w:rFonts w:hint="eastAsia" w:ascii="宋体" w:hAnsi="宋体" w:eastAsia="宋体" w:cs="宋体"/>
                      <w:color w:val="000000"/>
                      <w:kern w:val="0"/>
                      <w:sz w:val="20"/>
                      <w:szCs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12.01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12.01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12.01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300" w:firstLineChars="15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12.01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12.01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4.97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4.97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4.97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6.40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6.40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6.40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6.40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6.40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6.40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6.40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6.40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6.40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98.63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71.95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61.36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10.59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26.68</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jc w:val="center"/>
        <w:rPr>
          <w:rFonts w:eastAsia="楷体"/>
        </w:rPr>
      </w:pPr>
    </w:p>
    <w:p>
      <w:pPr>
        <w:ind w:firstLine="640" w:firstLineChars="200"/>
        <w:rPr>
          <w:rFonts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56.18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56.18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17.78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17.78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11.08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11.08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10.21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10.21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hint="default" w:eastAsia="宋体"/>
                <w:kern w:val="0"/>
                <w:sz w:val="20"/>
                <w:lang w:val="en-US"/>
              </w:rPr>
            </w:pPr>
            <w:r>
              <w:rPr>
                <w:rFonts w:hint="eastAsia" w:eastAsia="宋体"/>
                <w:color w:val="000000"/>
                <w:sz w:val="20"/>
                <w:lang w:eastAsia="zh-CN"/>
              </w:rPr>
              <w:t>机关事业单位基本养老保险</w:t>
            </w:r>
            <w:r>
              <w:rPr>
                <w:rFonts w:hint="eastAsia" w:eastAsia="宋体"/>
                <w:color w:val="000000"/>
                <w:sz w:val="20"/>
                <w:lang w:val="en-US" w:eastAsia="zh-CN"/>
              </w:rPr>
              <w:t>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7.04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7.04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kern w:val="0"/>
                <w:sz w:val="20"/>
              </w:rPr>
            </w:pPr>
            <w:r>
              <w:rPr>
                <w:rFonts w:hint="eastAsia" w:eastAsia="宋体"/>
                <w:color w:val="000000"/>
                <w:sz w:val="20"/>
                <w:lang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1.85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1.85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kern w:val="0"/>
                <w:sz w:val="20"/>
              </w:rPr>
            </w:pPr>
            <w:r>
              <w:rPr>
                <w:rFonts w:hint="eastAsia" w:eastAsia="宋体"/>
                <w:color w:val="000000"/>
                <w:sz w:val="20"/>
                <w:lang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0.52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0.52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kern w:val="0"/>
                <w:sz w:val="20"/>
              </w:rPr>
            </w:pPr>
            <w:r>
              <w:rPr>
                <w:rFonts w:hint="eastAsia" w:eastAsia="宋体"/>
                <w:color w:val="000000"/>
                <w:sz w:val="20"/>
                <w:lang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6.40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6.40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eastAsia="宋体"/>
                <w:kern w:val="0"/>
                <w:sz w:val="20"/>
              </w:rPr>
            </w:pPr>
            <w:r>
              <w:rPr>
                <w:rFonts w:hint="eastAsia" w:eastAsia="宋体"/>
                <w:color w:val="000000"/>
                <w:sz w:val="20"/>
                <w:lang w:eastAsia="zh-CN"/>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0.64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sz w:val="20"/>
                <w:szCs w:val="20"/>
                <w:lang w:val="en-US"/>
              </w:rPr>
            </w:pPr>
            <w:r>
              <w:rPr>
                <w:rFonts w:hint="eastAsia"/>
                <w:sz w:val="20"/>
                <w:szCs w:val="20"/>
                <w:lang w:val="en-US" w:eastAsia="zh-CN"/>
              </w:rPr>
              <w:t>0.64</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eastAsia="宋体"/>
                <w:color w:val="000000"/>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0.66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sz w:val="20"/>
                <w:szCs w:val="20"/>
                <w:lang w:val="en-US"/>
              </w:rPr>
            </w:pPr>
            <w:r>
              <w:rPr>
                <w:rFonts w:hint="eastAsia"/>
                <w:sz w:val="20"/>
                <w:szCs w:val="20"/>
                <w:lang w:val="en-US" w:eastAsia="zh-CN"/>
              </w:rPr>
              <w:t>0.66</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10.39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sz w:val="20"/>
                <w:szCs w:val="20"/>
                <w:lang w:val="en-US"/>
              </w:rPr>
            </w:pPr>
            <w:r>
              <w:rPr>
                <w:rFonts w:hint="eastAsia" w:eastAsia="宋体"/>
                <w:kern w:val="0"/>
                <w:sz w:val="20"/>
                <w:szCs w:val="20"/>
                <w:lang w:val="en-US" w:eastAsia="zh-CN"/>
              </w:rPr>
              <w:t>10.39</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eastAsia="宋体"/>
                <w:color w:val="000000"/>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1.40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sz w:val="20"/>
                <w:szCs w:val="20"/>
                <w:lang w:val="en-US"/>
              </w:rPr>
            </w:pPr>
            <w:r>
              <w:rPr>
                <w:rFonts w:hint="eastAsia" w:eastAsia="宋体"/>
                <w:kern w:val="0"/>
                <w:sz w:val="20"/>
                <w:szCs w:val="20"/>
                <w:lang w:val="en-US" w:eastAsia="zh-CN"/>
              </w:rPr>
              <w:t>1.40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szCs w:val="20"/>
              </w:rPr>
            </w:pPr>
            <w:r>
              <w:rPr>
                <w:rFonts w:hint="eastAsia" w:eastAsia="宋体"/>
                <w:kern w:val="0"/>
                <w:sz w:val="20"/>
                <w:szCs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r>
              <w:rPr>
                <w:rFonts w:hint="eastAsia" w:eastAsia="宋体"/>
                <w:kern w:val="0"/>
                <w:sz w:val="20"/>
                <w:szCs w:val="20"/>
                <w:lang w:val="en-US" w:eastAsia="zh-CN"/>
              </w:rPr>
              <w:t>0.10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0.65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sz w:val="20"/>
                <w:szCs w:val="20"/>
                <w:lang w:val="en-US"/>
              </w:rPr>
            </w:pPr>
            <w:r>
              <w:rPr>
                <w:rFonts w:hint="eastAsia" w:eastAsia="宋体"/>
                <w:kern w:val="0"/>
                <w:sz w:val="20"/>
                <w:szCs w:val="20"/>
                <w:lang w:val="en-US" w:eastAsia="zh-CN"/>
              </w:rPr>
              <w:t>0.65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szCs w:val="20"/>
              </w:rPr>
            </w:pPr>
            <w:r>
              <w:rPr>
                <w:rFonts w:hint="eastAsia" w:eastAsia="宋体"/>
                <w:kern w:val="0"/>
                <w:sz w:val="20"/>
                <w:szCs w:val="20"/>
                <w:lang w:val="en-US" w:eastAsia="zh-CN"/>
              </w:rPr>
              <w:t>0.32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r>
              <w:rPr>
                <w:rFonts w:hint="eastAsia" w:eastAsia="宋体"/>
                <w:kern w:val="0"/>
                <w:sz w:val="20"/>
                <w:szCs w:val="20"/>
                <w:lang w:val="en-US" w:eastAsia="zh-CN"/>
              </w:rPr>
              <w:t>0.32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eastAsia" w:eastAsia="宋体"/>
                <w:color w:val="000000"/>
                <w:kern w:val="0"/>
                <w:sz w:val="20"/>
                <w:lang w:eastAsia="zh-CN"/>
              </w:rPr>
            </w:pPr>
            <w:r>
              <w:rPr>
                <w:rFonts w:hint="eastAsia" w:eastAsia="宋体"/>
                <w:color w:val="000000"/>
                <w:kern w:val="0"/>
                <w:sz w:val="20"/>
                <w:lang w:eastAsia="zh-CN"/>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0.63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0.63</w:t>
            </w:r>
          </w:p>
        </w:tc>
      </w:tr>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hint="eastAsia" w:eastAsia="方正小标宋简体"/>
                <w:kern w:val="0"/>
                <w:sz w:val="44"/>
                <w:szCs w:val="44"/>
                <w:lang w:val="en-US" w:eastAsia="zh-CN"/>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lang w:val="en-US" w:eastAsia="zh-CN"/>
              </w:rPr>
              <w:t>续表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Ansi="华文细黑" w:eastAsia="华文细黑"/>
                <w:kern w:val="0"/>
                <w:sz w:val="21"/>
                <w:szCs w:val="21"/>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0.50</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维修（护）费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0.20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1.00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0.58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0.58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kern w:val="0"/>
                <w:sz w:val="20"/>
              </w:rPr>
            </w:pPr>
            <w:r>
              <w:rPr>
                <w:rFonts w:hint="eastAsia" w:eastAsia="宋体"/>
                <w:color w:val="000000"/>
                <w:kern w:val="0"/>
                <w:sz w:val="20"/>
                <w:lang w:eastAsia="zh-CN"/>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1.93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1.93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kern w:val="0"/>
                <w:sz w:val="20"/>
              </w:rPr>
            </w:pPr>
            <w:r>
              <w:rPr>
                <w:rFonts w:hint="eastAsia" w:eastAsia="宋体"/>
                <w:color w:val="000000"/>
                <w:kern w:val="0"/>
                <w:sz w:val="20"/>
                <w:lang w:eastAsia="zh-CN"/>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2.70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rPr>
            </w:pPr>
            <w:r>
              <w:rPr>
                <w:rFonts w:hint="eastAsia" w:eastAsia="宋体"/>
                <w:kern w:val="0"/>
                <w:sz w:val="20"/>
                <w:szCs w:val="20"/>
                <w:lang w:val="en-US" w:eastAsia="zh-CN"/>
              </w:rPr>
              <w:t>2.70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kern w:val="0"/>
                <w:sz w:val="20"/>
              </w:rPr>
            </w:pPr>
            <w:r>
              <w:rPr>
                <w:rFonts w:hint="eastAsia" w:eastAsia="宋体"/>
                <w:color w:val="000000"/>
                <w:kern w:val="0"/>
                <w:sz w:val="20"/>
                <w:lang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0.38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0.38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lang w:val="en-US" w:eastAsia="zh-CN" w:bidi="ar-SA"/>
              </w:rPr>
            </w:pPr>
            <w:r>
              <w:rPr>
                <w:rFonts w:hint="eastAsia" w:eastAsia="宋体"/>
                <w:color w:val="000000"/>
                <w:kern w:val="0"/>
                <w:sz w:val="20"/>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5.18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5.18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eastAsia="宋体"/>
                <w:kern w:val="0"/>
                <w:sz w:val="20"/>
              </w:rPr>
            </w:pPr>
            <w:r>
              <w:rPr>
                <w:rFonts w:hint="eastAsia" w:eastAsia="宋体"/>
                <w:color w:val="000000"/>
                <w:kern w:val="0"/>
                <w:sz w:val="20"/>
                <w:lang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4.97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4.97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0.21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0.21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sz w:val="20"/>
                <w:szCs w:val="20"/>
                <w:lang w:val="en-US"/>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sz w:val="20"/>
                <w:szCs w:val="20"/>
                <w:lang w:val="en-US"/>
              </w:rPr>
            </w:pPr>
            <w:r>
              <w:rPr>
                <w:rFonts w:hint="eastAsia" w:eastAsia="宋体"/>
                <w:kern w:val="0"/>
                <w:sz w:val="20"/>
                <w:szCs w:val="20"/>
                <w:lang w:val="en-US" w:eastAsia="zh-CN"/>
              </w:rPr>
              <w:t>0.20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rPr>
            </w:pPr>
            <w:r>
              <w:rPr>
                <w:rFonts w:hint="eastAsia" w:eastAsia="宋体"/>
                <w:kern w:val="0"/>
                <w:sz w:val="20"/>
                <w:szCs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sz w:val="20"/>
                <w:szCs w:val="20"/>
                <w:lang w:val="en-US"/>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sz w:val="20"/>
                <w:szCs w:val="20"/>
                <w:lang w:val="en-US"/>
              </w:rPr>
            </w:pPr>
            <w:r>
              <w:rPr>
                <w:rFonts w:hint="eastAsia" w:eastAsia="宋体"/>
                <w:kern w:val="0"/>
                <w:sz w:val="20"/>
                <w:szCs w:val="20"/>
                <w:lang w:val="en-US" w:eastAsia="zh-CN"/>
              </w:rPr>
              <w:t>0.20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600" w:firstLineChars="300"/>
              <w:jc w:val="left"/>
              <w:textAlignment w:val="center"/>
              <w:rPr>
                <w:rFonts w:hint="eastAsia" w:eastAsia="宋体"/>
                <w:color w:val="000000"/>
                <w:kern w:val="0"/>
                <w:sz w:val="20"/>
                <w:lang w:eastAsia="zh-CN"/>
              </w:rPr>
            </w:pPr>
            <w:r>
              <w:rPr>
                <w:rFonts w:hint="eastAsia" w:eastAsia="宋体"/>
                <w:color w:val="000000"/>
                <w:kern w:val="0"/>
                <w:sz w:val="20"/>
                <w:lang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71.95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sz w:val="20"/>
                <w:szCs w:val="20"/>
                <w:lang w:val="en-US" w:eastAsia="zh-CN"/>
              </w:rPr>
            </w:pPr>
            <w:r>
              <w:rPr>
                <w:rFonts w:hint="eastAsia"/>
                <w:sz w:val="20"/>
                <w:szCs w:val="20"/>
                <w:lang w:val="en-US" w:eastAsia="zh-CN"/>
              </w:rPr>
              <w:t>61.36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10.59</w:t>
            </w:r>
          </w:p>
        </w:tc>
      </w:tr>
    </w:tbl>
    <w:p>
      <w:pPr>
        <w:rPr>
          <w:sz w:val="16"/>
          <w:szCs w:val="16"/>
        </w:rPr>
      </w:pPr>
    </w:p>
    <w:p>
      <w:pPr>
        <w:rPr>
          <w:sz w:val="16"/>
          <w:szCs w:val="16"/>
        </w:rPr>
      </w:pPr>
    </w:p>
    <w:p>
      <w:pPr>
        <w:rPr>
          <w:sz w:val="16"/>
          <w:szCs w:val="16"/>
        </w:rPr>
      </w:pPr>
    </w:p>
    <w:p>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widowControl/>
              <w:ind w:firstLine="560" w:firstLineChars="200"/>
              <w:jc w:val="left"/>
              <w:rPr>
                <w:color w:val="000000"/>
                <w:kern w:val="0"/>
                <w:sz w:val="28"/>
                <w:szCs w:val="28"/>
              </w:rPr>
            </w:pPr>
            <w:r>
              <w:rPr>
                <w:rFonts w:hint="eastAsia"/>
                <w:color w:val="000000"/>
                <w:kern w:val="0"/>
                <w:sz w:val="28"/>
                <w:szCs w:val="28"/>
                <w:lang w:val="en-US" w:eastAsia="zh-CN"/>
              </w:rPr>
              <w:t>2.“2024年预算数”的实有人员8人，其中：在职人员4人，离退休人员4人。</w:t>
            </w:r>
          </w:p>
          <w:p>
            <w:pPr>
              <w:widowControl/>
              <w:jc w:val="both"/>
              <w:rPr>
                <w:rFonts w:hint="eastAsia" w:eastAsia="仿宋_GB2312"/>
                <w:color w:val="000000"/>
                <w:kern w:val="0"/>
                <w:sz w:val="28"/>
                <w:szCs w:val="28"/>
                <w:lang w:val="en-US" w:eastAsia="zh-CN"/>
              </w:rPr>
            </w:pPr>
            <w:r>
              <w:rPr>
                <w:rFonts w:hint="eastAsia"/>
                <w:color w:val="000000"/>
                <w:kern w:val="0"/>
                <w:sz w:val="28"/>
                <w:szCs w:val="28"/>
                <w:lang w:val="en-US" w:eastAsia="zh-CN"/>
              </w:rPr>
              <w:t xml:space="preserve">       </w:t>
            </w:r>
          </w:p>
        </w:tc>
      </w:tr>
    </w:tbl>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r>
        <w:rPr>
          <w:rFonts w:eastAsia="楷体_GB2312"/>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bookmarkStart w:id="0" w:name="_GoBack"/>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894"/>
        <w:gridCol w:w="484"/>
        <w:gridCol w:w="308"/>
        <w:gridCol w:w="708"/>
        <w:gridCol w:w="674"/>
        <w:gridCol w:w="758"/>
        <w:gridCol w:w="371"/>
        <w:gridCol w:w="556"/>
        <w:gridCol w:w="539"/>
        <w:gridCol w:w="515"/>
        <w:gridCol w:w="362"/>
        <w:gridCol w:w="426"/>
        <w:gridCol w:w="569"/>
        <w:gridCol w:w="615"/>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794"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6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78"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308"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08"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7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39"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526"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61"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86"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708"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74" w:type="dxa"/>
            <w:vMerge w:val="restart"/>
            <w:noWrap w:val="0"/>
            <w:vAlign w:val="center"/>
          </w:tcPr>
          <w:p>
            <w:pPr>
              <w:spacing w:line="700" w:lineRule="exact"/>
              <w:jc w:val="center"/>
              <w:rPr>
                <w:rFonts w:hint="eastAsia" w:eastAsia="宋体"/>
                <w:kern w:val="0"/>
                <w:sz w:val="20"/>
                <w:szCs w:val="20"/>
                <w:lang w:val="en-US" w:eastAsia="zh-CN"/>
              </w:rPr>
            </w:pPr>
            <w:r>
              <w:rPr>
                <w:rFonts w:hint="eastAsia" w:eastAsia="宋体"/>
                <w:kern w:val="0"/>
                <w:sz w:val="20"/>
                <w:szCs w:val="20"/>
                <w:lang w:val="en-US" w:eastAsia="zh-CN"/>
              </w:rPr>
              <w:t>合计</w:t>
            </w:r>
          </w:p>
        </w:tc>
        <w:tc>
          <w:tcPr>
            <w:tcW w:w="2739"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526"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61"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94"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792"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708"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674" w:type="dxa"/>
            <w:vMerge w:val="continue"/>
            <w:noWrap w:val="0"/>
            <w:vAlign w:val="center"/>
          </w:tcPr>
          <w:p>
            <w:pPr>
              <w:spacing w:line="700" w:lineRule="exact"/>
              <w:jc w:val="center"/>
              <w:rPr>
                <w:rFonts w:hint="eastAsia" w:eastAsia="宋体"/>
                <w:kern w:val="0"/>
                <w:sz w:val="20"/>
                <w:szCs w:val="20"/>
                <w:lang w:val="en-US" w:eastAsia="zh-CN"/>
              </w:rPr>
            </w:pPr>
          </w:p>
        </w:tc>
        <w:tc>
          <w:tcPr>
            <w:tcW w:w="1685"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539"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15"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5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169"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61" w:type="dxa"/>
            <w:vMerge w:val="continue"/>
            <w:noWrap w:val="0"/>
            <w:vAlign w:val="center"/>
          </w:tcPr>
          <w:p>
            <w:pPr>
              <w:autoSpaceDN w:val="0"/>
              <w:jc w:val="center"/>
              <w:textAlignment w:val="center"/>
              <w:rPr>
                <w:rFonts w:ascii="Calibri" w:hAnsi="Calibri" w:eastAsia="华文细黑"/>
                <w:color w:val="000000"/>
                <w:sz w:val="20"/>
                <w:szCs w:val="22"/>
              </w:rPr>
            </w:pPr>
          </w:p>
        </w:tc>
        <w:tc>
          <w:tcPr>
            <w:tcW w:w="894" w:type="dxa"/>
            <w:vMerge w:val="continue"/>
            <w:noWrap w:val="0"/>
            <w:vAlign w:val="center"/>
          </w:tcPr>
          <w:p>
            <w:pPr>
              <w:autoSpaceDN w:val="0"/>
              <w:jc w:val="center"/>
              <w:textAlignment w:val="center"/>
              <w:rPr>
                <w:rFonts w:ascii="Calibri" w:hAnsi="Calibri" w:eastAsia="华文细黑"/>
                <w:color w:val="000000"/>
                <w:sz w:val="20"/>
                <w:szCs w:val="22"/>
              </w:rPr>
            </w:pPr>
          </w:p>
        </w:tc>
        <w:tc>
          <w:tcPr>
            <w:tcW w:w="792"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08" w:type="dxa"/>
            <w:vMerge w:val="continue"/>
            <w:noWrap w:val="0"/>
            <w:vAlign w:val="center"/>
          </w:tcPr>
          <w:p>
            <w:pPr>
              <w:autoSpaceDN w:val="0"/>
              <w:jc w:val="center"/>
              <w:textAlignment w:val="center"/>
              <w:rPr>
                <w:rFonts w:ascii="Calibri" w:hAnsi="Calibri" w:eastAsia="华文细黑"/>
                <w:color w:val="000000"/>
                <w:sz w:val="20"/>
                <w:szCs w:val="22"/>
              </w:rPr>
            </w:pPr>
          </w:p>
        </w:tc>
        <w:tc>
          <w:tcPr>
            <w:tcW w:w="674" w:type="dxa"/>
            <w:vMerge w:val="continue"/>
            <w:noWrap w:val="0"/>
            <w:vAlign w:val="center"/>
          </w:tcPr>
          <w:p>
            <w:pPr>
              <w:spacing w:line="700" w:lineRule="exact"/>
              <w:jc w:val="center"/>
              <w:rPr>
                <w:rFonts w:hint="eastAsia" w:eastAsia="宋体"/>
                <w:kern w:val="0"/>
                <w:sz w:val="20"/>
                <w:szCs w:val="20"/>
                <w:lang w:val="en-US" w:eastAsia="zh-CN"/>
              </w:rPr>
            </w:pPr>
          </w:p>
        </w:tc>
        <w:tc>
          <w:tcPr>
            <w:tcW w:w="758"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71"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556"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539"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51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362"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6"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69"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15"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54"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61" w:type="dxa"/>
            <w:noWrap w:val="0"/>
            <w:vAlign w:val="center"/>
          </w:tcPr>
          <w:p>
            <w:pPr>
              <w:autoSpaceDN w:val="0"/>
              <w:jc w:val="center"/>
              <w:textAlignment w:val="center"/>
              <w:rPr>
                <w:rFonts w:ascii="Calibri" w:hAnsi="Calibri" w:eastAsia="楷体" w:cs="Times New Roman"/>
                <w:kern w:val="0"/>
                <w:sz w:val="20"/>
                <w:szCs w:val="20"/>
                <w:lang w:val="en-US" w:eastAsia="zh-CN" w:bidi="ar-SA"/>
              </w:rPr>
            </w:pPr>
            <w:r>
              <w:rPr>
                <w:rFonts w:hint="eastAsia" w:ascii="宋体" w:hAnsi="宋体" w:eastAsia="宋体" w:cs="宋体"/>
                <w:b w:val="0"/>
                <w:bCs w:val="0"/>
                <w:color w:val="000000"/>
                <w:sz w:val="20"/>
                <w:szCs w:val="20"/>
                <w:lang w:eastAsia="zh-CN"/>
              </w:rPr>
              <w:t>专项业务支出</w:t>
            </w:r>
          </w:p>
        </w:tc>
        <w:tc>
          <w:tcPr>
            <w:tcW w:w="894" w:type="dxa"/>
            <w:noWrap w:val="0"/>
            <w:vAlign w:val="center"/>
          </w:tcPr>
          <w:p>
            <w:pPr>
              <w:spacing w:line="700" w:lineRule="exact"/>
              <w:jc w:val="center"/>
              <w:rPr>
                <w:rFonts w:ascii="Calibri" w:hAnsi="Calibri" w:eastAsia="楷体"/>
                <w:kern w:val="0"/>
                <w:szCs w:val="32"/>
              </w:rPr>
            </w:pPr>
          </w:p>
        </w:tc>
        <w:tc>
          <w:tcPr>
            <w:tcW w:w="792" w:type="dxa"/>
            <w:gridSpan w:val="2"/>
            <w:noWrap w:val="0"/>
            <w:vAlign w:val="center"/>
          </w:tcPr>
          <w:p>
            <w:pPr>
              <w:spacing w:line="700" w:lineRule="exact"/>
              <w:jc w:val="center"/>
              <w:rPr>
                <w:rFonts w:ascii="Calibri" w:hAnsi="Calibri" w:eastAsia="楷体"/>
                <w:kern w:val="0"/>
                <w:szCs w:val="32"/>
              </w:rPr>
            </w:pPr>
          </w:p>
        </w:tc>
        <w:tc>
          <w:tcPr>
            <w:tcW w:w="708" w:type="dxa"/>
            <w:noWrap w:val="0"/>
            <w:vAlign w:val="center"/>
          </w:tcPr>
          <w:p>
            <w:pPr>
              <w:spacing w:line="700" w:lineRule="exact"/>
              <w:jc w:val="center"/>
              <w:rPr>
                <w:rFonts w:ascii="Calibri" w:hAnsi="Calibri" w:eastAsia="楷体"/>
                <w:kern w:val="0"/>
                <w:szCs w:val="32"/>
              </w:rPr>
            </w:pPr>
          </w:p>
        </w:tc>
        <w:tc>
          <w:tcPr>
            <w:tcW w:w="674" w:type="dxa"/>
            <w:noWrap w:val="0"/>
            <w:vAlign w:val="center"/>
          </w:tcPr>
          <w:p>
            <w:pPr>
              <w:spacing w:line="700" w:lineRule="exact"/>
              <w:jc w:val="center"/>
              <w:rPr>
                <w:rFonts w:hint="default" w:eastAsia="宋体"/>
                <w:kern w:val="0"/>
                <w:sz w:val="20"/>
                <w:szCs w:val="20"/>
                <w:lang w:val="en-US" w:eastAsia="zh-CN"/>
              </w:rPr>
            </w:pPr>
            <w:r>
              <w:rPr>
                <w:rFonts w:hint="eastAsia" w:eastAsia="宋体"/>
                <w:kern w:val="0"/>
                <w:sz w:val="20"/>
                <w:szCs w:val="20"/>
                <w:lang w:val="en-US" w:eastAsia="zh-CN"/>
              </w:rPr>
              <w:t>26.68</w:t>
            </w:r>
          </w:p>
        </w:tc>
        <w:tc>
          <w:tcPr>
            <w:tcW w:w="758" w:type="dxa"/>
            <w:noWrap w:val="0"/>
            <w:vAlign w:val="center"/>
          </w:tcPr>
          <w:p>
            <w:pPr>
              <w:spacing w:line="700" w:lineRule="exact"/>
              <w:jc w:val="center"/>
              <w:rPr>
                <w:rFonts w:ascii="Calibri" w:hAnsi="Calibri" w:eastAsia="楷体"/>
                <w:kern w:val="0"/>
                <w:szCs w:val="32"/>
              </w:rPr>
            </w:pPr>
            <w:r>
              <w:rPr>
                <w:rFonts w:hint="eastAsia" w:eastAsia="宋体"/>
                <w:kern w:val="0"/>
                <w:sz w:val="20"/>
                <w:szCs w:val="20"/>
                <w:lang w:val="en-US" w:eastAsia="zh-CN"/>
              </w:rPr>
              <w:t>26.68</w:t>
            </w:r>
          </w:p>
        </w:tc>
        <w:tc>
          <w:tcPr>
            <w:tcW w:w="371" w:type="dxa"/>
            <w:noWrap w:val="0"/>
            <w:vAlign w:val="center"/>
          </w:tcPr>
          <w:p>
            <w:pPr>
              <w:spacing w:line="700" w:lineRule="exact"/>
              <w:jc w:val="center"/>
              <w:rPr>
                <w:rFonts w:ascii="Calibri" w:hAnsi="Calibri" w:eastAsia="楷体"/>
                <w:kern w:val="0"/>
                <w:szCs w:val="32"/>
              </w:rPr>
            </w:pPr>
          </w:p>
        </w:tc>
        <w:tc>
          <w:tcPr>
            <w:tcW w:w="556" w:type="dxa"/>
            <w:noWrap w:val="0"/>
            <w:vAlign w:val="center"/>
          </w:tcPr>
          <w:p>
            <w:pPr>
              <w:spacing w:line="700" w:lineRule="exact"/>
              <w:jc w:val="center"/>
              <w:rPr>
                <w:rFonts w:ascii="Calibri" w:hAnsi="Calibri" w:eastAsia="楷体"/>
                <w:kern w:val="0"/>
                <w:szCs w:val="32"/>
              </w:rPr>
            </w:pPr>
          </w:p>
        </w:tc>
        <w:tc>
          <w:tcPr>
            <w:tcW w:w="539"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c>
          <w:tcPr>
            <w:tcW w:w="426" w:type="dxa"/>
            <w:noWrap w:val="0"/>
            <w:vAlign w:val="center"/>
          </w:tcPr>
          <w:p>
            <w:pPr>
              <w:spacing w:line="700" w:lineRule="exact"/>
              <w:jc w:val="center"/>
              <w:rPr>
                <w:rFonts w:ascii="Calibri" w:hAnsi="Calibri" w:eastAsia="楷体"/>
                <w:kern w:val="0"/>
                <w:szCs w:val="32"/>
              </w:rPr>
            </w:pPr>
          </w:p>
        </w:tc>
        <w:tc>
          <w:tcPr>
            <w:tcW w:w="569" w:type="dxa"/>
            <w:noWrap w:val="0"/>
            <w:vAlign w:val="center"/>
          </w:tcPr>
          <w:p>
            <w:pPr>
              <w:spacing w:line="700" w:lineRule="exact"/>
              <w:jc w:val="center"/>
              <w:rPr>
                <w:rFonts w:ascii="Calibri" w:hAnsi="Calibri" w:eastAsia="楷体"/>
                <w:kern w:val="0"/>
                <w:szCs w:val="32"/>
              </w:rPr>
            </w:pPr>
          </w:p>
        </w:tc>
        <w:tc>
          <w:tcPr>
            <w:tcW w:w="615"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61" w:type="dxa"/>
            <w:noWrap w:val="0"/>
            <w:vAlign w:val="center"/>
          </w:tcPr>
          <w:p>
            <w:pPr>
              <w:spacing w:line="700" w:lineRule="exact"/>
              <w:jc w:val="center"/>
              <w:rPr>
                <w:rFonts w:ascii="Calibri" w:hAnsi="Calibri" w:eastAsia="楷体"/>
                <w:kern w:val="0"/>
                <w:szCs w:val="32"/>
              </w:rPr>
            </w:pPr>
          </w:p>
        </w:tc>
        <w:tc>
          <w:tcPr>
            <w:tcW w:w="894" w:type="dxa"/>
            <w:noWrap w:val="0"/>
            <w:vAlign w:val="center"/>
          </w:tcPr>
          <w:p>
            <w:pPr>
              <w:spacing w:line="240" w:lineRule="auto"/>
              <w:jc w:val="center"/>
              <w:rPr>
                <w:rFonts w:hint="eastAsia" w:ascii="Calibri" w:hAnsi="Calibri" w:eastAsia="楷体"/>
                <w:kern w:val="0"/>
                <w:szCs w:val="32"/>
                <w:lang w:eastAsia="zh-CN"/>
              </w:rPr>
            </w:pPr>
            <w:r>
              <w:rPr>
                <w:rFonts w:hint="eastAsia" w:ascii="宋体" w:hAnsi="宋体" w:eastAsia="宋体" w:cs="宋体"/>
                <w:b w:val="0"/>
                <w:bCs w:val="0"/>
                <w:color w:val="000000"/>
                <w:sz w:val="20"/>
                <w:szCs w:val="20"/>
                <w:lang w:eastAsia="zh-CN"/>
              </w:rPr>
              <w:t>专项普查活动</w:t>
            </w:r>
          </w:p>
        </w:tc>
        <w:tc>
          <w:tcPr>
            <w:tcW w:w="792" w:type="dxa"/>
            <w:gridSpan w:val="2"/>
            <w:noWrap w:val="0"/>
            <w:vAlign w:val="center"/>
          </w:tcPr>
          <w:p>
            <w:pPr>
              <w:spacing w:line="700" w:lineRule="exact"/>
              <w:jc w:val="center"/>
              <w:rPr>
                <w:rFonts w:ascii="Calibri" w:hAnsi="Calibri" w:eastAsia="楷体"/>
                <w:kern w:val="0"/>
                <w:szCs w:val="32"/>
              </w:rPr>
            </w:pPr>
          </w:p>
        </w:tc>
        <w:tc>
          <w:tcPr>
            <w:tcW w:w="708" w:type="dxa"/>
            <w:noWrap w:val="0"/>
            <w:vAlign w:val="center"/>
          </w:tcPr>
          <w:p>
            <w:pPr>
              <w:spacing w:line="700" w:lineRule="exact"/>
              <w:jc w:val="center"/>
              <w:rPr>
                <w:rFonts w:ascii="Calibri" w:hAnsi="Calibri" w:eastAsia="楷体"/>
                <w:kern w:val="0"/>
                <w:szCs w:val="32"/>
              </w:rPr>
            </w:pPr>
          </w:p>
        </w:tc>
        <w:tc>
          <w:tcPr>
            <w:tcW w:w="674" w:type="dxa"/>
            <w:noWrap w:val="0"/>
            <w:vAlign w:val="center"/>
          </w:tcPr>
          <w:p>
            <w:pPr>
              <w:spacing w:line="700" w:lineRule="exact"/>
              <w:jc w:val="center"/>
              <w:rPr>
                <w:rFonts w:hint="default" w:ascii="Calibri" w:hAnsi="Calibri" w:eastAsia="楷体"/>
                <w:kern w:val="0"/>
                <w:szCs w:val="32"/>
                <w:lang w:val="en-US" w:eastAsia="zh-CN"/>
              </w:rPr>
            </w:pPr>
            <w:r>
              <w:rPr>
                <w:rFonts w:hint="eastAsia" w:eastAsia="宋体"/>
                <w:kern w:val="0"/>
                <w:sz w:val="20"/>
                <w:szCs w:val="20"/>
                <w:lang w:val="en-US" w:eastAsia="zh-CN"/>
              </w:rPr>
              <w:t>8.32</w:t>
            </w:r>
          </w:p>
        </w:tc>
        <w:tc>
          <w:tcPr>
            <w:tcW w:w="758" w:type="dxa"/>
            <w:noWrap w:val="0"/>
            <w:vAlign w:val="center"/>
          </w:tcPr>
          <w:p>
            <w:pPr>
              <w:spacing w:line="700" w:lineRule="exact"/>
              <w:jc w:val="center"/>
              <w:rPr>
                <w:rFonts w:hint="default" w:eastAsia="宋体"/>
                <w:kern w:val="0"/>
                <w:sz w:val="20"/>
                <w:szCs w:val="20"/>
                <w:lang w:val="en-US" w:eastAsia="zh-CN"/>
              </w:rPr>
            </w:pPr>
            <w:r>
              <w:rPr>
                <w:rFonts w:hint="eastAsia" w:eastAsia="宋体"/>
                <w:kern w:val="0"/>
                <w:sz w:val="20"/>
                <w:szCs w:val="20"/>
                <w:lang w:val="en-US" w:eastAsia="zh-CN"/>
              </w:rPr>
              <w:t>8.32</w:t>
            </w:r>
          </w:p>
        </w:tc>
        <w:tc>
          <w:tcPr>
            <w:tcW w:w="371" w:type="dxa"/>
            <w:noWrap w:val="0"/>
            <w:vAlign w:val="center"/>
          </w:tcPr>
          <w:p>
            <w:pPr>
              <w:spacing w:line="700" w:lineRule="exact"/>
              <w:jc w:val="center"/>
              <w:rPr>
                <w:rFonts w:ascii="Calibri" w:hAnsi="Calibri" w:eastAsia="楷体"/>
                <w:kern w:val="0"/>
                <w:szCs w:val="32"/>
              </w:rPr>
            </w:pPr>
          </w:p>
        </w:tc>
        <w:tc>
          <w:tcPr>
            <w:tcW w:w="556" w:type="dxa"/>
            <w:noWrap w:val="0"/>
            <w:vAlign w:val="center"/>
          </w:tcPr>
          <w:p>
            <w:pPr>
              <w:spacing w:line="700" w:lineRule="exact"/>
              <w:jc w:val="center"/>
              <w:rPr>
                <w:rFonts w:ascii="Calibri" w:hAnsi="Calibri" w:eastAsia="楷体"/>
                <w:kern w:val="0"/>
                <w:szCs w:val="32"/>
              </w:rPr>
            </w:pPr>
          </w:p>
        </w:tc>
        <w:tc>
          <w:tcPr>
            <w:tcW w:w="539"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c>
          <w:tcPr>
            <w:tcW w:w="426" w:type="dxa"/>
            <w:noWrap w:val="0"/>
            <w:vAlign w:val="center"/>
          </w:tcPr>
          <w:p>
            <w:pPr>
              <w:spacing w:line="700" w:lineRule="exact"/>
              <w:jc w:val="center"/>
              <w:rPr>
                <w:rFonts w:ascii="Calibri" w:hAnsi="Calibri" w:eastAsia="楷体"/>
                <w:kern w:val="0"/>
                <w:szCs w:val="32"/>
              </w:rPr>
            </w:pPr>
          </w:p>
        </w:tc>
        <w:tc>
          <w:tcPr>
            <w:tcW w:w="569" w:type="dxa"/>
            <w:noWrap w:val="0"/>
            <w:vAlign w:val="center"/>
          </w:tcPr>
          <w:p>
            <w:pPr>
              <w:spacing w:line="700" w:lineRule="exact"/>
              <w:jc w:val="center"/>
              <w:rPr>
                <w:rFonts w:ascii="Calibri" w:hAnsi="Calibri" w:eastAsia="楷体"/>
                <w:kern w:val="0"/>
                <w:szCs w:val="32"/>
              </w:rPr>
            </w:pPr>
          </w:p>
        </w:tc>
        <w:tc>
          <w:tcPr>
            <w:tcW w:w="615"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461" w:type="dxa"/>
            <w:noWrap w:val="0"/>
            <w:vAlign w:val="center"/>
          </w:tcPr>
          <w:p>
            <w:pPr>
              <w:spacing w:line="700" w:lineRule="exact"/>
              <w:jc w:val="center"/>
              <w:rPr>
                <w:rFonts w:ascii="Calibri" w:hAnsi="Calibri" w:eastAsia="楷体"/>
                <w:kern w:val="0"/>
                <w:szCs w:val="32"/>
              </w:rPr>
            </w:pPr>
          </w:p>
        </w:tc>
        <w:tc>
          <w:tcPr>
            <w:tcW w:w="894" w:type="dxa"/>
            <w:noWrap w:val="0"/>
            <w:vAlign w:val="center"/>
          </w:tcPr>
          <w:p>
            <w:pPr>
              <w:spacing w:line="700" w:lineRule="exact"/>
              <w:jc w:val="center"/>
              <w:rPr>
                <w:rFonts w:ascii="Calibri" w:hAnsi="Calibri" w:eastAsia="楷体"/>
                <w:kern w:val="0"/>
                <w:szCs w:val="32"/>
              </w:rPr>
            </w:pPr>
          </w:p>
        </w:tc>
        <w:tc>
          <w:tcPr>
            <w:tcW w:w="792" w:type="dxa"/>
            <w:gridSpan w:val="2"/>
            <w:noWrap w:val="0"/>
            <w:vAlign w:val="center"/>
          </w:tcPr>
          <w:p>
            <w:pPr>
              <w:spacing w:line="240" w:lineRule="auto"/>
              <w:jc w:val="center"/>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lang w:eastAsia="zh-CN"/>
              </w:rPr>
              <w:t>第五次全国经济普查经费</w:t>
            </w:r>
          </w:p>
        </w:tc>
        <w:tc>
          <w:tcPr>
            <w:tcW w:w="708" w:type="dxa"/>
            <w:noWrap w:val="0"/>
            <w:vAlign w:val="center"/>
          </w:tcPr>
          <w:p>
            <w:pPr>
              <w:spacing w:line="240" w:lineRule="auto"/>
              <w:jc w:val="center"/>
              <w:rPr>
                <w:rFonts w:ascii="Calibri" w:hAnsi="Calibri" w:eastAsia="楷体"/>
                <w:kern w:val="0"/>
                <w:szCs w:val="32"/>
              </w:rPr>
            </w:pPr>
            <w:r>
              <w:rPr>
                <w:rFonts w:hint="eastAsia" w:ascii="宋体" w:hAnsi="宋体" w:eastAsia="宋体" w:cs="宋体"/>
                <w:b w:val="0"/>
                <w:bCs w:val="0"/>
                <w:kern w:val="0"/>
                <w:sz w:val="20"/>
                <w:szCs w:val="20"/>
                <w:lang w:val="en-US" w:eastAsia="zh-CN" w:bidi="ar-SA"/>
              </w:rPr>
              <w:t>通化市统计局二道江区分局</w:t>
            </w:r>
          </w:p>
        </w:tc>
        <w:tc>
          <w:tcPr>
            <w:tcW w:w="674" w:type="dxa"/>
            <w:noWrap w:val="0"/>
            <w:vAlign w:val="center"/>
          </w:tcPr>
          <w:p>
            <w:pPr>
              <w:spacing w:line="700" w:lineRule="exact"/>
              <w:jc w:val="center"/>
              <w:rPr>
                <w:rFonts w:hint="default" w:ascii="Calibri" w:hAnsi="Calibri" w:eastAsia="楷体"/>
                <w:kern w:val="0"/>
                <w:szCs w:val="32"/>
                <w:lang w:val="en-US" w:eastAsia="zh-CN"/>
              </w:rPr>
            </w:pPr>
            <w:r>
              <w:rPr>
                <w:rFonts w:hint="eastAsia" w:eastAsia="宋体"/>
                <w:kern w:val="0"/>
                <w:sz w:val="20"/>
                <w:szCs w:val="20"/>
                <w:lang w:val="en-US" w:eastAsia="zh-CN"/>
              </w:rPr>
              <w:t>8.32</w:t>
            </w:r>
          </w:p>
        </w:tc>
        <w:tc>
          <w:tcPr>
            <w:tcW w:w="758" w:type="dxa"/>
            <w:noWrap w:val="0"/>
            <w:vAlign w:val="center"/>
          </w:tcPr>
          <w:p>
            <w:pPr>
              <w:spacing w:line="700" w:lineRule="exact"/>
              <w:jc w:val="center"/>
              <w:rPr>
                <w:rFonts w:hint="default" w:ascii="Calibri" w:hAnsi="Calibri" w:eastAsia="楷体"/>
                <w:kern w:val="0"/>
                <w:szCs w:val="32"/>
                <w:lang w:val="en-US" w:eastAsia="zh-CN"/>
              </w:rPr>
            </w:pPr>
            <w:r>
              <w:rPr>
                <w:rFonts w:hint="eastAsia" w:eastAsia="宋体"/>
                <w:kern w:val="0"/>
                <w:sz w:val="20"/>
                <w:szCs w:val="20"/>
                <w:lang w:val="en-US" w:eastAsia="zh-CN"/>
              </w:rPr>
              <w:t>8.32</w:t>
            </w:r>
          </w:p>
        </w:tc>
        <w:tc>
          <w:tcPr>
            <w:tcW w:w="371" w:type="dxa"/>
            <w:noWrap w:val="0"/>
            <w:vAlign w:val="center"/>
          </w:tcPr>
          <w:p>
            <w:pPr>
              <w:spacing w:line="700" w:lineRule="exact"/>
              <w:jc w:val="center"/>
              <w:rPr>
                <w:rFonts w:ascii="Calibri" w:hAnsi="Calibri" w:eastAsia="楷体"/>
                <w:kern w:val="0"/>
                <w:szCs w:val="32"/>
              </w:rPr>
            </w:pPr>
          </w:p>
        </w:tc>
        <w:tc>
          <w:tcPr>
            <w:tcW w:w="556" w:type="dxa"/>
            <w:noWrap w:val="0"/>
            <w:vAlign w:val="center"/>
          </w:tcPr>
          <w:p>
            <w:pPr>
              <w:spacing w:line="700" w:lineRule="exact"/>
              <w:jc w:val="center"/>
              <w:rPr>
                <w:rFonts w:ascii="Calibri" w:hAnsi="Calibri" w:eastAsia="楷体"/>
                <w:kern w:val="0"/>
                <w:szCs w:val="32"/>
              </w:rPr>
            </w:pPr>
          </w:p>
        </w:tc>
        <w:tc>
          <w:tcPr>
            <w:tcW w:w="539"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c>
          <w:tcPr>
            <w:tcW w:w="426" w:type="dxa"/>
            <w:noWrap w:val="0"/>
            <w:vAlign w:val="center"/>
          </w:tcPr>
          <w:p>
            <w:pPr>
              <w:spacing w:line="700" w:lineRule="exact"/>
              <w:jc w:val="center"/>
              <w:rPr>
                <w:rFonts w:ascii="Calibri" w:hAnsi="Calibri" w:eastAsia="楷体"/>
                <w:kern w:val="0"/>
                <w:szCs w:val="32"/>
              </w:rPr>
            </w:pPr>
          </w:p>
        </w:tc>
        <w:tc>
          <w:tcPr>
            <w:tcW w:w="569" w:type="dxa"/>
            <w:noWrap w:val="0"/>
            <w:vAlign w:val="center"/>
          </w:tcPr>
          <w:p>
            <w:pPr>
              <w:spacing w:line="700" w:lineRule="exact"/>
              <w:jc w:val="center"/>
              <w:rPr>
                <w:rFonts w:ascii="Calibri" w:hAnsi="Calibri" w:eastAsia="楷体"/>
                <w:kern w:val="0"/>
                <w:szCs w:val="32"/>
              </w:rPr>
            </w:pPr>
          </w:p>
        </w:tc>
        <w:tc>
          <w:tcPr>
            <w:tcW w:w="615"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1" w:type="dxa"/>
            <w:noWrap w:val="0"/>
            <w:vAlign w:val="center"/>
          </w:tcPr>
          <w:p>
            <w:pPr>
              <w:spacing w:line="700" w:lineRule="exact"/>
              <w:jc w:val="center"/>
              <w:rPr>
                <w:rFonts w:ascii="Calibri" w:hAnsi="Calibri" w:eastAsia="楷体"/>
                <w:kern w:val="0"/>
                <w:szCs w:val="32"/>
              </w:rPr>
            </w:pPr>
          </w:p>
        </w:tc>
        <w:tc>
          <w:tcPr>
            <w:tcW w:w="894" w:type="dxa"/>
            <w:noWrap w:val="0"/>
            <w:vAlign w:val="center"/>
          </w:tcPr>
          <w:p>
            <w:pPr>
              <w:spacing w:line="240" w:lineRule="auto"/>
              <w:jc w:val="center"/>
              <w:rPr>
                <w:rFonts w:ascii="Calibri" w:hAnsi="Calibri" w:eastAsia="楷体"/>
                <w:kern w:val="0"/>
                <w:szCs w:val="32"/>
              </w:rPr>
            </w:pPr>
            <w:r>
              <w:rPr>
                <w:rFonts w:hint="eastAsia" w:ascii="宋体" w:hAnsi="宋体" w:eastAsia="宋体" w:cs="宋体"/>
                <w:b w:val="0"/>
                <w:bCs w:val="0"/>
                <w:kern w:val="0"/>
                <w:sz w:val="20"/>
                <w:szCs w:val="20"/>
                <w:lang w:val="en-US" w:eastAsia="zh-CN"/>
              </w:rPr>
              <w:t>专项统计业务</w:t>
            </w:r>
          </w:p>
        </w:tc>
        <w:tc>
          <w:tcPr>
            <w:tcW w:w="792" w:type="dxa"/>
            <w:gridSpan w:val="2"/>
            <w:noWrap w:val="0"/>
            <w:vAlign w:val="center"/>
          </w:tcPr>
          <w:p>
            <w:pPr>
              <w:spacing w:line="700" w:lineRule="exact"/>
              <w:jc w:val="center"/>
              <w:rPr>
                <w:rFonts w:ascii="Calibri" w:hAnsi="Calibri" w:eastAsia="楷体"/>
                <w:kern w:val="0"/>
                <w:szCs w:val="32"/>
              </w:rPr>
            </w:pPr>
          </w:p>
        </w:tc>
        <w:tc>
          <w:tcPr>
            <w:tcW w:w="708" w:type="dxa"/>
            <w:noWrap w:val="0"/>
            <w:vAlign w:val="center"/>
          </w:tcPr>
          <w:p>
            <w:pPr>
              <w:spacing w:line="700" w:lineRule="exact"/>
              <w:jc w:val="center"/>
              <w:rPr>
                <w:rFonts w:ascii="Calibri" w:hAnsi="Calibri" w:eastAsia="楷体"/>
                <w:kern w:val="0"/>
                <w:szCs w:val="32"/>
              </w:rPr>
            </w:pPr>
          </w:p>
        </w:tc>
        <w:tc>
          <w:tcPr>
            <w:tcW w:w="674" w:type="dxa"/>
            <w:noWrap w:val="0"/>
            <w:vAlign w:val="center"/>
          </w:tcPr>
          <w:p>
            <w:pPr>
              <w:spacing w:line="700" w:lineRule="exact"/>
              <w:jc w:val="center"/>
              <w:rPr>
                <w:rFonts w:hint="default" w:eastAsia="宋体"/>
                <w:kern w:val="0"/>
                <w:sz w:val="20"/>
                <w:szCs w:val="20"/>
                <w:lang w:val="en-US" w:eastAsia="zh-CN"/>
              </w:rPr>
            </w:pPr>
            <w:r>
              <w:rPr>
                <w:rFonts w:hint="eastAsia" w:eastAsia="宋体"/>
                <w:kern w:val="0"/>
                <w:sz w:val="20"/>
                <w:szCs w:val="20"/>
                <w:lang w:val="en-US" w:eastAsia="zh-CN"/>
              </w:rPr>
              <w:t>18.36</w:t>
            </w:r>
          </w:p>
        </w:tc>
        <w:tc>
          <w:tcPr>
            <w:tcW w:w="758" w:type="dxa"/>
            <w:noWrap w:val="0"/>
            <w:vAlign w:val="center"/>
          </w:tcPr>
          <w:p>
            <w:pPr>
              <w:spacing w:line="700" w:lineRule="exact"/>
              <w:jc w:val="center"/>
              <w:rPr>
                <w:rFonts w:hint="default" w:eastAsia="宋体"/>
                <w:kern w:val="0"/>
                <w:sz w:val="20"/>
                <w:szCs w:val="20"/>
                <w:lang w:val="en-US" w:eastAsia="zh-CN"/>
              </w:rPr>
            </w:pPr>
            <w:r>
              <w:rPr>
                <w:rFonts w:hint="eastAsia" w:eastAsia="宋体"/>
                <w:kern w:val="0"/>
                <w:sz w:val="20"/>
                <w:szCs w:val="20"/>
                <w:lang w:val="en-US" w:eastAsia="zh-CN"/>
              </w:rPr>
              <w:t>18.36</w:t>
            </w:r>
          </w:p>
        </w:tc>
        <w:tc>
          <w:tcPr>
            <w:tcW w:w="371" w:type="dxa"/>
            <w:noWrap w:val="0"/>
            <w:vAlign w:val="center"/>
          </w:tcPr>
          <w:p>
            <w:pPr>
              <w:spacing w:line="700" w:lineRule="exact"/>
              <w:jc w:val="center"/>
              <w:rPr>
                <w:rFonts w:ascii="Calibri" w:hAnsi="Calibri" w:eastAsia="楷体"/>
                <w:kern w:val="0"/>
                <w:szCs w:val="32"/>
              </w:rPr>
            </w:pPr>
          </w:p>
        </w:tc>
        <w:tc>
          <w:tcPr>
            <w:tcW w:w="556" w:type="dxa"/>
            <w:noWrap w:val="0"/>
            <w:vAlign w:val="center"/>
          </w:tcPr>
          <w:p>
            <w:pPr>
              <w:spacing w:line="700" w:lineRule="exact"/>
              <w:jc w:val="center"/>
              <w:rPr>
                <w:rFonts w:ascii="Calibri" w:hAnsi="Calibri" w:eastAsia="楷体"/>
                <w:kern w:val="0"/>
                <w:szCs w:val="32"/>
              </w:rPr>
            </w:pPr>
          </w:p>
        </w:tc>
        <w:tc>
          <w:tcPr>
            <w:tcW w:w="539"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c>
          <w:tcPr>
            <w:tcW w:w="426" w:type="dxa"/>
            <w:noWrap w:val="0"/>
            <w:vAlign w:val="center"/>
          </w:tcPr>
          <w:p>
            <w:pPr>
              <w:spacing w:line="700" w:lineRule="exact"/>
              <w:jc w:val="center"/>
              <w:rPr>
                <w:rFonts w:ascii="Calibri" w:hAnsi="Calibri" w:eastAsia="楷体"/>
                <w:kern w:val="0"/>
                <w:szCs w:val="32"/>
              </w:rPr>
            </w:pPr>
          </w:p>
        </w:tc>
        <w:tc>
          <w:tcPr>
            <w:tcW w:w="569" w:type="dxa"/>
            <w:noWrap w:val="0"/>
            <w:vAlign w:val="center"/>
          </w:tcPr>
          <w:p>
            <w:pPr>
              <w:spacing w:line="700" w:lineRule="exact"/>
              <w:jc w:val="center"/>
              <w:rPr>
                <w:rFonts w:ascii="Calibri" w:hAnsi="Calibri" w:eastAsia="楷体"/>
                <w:kern w:val="0"/>
                <w:szCs w:val="32"/>
              </w:rPr>
            </w:pPr>
          </w:p>
        </w:tc>
        <w:tc>
          <w:tcPr>
            <w:tcW w:w="615"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461" w:type="dxa"/>
            <w:noWrap w:val="0"/>
            <w:vAlign w:val="center"/>
          </w:tcPr>
          <w:p>
            <w:pPr>
              <w:spacing w:line="700" w:lineRule="exact"/>
              <w:jc w:val="center"/>
              <w:rPr>
                <w:rFonts w:ascii="Calibri" w:hAnsi="Calibri" w:eastAsia="楷体"/>
                <w:kern w:val="0"/>
                <w:szCs w:val="32"/>
              </w:rPr>
            </w:pPr>
          </w:p>
        </w:tc>
        <w:tc>
          <w:tcPr>
            <w:tcW w:w="894" w:type="dxa"/>
            <w:noWrap w:val="0"/>
            <w:vAlign w:val="center"/>
          </w:tcPr>
          <w:p>
            <w:pPr>
              <w:spacing w:line="700" w:lineRule="exact"/>
              <w:jc w:val="center"/>
              <w:rPr>
                <w:rFonts w:ascii="Calibri" w:hAnsi="Calibri" w:eastAsia="楷体"/>
                <w:kern w:val="0"/>
                <w:szCs w:val="32"/>
              </w:rPr>
            </w:pPr>
          </w:p>
        </w:tc>
        <w:tc>
          <w:tcPr>
            <w:tcW w:w="792" w:type="dxa"/>
            <w:gridSpan w:val="2"/>
            <w:noWrap w:val="0"/>
            <w:vAlign w:val="center"/>
          </w:tcPr>
          <w:p>
            <w:pPr>
              <w:spacing w:line="240" w:lineRule="auto"/>
              <w:jc w:val="center"/>
              <w:rPr>
                <w:rFonts w:ascii="Calibri" w:hAnsi="Calibri" w:eastAsia="楷体"/>
                <w:kern w:val="0"/>
                <w:szCs w:val="32"/>
              </w:rPr>
            </w:pPr>
            <w:r>
              <w:rPr>
                <w:rFonts w:hint="eastAsia" w:ascii="宋体" w:hAnsi="宋体" w:eastAsia="宋体" w:cs="宋体"/>
                <w:b w:val="0"/>
                <w:bCs w:val="0"/>
                <w:kern w:val="0"/>
                <w:sz w:val="20"/>
                <w:szCs w:val="20"/>
                <w:lang w:val="en-US" w:eastAsia="zh-CN" w:bidi="ar-SA"/>
              </w:rPr>
              <w:t>统计调查经费</w:t>
            </w:r>
          </w:p>
        </w:tc>
        <w:tc>
          <w:tcPr>
            <w:tcW w:w="708" w:type="dxa"/>
            <w:noWrap w:val="0"/>
            <w:vAlign w:val="center"/>
          </w:tcPr>
          <w:p>
            <w:pPr>
              <w:spacing w:line="240" w:lineRule="auto"/>
              <w:jc w:val="center"/>
              <w:rPr>
                <w:rFonts w:ascii="Calibri" w:hAnsi="Calibri" w:eastAsia="楷体"/>
                <w:kern w:val="0"/>
                <w:szCs w:val="32"/>
              </w:rPr>
            </w:pPr>
            <w:r>
              <w:rPr>
                <w:rFonts w:hint="eastAsia" w:ascii="宋体" w:hAnsi="宋体" w:eastAsia="宋体" w:cs="宋体"/>
                <w:b w:val="0"/>
                <w:bCs w:val="0"/>
                <w:kern w:val="0"/>
                <w:sz w:val="20"/>
                <w:szCs w:val="20"/>
                <w:lang w:val="en-US" w:eastAsia="zh-CN" w:bidi="ar-SA"/>
              </w:rPr>
              <w:t>通化市统计局二道江区分局</w:t>
            </w:r>
          </w:p>
        </w:tc>
        <w:tc>
          <w:tcPr>
            <w:tcW w:w="674" w:type="dxa"/>
            <w:noWrap w:val="0"/>
            <w:vAlign w:val="center"/>
          </w:tcPr>
          <w:p>
            <w:pPr>
              <w:spacing w:line="700" w:lineRule="exact"/>
              <w:jc w:val="center"/>
              <w:rPr>
                <w:rFonts w:hint="default" w:eastAsia="宋体"/>
                <w:kern w:val="0"/>
                <w:sz w:val="20"/>
                <w:szCs w:val="20"/>
                <w:lang w:val="en-US" w:eastAsia="zh-CN"/>
              </w:rPr>
            </w:pPr>
            <w:r>
              <w:rPr>
                <w:rFonts w:hint="eastAsia" w:eastAsia="宋体"/>
                <w:kern w:val="0"/>
                <w:sz w:val="20"/>
                <w:szCs w:val="20"/>
                <w:lang w:val="en-US" w:eastAsia="zh-CN"/>
              </w:rPr>
              <w:t>18.36</w:t>
            </w:r>
          </w:p>
        </w:tc>
        <w:tc>
          <w:tcPr>
            <w:tcW w:w="758" w:type="dxa"/>
            <w:noWrap w:val="0"/>
            <w:vAlign w:val="center"/>
          </w:tcPr>
          <w:p>
            <w:pPr>
              <w:spacing w:line="700" w:lineRule="exact"/>
              <w:jc w:val="center"/>
              <w:rPr>
                <w:rFonts w:hint="default" w:eastAsia="宋体"/>
                <w:kern w:val="0"/>
                <w:sz w:val="20"/>
                <w:szCs w:val="20"/>
                <w:lang w:val="en-US" w:eastAsia="zh-CN"/>
              </w:rPr>
            </w:pPr>
            <w:r>
              <w:rPr>
                <w:rFonts w:hint="eastAsia" w:eastAsia="宋体"/>
                <w:kern w:val="0"/>
                <w:sz w:val="20"/>
                <w:szCs w:val="20"/>
                <w:lang w:val="en-US" w:eastAsia="zh-CN"/>
              </w:rPr>
              <w:t>18.36</w:t>
            </w:r>
          </w:p>
        </w:tc>
        <w:tc>
          <w:tcPr>
            <w:tcW w:w="371" w:type="dxa"/>
            <w:noWrap w:val="0"/>
            <w:vAlign w:val="center"/>
          </w:tcPr>
          <w:p>
            <w:pPr>
              <w:spacing w:line="700" w:lineRule="exact"/>
              <w:jc w:val="center"/>
              <w:rPr>
                <w:rFonts w:ascii="Calibri" w:hAnsi="Calibri" w:eastAsia="楷体"/>
                <w:kern w:val="0"/>
                <w:szCs w:val="32"/>
              </w:rPr>
            </w:pPr>
          </w:p>
        </w:tc>
        <w:tc>
          <w:tcPr>
            <w:tcW w:w="556" w:type="dxa"/>
            <w:noWrap w:val="0"/>
            <w:vAlign w:val="center"/>
          </w:tcPr>
          <w:p>
            <w:pPr>
              <w:spacing w:line="700" w:lineRule="exact"/>
              <w:jc w:val="center"/>
              <w:rPr>
                <w:rFonts w:ascii="Calibri" w:hAnsi="Calibri" w:eastAsia="楷体"/>
                <w:kern w:val="0"/>
                <w:szCs w:val="32"/>
              </w:rPr>
            </w:pPr>
          </w:p>
        </w:tc>
        <w:tc>
          <w:tcPr>
            <w:tcW w:w="539"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c>
          <w:tcPr>
            <w:tcW w:w="426" w:type="dxa"/>
            <w:noWrap w:val="0"/>
            <w:vAlign w:val="center"/>
          </w:tcPr>
          <w:p>
            <w:pPr>
              <w:spacing w:line="700" w:lineRule="exact"/>
              <w:jc w:val="center"/>
              <w:rPr>
                <w:rFonts w:ascii="Calibri" w:hAnsi="Calibri" w:eastAsia="楷体"/>
                <w:kern w:val="0"/>
                <w:szCs w:val="32"/>
              </w:rPr>
            </w:pPr>
          </w:p>
        </w:tc>
        <w:tc>
          <w:tcPr>
            <w:tcW w:w="569" w:type="dxa"/>
            <w:noWrap w:val="0"/>
            <w:vAlign w:val="center"/>
          </w:tcPr>
          <w:p>
            <w:pPr>
              <w:spacing w:line="700" w:lineRule="exact"/>
              <w:jc w:val="center"/>
              <w:rPr>
                <w:rFonts w:ascii="Calibri" w:hAnsi="Calibri" w:eastAsia="楷体"/>
                <w:kern w:val="0"/>
                <w:szCs w:val="32"/>
              </w:rPr>
            </w:pPr>
          </w:p>
        </w:tc>
        <w:tc>
          <w:tcPr>
            <w:tcW w:w="615"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1"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94" w:type="dxa"/>
            <w:noWrap w:val="0"/>
            <w:vAlign w:val="center"/>
          </w:tcPr>
          <w:p>
            <w:pPr>
              <w:autoSpaceDN w:val="0"/>
              <w:jc w:val="center"/>
              <w:textAlignment w:val="center"/>
              <w:rPr>
                <w:rFonts w:ascii="Calibri" w:hAnsi="Calibri" w:eastAsia="华文细黑"/>
                <w:color w:val="000000"/>
                <w:sz w:val="20"/>
                <w:szCs w:val="22"/>
              </w:rPr>
            </w:pPr>
          </w:p>
        </w:tc>
        <w:tc>
          <w:tcPr>
            <w:tcW w:w="792" w:type="dxa"/>
            <w:gridSpan w:val="2"/>
            <w:noWrap w:val="0"/>
            <w:vAlign w:val="center"/>
          </w:tcPr>
          <w:p>
            <w:pPr>
              <w:spacing w:line="700" w:lineRule="exact"/>
              <w:jc w:val="center"/>
              <w:rPr>
                <w:rFonts w:ascii="Calibri" w:hAnsi="Calibri" w:eastAsia="楷体"/>
                <w:kern w:val="0"/>
                <w:szCs w:val="32"/>
              </w:rPr>
            </w:pPr>
          </w:p>
        </w:tc>
        <w:tc>
          <w:tcPr>
            <w:tcW w:w="708" w:type="dxa"/>
            <w:noWrap w:val="0"/>
            <w:vAlign w:val="center"/>
          </w:tcPr>
          <w:p>
            <w:pPr>
              <w:spacing w:line="700" w:lineRule="exact"/>
              <w:jc w:val="center"/>
              <w:rPr>
                <w:rFonts w:ascii="Calibri" w:hAnsi="Calibri" w:eastAsia="楷体"/>
                <w:kern w:val="0"/>
                <w:szCs w:val="32"/>
              </w:rPr>
            </w:pPr>
          </w:p>
        </w:tc>
        <w:tc>
          <w:tcPr>
            <w:tcW w:w="674" w:type="dxa"/>
            <w:noWrap w:val="0"/>
            <w:vAlign w:val="center"/>
          </w:tcPr>
          <w:p>
            <w:pPr>
              <w:spacing w:line="700" w:lineRule="exact"/>
              <w:jc w:val="center"/>
              <w:rPr>
                <w:rFonts w:hint="default" w:eastAsia="宋体"/>
                <w:kern w:val="0"/>
                <w:sz w:val="20"/>
                <w:szCs w:val="20"/>
                <w:lang w:val="en-US" w:eastAsia="zh-CN"/>
              </w:rPr>
            </w:pPr>
            <w:r>
              <w:rPr>
                <w:rFonts w:hint="eastAsia" w:eastAsia="宋体"/>
                <w:kern w:val="0"/>
                <w:sz w:val="20"/>
                <w:szCs w:val="20"/>
                <w:lang w:val="en-US" w:eastAsia="zh-CN"/>
              </w:rPr>
              <w:t>26.68</w:t>
            </w:r>
          </w:p>
        </w:tc>
        <w:tc>
          <w:tcPr>
            <w:tcW w:w="758" w:type="dxa"/>
            <w:noWrap w:val="0"/>
            <w:vAlign w:val="center"/>
          </w:tcPr>
          <w:p>
            <w:pPr>
              <w:spacing w:line="700" w:lineRule="exact"/>
              <w:jc w:val="center"/>
              <w:rPr>
                <w:rFonts w:hint="default" w:eastAsia="宋体"/>
                <w:kern w:val="0"/>
                <w:sz w:val="20"/>
                <w:szCs w:val="20"/>
                <w:lang w:val="en-US" w:eastAsia="zh-CN"/>
              </w:rPr>
            </w:pPr>
            <w:r>
              <w:rPr>
                <w:rFonts w:hint="eastAsia" w:eastAsia="宋体"/>
                <w:kern w:val="0"/>
                <w:sz w:val="20"/>
                <w:szCs w:val="20"/>
                <w:lang w:val="en-US" w:eastAsia="zh-CN"/>
              </w:rPr>
              <w:t>26.68</w:t>
            </w:r>
          </w:p>
        </w:tc>
        <w:tc>
          <w:tcPr>
            <w:tcW w:w="371" w:type="dxa"/>
            <w:noWrap w:val="0"/>
            <w:vAlign w:val="center"/>
          </w:tcPr>
          <w:p>
            <w:pPr>
              <w:spacing w:line="700" w:lineRule="exact"/>
              <w:jc w:val="center"/>
              <w:rPr>
                <w:rFonts w:ascii="Calibri" w:hAnsi="Calibri" w:eastAsia="楷体"/>
                <w:kern w:val="0"/>
                <w:szCs w:val="32"/>
              </w:rPr>
            </w:pPr>
          </w:p>
        </w:tc>
        <w:tc>
          <w:tcPr>
            <w:tcW w:w="556" w:type="dxa"/>
            <w:noWrap w:val="0"/>
            <w:vAlign w:val="center"/>
          </w:tcPr>
          <w:p>
            <w:pPr>
              <w:spacing w:line="700" w:lineRule="exact"/>
              <w:jc w:val="center"/>
              <w:rPr>
                <w:rFonts w:ascii="Calibri" w:hAnsi="Calibri" w:eastAsia="楷体"/>
                <w:kern w:val="0"/>
                <w:szCs w:val="32"/>
              </w:rPr>
            </w:pPr>
          </w:p>
        </w:tc>
        <w:tc>
          <w:tcPr>
            <w:tcW w:w="539"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c>
          <w:tcPr>
            <w:tcW w:w="426" w:type="dxa"/>
            <w:noWrap w:val="0"/>
            <w:vAlign w:val="center"/>
          </w:tcPr>
          <w:p>
            <w:pPr>
              <w:spacing w:line="700" w:lineRule="exact"/>
              <w:jc w:val="center"/>
              <w:rPr>
                <w:rFonts w:ascii="Calibri" w:hAnsi="Calibri" w:eastAsia="楷体"/>
                <w:kern w:val="0"/>
                <w:szCs w:val="32"/>
              </w:rPr>
            </w:pPr>
          </w:p>
        </w:tc>
        <w:tc>
          <w:tcPr>
            <w:tcW w:w="569" w:type="dxa"/>
            <w:noWrap w:val="0"/>
            <w:vAlign w:val="center"/>
          </w:tcPr>
          <w:p>
            <w:pPr>
              <w:spacing w:line="700" w:lineRule="exact"/>
              <w:jc w:val="center"/>
              <w:rPr>
                <w:rFonts w:ascii="Calibri" w:hAnsi="Calibri" w:eastAsia="楷体"/>
                <w:kern w:val="0"/>
                <w:szCs w:val="32"/>
              </w:rPr>
            </w:pPr>
          </w:p>
        </w:tc>
        <w:tc>
          <w:tcPr>
            <w:tcW w:w="615"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ind w:firstLine="1320" w:firstLineChars="300"/>
              <w:jc w:val="both"/>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spacing w:line="700" w:lineRule="exact"/>
        <w:rPr>
          <w:rFonts w:eastAsia="楷体_GB2312"/>
          <w:kern w:val="0"/>
          <w:szCs w:val="32"/>
        </w:rPr>
      </w:pPr>
    </w:p>
    <w:p>
      <w:pPr>
        <w:bidi w:val="0"/>
        <w:jc w:val="left"/>
        <w:rPr>
          <w:rFonts w:hint="eastAsia"/>
          <w:lang w:val="en-US" w:eastAsia="zh-CN"/>
        </w:rPr>
      </w:pPr>
    </w:p>
    <w:p>
      <w:pPr>
        <w:bidi w:val="0"/>
        <w:jc w:val="left"/>
        <w:rPr>
          <w:rFonts w:hint="eastAsia"/>
          <w:lang w:val="en-US" w:eastAsia="zh-CN"/>
        </w:rPr>
      </w:pPr>
    </w:p>
    <w:p>
      <w:pPr>
        <w:spacing w:line="240" w:lineRule="auto"/>
        <w:rPr>
          <w:rFonts w:hint="eastAsia" w:ascii="方正小标宋简体" w:hAnsi="方正小标宋简体" w:eastAsia="方正小标宋简体" w:cs="方正小标宋简体"/>
          <w:kern w:val="0"/>
          <w:sz w:val="44"/>
          <w:szCs w:val="44"/>
        </w:rPr>
      </w:pPr>
    </w:p>
    <w:tbl>
      <w:tblPr>
        <w:tblStyle w:val="9"/>
        <w:tblW w:w="9169" w:type="dxa"/>
        <w:tblInd w:w="-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750"/>
        <w:gridCol w:w="801"/>
        <w:gridCol w:w="1011"/>
        <w:gridCol w:w="708"/>
        <w:gridCol w:w="1045"/>
        <w:gridCol w:w="826"/>
        <w:gridCol w:w="1803"/>
        <w:gridCol w:w="793"/>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9169" w:type="dxa"/>
            <w:gridSpan w:val="10"/>
            <w:tcBorders>
              <w:top w:val="nil"/>
              <w:left w:val="nil"/>
              <w:bottom w:val="single" w:color="000000" w:sz="4" w:space="0"/>
              <w:right w:val="nil"/>
            </w:tcBorders>
            <w:shd w:val="clear" w:color="auto" w:fill="FFFFFF"/>
            <w:vAlign w:val="center"/>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eastAsia" w:ascii="Calibri" w:hAnsi="Calibri" w:eastAsia="华文细黑" w:cs="Times New Roman"/>
                <w:color w:val="000000"/>
                <w:sz w:val="20"/>
                <w:szCs w:val="22"/>
                <w:lang w:val="en-US" w:eastAsia="zh-CN"/>
              </w:rPr>
              <w:t xml:space="preserve">                                                                                </w:t>
            </w:r>
            <w:r>
              <w:rPr>
                <w:rFonts w:hint="eastAsia" w:ascii="Calibri" w:hAnsi="Calibri" w:eastAsia="华文细黑" w:cs="Times New Roman"/>
                <w:color w:val="000000"/>
                <w:sz w:val="20"/>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单位名称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项目名称</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年度资金总额（万元）</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年度绩效目标</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一级指标</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二级指标</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三级指标</w:t>
            </w:r>
          </w:p>
        </w:tc>
        <w:tc>
          <w:tcPr>
            <w:tcW w:w="1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指标解释</w:t>
            </w:r>
          </w:p>
        </w:tc>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指标值</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通化市统计局二道江区分局</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统计调查经费</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18.36</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通过开展统计调查、统计监测及相关工作为区委区政府提供经济运行各项指标及经济运行分析预测，研究经济发展态势，为社会提供行业发展经济数据。</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产出指标</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数量指标</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培训人次</w:t>
            </w:r>
          </w:p>
        </w:tc>
        <w:tc>
          <w:tcPr>
            <w:tcW w:w="1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开展统计各专业工作的培训人数情况。</w:t>
            </w:r>
          </w:p>
        </w:tc>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default" w:ascii="Arial" w:hAnsi="Arial" w:eastAsia="宋体" w:cs="Arial"/>
                <w:kern w:val="0"/>
                <w:sz w:val="20"/>
                <w:szCs w:val="20"/>
                <w:vertAlign w:val="baseline"/>
                <w:lang w:val="en-US" w:eastAsia="zh-CN"/>
              </w:rPr>
              <w:t>≥</w:t>
            </w:r>
            <w:r>
              <w:rPr>
                <w:rFonts w:hint="eastAsia" w:asciiTheme="minorEastAsia" w:hAnsiTheme="minorEastAsia" w:eastAsiaTheme="minorEastAsia" w:cstheme="minorEastAsia"/>
                <w:i w:val="0"/>
                <w:iCs w:val="0"/>
                <w:color w:val="000000"/>
                <w:kern w:val="0"/>
                <w:sz w:val="20"/>
                <w:szCs w:val="20"/>
                <w:u w:val="none"/>
                <w:lang w:val="en-US" w:eastAsia="zh-CN" w:bidi="ar"/>
              </w:rPr>
              <w:t>65人</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经济分析报告篇数</w:t>
            </w:r>
          </w:p>
        </w:tc>
        <w:tc>
          <w:tcPr>
            <w:tcW w:w="1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在省局、市局内部统计网站发表统计信息分析的篇数。</w:t>
            </w:r>
          </w:p>
        </w:tc>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default" w:ascii="Arial" w:hAnsi="Arial" w:eastAsia="宋体" w:cs="Arial"/>
                <w:kern w:val="0"/>
                <w:sz w:val="20"/>
                <w:szCs w:val="20"/>
                <w:vertAlign w:val="baseline"/>
                <w:lang w:val="en-US" w:eastAsia="zh-CN"/>
              </w:rPr>
              <w:t>≥</w:t>
            </w:r>
            <w:r>
              <w:rPr>
                <w:rFonts w:hint="eastAsia" w:asciiTheme="minorEastAsia" w:hAnsiTheme="minorEastAsia" w:eastAsiaTheme="minorEastAsia" w:cstheme="minorEastAsia"/>
                <w:i w:val="0"/>
                <w:iCs w:val="0"/>
                <w:color w:val="000000"/>
                <w:kern w:val="0"/>
                <w:sz w:val="20"/>
                <w:szCs w:val="20"/>
                <w:u w:val="none"/>
                <w:lang w:val="en-US" w:eastAsia="zh-CN" w:bidi="ar"/>
              </w:rPr>
              <w:t>2篇</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质量指标</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统计分析报告审核通过率</w:t>
            </w:r>
          </w:p>
        </w:tc>
        <w:tc>
          <w:tcPr>
            <w:tcW w:w="1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反映各专业体现经济运行统计分析报告评审通过的情况，为全区经济运行提供有利支撑。</w:t>
            </w:r>
          </w:p>
        </w:tc>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时效指标</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及时完成培训</w:t>
            </w:r>
          </w:p>
        </w:tc>
        <w:tc>
          <w:tcPr>
            <w:tcW w:w="1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完成统计专业工作包括工业、商贸、投资、服务业等各专业报表培训的时效性。</w:t>
            </w:r>
          </w:p>
        </w:tc>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2024年12月底</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9"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效益指标</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社会效益指标</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统计志发放数量</w:t>
            </w:r>
          </w:p>
        </w:tc>
        <w:tc>
          <w:tcPr>
            <w:tcW w:w="1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向全区各单位部门发放反应全区各专业统计数据的统计资料，为全区经济运行提供数据支持。</w:t>
            </w:r>
          </w:p>
        </w:tc>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default" w:ascii="Arial" w:hAnsi="Arial" w:eastAsia="宋体" w:cs="Arial"/>
                <w:kern w:val="0"/>
                <w:sz w:val="20"/>
                <w:szCs w:val="20"/>
                <w:vertAlign w:val="baseline"/>
                <w:lang w:val="en-US" w:eastAsia="zh-CN"/>
              </w:rPr>
              <w:t>≥</w:t>
            </w:r>
            <w:r>
              <w:rPr>
                <w:rFonts w:hint="eastAsia" w:asciiTheme="minorEastAsia" w:hAnsiTheme="minorEastAsia" w:eastAsiaTheme="minorEastAsia" w:cstheme="minorEastAsia"/>
                <w:i w:val="0"/>
                <w:iCs w:val="0"/>
                <w:color w:val="000000"/>
                <w:kern w:val="0"/>
                <w:sz w:val="20"/>
                <w:szCs w:val="20"/>
                <w:u w:val="none"/>
                <w:lang w:val="en-US" w:eastAsia="zh-CN" w:bidi="ar"/>
              </w:rPr>
              <w:t>30份</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满意度指标</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服务对象满意度指标</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全局、各级领导满意度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开展统计各专业包括专业培训，专业数据印发等使统计工作让全局、各级领导达到满意。</w:t>
            </w:r>
          </w:p>
        </w:tc>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default" w:ascii="Arial" w:hAnsi="Arial" w:eastAsia="宋体" w:cs="Arial"/>
                <w:kern w:val="0"/>
                <w:sz w:val="20"/>
                <w:szCs w:val="20"/>
                <w:vertAlign w:val="baseline"/>
                <w:lang w:val="en-US" w:eastAsia="zh-CN"/>
              </w:rPr>
              <w:t>≥</w:t>
            </w:r>
            <w:r>
              <w:rPr>
                <w:rFonts w:hint="eastAsia" w:asciiTheme="minorEastAsia" w:hAnsiTheme="minorEastAsia" w:eastAsiaTheme="minorEastAsia" w:cstheme="minorEastAsia"/>
                <w:i w:val="0"/>
                <w:iCs w:val="0"/>
                <w:color w:val="000000"/>
                <w:kern w:val="0"/>
                <w:sz w:val="20"/>
                <w:szCs w:val="20"/>
                <w:u w:val="none"/>
                <w:lang w:val="en-US" w:eastAsia="zh-CN" w:bidi="ar"/>
              </w:rPr>
              <w:t>90%</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r>
    </w:tbl>
    <w:p>
      <w:pPr>
        <w:spacing w:line="240" w:lineRule="auto"/>
        <w:rPr>
          <w:rFonts w:hint="eastAsia" w:eastAsia="楷体"/>
          <w:kern w:val="0"/>
          <w:szCs w:val="32"/>
        </w:rPr>
      </w:pPr>
    </w:p>
    <w:p>
      <w:pPr>
        <w:spacing w:line="700" w:lineRule="exact"/>
        <w:rPr>
          <w:rFonts w:hint="eastAsia" w:eastAsia="楷体"/>
          <w:kern w:val="0"/>
          <w:szCs w:val="32"/>
        </w:rPr>
      </w:pPr>
    </w:p>
    <w:tbl>
      <w:tblPr>
        <w:tblStyle w:val="9"/>
        <w:tblW w:w="9152"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
        <w:gridCol w:w="750"/>
        <w:gridCol w:w="1020"/>
        <w:gridCol w:w="795"/>
        <w:gridCol w:w="756"/>
        <w:gridCol w:w="744"/>
        <w:gridCol w:w="990"/>
        <w:gridCol w:w="1590"/>
        <w:gridCol w:w="100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9152" w:type="dxa"/>
            <w:gridSpan w:val="10"/>
            <w:tcBorders>
              <w:top w:val="nil"/>
              <w:left w:val="nil"/>
              <w:bottom w:val="single" w:color="000000" w:sz="4" w:space="0"/>
              <w:right w:val="nil"/>
            </w:tcBorders>
            <w:shd w:val="clear" w:color="auto" w:fill="FFFFFF"/>
            <w:vAlign w:val="center"/>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eastAsia" w:ascii="Calibri" w:hAnsi="Calibri" w:eastAsia="华文细黑" w:cs="Times New Roman"/>
                <w:color w:val="000000"/>
                <w:sz w:val="20"/>
                <w:szCs w:val="22"/>
                <w:lang w:val="en-US" w:eastAsia="zh-CN"/>
              </w:rPr>
              <w:t xml:space="preserve">                                                                                </w:t>
            </w:r>
            <w:r>
              <w:rPr>
                <w:rFonts w:hint="eastAsia" w:ascii="Calibri" w:hAnsi="Calibri" w:eastAsia="华文细黑" w:cs="Times New Roman"/>
                <w:color w:val="000000"/>
                <w:sz w:val="20"/>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单位名称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项目名称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年度资金总额（万元）</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年度绩效目标</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一级指标</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二级指标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三级指标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指标解释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指标值</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通化市统计局二道江区分局</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第五次全国经济普查经费</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8.32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完成第五次全国经济普查的录入、审核、整理及开发工作.</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产出指标</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数量指标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普查员、普查指导员补贴发放人数</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反应普查员、普查指导员补贴发放人数情况</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=102人</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质量指标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“两员”劳务费发放率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反应普查员及普查指导员劳务费发放的完成情况。</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时效指标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劳务费发放及时性</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反应普查员及普查指导员劳务费发放及时的情况。</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2023年7月底</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3"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效益指标</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社会效益指标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普查员、普查指导员补贴发放覆盖率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完成对全国第五次经济普查的普查员、普查指导员补贴发放的全覆盖，使普查员普查指导员认真负责完成经普工作。</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满意度指标</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0"/>
                <w:szCs w:val="20"/>
                <w:u w:val="none"/>
              </w:rPr>
            </w:pPr>
            <w:r>
              <w:rPr>
                <w:rFonts w:hint="default" w:ascii="华文细黑" w:hAnsi="华文细黑" w:eastAsia="华文细黑" w:cs="华文细黑"/>
                <w:i w:val="0"/>
                <w:iCs w:val="0"/>
                <w:color w:val="000000"/>
                <w:kern w:val="0"/>
                <w:sz w:val="20"/>
                <w:szCs w:val="20"/>
                <w:u w:val="none"/>
                <w:lang w:val="en-US" w:eastAsia="zh-CN" w:bidi="ar"/>
              </w:rPr>
              <w:t>服务对象满意度指标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全局、各级领导满意度</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完成第五次全国经济普查两员补贴发放及时到位，获得使全局、各级领导的满意度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default" w:ascii="Arial" w:hAnsi="Arial" w:eastAsia="宋体" w:cs="Arial"/>
                <w:kern w:val="0"/>
                <w:sz w:val="20"/>
                <w:szCs w:val="20"/>
                <w:vertAlign w:val="baseline"/>
                <w:lang w:val="en-US" w:eastAsia="zh-CN"/>
              </w:rPr>
              <w:t>≥</w:t>
            </w:r>
            <w:r>
              <w:rPr>
                <w:rFonts w:hint="eastAsia" w:asciiTheme="minorEastAsia" w:hAnsiTheme="minorEastAsia" w:eastAsiaTheme="minorEastAsia" w:cstheme="minorEastAsia"/>
                <w:i w:val="0"/>
                <w:iCs w:val="0"/>
                <w:color w:val="000000"/>
                <w:kern w:val="0"/>
                <w:sz w:val="20"/>
                <w:szCs w:val="20"/>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r>
    </w:tbl>
    <w:p>
      <w:pPr>
        <w:spacing w:line="240" w:lineRule="auto"/>
        <w:rPr>
          <w:rFonts w:hint="eastAsia" w:eastAsia="楷体"/>
          <w:kern w:val="0"/>
          <w:szCs w:val="32"/>
        </w:rPr>
      </w:pPr>
    </w:p>
    <w:p>
      <w:pPr>
        <w:ind w:firstLine="3200" w:firstLineChars="1000"/>
        <w:jc w:val="both"/>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w:t>
      </w:r>
      <w:r>
        <w:rPr>
          <w:rFonts w:hint="eastAsia"/>
          <w:szCs w:val="32"/>
          <w:lang w:eastAsia="zh-CN"/>
        </w:rPr>
        <w:t>、</w:t>
      </w:r>
      <w:r>
        <w:rPr>
          <w:szCs w:val="32"/>
        </w:rPr>
        <w:t>上年结转；支出包括：一般公共服务支出</w:t>
      </w:r>
      <w:r>
        <w:rPr>
          <w:rFonts w:hint="eastAsia"/>
          <w:szCs w:val="32"/>
          <w:lang w:eastAsia="zh-CN"/>
        </w:rPr>
        <w:t>、</w:t>
      </w:r>
      <w:r>
        <w:rPr>
          <w:szCs w:val="32"/>
        </w:rPr>
        <w:t>社会保障和就业支出</w:t>
      </w:r>
      <w:r>
        <w:rPr>
          <w:rFonts w:hint="eastAsia"/>
          <w:szCs w:val="32"/>
          <w:lang w:eastAsia="zh-CN"/>
        </w:rPr>
        <w:t>、</w:t>
      </w:r>
      <w:r>
        <w:rPr>
          <w:rFonts w:hint="eastAsia"/>
          <w:szCs w:val="32"/>
          <w:lang w:val="en-US" w:eastAsia="zh-CN"/>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98.62</w:t>
      </w:r>
      <w:r>
        <w:rPr>
          <w:szCs w:val="32"/>
        </w:rPr>
        <w:t>万元</w:t>
      </w:r>
      <w:r>
        <w:rPr>
          <w:rFonts w:hint="eastAsia"/>
          <w:szCs w:val="32"/>
          <w:lang w:eastAsia="zh-CN"/>
        </w:rPr>
        <w:t>，其中：本年预算</w:t>
      </w:r>
      <w:r>
        <w:rPr>
          <w:rFonts w:hint="eastAsia"/>
          <w:szCs w:val="32"/>
          <w:lang w:val="en-US" w:eastAsia="zh-CN"/>
        </w:rPr>
        <w:t>96.67</w:t>
      </w:r>
      <w:r>
        <w:rPr>
          <w:rFonts w:hint="eastAsia"/>
          <w:szCs w:val="32"/>
          <w:lang w:eastAsia="zh-CN"/>
        </w:rPr>
        <w:t>万元；上年结转</w:t>
      </w:r>
      <w:r>
        <w:rPr>
          <w:rFonts w:hint="eastAsia"/>
          <w:szCs w:val="32"/>
          <w:lang w:val="en-US" w:eastAsia="zh-CN"/>
        </w:rPr>
        <w:t>1.95</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14.23</w:t>
      </w:r>
      <w:r>
        <w:rPr>
          <w:szCs w:val="32"/>
        </w:rPr>
        <w:t>万元，主要原因是</w:t>
      </w:r>
      <w:r>
        <w:rPr>
          <w:rFonts w:hint="eastAsia"/>
          <w:szCs w:val="32"/>
          <w:lang w:eastAsia="zh-CN"/>
        </w:rPr>
        <w:t>本年为普查年份，新增第五次全国经济普查经费</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98.62</w:t>
      </w:r>
      <w:r>
        <w:rPr>
          <w:szCs w:val="32"/>
        </w:rPr>
        <w:t>万元，其中：本年收入</w:t>
      </w:r>
      <w:r>
        <w:rPr>
          <w:rFonts w:hint="eastAsia"/>
          <w:szCs w:val="32"/>
          <w:lang w:val="en-US" w:eastAsia="zh-CN"/>
        </w:rPr>
        <w:t>96.67</w:t>
      </w:r>
      <w:r>
        <w:rPr>
          <w:szCs w:val="32"/>
        </w:rPr>
        <w:t>万元，占</w:t>
      </w:r>
      <w:r>
        <w:rPr>
          <w:rFonts w:hint="eastAsia"/>
          <w:szCs w:val="32"/>
          <w:lang w:val="en-US" w:eastAsia="zh-CN"/>
        </w:rPr>
        <w:t>98.02</w:t>
      </w:r>
      <w:r>
        <w:rPr>
          <w:szCs w:val="32"/>
        </w:rPr>
        <w:t>%；上年结转</w:t>
      </w:r>
      <w:r>
        <w:rPr>
          <w:rFonts w:hint="eastAsia"/>
          <w:szCs w:val="32"/>
          <w:lang w:val="en-US" w:eastAsia="zh-CN"/>
        </w:rPr>
        <w:t>1.95</w:t>
      </w:r>
      <w:r>
        <w:rPr>
          <w:szCs w:val="32"/>
        </w:rPr>
        <w:t>万元，占</w:t>
      </w:r>
      <w:r>
        <w:rPr>
          <w:rFonts w:hint="eastAsia"/>
          <w:szCs w:val="32"/>
          <w:lang w:val="en-US" w:eastAsia="zh-CN"/>
        </w:rPr>
        <w:t>1.98</w:t>
      </w:r>
      <w:r>
        <w:rPr>
          <w:szCs w:val="32"/>
        </w:rPr>
        <w:t>%。本年收入中，一般公共预算拨款收入</w:t>
      </w:r>
      <w:r>
        <w:rPr>
          <w:rFonts w:hint="eastAsia"/>
          <w:szCs w:val="32"/>
          <w:lang w:val="en-US" w:eastAsia="zh-CN"/>
        </w:rPr>
        <w:t>98.62</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1.95</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rFonts w:hint="eastAsia" w:eastAsia="仿宋_GB2312"/>
          <w:szCs w:val="32"/>
          <w:lang w:eastAsia="zh-CN"/>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98.63</w:t>
      </w:r>
      <w:r>
        <w:rPr>
          <w:szCs w:val="32"/>
        </w:rPr>
        <w:t>万元，其中：基本支出</w:t>
      </w:r>
      <w:r>
        <w:rPr>
          <w:rFonts w:hint="eastAsia"/>
          <w:szCs w:val="32"/>
          <w:lang w:val="en-US" w:eastAsia="zh-CN"/>
        </w:rPr>
        <w:t>71.95</w:t>
      </w:r>
      <w:r>
        <w:rPr>
          <w:szCs w:val="32"/>
        </w:rPr>
        <w:t>万元，占</w:t>
      </w:r>
      <w:r>
        <w:rPr>
          <w:rFonts w:hint="eastAsia"/>
          <w:szCs w:val="32"/>
          <w:lang w:val="en-US" w:eastAsia="zh-CN"/>
        </w:rPr>
        <w:t>72.95</w:t>
      </w:r>
      <w:r>
        <w:rPr>
          <w:szCs w:val="32"/>
        </w:rPr>
        <w:t>%；项目支出</w:t>
      </w:r>
      <w:r>
        <w:rPr>
          <w:rFonts w:hint="eastAsia"/>
          <w:szCs w:val="32"/>
          <w:lang w:val="en-US" w:eastAsia="zh-CN"/>
        </w:rPr>
        <w:t>26.68</w:t>
      </w:r>
      <w:r>
        <w:rPr>
          <w:szCs w:val="32"/>
        </w:rPr>
        <w:t>万元，</w:t>
      </w:r>
      <w:r>
        <w:rPr>
          <w:rFonts w:hint="eastAsia"/>
          <w:szCs w:val="32"/>
          <w:lang w:eastAsia="zh-CN"/>
        </w:rPr>
        <w:t>占</w:t>
      </w:r>
      <w:r>
        <w:rPr>
          <w:rFonts w:hint="eastAsia"/>
          <w:szCs w:val="32"/>
          <w:lang w:val="en-US" w:eastAsia="zh-CN"/>
        </w:rPr>
        <w:t>27.05</w:t>
      </w:r>
      <w:r>
        <w:rPr>
          <w:szCs w:val="32"/>
        </w:rPr>
        <w:t>%</w:t>
      </w:r>
      <w:r>
        <w:rPr>
          <w:rFonts w:hint="eastAsia"/>
          <w:szCs w:val="32"/>
          <w:lang w:eastAsia="zh-CN"/>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98.62</w:t>
      </w:r>
      <w:r>
        <w:rPr>
          <w:szCs w:val="32"/>
        </w:rPr>
        <w:t>万元，其中：</w:t>
      </w:r>
      <w:r>
        <w:rPr>
          <w:rFonts w:hint="eastAsia"/>
          <w:szCs w:val="32"/>
        </w:rPr>
        <w:t>本年</w:t>
      </w:r>
      <w:r>
        <w:rPr>
          <w:rFonts w:hint="eastAsia"/>
          <w:szCs w:val="32"/>
          <w:lang w:eastAsia="zh-CN"/>
        </w:rPr>
        <w:t>预算</w:t>
      </w:r>
      <w:r>
        <w:rPr>
          <w:rFonts w:hint="eastAsia"/>
          <w:szCs w:val="32"/>
          <w:lang w:val="en-US" w:eastAsia="zh-CN"/>
        </w:rPr>
        <w:t>96.67</w:t>
      </w:r>
      <w:r>
        <w:rPr>
          <w:szCs w:val="32"/>
        </w:rPr>
        <w:t>万元</w:t>
      </w:r>
      <w:r>
        <w:rPr>
          <w:rFonts w:hint="eastAsia"/>
          <w:szCs w:val="32"/>
        </w:rPr>
        <w:t>，上年结转</w:t>
      </w:r>
      <w:r>
        <w:rPr>
          <w:rFonts w:hint="eastAsia"/>
          <w:szCs w:val="32"/>
          <w:lang w:val="en-US" w:eastAsia="zh-CN"/>
        </w:rPr>
        <w:t>1.95</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78.31</w:t>
      </w:r>
      <w:r>
        <w:rPr>
          <w:szCs w:val="32"/>
        </w:rPr>
        <w:t>万元，</w:t>
      </w:r>
      <w:r>
        <w:rPr>
          <w:kern w:val="0"/>
          <w:szCs w:val="32"/>
        </w:rPr>
        <w:t>社会保障和就业支出</w:t>
      </w:r>
      <w:r>
        <w:rPr>
          <w:rFonts w:hint="eastAsia"/>
          <w:kern w:val="0"/>
          <w:szCs w:val="32"/>
          <w:lang w:val="en-US" w:eastAsia="zh-CN"/>
        </w:rPr>
        <w:t>12.01</w:t>
      </w:r>
      <w:r>
        <w:rPr>
          <w:szCs w:val="32"/>
        </w:rPr>
        <w:t>万元</w:t>
      </w:r>
      <w:r>
        <w:rPr>
          <w:rFonts w:hint="eastAsia"/>
          <w:szCs w:val="32"/>
          <w:lang w:eastAsia="zh-CN"/>
        </w:rPr>
        <w:t>，</w:t>
      </w:r>
      <w:r>
        <w:rPr>
          <w:kern w:val="0"/>
          <w:szCs w:val="32"/>
        </w:rPr>
        <w:t>卫生</w:t>
      </w:r>
      <w:r>
        <w:rPr>
          <w:rFonts w:hint="eastAsia"/>
          <w:kern w:val="0"/>
          <w:szCs w:val="32"/>
        </w:rPr>
        <w:t>健康</w:t>
      </w:r>
      <w:r>
        <w:rPr>
          <w:kern w:val="0"/>
          <w:szCs w:val="32"/>
        </w:rPr>
        <w:t>支出</w:t>
      </w:r>
      <w:r>
        <w:rPr>
          <w:rFonts w:hint="eastAsia"/>
          <w:szCs w:val="32"/>
          <w:lang w:val="en-US" w:eastAsia="zh-CN"/>
        </w:rPr>
        <w:t>1.91</w:t>
      </w:r>
      <w:r>
        <w:rPr>
          <w:szCs w:val="32"/>
        </w:rPr>
        <w:t>万元</w:t>
      </w:r>
      <w:r>
        <w:rPr>
          <w:rFonts w:hint="eastAsia"/>
          <w:szCs w:val="32"/>
          <w:lang w:eastAsia="zh-CN"/>
        </w:rPr>
        <w:t>，</w:t>
      </w:r>
      <w:r>
        <w:rPr>
          <w:kern w:val="0"/>
          <w:szCs w:val="32"/>
        </w:rPr>
        <w:t>住房保障支</w:t>
      </w:r>
      <w:r>
        <w:rPr>
          <w:rFonts w:hint="eastAsia"/>
          <w:kern w:val="0"/>
          <w:szCs w:val="32"/>
          <w:lang w:eastAsia="zh-CN"/>
        </w:rPr>
        <w:t>出</w:t>
      </w:r>
      <w:r>
        <w:rPr>
          <w:rFonts w:hint="eastAsia"/>
          <w:szCs w:val="32"/>
          <w:lang w:val="en-US" w:eastAsia="zh-CN"/>
        </w:rPr>
        <w:t>6.4</w:t>
      </w:r>
      <w:r>
        <w:rPr>
          <w:szCs w:val="32"/>
        </w:rPr>
        <w:t>万元。</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98.63</w:t>
      </w:r>
      <w:r>
        <w:rPr>
          <w:szCs w:val="32"/>
        </w:rPr>
        <w:t>万元，其中：基本支出</w:t>
      </w:r>
      <w:r>
        <w:rPr>
          <w:rFonts w:hint="eastAsia"/>
          <w:szCs w:val="32"/>
          <w:lang w:val="en-US" w:eastAsia="zh-CN"/>
        </w:rPr>
        <w:t>71.95</w:t>
      </w:r>
      <w:r>
        <w:rPr>
          <w:szCs w:val="32"/>
        </w:rPr>
        <w:t>万元，占</w:t>
      </w:r>
      <w:r>
        <w:rPr>
          <w:rFonts w:hint="eastAsia"/>
          <w:szCs w:val="32"/>
          <w:lang w:val="en-US" w:eastAsia="zh-CN"/>
        </w:rPr>
        <w:t>72.95</w:t>
      </w:r>
      <w:r>
        <w:rPr>
          <w:szCs w:val="32"/>
        </w:rPr>
        <w:t>%；项目支出</w:t>
      </w:r>
      <w:r>
        <w:rPr>
          <w:rFonts w:hint="eastAsia"/>
          <w:szCs w:val="32"/>
          <w:lang w:val="en-US" w:eastAsia="zh-CN"/>
        </w:rPr>
        <w:t>26.68</w:t>
      </w:r>
      <w:r>
        <w:rPr>
          <w:szCs w:val="32"/>
        </w:rPr>
        <w:t>万元，</w:t>
      </w:r>
      <w:r>
        <w:rPr>
          <w:rFonts w:hint="eastAsia"/>
          <w:szCs w:val="32"/>
          <w:lang w:eastAsia="zh-CN"/>
        </w:rPr>
        <w:t>占</w:t>
      </w:r>
      <w:r>
        <w:rPr>
          <w:rFonts w:hint="eastAsia"/>
          <w:szCs w:val="32"/>
          <w:lang w:val="en-US" w:eastAsia="zh-CN"/>
        </w:rPr>
        <w:t>27.05</w:t>
      </w:r>
      <w:r>
        <w:rPr>
          <w:szCs w:val="32"/>
        </w:rPr>
        <w:t>%。基本支出中，人员经费</w:t>
      </w:r>
      <w:r>
        <w:rPr>
          <w:rFonts w:hint="eastAsia"/>
          <w:szCs w:val="32"/>
          <w:lang w:val="en-US" w:eastAsia="zh-CN"/>
        </w:rPr>
        <w:t>61.36</w:t>
      </w:r>
      <w:r>
        <w:rPr>
          <w:szCs w:val="32"/>
        </w:rPr>
        <w:t>万元，占</w:t>
      </w:r>
      <w:r>
        <w:rPr>
          <w:rFonts w:hint="eastAsia"/>
          <w:szCs w:val="32"/>
          <w:lang w:val="en-US" w:eastAsia="zh-CN"/>
        </w:rPr>
        <w:t>85.28</w:t>
      </w:r>
      <w:r>
        <w:rPr>
          <w:szCs w:val="32"/>
        </w:rPr>
        <w:t>%；公用经费</w:t>
      </w:r>
      <w:r>
        <w:rPr>
          <w:rFonts w:hint="eastAsia"/>
          <w:szCs w:val="32"/>
          <w:lang w:val="en-US" w:eastAsia="zh-CN"/>
        </w:rPr>
        <w:t>10.59</w:t>
      </w:r>
      <w:r>
        <w:rPr>
          <w:szCs w:val="32"/>
        </w:rPr>
        <w:t>万元，占</w:t>
      </w:r>
      <w:r>
        <w:rPr>
          <w:rFonts w:hint="eastAsia"/>
          <w:szCs w:val="32"/>
          <w:lang w:val="en-US" w:eastAsia="zh-CN"/>
        </w:rPr>
        <w:t>14.72</w:t>
      </w:r>
      <w:r>
        <w:rPr>
          <w:szCs w:val="32"/>
        </w:rPr>
        <w:t>%。</w:t>
      </w:r>
    </w:p>
    <w:p>
      <w:pPr>
        <w:spacing w:line="520" w:lineRule="exact"/>
        <w:ind w:firstLine="640" w:firstLineChars="200"/>
        <w:rPr>
          <w:rFonts w:hint="eastAsia"/>
          <w:szCs w:val="32"/>
        </w:rPr>
      </w:pPr>
      <w:r>
        <w:rPr>
          <w:rFonts w:hint="eastAsia"/>
          <w:szCs w:val="32"/>
        </w:rPr>
        <w:t>一般公共服务（类）支出</w:t>
      </w:r>
      <w:r>
        <w:rPr>
          <w:rFonts w:hint="eastAsia"/>
          <w:szCs w:val="32"/>
          <w:lang w:val="en-US" w:eastAsia="zh-CN"/>
        </w:rPr>
        <w:t>78.31</w:t>
      </w:r>
      <w:r>
        <w:rPr>
          <w:rFonts w:hint="eastAsia"/>
          <w:szCs w:val="32"/>
        </w:rPr>
        <w:t>万元，占</w:t>
      </w:r>
      <w:r>
        <w:rPr>
          <w:rFonts w:hint="eastAsia"/>
          <w:szCs w:val="32"/>
          <w:lang w:val="en-US" w:eastAsia="zh-CN"/>
        </w:rPr>
        <w:t>79.39</w:t>
      </w:r>
      <w:r>
        <w:rPr>
          <w:rFonts w:hint="eastAsia"/>
          <w:szCs w:val="32"/>
        </w:rPr>
        <w:t>%，主要用于保障职工工资，维持机关正常运转，完成年度统计工作任务。</w:t>
      </w:r>
    </w:p>
    <w:p>
      <w:pPr>
        <w:spacing w:line="520" w:lineRule="exact"/>
        <w:ind w:firstLine="640" w:firstLineChars="200"/>
        <w:rPr>
          <w:rFonts w:hint="eastAsia"/>
          <w:szCs w:val="32"/>
        </w:rPr>
      </w:pPr>
      <w:r>
        <w:rPr>
          <w:rFonts w:hint="eastAsia"/>
          <w:szCs w:val="32"/>
        </w:rPr>
        <w:t>社会保障和就业（类）支出</w:t>
      </w:r>
      <w:r>
        <w:rPr>
          <w:rFonts w:hint="eastAsia"/>
          <w:szCs w:val="32"/>
          <w:lang w:val="en-US" w:eastAsia="zh-CN"/>
        </w:rPr>
        <w:t>12.01</w:t>
      </w:r>
      <w:r>
        <w:rPr>
          <w:rFonts w:hint="eastAsia"/>
          <w:szCs w:val="32"/>
        </w:rPr>
        <w:t>万元，占</w:t>
      </w:r>
      <w:r>
        <w:rPr>
          <w:rFonts w:hint="eastAsia"/>
          <w:szCs w:val="32"/>
          <w:lang w:val="en-US" w:eastAsia="zh-CN"/>
        </w:rPr>
        <w:t>12.18</w:t>
      </w:r>
      <w:r>
        <w:rPr>
          <w:rFonts w:hint="eastAsia"/>
          <w:szCs w:val="32"/>
        </w:rPr>
        <w:t>%，主要用于行政单位离退休、机关事业单位基本养老保险缴费支出。</w:t>
      </w:r>
    </w:p>
    <w:p>
      <w:pPr>
        <w:spacing w:line="520" w:lineRule="exact"/>
        <w:ind w:firstLine="640" w:firstLineChars="200"/>
        <w:rPr>
          <w:rFonts w:hint="eastAsia"/>
          <w:szCs w:val="32"/>
        </w:rPr>
      </w:pPr>
      <w:r>
        <w:rPr>
          <w:rFonts w:hint="eastAsia"/>
          <w:szCs w:val="32"/>
        </w:rPr>
        <w:t>卫生健康（类）支出</w:t>
      </w:r>
      <w:r>
        <w:rPr>
          <w:rFonts w:hint="eastAsia"/>
          <w:szCs w:val="32"/>
          <w:lang w:val="en-US" w:eastAsia="zh-CN"/>
        </w:rPr>
        <w:t>1.91</w:t>
      </w:r>
      <w:r>
        <w:rPr>
          <w:rFonts w:hint="eastAsia"/>
          <w:szCs w:val="32"/>
        </w:rPr>
        <w:t>万元，占</w:t>
      </w:r>
      <w:r>
        <w:rPr>
          <w:rFonts w:hint="eastAsia"/>
          <w:szCs w:val="32"/>
          <w:lang w:val="en-US" w:eastAsia="zh-CN"/>
        </w:rPr>
        <w:t>1.94</w:t>
      </w:r>
      <w:r>
        <w:rPr>
          <w:rFonts w:hint="eastAsia"/>
          <w:szCs w:val="32"/>
        </w:rPr>
        <w:t>%，主要用于缴纳职工医疗保险。</w:t>
      </w:r>
    </w:p>
    <w:p>
      <w:pPr>
        <w:spacing w:line="520" w:lineRule="exact"/>
        <w:ind w:firstLine="640" w:firstLineChars="200"/>
        <w:rPr>
          <w:rFonts w:hint="eastAsia"/>
          <w:szCs w:val="32"/>
        </w:rPr>
      </w:pPr>
      <w:r>
        <w:rPr>
          <w:rFonts w:hint="eastAsia"/>
          <w:szCs w:val="32"/>
        </w:rPr>
        <w:t>住房保障（类）支出</w:t>
      </w:r>
      <w:r>
        <w:rPr>
          <w:rFonts w:hint="eastAsia"/>
          <w:szCs w:val="32"/>
          <w:lang w:val="en-US" w:eastAsia="zh-CN"/>
        </w:rPr>
        <w:t>6.40</w:t>
      </w:r>
      <w:r>
        <w:rPr>
          <w:rFonts w:hint="eastAsia"/>
          <w:szCs w:val="32"/>
        </w:rPr>
        <w:t>万元，占</w:t>
      </w:r>
      <w:r>
        <w:rPr>
          <w:rFonts w:hint="eastAsia"/>
          <w:szCs w:val="32"/>
          <w:lang w:val="en-US" w:eastAsia="zh-CN"/>
        </w:rPr>
        <w:t>6.49</w:t>
      </w:r>
      <w:r>
        <w:rPr>
          <w:rFonts w:hint="eastAsia"/>
          <w:szCs w:val="32"/>
        </w:rPr>
        <w:t>%，主要用于缴纳职工住房公积金。</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71.95</w:t>
      </w:r>
      <w:r>
        <w:rPr>
          <w:szCs w:val="32"/>
        </w:rPr>
        <w:t>万元，其中：</w:t>
      </w:r>
    </w:p>
    <w:p>
      <w:pPr>
        <w:ind w:firstLine="640" w:firstLineChars="200"/>
        <w:rPr>
          <w:rFonts w:hint="eastAsia"/>
          <w:kern w:val="0"/>
          <w:szCs w:val="32"/>
        </w:rPr>
      </w:pPr>
      <w:r>
        <w:rPr>
          <w:szCs w:val="32"/>
        </w:rPr>
        <w:t>人员经费</w:t>
      </w:r>
      <w:r>
        <w:rPr>
          <w:rFonts w:hint="eastAsia"/>
          <w:szCs w:val="32"/>
          <w:lang w:val="en-US" w:eastAsia="zh-CN"/>
        </w:rPr>
        <w:t>61.36</w:t>
      </w:r>
      <w:r>
        <w:rPr>
          <w:szCs w:val="32"/>
        </w:rPr>
        <w:t>万元，主要包括：</w:t>
      </w:r>
      <w:r>
        <w:rPr>
          <w:rFonts w:hint="eastAsia"/>
          <w:kern w:val="0"/>
          <w:szCs w:val="32"/>
        </w:rPr>
        <w:t>基本工资、津贴补贴、奖金、机关事业单位基本养老保险缴费、职工基本医疗保险缴费、其他社会保障缴费、住房公积金、医疗费、其他工资福利支出、退休费、其他对个人和家庭的补助。</w:t>
      </w:r>
    </w:p>
    <w:p>
      <w:pPr>
        <w:ind w:firstLine="640" w:firstLineChars="200"/>
        <w:rPr>
          <w:szCs w:val="32"/>
        </w:rPr>
      </w:pPr>
      <w:r>
        <w:rPr>
          <w:kern w:val="0"/>
          <w:szCs w:val="32"/>
        </w:rPr>
        <w:t>公用经费</w:t>
      </w:r>
      <w:r>
        <w:rPr>
          <w:rFonts w:hint="eastAsia"/>
          <w:szCs w:val="32"/>
          <w:lang w:val="en-US" w:eastAsia="zh-CN"/>
        </w:rPr>
        <w:t>10.59</w:t>
      </w:r>
      <w:r>
        <w:rPr>
          <w:szCs w:val="32"/>
        </w:rPr>
        <w:t>万元，主要包括：</w:t>
      </w:r>
      <w:r>
        <w:rPr>
          <w:kern w:val="0"/>
          <w:szCs w:val="32"/>
        </w:rPr>
        <w:t>办公费</w:t>
      </w:r>
      <w:r>
        <w:rPr>
          <w:szCs w:val="32"/>
        </w:rPr>
        <w:t>、</w:t>
      </w:r>
      <w:r>
        <w:rPr>
          <w:kern w:val="0"/>
          <w:szCs w:val="32"/>
        </w:rPr>
        <w:t>印刷费</w:t>
      </w:r>
      <w:r>
        <w:rPr>
          <w:szCs w:val="32"/>
        </w:rPr>
        <w:t>、</w:t>
      </w:r>
      <w:r>
        <w:rPr>
          <w:kern w:val="0"/>
          <w:szCs w:val="32"/>
        </w:rPr>
        <w:t>电费</w:t>
      </w:r>
      <w:r>
        <w:rPr>
          <w:szCs w:val="32"/>
        </w:rPr>
        <w:t>、</w:t>
      </w:r>
      <w:r>
        <w:rPr>
          <w:kern w:val="0"/>
          <w:szCs w:val="32"/>
        </w:rPr>
        <w:t>邮电费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rFonts w:hint="eastAsia"/>
          <w:kern w:val="0"/>
          <w:szCs w:val="32"/>
          <w:lang w:eastAsia="zh-CN"/>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w:t>
      </w:r>
      <w:r>
        <w:rPr>
          <w:rFonts w:hint="eastAsia"/>
          <w:szCs w:val="32"/>
          <w:lang w:eastAsia="zh-CN"/>
        </w:rPr>
        <w:t>少</w:t>
      </w:r>
      <w:r>
        <w:rPr>
          <w:rFonts w:hint="eastAsia"/>
          <w:szCs w:val="32"/>
          <w:lang w:val="en-US" w:eastAsia="zh-CN"/>
        </w:rPr>
        <w:t>0.11</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0.11</w:t>
      </w:r>
      <w:r>
        <w:rPr>
          <w:szCs w:val="32"/>
        </w:rPr>
        <w:t>万元，主要原因是</w:t>
      </w:r>
      <w:r>
        <w:rPr>
          <w:rFonts w:hint="eastAsia"/>
          <w:szCs w:val="32"/>
          <w:lang w:val="en-US" w:eastAsia="zh-CN"/>
        </w:rPr>
        <w:t>认真贯彻落实中共中央八项规定精神和省财政厅“过紧日子”有关要求，厉行节俭，压减公务接待费预算</w:t>
      </w:r>
      <w:r>
        <w:rPr>
          <w:rFonts w:hint="eastAsia"/>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2024年当年预算数与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hint="eastAsia" w:ascii="仿宋_GB2312" w:hAnsi="仿宋_GB2312" w:eastAsia="仿宋_GB2312" w:cs="仿宋_GB2312"/>
          <w:szCs w:val="32"/>
        </w:rPr>
        <w:t>本</w:t>
      </w:r>
      <w:r>
        <w:rPr>
          <w:rFonts w:hint="eastAsia" w:ascii="仿宋_GB2312" w:hAnsi="仿宋_GB2312" w:eastAsia="仿宋_GB2312" w:cs="仿宋_GB2312"/>
          <w:szCs w:val="32"/>
          <w:lang w:eastAsia="zh-CN"/>
        </w:rPr>
        <w:t>单位</w:t>
      </w:r>
      <w:r>
        <w:rPr>
          <w:rFonts w:hint="eastAsia" w:ascii="仿宋_GB2312" w:hAnsi="仿宋_GB2312" w:eastAsia="仿宋_GB2312" w:cs="仿宋_GB2312"/>
          <w:szCs w:val="32"/>
        </w:rPr>
        <w:t>无政府性基金预算拨款</w:t>
      </w:r>
      <w:r>
        <w:rPr>
          <w:rFonts w:hint="eastAsia" w:ascii="仿宋_GB2312" w:hAnsi="仿宋_GB2312" w:eastAsia="仿宋_GB2312" w:cs="仿宋_GB2312"/>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rFonts w:hint="eastAsia" w:ascii="仿宋_GB2312" w:hAnsi="仿宋_GB2312" w:eastAsia="仿宋_GB2312" w:cs="仿宋_GB2312"/>
          <w:szCs w:val="32"/>
        </w:rPr>
        <w:t>本</w:t>
      </w:r>
      <w:r>
        <w:rPr>
          <w:rFonts w:hint="eastAsia" w:ascii="仿宋_GB2312" w:hAnsi="仿宋_GB2312" w:eastAsia="仿宋_GB2312" w:cs="仿宋_GB2312"/>
          <w:szCs w:val="32"/>
          <w:lang w:eastAsia="zh-CN"/>
        </w:rPr>
        <w:t>单位</w:t>
      </w:r>
      <w:r>
        <w:rPr>
          <w:rFonts w:hint="eastAsia" w:ascii="仿宋_GB2312" w:hAnsi="仿宋_GB2312" w:eastAsia="仿宋_GB2312" w:cs="仿宋_GB2312"/>
          <w:szCs w:val="32"/>
        </w:rPr>
        <w:t>无国有资本经营预算拨款</w:t>
      </w:r>
      <w:r>
        <w:rPr>
          <w:rFonts w:hint="eastAsia" w:ascii="仿宋_GB2312" w:hAnsi="仿宋_GB2312" w:eastAsia="仿宋_GB2312" w:cs="仿宋_GB2312"/>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年通化市统计局二道江区分局1家行政单位的机关运行经费</w:t>
      </w:r>
      <w:r>
        <w:rPr>
          <w:szCs w:val="32"/>
        </w:rPr>
        <w:t>财政拨款预算</w:t>
      </w:r>
      <w:r>
        <w:rPr>
          <w:rFonts w:hint="eastAsia"/>
          <w:szCs w:val="32"/>
          <w:lang w:val="en-US" w:eastAsia="zh-CN"/>
        </w:rPr>
        <w:t>10.59</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1.02</w:t>
      </w:r>
      <w:r>
        <w:rPr>
          <w:szCs w:val="32"/>
        </w:rPr>
        <w:t>万元，下降</w:t>
      </w:r>
      <w:r>
        <w:rPr>
          <w:rFonts w:hint="eastAsia"/>
          <w:szCs w:val="32"/>
          <w:lang w:val="en-US" w:eastAsia="zh-CN"/>
        </w:rPr>
        <w:t>8.79</w:t>
      </w:r>
      <w:r>
        <w:rPr>
          <w:szCs w:val="32"/>
        </w:rPr>
        <w:t>%</w:t>
      </w:r>
      <w:r>
        <w:rPr>
          <w:rFonts w:hint="eastAsia"/>
          <w:szCs w:val="32"/>
        </w:rPr>
        <w:t>，主要原因是</w:t>
      </w:r>
      <w:r>
        <w:rPr>
          <w:rFonts w:hint="eastAsia"/>
          <w:szCs w:val="32"/>
          <w:lang w:eastAsia="zh-CN"/>
        </w:rPr>
        <w:t>压减机关运行经费预算</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szCs w:val="32"/>
        </w:rPr>
      </w:pPr>
      <w:r>
        <w:rPr>
          <w:rFonts w:hint="eastAsia"/>
          <w:szCs w:val="32"/>
        </w:rPr>
        <w:t>本单位无政府采购。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年8月底，本单位共有车辆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26.68</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26.68</w:t>
      </w:r>
      <w:r>
        <w:rPr>
          <w:szCs w:val="32"/>
        </w:rPr>
        <w:t>万元，</w:t>
      </w:r>
      <w:r>
        <w:rPr>
          <w:rFonts w:hint="eastAsia"/>
          <w:szCs w:val="32"/>
        </w:rPr>
        <w:t>财政拨款结转</w:t>
      </w:r>
      <w:r>
        <w:rPr>
          <w:rFonts w:hint="eastAsia"/>
          <w:szCs w:val="32"/>
          <w:lang w:val="en-US" w:eastAsia="zh-CN"/>
        </w:rPr>
        <w:t>0.00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ascii="宋体" w:hAnsi="宋体"/>
          <w:lang w:val="en-US" w:eastAsia="zh-CN"/>
        </w:rPr>
        <w:t>2</w:t>
      </w:r>
      <w:r>
        <w:rPr>
          <w:rFonts w:hint="eastAsia" w:ascii="宋体" w:hAnsi="宋体"/>
        </w:rPr>
        <w:t>个项目支出的绩效目标和指标向社会公开，涉及金额</w:t>
      </w:r>
      <w:r>
        <w:rPr>
          <w:rFonts w:hint="eastAsia" w:ascii="宋体" w:hAnsi="宋体"/>
          <w:lang w:val="en-US" w:eastAsia="zh-CN"/>
        </w:rPr>
        <w:t>26.68</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rPr>
          <w:szCs w:val="32"/>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WUxMmJhYzhhN2JjN2EzYzZiNDcyNmZmYzE0OTgifQ=="/>
  </w:docVars>
  <w:rsids>
    <w:rsidRoot w:val="48674ED2"/>
    <w:rsid w:val="000969AD"/>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0793B"/>
    <w:rsid w:val="02033000"/>
    <w:rsid w:val="020E6D2C"/>
    <w:rsid w:val="02C44267"/>
    <w:rsid w:val="031D7D4B"/>
    <w:rsid w:val="037F2004"/>
    <w:rsid w:val="04243DB5"/>
    <w:rsid w:val="04351B1E"/>
    <w:rsid w:val="0486486A"/>
    <w:rsid w:val="04954460"/>
    <w:rsid w:val="04B818D1"/>
    <w:rsid w:val="050D06DA"/>
    <w:rsid w:val="05310B72"/>
    <w:rsid w:val="05513E94"/>
    <w:rsid w:val="056F5A6D"/>
    <w:rsid w:val="059B3770"/>
    <w:rsid w:val="063949A0"/>
    <w:rsid w:val="06BD5BC7"/>
    <w:rsid w:val="06F008FF"/>
    <w:rsid w:val="074429C4"/>
    <w:rsid w:val="07563646"/>
    <w:rsid w:val="079E5032"/>
    <w:rsid w:val="07CF4038"/>
    <w:rsid w:val="07F6072D"/>
    <w:rsid w:val="09015F14"/>
    <w:rsid w:val="091C5C63"/>
    <w:rsid w:val="0928110D"/>
    <w:rsid w:val="09421190"/>
    <w:rsid w:val="09A0082A"/>
    <w:rsid w:val="0A00435B"/>
    <w:rsid w:val="0A382368"/>
    <w:rsid w:val="0AAA1697"/>
    <w:rsid w:val="0ABA06FE"/>
    <w:rsid w:val="0B49202F"/>
    <w:rsid w:val="0B5F5ADA"/>
    <w:rsid w:val="0B626F71"/>
    <w:rsid w:val="0C2A5C84"/>
    <w:rsid w:val="0C4F64D9"/>
    <w:rsid w:val="0C583939"/>
    <w:rsid w:val="0C6D1BAE"/>
    <w:rsid w:val="0D2A2435"/>
    <w:rsid w:val="0DA001B0"/>
    <w:rsid w:val="0DEB170B"/>
    <w:rsid w:val="0E3E1F17"/>
    <w:rsid w:val="0E4C7841"/>
    <w:rsid w:val="0E97506F"/>
    <w:rsid w:val="0EB977F0"/>
    <w:rsid w:val="0F3E0406"/>
    <w:rsid w:val="0F980230"/>
    <w:rsid w:val="0FAC2EB1"/>
    <w:rsid w:val="0FCE2E27"/>
    <w:rsid w:val="0FD62F63"/>
    <w:rsid w:val="0FDE2A27"/>
    <w:rsid w:val="10563D26"/>
    <w:rsid w:val="10AE7F82"/>
    <w:rsid w:val="10B169D0"/>
    <w:rsid w:val="10C93B35"/>
    <w:rsid w:val="10E05471"/>
    <w:rsid w:val="11177619"/>
    <w:rsid w:val="112605C8"/>
    <w:rsid w:val="11457119"/>
    <w:rsid w:val="11A6707B"/>
    <w:rsid w:val="11B35B2F"/>
    <w:rsid w:val="126A3CB9"/>
    <w:rsid w:val="129F0AAB"/>
    <w:rsid w:val="12E711B7"/>
    <w:rsid w:val="136D62BD"/>
    <w:rsid w:val="136E4388"/>
    <w:rsid w:val="13A46379"/>
    <w:rsid w:val="13F21722"/>
    <w:rsid w:val="1441443C"/>
    <w:rsid w:val="14C12787"/>
    <w:rsid w:val="15593E10"/>
    <w:rsid w:val="159F7E25"/>
    <w:rsid w:val="15F848D0"/>
    <w:rsid w:val="160E1FA5"/>
    <w:rsid w:val="160F2600"/>
    <w:rsid w:val="162E2871"/>
    <w:rsid w:val="16571017"/>
    <w:rsid w:val="16664E01"/>
    <w:rsid w:val="16A56C2E"/>
    <w:rsid w:val="16C829AB"/>
    <w:rsid w:val="16DD34F5"/>
    <w:rsid w:val="174C7453"/>
    <w:rsid w:val="17765BCA"/>
    <w:rsid w:val="177C760C"/>
    <w:rsid w:val="17A027D8"/>
    <w:rsid w:val="17CC2625"/>
    <w:rsid w:val="17E54DFE"/>
    <w:rsid w:val="18736DD6"/>
    <w:rsid w:val="19132BE0"/>
    <w:rsid w:val="191F4716"/>
    <w:rsid w:val="192F5006"/>
    <w:rsid w:val="1954649C"/>
    <w:rsid w:val="1A7F7E63"/>
    <w:rsid w:val="1A817DF8"/>
    <w:rsid w:val="1A8A6135"/>
    <w:rsid w:val="1ADC594E"/>
    <w:rsid w:val="1AEB5252"/>
    <w:rsid w:val="1B846FD6"/>
    <w:rsid w:val="1B8A03E4"/>
    <w:rsid w:val="1B9C1459"/>
    <w:rsid w:val="1BE22134"/>
    <w:rsid w:val="1C852172"/>
    <w:rsid w:val="1CA40C0C"/>
    <w:rsid w:val="1CFF4A32"/>
    <w:rsid w:val="1D280132"/>
    <w:rsid w:val="1D632E00"/>
    <w:rsid w:val="1D7A639C"/>
    <w:rsid w:val="1D833200"/>
    <w:rsid w:val="1E3A3FD0"/>
    <w:rsid w:val="1EB55C07"/>
    <w:rsid w:val="1F0C74C8"/>
    <w:rsid w:val="1F351A10"/>
    <w:rsid w:val="1F857EA5"/>
    <w:rsid w:val="1FED47E9"/>
    <w:rsid w:val="20280331"/>
    <w:rsid w:val="2031368A"/>
    <w:rsid w:val="206816AC"/>
    <w:rsid w:val="20A0436C"/>
    <w:rsid w:val="21134335"/>
    <w:rsid w:val="215A451A"/>
    <w:rsid w:val="2164183D"/>
    <w:rsid w:val="21F27BBF"/>
    <w:rsid w:val="21FC7CC7"/>
    <w:rsid w:val="221E19EC"/>
    <w:rsid w:val="226E581D"/>
    <w:rsid w:val="22A4003E"/>
    <w:rsid w:val="23135C25"/>
    <w:rsid w:val="23922691"/>
    <w:rsid w:val="23EC61F6"/>
    <w:rsid w:val="23FD3B14"/>
    <w:rsid w:val="243F3E9B"/>
    <w:rsid w:val="244C543C"/>
    <w:rsid w:val="24542961"/>
    <w:rsid w:val="24624768"/>
    <w:rsid w:val="24D73F6A"/>
    <w:rsid w:val="259B5BC5"/>
    <w:rsid w:val="25C03186"/>
    <w:rsid w:val="25F62C4E"/>
    <w:rsid w:val="26643D6C"/>
    <w:rsid w:val="26FE109D"/>
    <w:rsid w:val="27073E1E"/>
    <w:rsid w:val="27B04AB3"/>
    <w:rsid w:val="282C3BA1"/>
    <w:rsid w:val="28A63332"/>
    <w:rsid w:val="28C96E8E"/>
    <w:rsid w:val="296028EA"/>
    <w:rsid w:val="29C45F24"/>
    <w:rsid w:val="2A5F2BA2"/>
    <w:rsid w:val="2A61691A"/>
    <w:rsid w:val="2AF1481E"/>
    <w:rsid w:val="2C6B57F0"/>
    <w:rsid w:val="2CF3012F"/>
    <w:rsid w:val="2CF653D4"/>
    <w:rsid w:val="2D9038E4"/>
    <w:rsid w:val="2DF8796C"/>
    <w:rsid w:val="2EB22F18"/>
    <w:rsid w:val="2EE12108"/>
    <w:rsid w:val="2EE93382"/>
    <w:rsid w:val="2EED35E3"/>
    <w:rsid w:val="2F0B5068"/>
    <w:rsid w:val="2F250383"/>
    <w:rsid w:val="2F63610B"/>
    <w:rsid w:val="2FBC646B"/>
    <w:rsid w:val="2FC55B9D"/>
    <w:rsid w:val="300965A3"/>
    <w:rsid w:val="30683E76"/>
    <w:rsid w:val="30730D6E"/>
    <w:rsid w:val="308B20C9"/>
    <w:rsid w:val="30A33B4F"/>
    <w:rsid w:val="30AE03DF"/>
    <w:rsid w:val="30B91A70"/>
    <w:rsid w:val="30F84C22"/>
    <w:rsid w:val="310C6AA2"/>
    <w:rsid w:val="31793674"/>
    <w:rsid w:val="31894469"/>
    <w:rsid w:val="32332703"/>
    <w:rsid w:val="32582CF8"/>
    <w:rsid w:val="32CF2C5D"/>
    <w:rsid w:val="32EE2C61"/>
    <w:rsid w:val="335402B5"/>
    <w:rsid w:val="339466B2"/>
    <w:rsid w:val="33EC194A"/>
    <w:rsid w:val="34555AF5"/>
    <w:rsid w:val="349B56DA"/>
    <w:rsid w:val="34FF687B"/>
    <w:rsid w:val="354C4987"/>
    <w:rsid w:val="35616772"/>
    <w:rsid w:val="35EA1663"/>
    <w:rsid w:val="364C598E"/>
    <w:rsid w:val="368A3622"/>
    <w:rsid w:val="36B543E5"/>
    <w:rsid w:val="36CC2B0F"/>
    <w:rsid w:val="36FC762F"/>
    <w:rsid w:val="37321D6A"/>
    <w:rsid w:val="37893954"/>
    <w:rsid w:val="381349CB"/>
    <w:rsid w:val="3838492F"/>
    <w:rsid w:val="383A009B"/>
    <w:rsid w:val="3887374F"/>
    <w:rsid w:val="38CB0ABC"/>
    <w:rsid w:val="38FB262F"/>
    <w:rsid w:val="39041A07"/>
    <w:rsid w:val="39043B77"/>
    <w:rsid w:val="39670895"/>
    <w:rsid w:val="397B4EE2"/>
    <w:rsid w:val="3A387943"/>
    <w:rsid w:val="3A657F9A"/>
    <w:rsid w:val="3A9113D4"/>
    <w:rsid w:val="3AC54F32"/>
    <w:rsid w:val="3B144A0A"/>
    <w:rsid w:val="3B1874C8"/>
    <w:rsid w:val="3B254018"/>
    <w:rsid w:val="3B5257F8"/>
    <w:rsid w:val="3BC608D8"/>
    <w:rsid w:val="3BC92948"/>
    <w:rsid w:val="3BE370D4"/>
    <w:rsid w:val="3C1A026D"/>
    <w:rsid w:val="3C29381E"/>
    <w:rsid w:val="3C711E1D"/>
    <w:rsid w:val="3C7F463D"/>
    <w:rsid w:val="3C9E57AB"/>
    <w:rsid w:val="3CAE3960"/>
    <w:rsid w:val="3CEF6494"/>
    <w:rsid w:val="3D365BF6"/>
    <w:rsid w:val="3D54230E"/>
    <w:rsid w:val="3D7F7007"/>
    <w:rsid w:val="3DB008AA"/>
    <w:rsid w:val="3DF23324"/>
    <w:rsid w:val="3EA14040"/>
    <w:rsid w:val="3EBD6E70"/>
    <w:rsid w:val="3EE8108D"/>
    <w:rsid w:val="3F0044FB"/>
    <w:rsid w:val="3F04284B"/>
    <w:rsid w:val="3F8201A3"/>
    <w:rsid w:val="400A4965"/>
    <w:rsid w:val="402675EA"/>
    <w:rsid w:val="40B80EFF"/>
    <w:rsid w:val="40E67721"/>
    <w:rsid w:val="41A35364"/>
    <w:rsid w:val="41C31686"/>
    <w:rsid w:val="41C837BC"/>
    <w:rsid w:val="421643AC"/>
    <w:rsid w:val="4268268D"/>
    <w:rsid w:val="42982B4E"/>
    <w:rsid w:val="429F5D0C"/>
    <w:rsid w:val="42D83665"/>
    <w:rsid w:val="430A3B9B"/>
    <w:rsid w:val="434A6B47"/>
    <w:rsid w:val="436B1E42"/>
    <w:rsid w:val="44055BE3"/>
    <w:rsid w:val="4496320C"/>
    <w:rsid w:val="44AB315B"/>
    <w:rsid w:val="44CC2378"/>
    <w:rsid w:val="456D114B"/>
    <w:rsid w:val="45965BB9"/>
    <w:rsid w:val="45EB670F"/>
    <w:rsid w:val="462A00B0"/>
    <w:rsid w:val="468772B0"/>
    <w:rsid w:val="46AB7C0D"/>
    <w:rsid w:val="46D44808"/>
    <w:rsid w:val="46D71FE6"/>
    <w:rsid w:val="46ED776B"/>
    <w:rsid w:val="47941C85"/>
    <w:rsid w:val="479D2523"/>
    <w:rsid w:val="47CF49E6"/>
    <w:rsid w:val="48674ED2"/>
    <w:rsid w:val="487708E6"/>
    <w:rsid w:val="48B540F2"/>
    <w:rsid w:val="49156DF5"/>
    <w:rsid w:val="493F6F72"/>
    <w:rsid w:val="49645F71"/>
    <w:rsid w:val="498779AB"/>
    <w:rsid w:val="499F5C68"/>
    <w:rsid w:val="49D05807"/>
    <w:rsid w:val="4A52465C"/>
    <w:rsid w:val="4A5C4AC6"/>
    <w:rsid w:val="4A662FBF"/>
    <w:rsid w:val="4A90515E"/>
    <w:rsid w:val="4A9331D7"/>
    <w:rsid w:val="4AF16062"/>
    <w:rsid w:val="4AFF47E8"/>
    <w:rsid w:val="4B09298A"/>
    <w:rsid w:val="4B0A57E5"/>
    <w:rsid w:val="4B646DDD"/>
    <w:rsid w:val="4B7F44F8"/>
    <w:rsid w:val="4BA803F5"/>
    <w:rsid w:val="4BAC24C5"/>
    <w:rsid w:val="4BF74ED8"/>
    <w:rsid w:val="4BFA0656"/>
    <w:rsid w:val="4D3439E8"/>
    <w:rsid w:val="4D3A507C"/>
    <w:rsid w:val="4D4E2809"/>
    <w:rsid w:val="4D730507"/>
    <w:rsid w:val="4D741DD3"/>
    <w:rsid w:val="4DB85903"/>
    <w:rsid w:val="4DC93207"/>
    <w:rsid w:val="4DCB4DB9"/>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3CA4C80"/>
    <w:rsid w:val="544E511A"/>
    <w:rsid w:val="54741940"/>
    <w:rsid w:val="54810E66"/>
    <w:rsid w:val="54C063E4"/>
    <w:rsid w:val="54C2556E"/>
    <w:rsid w:val="551D7302"/>
    <w:rsid w:val="55480EEF"/>
    <w:rsid w:val="55F36710"/>
    <w:rsid w:val="567809C3"/>
    <w:rsid w:val="569B7F91"/>
    <w:rsid w:val="56D21BED"/>
    <w:rsid w:val="572651B2"/>
    <w:rsid w:val="57790E97"/>
    <w:rsid w:val="57AE5C26"/>
    <w:rsid w:val="57DC1308"/>
    <w:rsid w:val="57DD75A9"/>
    <w:rsid w:val="5801059F"/>
    <w:rsid w:val="58256ABD"/>
    <w:rsid w:val="58311772"/>
    <w:rsid w:val="58A67A6A"/>
    <w:rsid w:val="58C27FDB"/>
    <w:rsid w:val="58C83E84"/>
    <w:rsid w:val="59407EBE"/>
    <w:rsid w:val="59472AC7"/>
    <w:rsid w:val="59690E37"/>
    <w:rsid w:val="59CF1242"/>
    <w:rsid w:val="59D514A6"/>
    <w:rsid w:val="59EC6E09"/>
    <w:rsid w:val="5AB343F7"/>
    <w:rsid w:val="5ABA5A4E"/>
    <w:rsid w:val="5ABF50F2"/>
    <w:rsid w:val="5AF25D13"/>
    <w:rsid w:val="5AF76904"/>
    <w:rsid w:val="5B052E7A"/>
    <w:rsid w:val="5B3D7F7E"/>
    <w:rsid w:val="5B7C7777"/>
    <w:rsid w:val="5BEC6771"/>
    <w:rsid w:val="5CA506B9"/>
    <w:rsid w:val="5CC3793F"/>
    <w:rsid w:val="5CF74CE4"/>
    <w:rsid w:val="5D5A7C63"/>
    <w:rsid w:val="5DD673D5"/>
    <w:rsid w:val="5E0D2339"/>
    <w:rsid w:val="5E256F6F"/>
    <w:rsid w:val="5E8E5228"/>
    <w:rsid w:val="5F6235A9"/>
    <w:rsid w:val="5F6366B5"/>
    <w:rsid w:val="5F944D16"/>
    <w:rsid w:val="5FFE462F"/>
    <w:rsid w:val="600F4147"/>
    <w:rsid w:val="60335A63"/>
    <w:rsid w:val="60430294"/>
    <w:rsid w:val="60DC439E"/>
    <w:rsid w:val="614125C2"/>
    <w:rsid w:val="61811074"/>
    <w:rsid w:val="61AA1D1F"/>
    <w:rsid w:val="61F569C9"/>
    <w:rsid w:val="624C5C52"/>
    <w:rsid w:val="62761EE2"/>
    <w:rsid w:val="62C63B80"/>
    <w:rsid w:val="63DF08E4"/>
    <w:rsid w:val="64B1537D"/>
    <w:rsid w:val="64C04AFD"/>
    <w:rsid w:val="655B219F"/>
    <w:rsid w:val="65A16C49"/>
    <w:rsid w:val="661A7B69"/>
    <w:rsid w:val="66455323"/>
    <w:rsid w:val="664909C1"/>
    <w:rsid w:val="66635AE4"/>
    <w:rsid w:val="666D606B"/>
    <w:rsid w:val="666F6B5A"/>
    <w:rsid w:val="66C63EB5"/>
    <w:rsid w:val="672136C2"/>
    <w:rsid w:val="67592674"/>
    <w:rsid w:val="679461D3"/>
    <w:rsid w:val="67B57CC9"/>
    <w:rsid w:val="67D619EE"/>
    <w:rsid w:val="6858287E"/>
    <w:rsid w:val="68593A1E"/>
    <w:rsid w:val="68C04D52"/>
    <w:rsid w:val="68CA1553"/>
    <w:rsid w:val="68D33DE9"/>
    <w:rsid w:val="69157114"/>
    <w:rsid w:val="691A443E"/>
    <w:rsid w:val="69A9560C"/>
    <w:rsid w:val="69E203A0"/>
    <w:rsid w:val="6A5B6D7D"/>
    <w:rsid w:val="6A765FBC"/>
    <w:rsid w:val="6A80735F"/>
    <w:rsid w:val="6A837C0B"/>
    <w:rsid w:val="6AC17181"/>
    <w:rsid w:val="6ACC5E47"/>
    <w:rsid w:val="6AD43ED1"/>
    <w:rsid w:val="6B11024D"/>
    <w:rsid w:val="6B7D5B36"/>
    <w:rsid w:val="6C834DAA"/>
    <w:rsid w:val="6C993CCE"/>
    <w:rsid w:val="6CF120A8"/>
    <w:rsid w:val="6D72413D"/>
    <w:rsid w:val="6D7579EB"/>
    <w:rsid w:val="6E7F2DDF"/>
    <w:rsid w:val="6FF50B81"/>
    <w:rsid w:val="70271038"/>
    <w:rsid w:val="70330B9C"/>
    <w:rsid w:val="714213DD"/>
    <w:rsid w:val="715E3530"/>
    <w:rsid w:val="717002D9"/>
    <w:rsid w:val="717F272E"/>
    <w:rsid w:val="71CF7E6C"/>
    <w:rsid w:val="72783A23"/>
    <w:rsid w:val="728027C6"/>
    <w:rsid w:val="72B97FD0"/>
    <w:rsid w:val="73D62FA6"/>
    <w:rsid w:val="73FE7ACC"/>
    <w:rsid w:val="74556746"/>
    <w:rsid w:val="74743258"/>
    <w:rsid w:val="75DE663D"/>
    <w:rsid w:val="761B13C4"/>
    <w:rsid w:val="764B6A8A"/>
    <w:rsid w:val="76C17E06"/>
    <w:rsid w:val="76CA67BD"/>
    <w:rsid w:val="774E6400"/>
    <w:rsid w:val="775B0046"/>
    <w:rsid w:val="77844FC2"/>
    <w:rsid w:val="78015732"/>
    <w:rsid w:val="79700BEF"/>
    <w:rsid w:val="798D552B"/>
    <w:rsid w:val="79C30024"/>
    <w:rsid w:val="7A090695"/>
    <w:rsid w:val="7A1D5951"/>
    <w:rsid w:val="7A2F605F"/>
    <w:rsid w:val="7AE175F4"/>
    <w:rsid w:val="7B417685"/>
    <w:rsid w:val="7B5220F0"/>
    <w:rsid w:val="7B711D02"/>
    <w:rsid w:val="7BA169C0"/>
    <w:rsid w:val="7BAB5214"/>
    <w:rsid w:val="7BC55243"/>
    <w:rsid w:val="7BCE2CB0"/>
    <w:rsid w:val="7BF72207"/>
    <w:rsid w:val="7BFC15CB"/>
    <w:rsid w:val="7C2F4A9A"/>
    <w:rsid w:val="7C80044E"/>
    <w:rsid w:val="7CAD595B"/>
    <w:rsid w:val="7CF65D07"/>
    <w:rsid w:val="7D2975D1"/>
    <w:rsid w:val="7D2F3083"/>
    <w:rsid w:val="7D835EE2"/>
    <w:rsid w:val="7D906046"/>
    <w:rsid w:val="7DCC0CD6"/>
    <w:rsid w:val="7E062BD5"/>
    <w:rsid w:val="7E303171"/>
    <w:rsid w:val="7E576F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uiPriority w:val="0"/>
    <w:rPr>
      <w:rFonts w:eastAsia="宋体"/>
      <w:sz w:val="21"/>
      <w:szCs w:val="21"/>
    </w:rPr>
  </w:style>
  <w:style w:type="paragraph" w:customStyle="1" w:styleId="80">
    <w:name w:val="页脚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6206</Words>
  <Characters>7402</Characters>
  <Lines>71</Lines>
  <Paragraphs>20</Paragraphs>
  <TotalTime>0</TotalTime>
  <ScaleCrop>false</ScaleCrop>
  <LinksUpToDate>false</LinksUpToDate>
  <CharactersWithSpaces>8098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2024-02-26T02:14:19Z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C5E1A9914299418687A35153438D6682_13</vt:lpwstr>
  </property>
</Properties>
</file>