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通化县统计局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（一）贯彻执行国家统计方针、政策以及法律、法规，规定全县统计规划及统计调查计划；监督检查统计法律、法规的实施。组织领导全县统计工作，承担确保统计数据真实、准确、及时的责任。</w:t>
      </w:r>
    </w:p>
    <w:p>
      <w:pPr>
        <w:ind w:firstLine="640" w:firstLineChars="200"/>
        <w:rPr>
          <w:rFonts w:hint="eastAsia"/>
          <w:color w:val="000000"/>
          <w:szCs w:val="32"/>
        </w:rPr>
      </w:pPr>
      <w:r>
        <w:rPr>
          <w:rFonts w:hint="eastAsia"/>
          <w:color w:val="000000"/>
          <w:szCs w:val="32"/>
        </w:rPr>
        <w:t>（二）根据国家统一的基本统计制度，建立健全全县国民经济核算体系和统计指标体系，贯彻执行全省统一的基本统计报表制度和统计标准；汇编提供全县国民经济核算资料。</w:t>
      </w:r>
    </w:p>
    <w:p>
      <w:pPr>
        <w:ind w:firstLine="640" w:firstLineChars="200"/>
        <w:rPr>
          <w:rFonts w:hint="eastAsia"/>
          <w:color w:val="000000"/>
          <w:szCs w:val="32"/>
        </w:rPr>
      </w:pPr>
      <w:r>
        <w:rPr>
          <w:rFonts w:hint="eastAsia"/>
          <w:color w:val="000000"/>
          <w:szCs w:val="32"/>
        </w:rPr>
        <w:t>（三）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pPr>
        <w:ind w:firstLine="640" w:firstLineChars="200"/>
        <w:rPr>
          <w:rFonts w:hint="eastAsia"/>
          <w:color w:val="000000"/>
          <w:szCs w:val="32"/>
        </w:rPr>
      </w:pPr>
      <w:r>
        <w:rPr>
          <w:rFonts w:hint="eastAsia"/>
          <w:color w:val="000000"/>
          <w:szCs w:val="32"/>
        </w:rPr>
        <w:t>（四）统一核定、管理、公布全县基本统计资料，定期向社会公众发布全县国民经济和社会发展情况的统计信息。</w:t>
      </w:r>
    </w:p>
    <w:p>
      <w:pPr>
        <w:ind w:firstLine="640" w:firstLineChars="200"/>
        <w:rPr>
          <w:rFonts w:hint="eastAsia"/>
          <w:color w:val="000000"/>
          <w:szCs w:val="32"/>
        </w:rPr>
      </w:pPr>
      <w:r>
        <w:rPr>
          <w:rFonts w:hint="eastAsia"/>
          <w:color w:val="000000"/>
          <w:szCs w:val="32"/>
        </w:rPr>
        <w:t>（五）建立、完善和管理全县统计信息自动化系统和全县统计数据库体系。</w:t>
      </w:r>
    </w:p>
    <w:p>
      <w:pPr>
        <w:ind w:firstLine="640" w:firstLineChars="200"/>
        <w:rPr>
          <w:rFonts w:hint="eastAsia"/>
          <w:color w:val="000000"/>
          <w:szCs w:val="32"/>
        </w:rPr>
      </w:pPr>
      <w:r>
        <w:rPr>
          <w:rFonts w:hint="eastAsia"/>
          <w:color w:val="000000"/>
          <w:szCs w:val="32"/>
        </w:rPr>
        <w:t>（六）负责全县统计系统的干部人事、劳动工资、机构编制和财务经费、审计监督及资产设施管理。</w:t>
      </w:r>
    </w:p>
    <w:p>
      <w:pPr>
        <w:ind w:firstLine="640" w:firstLineChars="200"/>
        <w:rPr>
          <w:rFonts w:hint="eastAsia"/>
          <w:color w:val="000000"/>
          <w:szCs w:val="32"/>
        </w:rPr>
      </w:pPr>
      <w:r>
        <w:rPr>
          <w:rFonts w:hint="eastAsia"/>
          <w:color w:val="000000"/>
          <w:szCs w:val="32"/>
        </w:rPr>
        <w:t>（七）领导局属事业单位。</w:t>
      </w:r>
    </w:p>
    <w:p>
      <w:pPr>
        <w:ind w:firstLine="640" w:firstLineChars="200"/>
        <w:rPr>
          <w:color w:val="000000"/>
          <w:sz w:val="21"/>
          <w:szCs w:val="21"/>
        </w:rPr>
      </w:pPr>
      <w:r>
        <w:rPr>
          <w:rFonts w:hint="eastAsia"/>
          <w:color w:val="000000"/>
          <w:szCs w:val="32"/>
        </w:rPr>
        <w:t>（八）承办通化市统计局和通化县政府交办的其他事项。</w:t>
      </w:r>
    </w:p>
    <w:p>
      <w:pPr>
        <w:ind w:firstLine="640" w:firstLineChars="200"/>
      </w:pPr>
      <w:r>
        <w:rPr>
          <w:rFonts w:eastAsia="楷体_GB2312"/>
        </w:rPr>
        <w:t>二、机构设置</w:t>
      </w:r>
    </w:p>
    <w:p>
      <w:pPr>
        <w:pStyle w:val="48"/>
        <w:ind w:firstLine="640" w:firstLineChars="200"/>
        <w:rPr>
          <w:rFonts w:hint="eastAsia" w:eastAsia="仿宋_GB2312"/>
        </w:rPr>
      </w:pPr>
      <w:r>
        <w:rPr>
          <w:rFonts w:hint="eastAsia" w:eastAsia="仿宋_GB2312"/>
        </w:rPr>
        <w:t>根据上述职责，通化县统计局内设2个机构，分别为：</w:t>
      </w:r>
    </w:p>
    <w:p>
      <w:pPr>
        <w:pStyle w:val="48"/>
        <w:ind w:firstLine="640" w:firstLineChars="200"/>
        <w:rPr>
          <w:rFonts w:hint="eastAsia" w:eastAsia="仿宋_GB2312"/>
        </w:rPr>
      </w:pPr>
      <w:r>
        <w:rPr>
          <w:rFonts w:hint="eastAsia" w:eastAsia="仿宋_GB2312"/>
        </w:rPr>
        <w:t xml:space="preserve">（一）综合科  </w:t>
      </w:r>
    </w:p>
    <w:p>
      <w:pPr>
        <w:pStyle w:val="48"/>
        <w:ind w:firstLine="640" w:firstLineChars="200"/>
        <w:rPr>
          <w:rFonts w:hint="eastAsia" w:eastAsia="仿宋_GB2312"/>
        </w:rPr>
      </w:pPr>
      <w:r>
        <w:rPr>
          <w:rFonts w:hint="eastAsia" w:eastAsia="仿宋_GB2312"/>
        </w:rPr>
        <w:t xml:space="preserve">负责局机关日常政务、行政事务、财务经费和国有资产管理工作。监测预警全县国民经济运行并进行综合分析；统一整理、核定、管理、使用全县综合性统计资料；负责全县国内生产总值、资金流量、资产负债核算工作，组织开展投入产出调查；负责组织全县统计法律法规的宣传贯彻和监督检查，依法查处重大的统计违法案件；承办统计行政复议、行政应诉工作；负责统计人员从业资格认定工作。负责统计工作有关行政审批事项的受理和审批。负责局机关干部人事、劳动工资、机构编制管理工作；组织全县统计人员从业资格、继续教育培训和专业技术职务聘任工作。负责局机关及直属单位的党群工作。  </w:t>
      </w:r>
    </w:p>
    <w:p>
      <w:pPr>
        <w:pStyle w:val="48"/>
        <w:ind w:firstLine="640" w:firstLineChars="200"/>
        <w:rPr>
          <w:rFonts w:hint="eastAsia" w:eastAsia="仿宋_GB2312"/>
        </w:rPr>
      </w:pPr>
      <w:r>
        <w:rPr>
          <w:rFonts w:hint="eastAsia" w:eastAsia="仿宋_GB2312"/>
        </w:rPr>
        <w:t xml:space="preserve">（二）社会经济统计科  </w:t>
      </w:r>
    </w:p>
    <w:p>
      <w:pPr>
        <w:pStyle w:val="48"/>
        <w:ind w:firstLine="640" w:firstLineChars="200"/>
        <w:rPr>
          <w:rFonts w:hint="eastAsia" w:eastAsia="仿宋_GB2312"/>
          <w:lang w:eastAsia="zh-CN"/>
        </w:rPr>
      </w:pPr>
      <w:r>
        <w:rPr>
          <w:rFonts w:hint="eastAsia" w:eastAsia="仿宋_GB2312"/>
        </w:rPr>
        <w:t>负责组织实施全县规模以上工业、能源、交通运输业、邮电通信业、固定资产投资、建筑业、房地产业、招商引资、农业（包括林、牧、渔业等）、服务业、批发零售贸易业、住宿餐饮业、商品市场运行状况、社会科技、人口与劳动就业等统计调查工作；负责妇女儿童发展纲要执行情况的统计监测；收集、整理和提供有关调查统计数据，建立、完善、管理相关的统计数据库；指导有关专业统计基础工作，对统计数据质量进行检查和评估；进行统计分析和统计咨询</w:t>
      </w:r>
      <w:r>
        <w:rPr>
          <w:rFonts w:hint="eastAsia" w:eastAsia="仿宋_GB2312"/>
          <w:lang w:eastAsia="zh-CN"/>
        </w:rPr>
        <w:t>。</w:t>
      </w:r>
    </w:p>
    <w:p>
      <w:pPr>
        <w:pStyle w:val="48"/>
        <w:ind w:firstLine="640" w:firstLineChars="200"/>
        <w:rPr>
          <w:rFonts w:hint="eastAsia" w:hAnsi="楷体" w:eastAsia="楷体"/>
        </w:rPr>
      </w:pPr>
      <w:r>
        <w:rPr>
          <w:rFonts w:hint="eastAsia" w:eastAsia="仿宋_GB2312"/>
          <w:lang w:val="en-US" w:eastAsia="zh-CN"/>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200.03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195.10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4.93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163.96</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159.58</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4.38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200.03</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195.10</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4.93</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20.30</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0.55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4.32</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33"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10.90</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200.03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195.10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4.93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b w:val="0"/>
                <w:bCs w:val="0"/>
                <w:kern w:val="0"/>
                <w:sz w:val="20"/>
                <w:lang w:val="en-US" w:eastAsia="zh-CN"/>
              </w:rPr>
              <w:t>200.03</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195.10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4.93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200.03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195.10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4.93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200.03</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195.10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4.93</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709" w:type="dxa"/>
        <w:jc w:val="center"/>
        <w:tblLayout w:type="fixed"/>
        <w:tblCellMar>
          <w:top w:w="0" w:type="dxa"/>
          <w:left w:w="108" w:type="dxa"/>
          <w:bottom w:w="0" w:type="dxa"/>
          <w:right w:w="108" w:type="dxa"/>
        </w:tblCellMar>
      </w:tblPr>
      <w:tblGrid>
        <w:gridCol w:w="1303"/>
        <w:gridCol w:w="780"/>
        <w:gridCol w:w="810"/>
        <w:gridCol w:w="795"/>
        <w:gridCol w:w="405"/>
        <w:gridCol w:w="345"/>
        <w:gridCol w:w="345"/>
        <w:gridCol w:w="255"/>
        <w:gridCol w:w="215"/>
        <w:gridCol w:w="175"/>
        <w:gridCol w:w="375"/>
        <w:gridCol w:w="375"/>
        <w:gridCol w:w="69"/>
        <w:gridCol w:w="261"/>
        <w:gridCol w:w="237"/>
        <w:gridCol w:w="348"/>
        <w:gridCol w:w="645"/>
        <w:gridCol w:w="299"/>
        <w:gridCol w:w="198"/>
        <w:gridCol w:w="328"/>
        <w:gridCol w:w="422"/>
        <w:gridCol w:w="427"/>
        <w:gridCol w:w="297"/>
      </w:tblGrid>
      <w:tr>
        <w:tblPrEx>
          <w:tblCellMar>
            <w:top w:w="0" w:type="dxa"/>
            <w:left w:w="108" w:type="dxa"/>
            <w:bottom w:w="0" w:type="dxa"/>
            <w:right w:w="108" w:type="dxa"/>
          </w:tblCellMar>
        </w:tblPrEx>
        <w:trPr>
          <w:trHeight w:val="335" w:hRule="atLeast"/>
          <w:jc w:val="center"/>
        </w:trPr>
        <w:tc>
          <w:tcPr>
            <w:tcW w:w="1303" w:type="dxa"/>
            <w:tcBorders>
              <w:bottom w:val="single" w:color="000000" w:sz="4" w:space="0"/>
            </w:tcBorders>
            <w:noWrap w:val="0"/>
            <w:vAlign w:val="top"/>
          </w:tcPr>
          <w:p>
            <w:pPr>
              <w:autoSpaceDN w:val="0"/>
              <w:jc w:val="left"/>
              <w:textAlignment w:val="center"/>
              <w:rPr>
                <w:rFonts w:eastAsia="华文细黑"/>
                <w:color w:val="000000"/>
                <w:sz w:val="20"/>
              </w:rPr>
            </w:pPr>
          </w:p>
        </w:tc>
        <w:tc>
          <w:tcPr>
            <w:tcW w:w="3950"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993" w:type="dxa"/>
            <w:gridSpan w:val="2"/>
            <w:noWrap w:val="0"/>
            <w:vAlign w:val="center"/>
          </w:tcPr>
          <w:p>
            <w:pPr>
              <w:autoSpaceDN w:val="0"/>
              <w:jc w:val="left"/>
              <w:textAlignment w:val="center"/>
              <w:rPr>
                <w:rFonts w:eastAsia="华文细黑"/>
                <w:color w:val="000000"/>
                <w:sz w:val="20"/>
              </w:rPr>
            </w:pPr>
          </w:p>
        </w:tc>
        <w:tc>
          <w:tcPr>
            <w:tcW w:w="299"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97" w:type="dxa"/>
          <w:trHeight w:val="517" w:hRule="atLeast"/>
          <w:jc w:val="center"/>
        </w:trPr>
        <w:tc>
          <w:tcPr>
            <w:tcW w:w="1303"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8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25"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04"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297" w:type="dxa"/>
          <w:trHeight w:val="517" w:hRule="atLeast"/>
          <w:jc w:val="center"/>
        </w:trPr>
        <w:tc>
          <w:tcPr>
            <w:tcW w:w="1303"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8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1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4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25"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58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49"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297" w:type="dxa"/>
          <w:trHeight w:val="2818" w:hRule="atLeast"/>
          <w:jc w:val="center"/>
        </w:trPr>
        <w:tc>
          <w:tcPr>
            <w:tcW w:w="1303"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8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0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4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8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9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28"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2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297" w:type="dxa"/>
          <w:trHeight w:val="517" w:hRule="atLeast"/>
          <w:jc w:val="center"/>
        </w:trPr>
        <w:tc>
          <w:tcPr>
            <w:tcW w:w="130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通化县统计局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200.03</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195.10</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195.10</w:t>
            </w: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4.93</w:t>
            </w: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4.93</w:t>
            </w:r>
          </w:p>
        </w:tc>
        <w:tc>
          <w:tcPr>
            <w:tcW w:w="49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97" w:type="dxa"/>
          <w:trHeight w:val="517" w:hRule="atLeast"/>
          <w:jc w:val="center"/>
        </w:trPr>
        <w:tc>
          <w:tcPr>
            <w:tcW w:w="130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97" w:type="dxa"/>
          <w:trHeight w:val="517" w:hRule="atLeast"/>
          <w:jc w:val="center"/>
        </w:trPr>
        <w:tc>
          <w:tcPr>
            <w:tcW w:w="130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97" w:type="dxa"/>
          <w:trHeight w:val="517" w:hRule="atLeast"/>
          <w:jc w:val="center"/>
        </w:trPr>
        <w:tc>
          <w:tcPr>
            <w:tcW w:w="130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97" w:type="dxa"/>
          <w:trHeight w:val="530" w:hRule="atLeast"/>
          <w:jc w:val="center"/>
        </w:trPr>
        <w:tc>
          <w:tcPr>
            <w:tcW w:w="130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200.03</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195.10</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195.10</w:t>
            </w: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4.93</w:t>
            </w:r>
          </w:p>
        </w:tc>
        <w:tc>
          <w:tcPr>
            <w:tcW w:w="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4.93</w:t>
            </w:r>
          </w:p>
        </w:tc>
        <w:tc>
          <w:tcPr>
            <w:tcW w:w="49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283"/>
              <w:gridCol w:w="1260"/>
              <w:gridCol w:w="1179"/>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521" w:hRule="atLeast"/>
              </w:trPr>
              <w:tc>
                <w:tcPr>
                  <w:tcW w:w="2283"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0"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163.96</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163.96</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一般行政管理事务</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15.79</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15.79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专项普查活动</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30.77</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行政事业单位养老支出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行政单位离退休</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6.97</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机关事业单位基本养老保险缴费支出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13.88</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三、卫生健康支出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行政事业单位医疗</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行政单位医疗</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住房改革支出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住房公积金</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200.03</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153.47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200.03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195.10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4.93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200.03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195.10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4.93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200.03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195.10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4.93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163.96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159.58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4.38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20.85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20.30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4.32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4.32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10.90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10.90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200.03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195.10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4.93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200.03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195.10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4.93</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15.79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30.77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700" w:firstLineChars="350"/>
                    <w:jc w:val="left"/>
                    <w:rPr>
                      <w:rFonts w:hint="eastAsia" w:eastAsia="宋体"/>
                      <w:color w:val="000000"/>
                      <w:kern w:val="0"/>
                      <w:sz w:val="20"/>
                      <w:lang w:eastAsia="zh-CN"/>
                    </w:rPr>
                  </w:pPr>
                  <w:r>
                    <w:rPr>
                      <w:rFonts w:hint="eastAsia" w:eastAsia="宋体"/>
                      <w:color w:val="000000"/>
                      <w:kern w:val="0"/>
                      <w:sz w:val="20"/>
                      <w:lang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122.88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122.88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43.41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43.41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25.54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25.54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21.02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13.88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4.19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10.90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kern w:val="0"/>
                <w:sz w:val="20"/>
                <w:lang w:eastAsia="zh-CN"/>
              </w:rPr>
            </w:pPr>
            <w:r>
              <w:rPr>
                <w:rFonts w:hint="eastAsia" w:eastAsia="宋体"/>
                <w:kern w:val="0"/>
                <w:sz w:val="20"/>
                <w:lang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1.55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21.13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印刷费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邮电费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物业管理费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0.40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1.00</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预算续</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6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0.30</w:t>
            </w:r>
          </w:p>
        </w:tc>
      </w:tr>
      <w:tr>
        <w:tblPrEx>
          <w:tblCellMar>
            <w:top w:w="0" w:type="dxa"/>
            <w:left w:w="108" w:type="dxa"/>
            <w:bottom w:w="0" w:type="dxa"/>
            <w:right w:w="108" w:type="dxa"/>
          </w:tblCellMar>
        </w:tblPrEx>
        <w:trPr>
          <w:trHeight w:val="6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1.50</w:t>
            </w:r>
          </w:p>
        </w:tc>
      </w:tr>
      <w:tr>
        <w:tblPrEx>
          <w:tblCellMar>
            <w:top w:w="0" w:type="dxa"/>
            <w:left w:w="108" w:type="dxa"/>
            <w:bottom w:w="0" w:type="dxa"/>
            <w:right w:w="108" w:type="dxa"/>
          </w:tblCellMar>
        </w:tblPrEx>
        <w:trPr>
          <w:trHeight w:val="6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1.31</w:t>
            </w:r>
          </w:p>
        </w:tc>
      </w:tr>
      <w:tr>
        <w:tblPrEx>
          <w:tblCellMar>
            <w:top w:w="0" w:type="dxa"/>
            <w:left w:w="108" w:type="dxa"/>
            <w:bottom w:w="0" w:type="dxa"/>
            <w:right w:w="108" w:type="dxa"/>
          </w:tblCellMar>
        </w:tblPrEx>
        <w:trPr>
          <w:trHeight w:val="6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3.71</w:t>
            </w:r>
          </w:p>
        </w:tc>
      </w:tr>
      <w:tr>
        <w:tblPrEx>
          <w:tblCellMar>
            <w:top w:w="0" w:type="dxa"/>
            <w:left w:w="108" w:type="dxa"/>
            <w:bottom w:w="0" w:type="dxa"/>
            <w:right w:w="108" w:type="dxa"/>
          </w:tblCellMar>
        </w:tblPrEx>
        <w:trPr>
          <w:trHeight w:val="6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6.18</w:t>
            </w:r>
          </w:p>
        </w:tc>
      </w:tr>
      <w:tr>
        <w:tblPrEx>
          <w:tblCellMar>
            <w:top w:w="0" w:type="dxa"/>
            <w:left w:w="108" w:type="dxa"/>
            <w:bottom w:w="0" w:type="dxa"/>
            <w:right w:w="108" w:type="dxa"/>
          </w:tblCellMar>
        </w:tblPrEx>
        <w:trPr>
          <w:trHeight w:val="66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1.93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kern w:val="0"/>
                <w:sz w:val="20"/>
                <w:lang w:eastAsia="zh-CN"/>
              </w:rPr>
            </w:pPr>
            <w:r>
              <w:rPr>
                <w:rFonts w:hint="eastAsia" w:eastAsia="宋体"/>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7.47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6.97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6.97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0.50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2.00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2.00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153.47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130.34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23.13</w:t>
            </w:r>
          </w:p>
        </w:tc>
      </w:tr>
    </w:tbl>
    <w:p>
      <w:pPr>
        <w:rPr>
          <w:sz w:val="16"/>
          <w:szCs w:val="16"/>
        </w:rPr>
      </w:pPr>
    </w:p>
    <w:p>
      <w:pPr>
        <w:rPr>
          <w:sz w:val="16"/>
          <w:szCs w:val="16"/>
        </w:rPr>
      </w:pPr>
    </w:p>
    <w:p>
      <w:pPr>
        <w:ind w:firstLine="636"/>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both"/>
              <w:rPr>
                <w:rFonts w:hint="eastAsia" w:eastAsia="仿宋_GB2312"/>
                <w:color w:val="000000"/>
                <w:kern w:val="0"/>
                <w:sz w:val="28"/>
                <w:szCs w:val="28"/>
                <w:lang w:val="en-US" w:eastAsia="zh-CN"/>
              </w:rPr>
            </w:pPr>
            <w:r>
              <w:rPr>
                <w:rFonts w:hint="eastAsia"/>
                <w:color w:val="000000"/>
                <w:kern w:val="0"/>
                <w:sz w:val="28"/>
                <w:szCs w:val="28"/>
                <w:lang w:val="en-US" w:eastAsia="zh-CN"/>
              </w:rPr>
              <w:t>2.“2024年预算数”的实有人员15人，其中：在职人员9人，离退休人员6</w:t>
            </w:r>
            <w:bookmarkStart w:id="0" w:name="_GoBack"/>
            <w:bookmarkEnd w:id="0"/>
            <w:r>
              <w:rPr>
                <w:rFonts w:hint="eastAsia"/>
                <w:color w:val="000000"/>
                <w:kern w:val="0"/>
                <w:sz w:val="28"/>
                <w:szCs w:val="28"/>
                <w:lang w:val="en-US" w:eastAsia="zh-CN"/>
              </w:rPr>
              <w:t>人。</w:t>
            </w:r>
          </w:p>
        </w:tc>
      </w:tr>
    </w:tbl>
    <w:p>
      <w:pPr>
        <w:ind w:firstLine="640" w:firstLineChars="200"/>
        <w:rPr>
          <w:rFonts w:hAnsi="楷体" w:eastAsia="楷体"/>
        </w:rPr>
      </w:pPr>
    </w:p>
    <w:p>
      <w:pPr>
        <w:rPr>
          <w:rFonts w:eastAsia="楷体"/>
          <w:kern w:val="0"/>
          <w:szCs w:val="32"/>
        </w:rPr>
      </w:pPr>
      <w:r>
        <w:rPr>
          <w:rFonts w:eastAsia="楷体"/>
          <w:kern w:val="0"/>
          <w:szCs w:val="32"/>
        </w:rPr>
        <w:t xml:space="preserve">    </w:t>
      </w:r>
    </w:p>
    <w:tbl>
      <w:tblPr>
        <w:tblStyle w:val="9"/>
        <w:tblpPr w:leftFromText="180" w:rightFromText="180" w:horzAnchor="margin" w:tblpX="423" w:tblpY="321"/>
        <w:tblW w:w="0" w:type="auto"/>
        <w:tblInd w:w="0" w:type="dxa"/>
        <w:tblLayout w:type="fixed"/>
        <w:tblCellMar>
          <w:top w:w="15" w:type="dxa"/>
          <w:left w:w="15" w:type="dxa"/>
          <w:bottom w:w="15" w:type="dxa"/>
          <w:right w:w="15" w:type="dxa"/>
        </w:tblCellMar>
      </w:tblPr>
      <w:tblGrid>
        <w:gridCol w:w="1775"/>
        <w:gridCol w:w="2197"/>
        <w:gridCol w:w="2197"/>
        <w:gridCol w:w="2198"/>
      </w:tblGrid>
      <w:tr>
        <w:tblPrEx>
          <w:tblCellMar>
            <w:top w:w="15" w:type="dxa"/>
            <w:left w:w="15" w:type="dxa"/>
            <w:bottom w:w="15" w:type="dxa"/>
            <w:right w:w="15" w:type="dxa"/>
          </w:tblCellMar>
        </w:tblPrEx>
        <w:trPr>
          <w:trHeight w:val="390" w:hRule="atLeast"/>
        </w:trPr>
        <w:tc>
          <w:tcPr>
            <w:tcW w:w="8367" w:type="dxa"/>
            <w:gridSpan w:val="4"/>
            <w:tcBorders>
              <w:top w:val="nil"/>
              <w:left w:val="nil"/>
              <w:bottom w:val="nil"/>
              <w:right w:val="nil"/>
            </w:tcBorders>
            <w:noWrap w:val="0"/>
            <w:vAlign w:val="center"/>
          </w:tcPr>
          <w:p>
            <w:pPr>
              <w:widowControl/>
              <w:jc w:val="both"/>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066"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177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776"/>
        <w:gridCol w:w="690"/>
        <w:gridCol w:w="420"/>
        <w:gridCol w:w="495"/>
        <w:gridCol w:w="465"/>
        <w:gridCol w:w="420"/>
        <w:gridCol w:w="540"/>
        <w:gridCol w:w="495"/>
        <w:gridCol w:w="450"/>
        <w:gridCol w:w="750"/>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7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9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06"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76"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490"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706"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76"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0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6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2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48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21"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776" w:type="dxa"/>
            <w:vMerge w:val="continue"/>
            <w:noWrap w:val="0"/>
            <w:vAlign w:val="center"/>
          </w:tcPr>
          <w:p>
            <w:pPr>
              <w:autoSpaceDN w:val="0"/>
              <w:jc w:val="center"/>
              <w:textAlignment w:val="center"/>
              <w:rPr>
                <w:rFonts w:ascii="Calibri" w:hAnsi="Calibri" w:eastAsia="华文细黑"/>
                <w:color w:val="000000"/>
                <w:sz w:val="20"/>
                <w:szCs w:val="22"/>
              </w:rPr>
            </w:pPr>
          </w:p>
        </w:tc>
        <w:tc>
          <w:tcPr>
            <w:tcW w:w="69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9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6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2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4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9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5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71"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16"/>
                <w:szCs w:val="16"/>
                <w:lang w:eastAsia="zh-CN"/>
              </w:rPr>
              <w:t>专项业务支出</w:t>
            </w:r>
          </w:p>
        </w:tc>
        <w:tc>
          <w:tcPr>
            <w:tcW w:w="780" w:type="dxa"/>
            <w:noWrap w:val="0"/>
            <w:vAlign w:val="center"/>
          </w:tcPr>
          <w:p>
            <w:pPr>
              <w:spacing w:line="700" w:lineRule="exact"/>
              <w:jc w:val="right"/>
              <w:rPr>
                <w:rFonts w:hint="eastAsia" w:ascii="宋体" w:hAnsi="宋体" w:eastAsia="宋体" w:cs="宋体"/>
                <w:kern w:val="0"/>
                <w:sz w:val="20"/>
                <w:szCs w:val="20"/>
              </w:rPr>
            </w:pPr>
          </w:p>
        </w:tc>
        <w:tc>
          <w:tcPr>
            <w:tcW w:w="827" w:type="dxa"/>
            <w:gridSpan w:val="2"/>
            <w:noWrap w:val="0"/>
            <w:vAlign w:val="center"/>
          </w:tcPr>
          <w:p>
            <w:pPr>
              <w:spacing w:line="700" w:lineRule="exact"/>
              <w:jc w:val="right"/>
              <w:rPr>
                <w:rFonts w:hint="eastAsia" w:ascii="宋体" w:hAnsi="宋体" w:eastAsia="宋体" w:cs="宋体"/>
                <w:kern w:val="0"/>
                <w:sz w:val="20"/>
                <w:szCs w:val="20"/>
              </w:rPr>
            </w:pPr>
          </w:p>
        </w:tc>
        <w:tc>
          <w:tcPr>
            <w:tcW w:w="625" w:type="dxa"/>
            <w:noWrap w:val="0"/>
            <w:vAlign w:val="center"/>
          </w:tcPr>
          <w:p>
            <w:pPr>
              <w:spacing w:line="700" w:lineRule="exact"/>
              <w:jc w:val="right"/>
              <w:rPr>
                <w:rFonts w:hint="eastAsia" w:ascii="宋体" w:hAnsi="宋体" w:eastAsia="宋体" w:cs="宋体"/>
                <w:kern w:val="0"/>
                <w:sz w:val="20"/>
                <w:szCs w:val="20"/>
              </w:rPr>
            </w:pPr>
          </w:p>
        </w:tc>
        <w:tc>
          <w:tcPr>
            <w:tcW w:w="776"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46.56</w:t>
            </w:r>
          </w:p>
        </w:tc>
        <w:tc>
          <w:tcPr>
            <w:tcW w:w="69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46.56</w:t>
            </w: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5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7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71"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right"/>
              <w:rPr>
                <w:rFonts w:hint="eastAsia" w:ascii="宋体" w:hAnsi="宋体" w:eastAsia="宋体" w:cs="宋体"/>
                <w:kern w:val="0"/>
                <w:sz w:val="20"/>
                <w:szCs w:val="20"/>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专项普查活动</w:t>
            </w:r>
          </w:p>
        </w:tc>
        <w:tc>
          <w:tcPr>
            <w:tcW w:w="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p>
        </w:tc>
        <w:tc>
          <w:tcPr>
            <w:tcW w:w="625" w:type="dxa"/>
            <w:noWrap w:val="0"/>
            <w:vAlign w:val="center"/>
          </w:tcPr>
          <w:p>
            <w:pPr>
              <w:spacing w:line="700" w:lineRule="exact"/>
              <w:jc w:val="right"/>
              <w:rPr>
                <w:rFonts w:hint="eastAsia" w:ascii="宋体" w:hAnsi="宋体" w:eastAsia="宋体" w:cs="宋体"/>
                <w:kern w:val="0"/>
                <w:sz w:val="20"/>
                <w:szCs w:val="20"/>
              </w:rPr>
            </w:pPr>
          </w:p>
        </w:tc>
        <w:tc>
          <w:tcPr>
            <w:tcW w:w="776"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30.77</w:t>
            </w:r>
          </w:p>
        </w:tc>
        <w:tc>
          <w:tcPr>
            <w:tcW w:w="69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30.77</w:t>
            </w: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5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7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71"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right"/>
              <w:rPr>
                <w:rFonts w:hint="eastAsia" w:ascii="宋体" w:hAnsi="宋体" w:eastAsia="宋体" w:cs="宋体"/>
                <w:kern w:val="0"/>
                <w:sz w:val="20"/>
                <w:szCs w:val="20"/>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rPr>
            </w:pPr>
          </w:p>
        </w:tc>
        <w:tc>
          <w:tcPr>
            <w:tcW w:w="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eastAsia="zh-CN"/>
              </w:rPr>
              <w:t>第五次全国经济普查经费</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通化县统计局</w:t>
            </w:r>
          </w:p>
        </w:tc>
        <w:tc>
          <w:tcPr>
            <w:tcW w:w="776"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30.77</w:t>
            </w:r>
          </w:p>
        </w:tc>
        <w:tc>
          <w:tcPr>
            <w:tcW w:w="69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30.77</w:t>
            </w: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5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7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71"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right"/>
              <w:rPr>
                <w:rFonts w:hint="eastAsia" w:ascii="宋体" w:hAnsi="宋体" w:eastAsia="宋体" w:cs="宋体"/>
                <w:kern w:val="0"/>
                <w:sz w:val="20"/>
                <w:szCs w:val="20"/>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专项统计业务</w:t>
            </w:r>
          </w:p>
        </w:tc>
        <w:tc>
          <w:tcPr>
            <w:tcW w:w="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rPr>
            </w:pPr>
          </w:p>
        </w:tc>
        <w:tc>
          <w:tcPr>
            <w:tcW w:w="776"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15.79</w:t>
            </w:r>
          </w:p>
        </w:tc>
        <w:tc>
          <w:tcPr>
            <w:tcW w:w="69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15.79</w:t>
            </w: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5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7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71"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right"/>
              <w:rPr>
                <w:rFonts w:hint="eastAsia" w:ascii="宋体" w:hAnsi="宋体" w:eastAsia="宋体" w:cs="宋体"/>
                <w:kern w:val="0"/>
                <w:sz w:val="20"/>
                <w:szCs w:val="20"/>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rPr>
            </w:pPr>
          </w:p>
        </w:tc>
        <w:tc>
          <w:tcPr>
            <w:tcW w:w="8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统计调查经费</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通化县统计局</w:t>
            </w:r>
          </w:p>
        </w:tc>
        <w:tc>
          <w:tcPr>
            <w:tcW w:w="776"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15.79</w:t>
            </w:r>
          </w:p>
        </w:tc>
        <w:tc>
          <w:tcPr>
            <w:tcW w:w="69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15.79</w:t>
            </w: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5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7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c>
          <w:tcPr>
            <w:tcW w:w="471"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right"/>
              <w:textAlignment w:val="auto"/>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776"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46.56</w:t>
            </w:r>
          </w:p>
        </w:tc>
        <w:tc>
          <w:tcPr>
            <w:tcW w:w="69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46.56</w:t>
            </w: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4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5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49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4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7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c>
          <w:tcPr>
            <w:tcW w:w="471"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ascii="Calibri" w:hAnsi="Calibri" w:eastAsia="楷体"/>
                <w:kern w:val="0"/>
                <w:szCs w:val="32"/>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15"/>
        <w:gridCol w:w="780"/>
        <w:gridCol w:w="1365"/>
        <w:gridCol w:w="780"/>
        <w:gridCol w:w="750"/>
        <w:gridCol w:w="1050"/>
        <w:gridCol w:w="1280"/>
        <w:gridCol w:w="1194"/>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通化县统计局</w:t>
            </w:r>
          </w:p>
        </w:tc>
        <w:tc>
          <w:tcPr>
            <w:tcW w:w="71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第五次全国经济普查经费</w:t>
            </w:r>
          </w:p>
        </w:tc>
        <w:tc>
          <w:tcPr>
            <w:tcW w:w="78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30.77</w:t>
            </w:r>
          </w:p>
        </w:tc>
        <w:tc>
          <w:tcPr>
            <w:tcW w:w="13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完成普查登记、数据处理、数据质量抽查和技术总结阶段。进行普查登记，普查表审核及数据处理，对普查登记阶段进行监督和执法检查。普查登记质量和数据处理质量进行抽查，汇总普查原始资料，审核汇总资料，技术总结等各项工作。</w:t>
            </w:r>
          </w:p>
        </w:tc>
        <w:tc>
          <w:tcPr>
            <w:tcW w:w="78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75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两员补贴发放费用</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两员补贴发放费用</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宋体" w:cs="Times New Roman"/>
                <w:kern w:val="0"/>
                <w:sz w:val="20"/>
                <w:szCs w:val="20"/>
                <w:vertAlign w:val="baseline"/>
              </w:rPr>
              <w:t>20</w:t>
            </w:r>
            <w:r>
              <w:rPr>
                <w:rFonts w:hint="eastAsia" w:ascii="宋体" w:hAnsi="宋体" w:eastAsia="宋体" w:cs="宋体"/>
                <w:kern w:val="0"/>
                <w:sz w:val="20"/>
                <w:szCs w:val="20"/>
                <w:vertAlign w:val="baseline"/>
              </w:rPr>
              <w:t>万元</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选聘普查员和普查指导员人数</w:t>
            </w:r>
          </w:p>
        </w:tc>
        <w:tc>
          <w:tcPr>
            <w:tcW w:w="128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第五次全国经济普查选聘普查员和普查指导员人数</w:t>
            </w:r>
          </w:p>
        </w:tc>
        <w:tc>
          <w:tcPr>
            <w:tcW w:w="1194"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宋体" w:cs="Times New Roman"/>
                <w:kern w:val="0"/>
                <w:sz w:val="20"/>
                <w:szCs w:val="20"/>
                <w:vertAlign w:val="baseline"/>
              </w:rPr>
              <w:t>400</w:t>
            </w:r>
            <w:r>
              <w:rPr>
                <w:rFonts w:hint="eastAsia" w:ascii="宋体" w:hAnsi="宋体" w:eastAsia="宋体" w:cs="宋体"/>
                <w:kern w:val="0"/>
                <w:sz w:val="20"/>
                <w:szCs w:val="20"/>
                <w:vertAlign w:val="baseline"/>
              </w:rPr>
              <w:t>人</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“两员”劳务费发放率</w:t>
            </w:r>
          </w:p>
        </w:tc>
        <w:tc>
          <w:tcPr>
            <w:tcW w:w="128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反映普查员及普查指导员劳务费发放率</w:t>
            </w:r>
          </w:p>
        </w:tc>
        <w:tc>
          <w:tcPr>
            <w:tcW w:w="1194"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宋体" w:cs="Times New Roman"/>
                <w:kern w:val="0"/>
                <w:sz w:val="20"/>
                <w:szCs w:val="20"/>
                <w:vertAlign w:val="baseline"/>
              </w:rPr>
              <w:t>100%</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按时发放两员补贴</w:t>
            </w:r>
          </w:p>
        </w:tc>
        <w:tc>
          <w:tcPr>
            <w:tcW w:w="1280"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kern w:val="0"/>
                <w:sz w:val="20"/>
                <w:szCs w:val="20"/>
                <w:vertAlign w:val="baseline"/>
              </w:rPr>
              <w:t>7</w:t>
            </w:r>
            <w:r>
              <w:rPr>
                <w:rFonts w:hint="eastAsia" w:ascii="宋体" w:hAnsi="宋体" w:eastAsia="宋体" w:cs="宋体"/>
                <w:kern w:val="0"/>
                <w:sz w:val="20"/>
                <w:szCs w:val="20"/>
                <w:vertAlign w:val="baseline"/>
              </w:rPr>
              <w:t>月底前完成两员补贴发放</w:t>
            </w:r>
          </w:p>
        </w:tc>
        <w:tc>
          <w:tcPr>
            <w:tcW w:w="1194" w:type="dxa"/>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r>
              <w:rPr>
                <w:rFonts w:hint="default" w:ascii="Times New Roman" w:hAnsi="Times New Roman" w:eastAsia="宋体" w:cs="Times New Roman"/>
                <w:kern w:val="0"/>
                <w:sz w:val="20"/>
                <w:szCs w:val="20"/>
                <w:vertAlign w:val="baseline"/>
                <w:lang w:val="en-US" w:eastAsia="zh-CN"/>
              </w:rPr>
              <w:t>7</w:t>
            </w:r>
            <w:r>
              <w:rPr>
                <w:rFonts w:hint="eastAsia" w:ascii="宋体" w:hAnsi="宋体" w:eastAsia="宋体" w:cs="宋体"/>
                <w:kern w:val="0"/>
                <w:sz w:val="20"/>
                <w:szCs w:val="20"/>
                <w:vertAlign w:val="baseline"/>
                <w:lang w:val="en-US" w:eastAsia="zh-CN"/>
              </w:rPr>
              <w:t>月</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普查员、普查指导员补贴发放覆盖率</w:t>
            </w:r>
          </w:p>
        </w:tc>
        <w:tc>
          <w:tcPr>
            <w:tcW w:w="128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反映普查员、普查指导员补贴发放覆盖率情况</w:t>
            </w:r>
          </w:p>
        </w:tc>
        <w:tc>
          <w:tcPr>
            <w:tcW w:w="1194"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w:t>
            </w:r>
            <w:r>
              <w:rPr>
                <w:rFonts w:hint="default" w:ascii="Times New Roman" w:hAnsi="Times New Roman" w:eastAsia="宋体" w:cs="Times New Roman"/>
                <w:kern w:val="0"/>
                <w:sz w:val="20"/>
                <w:szCs w:val="20"/>
                <w:vertAlign w:val="baseline"/>
              </w:rPr>
              <w:t>100%</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8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工作对象满意度</w:t>
            </w:r>
          </w:p>
        </w:tc>
        <w:tc>
          <w:tcPr>
            <w:tcW w:w="128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反映五经普中相关部门的满意程度</w:t>
            </w:r>
          </w:p>
        </w:tc>
        <w:tc>
          <w:tcPr>
            <w:tcW w:w="1194"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宋体" w:cs="Times New Roman"/>
                <w:kern w:val="0"/>
                <w:sz w:val="20"/>
                <w:szCs w:val="20"/>
                <w:vertAlign w:val="baseline"/>
              </w:rPr>
              <w:t>90%</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bl>
    <w:p>
      <w:pPr>
        <w:widowControl/>
        <w:jc w:val="center"/>
        <w:rPr>
          <w:rFonts w:hint="eastAsia" w:ascii="Calibri" w:hAnsi="Calibri" w:eastAsia="方正小标宋简体" w:cs="Times New Roman"/>
          <w:kern w:val="0"/>
          <w:sz w:val="44"/>
          <w:szCs w:val="44"/>
        </w:rPr>
      </w:pPr>
      <w:r>
        <w:rPr>
          <w:rFonts w:hint="eastAsia" w:ascii="Calibri" w:hAnsi="Calibri" w:eastAsia="方正小标宋简体" w:cs="Times New Roman"/>
          <w:kern w:val="0"/>
          <w:sz w:val="44"/>
          <w:szCs w:val="44"/>
        </w:rPr>
        <w:br w:type="page"/>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15"/>
        <w:gridCol w:w="780"/>
        <w:gridCol w:w="1365"/>
        <w:gridCol w:w="780"/>
        <w:gridCol w:w="750"/>
        <w:gridCol w:w="1050"/>
        <w:gridCol w:w="1445"/>
        <w:gridCol w:w="1029"/>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年度资金总额（万元）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通化县统计局</w:t>
            </w:r>
          </w:p>
        </w:tc>
        <w:tc>
          <w:tcPr>
            <w:tcW w:w="71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统计调查经费</w:t>
            </w:r>
          </w:p>
        </w:tc>
        <w:tc>
          <w:tcPr>
            <w:tcW w:w="78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15.79</w:t>
            </w:r>
          </w:p>
        </w:tc>
        <w:tc>
          <w:tcPr>
            <w:tcW w:w="13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高质量完成2024年各专业月报、季报及年报工作，通过开展各类统计业务培训、统计基础基层调查，及时编写统计经济信息及分析报告，开展“双随机”统计执法检查等工作，确保统计数据的真实性、准确性及完整性，为县委县政府提供经济运行各项指标及经济运行分析预测，研判经济发展态势。编制《通化县统计月报》、《通化县国民经济和社会发展统计公报》等统计资料，做好统计服务工作，为社会提供行业发展经济数据。</w:t>
            </w:r>
          </w:p>
        </w:tc>
        <w:tc>
          <w:tcPr>
            <w:tcW w:w="78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75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统计培训人次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rPr>
              <w:t>反映培训各级统计机构及辅助调查人员数情况</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宋体" w:cs="Times New Roman"/>
                <w:kern w:val="0"/>
                <w:sz w:val="20"/>
                <w:szCs w:val="20"/>
                <w:vertAlign w:val="baseline"/>
              </w:rPr>
              <w:t>50</w:t>
            </w:r>
            <w:r>
              <w:rPr>
                <w:rFonts w:hint="eastAsia" w:ascii="宋体" w:hAnsi="宋体" w:eastAsia="宋体" w:cs="宋体"/>
                <w:kern w:val="0"/>
                <w:sz w:val="20"/>
                <w:szCs w:val="20"/>
                <w:vertAlign w:val="baseline"/>
              </w:rPr>
              <w:t>人</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75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编印统计公报</w:t>
            </w:r>
          </w:p>
        </w:tc>
        <w:tc>
          <w:tcPr>
            <w:tcW w:w="1445"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编制并印发上一年度统计公报，为县委、县政府决策提供依据</w:t>
            </w:r>
          </w:p>
        </w:tc>
        <w:tc>
          <w:tcPr>
            <w:tcW w:w="1029"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宋体" w:cs="Times New Roman"/>
                <w:kern w:val="0"/>
                <w:sz w:val="20"/>
                <w:szCs w:val="20"/>
                <w:vertAlign w:val="baseline"/>
              </w:rPr>
              <w:t>30</w:t>
            </w:r>
            <w:r>
              <w:rPr>
                <w:rFonts w:hint="eastAsia" w:ascii="宋体" w:hAnsi="宋体" w:eastAsia="宋体" w:cs="宋体"/>
                <w:kern w:val="0"/>
                <w:sz w:val="20"/>
                <w:szCs w:val="20"/>
                <w:vertAlign w:val="baseline"/>
              </w:rPr>
              <w:t>本</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75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统计分析报告篇数</w:t>
            </w:r>
          </w:p>
        </w:tc>
        <w:tc>
          <w:tcPr>
            <w:tcW w:w="1445"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反映统计分析报告篇数情况。</w:t>
            </w:r>
          </w:p>
        </w:tc>
        <w:tc>
          <w:tcPr>
            <w:tcW w:w="1029"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w:t>
            </w:r>
            <w:r>
              <w:rPr>
                <w:rFonts w:hint="default" w:ascii="Times New Roman" w:hAnsi="Times New Roman" w:eastAsia="宋体" w:cs="Times New Roman"/>
                <w:kern w:val="0"/>
                <w:sz w:val="20"/>
                <w:szCs w:val="20"/>
                <w:vertAlign w:val="baseline"/>
              </w:rPr>
              <w:t>4</w:t>
            </w:r>
            <w:r>
              <w:rPr>
                <w:rFonts w:hint="eastAsia" w:ascii="宋体" w:hAnsi="宋体" w:eastAsia="宋体" w:cs="宋体"/>
                <w:kern w:val="0"/>
                <w:sz w:val="20"/>
                <w:szCs w:val="20"/>
                <w:vertAlign w:val="baseline"/>
              </w:rPr>
              <w:t>篇</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750"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培训合格率</w:t>
            </w:r>
          </w:p>
        </w:tc>
        <w:tc>
          <w:tcPr>
            <w:tcW w:w="1445"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反映参加统计培训的人员合格率情况</w:t>
            </w:r>
          </w:p>
        </w:tc>
        <w:tc>
          <w:tcPr>
            <w:tcW w:w="1029"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w:t>
            </w:r>
            <w:r>
              <w:rPr>
                <w:rFonts w:hint="default" w:ascii="Times New Roman" w:hAnsi="Times New Roman" w:eastAsia="宋体" w:cs="Times New Roman"/>
                <w:kern w:val="0"/>
                <w:sz w:val="20"/>
                <w:szCs w:val="20"/>
                <w:vertAlign w:val="baseline"/>
              </w:rPr>
              <w:t>100</w:t>
            </w:r>
            <w:r>
              <w:rPr>
                <w:rFonts w:hint="eastAsia" w:ascii="宋体" w:hAnsi="宋体" w:eastAsia="宋体" w:cs="宋体"/>
                <w:kern w:val="0"/>
                <w:sz w:val="20"/>
                <w:szCs w:val="20"/>
                <w:vertAlign w:val="baseline"/>
              </w:rPr>
              <w:t>%</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50" w:type="dxa"/>
            <w:vMerge w:val="continue"/>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数据产品达标率</w:t>
            </w:r>
          </w:p>
        </w:tc>
        <w:tc>
          <w:tcPr>
            <w:tcW w:w="1445"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反映数据产品完成的质量</w:t>
            </w:r>
          </w:p>
        </w:tc>
        <w:tc>
          <w:tcPr>
            <w:tcW w:w="1029"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w:t>
            </w:r>
            <w:r>
              <w:rPr>
                <w:rFonts w:hint="default" w:ascii="Times New Roman" w:hAnsi="Times New Roman" w:eastAsia="宋体" w:cs="Times New Roman"/>
                <w:kern w:val="0"/>
                <w:sz w:val="20"/>
                <w:szCs w:val="20"/>
                <w:vertAlign w:val="baseline"/>
              </w:rPr>
              <w:t>100</w:t>
            </w:r>
            <w:r>
              <w:rPr>
                <w:rFonts w:hint="eastAsia" w:ascii="宋体" w:hAnsi="宋体" w:eastAsia="宋体" w:cs="宋体"/>
                <w:kern w:val="0"/>
                <w:sz w:val="20"/>
                <w:szCs w:val="20"/>
                <w:vertAlign w:val="baseline"/>
              </w:rPr>
              <w:t>%</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完成“双随机”统计执法检查</w:t>
            </w:r>
          </w:p>
        </w:tc>
        <w:tc>
          <w:tcPr>
            <w:tcW w:w="1445"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kern w:val="0"/>
                <w:sz w:val="20"/>
                <w:szCs w:val="20"/>
                <w:vertAlign w:val="baseline"/>
              </w:rPr>
              <w:t>11</w:t>
            </w:r>
            <w:r>
              <w:rPr>
                <w:rFonts w:hint="eastAsia" w:ascii="宋体" w:hAnsi="宋体" w:eastAsia="宋体" w:cs="宋体"/>
                <w:kern w:val="0"/>
                <w:sz w:val="20"/>
                <w:szCs w:val="20"/>
                <w:vertAlign w:val="baseline"/>
              </w:rPr>
              <w:t>月底前完成“双随机”统计执法检查</w:t>
            </w:r>
          </w:p>
        </w:tc>
        <w:tc>
          <w:tcPr>
            <w:tcW w:w="1029" w:type="dxa"/>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r>
              <w:rPr>
                <w:rFonts w:hint="default" w:ascii="Times New Roman" w:hAnsi="Times New Roman" w:eastAsia="宋体" w:cs="Times New Roman"/>
                <w:kern w:val="0"/>
                <w:sz w:val="20"/>
                <w:szCs w:val="20"/>
                <w:vertAlign w:val="baseline"/>
                <w:lang w:val="en-US" w:eastAsia="zh-CN"/>
              </w:rPr>
              <w:t>11</w:t>
            </w:r>
            <w:r>
              <w:rPr>
                <w:rFonts w:hint="eastAsia" w:ascii="宋体" w:hAnsi="宋体" w:eastAsia="宋体" w:cs="宋体"/>
                <w:kern w:val="0"/>
                <w:sz w:val="20"/>
                <w:szCs w:val="20"/>
                <w:vertAlign w:val="baseline"/>
                <w:lang w:val="en-US" w:eastAsia="zh-CN"/>
              </w:rPr>
              <w:t>月</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向社会公众提供统计公报</w:t>
            </w:r>
          </w:p>
        </w:tc>
        <w:tc>
          <w:tcPr>
            <w:tcW w:w="1445"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向社会公众提供反映通化县年度经济运行发展状况的统计公报篇数</w:t>
            </w:r>
          </w:p>
        </w:tc>
        <w:tc>
          <w:tcPr>
            <w:tcW w:w="1029" w:type="dxa"/>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r>
              <w:rPr>
                <w:rFonts w:hint="default" w:ascii="Times New Roman" w:hAnsi="Times New Roman" w:eastAsia="宋体" w:cs="Times New Roman"/>
                <w:kern w:val="0"/>
                <w:sz w:val="20"/>
                <w:szCs w:val="20"/>
                <w:vertAlign w:val="baseline"/>
                <w:lang w:val="en-US" w:eastAsia="zh-CN"/>
              </w:rPr>
              <w:t>1</w:t>
            </w:r>
            <w:r>
              <w:rPr>
                <w:rFonts w:hint="eastAsia" w:ascii="宋体" w:hAnsi="宋体" w:eastAsia="宋体" w:cs="宋体"/>
                <w:kern w:val="0"/>
                <w:sz w:val="20"/>
                <w:szCs w:val="20"/>
                <w:vertAlign w:val="baseline"/>
                <w:lang w:val="en-US" w:eastAsia="zh-CN"/>
              </w:rPr>
              <w:t>篇</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7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1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36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8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750"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105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培训人员满意度</w:t>
            </w:r>
          </w:p>
        </w:tc>
        <w:tc>
          <w:tcPr>
            <w:tcW w:w="1445"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反映参加培训人员的满意度情况</w:t>
            </w:r>
          </w:p>
        </w:tc>
        <w:tc>
          <w:tcPr>
            <w:tcW w:w="1029"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w:t>
            </w:r>
            <w:r>
              <w:rPr>
                <w:rFonts w:hint="default" w:ascii="Times New Roman" w:hAnsi="Times New Roman" w:eastAsia="宋体" w:cs="Times New Roman"/>
                <w:kern w:val="0"/>
                <w:sz w:val="20"/>
                <w:szCs w:val="20"/>
                <w:vertAlign w:val="baseline"/>
              </w:rPr>
              <w:t>100</w:t>
            </w:r>
            <w:r>
              <w:rPr>
                <w:rFonts w:hint="eastAsia" w:ascii="宋体" w:hAnsi="宋体" w:eastAsia="宋体" w:cs="宋体"/>
                <w:kern w:val="0"/>
                <w:sz w:val="20"/>
                <w:szCs w:val="20"/>
                <w:vertAlign w:val="baseline"/>
              </w:rPr>
              <w:t>%</w:t>
            </w:r>
          </w:p>
        </w:tc>
        <w:tc>
          <w:tcPr>
            <w:tcW w:w="451" w:type="dxa"/>
            <w:noWrap w:val="0"/>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预算管理。收入包括：一般公共预算拨款收入、上年结转；支出包括：一般公共服务支出、社会保障和就业支出、</w:t>
      </w:r>
      <w:r>
        <w:rPr>
          <w:rFonts w:hint="eastAsia"/>
          <w:szCs w:val="32"/>
          <w:lang w:eastAsia="zh-CN"/>
        </w:rPr>
        <w:t>卫生健康</w:t>
      </w:r>
      <w:r>
        <w:rPr>
          <w:szCs w:val="32"/>
        </w:rPr>
        <w:t>支出、住房保障支出。20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200.03</w:t>
      </w:r>
      <w:r>
        <w:rPr>
          <w:szCs w:val="32"/>
        </w:rPr>
        <w:t>万元</w:t>
      </w:r>
      <w:r>
        <w:rPr>
          <w:rFonts w:hint="eastAsia"/>
          <w:szCs w:val="32"/>
          <w:lang w:eastAsia="zh-CN"/>
        </w:rPr>
        <w:t>，其中：本年预算</w:t>
      </w:r>
      <w:r>
        <w:rPr>
          <w:rFonts w:hint="eastAsia"/>
          <w:szCs w:val="32"/>
          <w:lang w:val="en-US" w:eastAsia="zh-CN"/>
        </w:rPr>
        <w:t>195.10</w:t>
      </w:r>
      <w:r>
        <w:rPr>
          <w:rFonts w:hint="eastAsia"/>
          <w:szCs w:val="32"/>
          <w:lang w:eastAsia="zh-CN"/>
        </w:rPr>
        <w:t>万元；上年结转</w:t>
      </w:r>
      <w:r>
        <w:rPr>
          <w:rFonts w:hint="eastAsia"/>
          <w:szCs w:val="32"/>
          <w:lang w:val="en-US" w:eastAsia="zh-CN"/>
        </w:rPr>
        <w:t>4.93</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25.02</w:t>
      </w:r>
      <w:r>
        <w:rPr>
          <w:szCs w:val="32"/>
        </w:rPr>
        <w:t>万元，主要原因是</w:t>
      </w:r>
      <w:r>
        <w:rPr>
          <w:szCs w:val="32"/>
        </w:rPr>
        <w:softHyphen/>
      </w:r>
      <w:r>
        <w:rPr>
          <w:szCs w:val="32"/>
        </w:rPr>
        <w:softHyphen/>
      </w:r>
      <w:r>
        <w:rPr>
          <w:szCs w:val="32"/>
        </w:rPr>
        <w:softHyphen/>
      </w:r>
      <w:r>
        <w:rPr>
          <w:rFonts w:hint="eastAsia"/>
          <w:szCs w:val="32"/>
          <w:lang w:eastAsia="zh-CN"/>
        </w:rPr>
        <w:t>增加第五次全国经济普查专项普查活动经费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200.03</w:t>
      </w:r>
      <w:r>
        <w:rPr>
          <w:szCs w:val="32"/>
        </w:rPr>
        <w:t>万元，其中：本年收入</w:t>
      </w:r>
      <w:r>
        <w:rPr>
          <w:rFonts w:hint="eastAsia"/>
          <w:szCs w:val="32"/>
          <w:lang w:val="en-US" w:eastAsia="zh-CN"/>
        </w:rPr>
        <w:t>195.10</w:t>
      </w:r>
      <w:r>
        <w:rPr>
          <w:szCs w:val="32"/>
        </w:rPr>
        <w:t>万元，占</w:t>
      </w:r>
      <w:r>
        <w:rPr>
          <w:rFonts w:hint="eastAsia"/>
          <w:szCs w:val="32"/>
          <w:lang w:val="en-US" w:eastAsia="zh-CN"/>
        </w:rPr>
        <w:t>97.5</w:t>
      </w:r>
      <w:r>
        <w:rPr>
          <w:szCs w:val="32"/>
        </w:rPr>
        <w:t>%；上年结转</w:t>
      </w:r>
      <w:r>
        <w:rPr>
          <w:rFonts w:hint="eastAsia"/>
          <w:szCs w:val="32"/>
          <w:lang w:eastAsia="zh-CN"/>
        </w:rPr>
        <w:t>结余</w:t>
      </w:r>
      <w:r>
        <w:rPr>
          <w:rFonts w:hint="eastAsia"/>
          <w:szCs w:val="32"/>
          <w:lang w:val="en-US" w:eastAsia="zh-CN"/>
        </w:rPr>
        <w:t>4.93</w:t>
      </w:r>
      <w:r>
        <w:rPr>
          <w:szCs w:val="32"/>
        </w:rPr>
        <w:t>万元，占</w:t>
      </w:r>
      <w:r>
        <w:rPr>
          <w:rFonts w:hint="eastAsia"/>
          <w:szCs w:val="32"/>
          <w:lang w:val="en-US" w:eastAsia="zh-CN"/>
        </w:rPr>
        <w:t>2.5</w:t>
      </w:r>
      <w:r>
        <w:rPr>
          <w:szCs w:val="32"/>
        </w:rPr>
        <w:t>%。本年收入中，一般公共预算拨款收入</w:t>
      </w:r>
      <w:r>
        <w:rPr>
          <w:rFonts w:hint="eastAsia"/>
          <w:szCs w:val="32"/>
          <w:lang w:val="en-US" w:eastAsia="zh-CN"/>
        </w:rPr>
        <w:t>200.03</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4.93</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200.03</w:t>
      </w:r>
      <w:r>
        <w:rPr>
          <w:szCs w:val="32"/>
        </w:rPr>
        <w:t>万元，其中：基本支出</w:t>
      </w:r>
      <w:r>
        <w:rPr>
          <w:rFonts w:hint="eastAsia"/>
          <w:szCs w:val="32"/>
          <w:lang w:val="en-US" w:eastAsia="zh-CN"/>
        </w:rPr>
        <w:t>153.47</w:t>
      </w:r>
      <w:r>
        <w:rPr>
          <w:szCs w:val="32"/>
        </w:rPr>
        <w:t>万元，占</w:t>
      </w:r>
      <w:r>
        <w:rPr>
          <w:rFonts w:hint="eastAsia"/>
          <w:szCs w:val="32"/>
          <w:lang w:val="en-US" w:eastAsia="zh-CN"/>
        </w:rPr>
        <w:t>76.7</w:t>
      </w:r>
      <w:r>
        <w:rPr>
          <w:szCs w:val="32"/>
        </w:rPr>
        <w:t>%；项目支出</w:t>
      </w:r>
      <w:r>
        <w:rPr>
          <w:rFonts w:hint="eastAsia"/>
          <w:szCs w:val="32"/>
          <w:lang w:val="en-US" w:eastAsia="zh-CN"/>
        </w:rPr>
        <w:t>46.56</w:t>
      </w:r>
      <w:r>
        <w:rPr>
          <w:szCs w:val="32"/>
        </w:rPr>
        <w:t>万元，占</w:t>
      </w:r>
      <w:r>
        <w:rPr>
          <w:rFonts w:hint="eastAsia"/>
          <w:szCs w:val="32"/>
          <w:lang w:val="en-US" w:eastAsia="zh-CN"/>
        </w:rPr>
        <w:t>23.3</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200.03</w:t>
      </w:r>
      <w:r>
        <w:rPr>
          <w:szCs w:val="32"/>
        </w:rPr>
        <w:t>万元，其中：</w:t>
      </w:r>
      <w:r>
        <w:rPr>
          <w:rFonts w:hint="eastAsia"/>
          <w:szCs w:val="32"/>
        </w:rPr>
        <w:t>本年</w:t>
      </w:r>
      <w:r>
        <w:rPr>
          <w:rFonts w:hint="eastAsia"/>
          <w:szCs w:val="32"/>
          <w:lang w:eastAsia="zh-CN"/>
        </w:rPr>
        <w:t>预算</w:t>
      </w:r>
      <w:r>
        <w:rPr>
          <w:rFonts w:hint="eastAsia"/>
          <w:szCs w:val="32"/>
          <w:lang w:val="en-US" w:eastAsia="zh-CN"/>
        </w:rPr>
        <w:t>195.10</w:t>
      </w:r>
      <w:r>
        <w:rPr>
          <w:szCs w:val="32"/>
        </w:rPr>
        <w:t>万元</w:t>
      </w:r>
      <w:r>
        <w:rPr>
          <w:rFonts w:hint="eastAsia"/>
          <w:szCs w:val="32"/>
        </w:rPr>
        <w:t>，上年结转</w:t>
      </w:r>
      <w:r>
        <w:rPr>
          <w:rFonts w:hint="eastAsia"/>
          <w:szCs w:val="32"/>
          <w:lang w:val="en-US" w:eastAsia="zh-CN"/>
        </w:rPr>
        <w:t>4.93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163.96</w:t>
      </w:r>
      <w:r>
        <w:rPr>
          <w:szCs w:val="32"/>
        </w:rPr>
        <w:t>万元，</w:t>
      </w:r>
      <w:r>
        <w:rPr>
          <w:kern w:val="0"/>
          <w:szCs w:val="32"/>
        </w:rPr>
        <w:t>社会保障和就业支出</w:t>
      </w:r>
      <w:r>
        <w:rPr>
          <w:rFonts w:hint="eastAsia"/>
          <w:szCs w:val="32"/>
          <w:lang w:val="en-US" w:eastAsia="zh-CN"/>
        </w:rPr>
        <w:t>20.85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4.32</w:t>
      </w:r>
      <w:r>
        <w:rPr>
          <w:szCs w:val="32"/>
        </w:rPr>
        <w:t>万元，</w:t>
      </w:r>
      <w:r>
        <w:rPr>
          <w:kern w:val="0"/>
          <w:szCs w:val="32"/>
        </w:rPr>
        <w:t>住房保障支出</w:t>
      </w:r>
      <w:r>
        <w:rPr>
          <w:rFonts w:hint="eastAsia"/>
          <w:szCs w:val="32"/>
          <w:lang w:val="en-US" w:eastAsia="zh-CN"/>
        </w:rPr>
        <w:t>10.90</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200.03</w:t>
      </w:r>
      <w:r>
        <w:rPr>
          <w:szCs w:val="32"/>
        </w:rPr>
        <w:t>万元，其中：基本支出</w:t>
      </w:r>
      <w:r>
        <w:rPr>
          <w:rFonts w:hint="eastAsia"/>
          <w:szCs w:val="32"/>
          <w:lang w:val="en-US" w:eastAsia="zh-CN"/>
        </w:rPr>
        <w:t>153.47</w:t>
      </w:r>
      <w:r>
        <w:rPr>
          <w:szCs w:val="32"/>
        </w:rPr>
        <w:t>万元，占</w:t>
      </w:r>
      <w:r>
        <w:rPr>
          <w:rFonts w:hint="eastAsia"/>
          <w:szCs w:val="32"/>
          <w:lang w:val="en-US" w:eastAsia="zh-CN"/>
        </w:rPr>
        <w:t>76.7</w:t>
      </w:r>
      <w:r>
        <w:rPr>
          <w:szCs w:val="32"/>
        </w:rPr>
        <w:t>%；项目支出</w:t>
      </w:r>
      <w:r>
        <w:rPr>
          <w:rFonts w:hint="eastAsia"/>
          <w:szCs w:val="32"/>
          <w:lang w:val="en-US" w:eastAsia="zh-CN"/>
        </w:rPr>
        <w:t>46.56</w:t>
      </w:r>
      <w:r>
        <w:rPr>
          <w:szCs w:val="32"/>
        </w:rPr>
        <w:t>万元，占</w:t>
      </w:r>
      <w:r>
        <w:rPr>
          <w:rFonts w:hint="eastAsia"/>
          <w:szCs w:val="32"/>
          <w:lang w:val="en-US" w:eastAsia="zh-CN"/>
        </w:rPr>
        <w:t>23.3</w:t>
      </w:r>
      <w:r>
        <w:rPr>
          <w:szCs w:val="32"/>
        </w:rPr>
        <w:t>%。基本支出中，人员经费</w:t>
      </w:r>
      <w:r>
        <w:rPr>
          <w:rFonts w:hint="eastAsia"/>
          <w:szCs w:val="32"/>
          <w:lang w:val="en-US" w:eastAsia="zh-CN"/>
        </w:rPr>
        <w:t>130.34</w:t>
      </w:r>
      <w:r>
        <w:rPr>
          <w:szCs w:val="32"/>
        </w:rPr>
        <w:t>万元，占</w:t>
      </w:r>
      <w:r>
        <w:rPr>
          <w:rFonts w:hint="eastAsia"/>
          <w:szCs w:val="32"/>
          <w:lang w:val="en-US" w:eastAsia="zh-CN"/>
        </w:rPr>
        <w:t>84.93</w:t>
      </w:r>
      <w:r>
        <w:rPr>
          <w:szCs w:val="32"/>
        </w:rPr>
        <w:t>%；公用经费</w:t>
      </w:r>
      <w:r>
        <w:rPr>
          <w:rFonts w:hint="eastAsia"/>
          <w:szCs w:val="32"/>
          <w:lang w:val="en-US" w:eastAsia="zh-CN"/>
        </w:rPr>
        <w:t>23.13</w:t>
      </w:r>
      <w:r>
        <w:rPr>
          <w:szCs w:val="32"/>
        </w:rPr>
        <w:t>万元，占</w:t>
      </w:r>
      <w:r>
        <w:rPr>
          <w:rFonts w:hint="eastAsia"/>
          <w:szCs w:val="32"/>
          <w:lang w:val="en-US" w:eastAsia="zh-CN"/>
        </w:rPr>
        <w:t>15.07</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163.96</w:t>
      </w:r>
      <w:r>
        <w:rPr>
          <w:szCs w:val="32"/>
        </w:rPr>
        <w:t>万元，占</w:t>
      </w:r>
      <w:r>
        <w:rPr>
          <w:rFonts w:hint="eastAsia"/>
          <w:szCs w:val="32"/>
          <w:lang w:val="en-US" w:eastAsia="zh-CN"/>
        </w:rPr>
        <w:t>81.97</w:t>
      </w:r>
      <w:r>
        <w:rPr>
          <w:szCs w:val="32"/>
        </w:rPr>
        <w:t>%，主要用于</w:t>
      </w:r>
      <w:r>
        <w:rPr>
          <w:rFonts w:hint="eastAsia" w:ascii="仿宋_GB2312" w:hAnsi="仿宋_GB2312" w:cs="仿宋_GB2312"/>
          <w:szCs w:val="32"/>
        </w:rPr>
        <w:t>保障职工工资、维持机关正常运转、完成年度统计工作任务</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20.85</w:t>
      </w:r>
      <w:r>
        <w:rPr>
          <w:szCs w:val="32"/>
        </w:rPr>
        <w:t>万元，占</w:t>
      </w:r>
      <w:r>
        <w:rPr>
          <w:rFonts w:hint="eastAsia"/>
          <w:szCs w:val="32"/>
          <w:lang w:val="en-US" w:eastAsia="zh-CN"/>
        </w:rPr>
        <w:t>10.42</w:t>
      </w:r>
      <w:r>
        <w:rPr>
          <w:szCs w:val="32"/>
        </w:rPr>
        <w:t>%，主要用于</w:t>
      </w:r>
      <w:r>
        <w:rPr>
          <w:rFonts w:hint="eastAsia" w:ascii="仿宋_GB2312" w:hAnsi="仿宋_GB2312" w:cs="仿宋_GB2312"/>
          <w:szCs w:val="32"/>
        </w:rPr>
        <w:t>保障退休职工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rFonts w:hint="eastAsia"/>
          <w:szCs w:val="32"/>
          <w:lang w:eastAsia="zh-CN"/>
        </w:rPr>
        <w:t>卫生健康</w:t>
      </w:r>
      <w:r>
        <w:rPr>
          <w:szCs w:val="32"/>
        </w:rPr>
        <w:t>支出（类）支出</w:t>
      </w:r>
      <w:r>
        <w:rPr>
          <w:rFonts w:hint="eastAsia"/>
          <w:szCs w:val="32"/>
          <w:lang w:val="en-US" w:eastAsia="zh-CN"/>
        </w:rPr>
        <w:t>4.32</w:t>
      </w:r>
      <w:r>
        <w:rPr>
          <w:szCs w:val="32"/>
        </w:rPr>
        <w:t>万元，占</w:t>
      </w:r>
      <w:r>
        <w:rPr>
          <w:rFonts w:hint="eastAsia"/>
          <w:szCs w:val="32"/>
          <w:lang w:val="en-US" w:eastAsia="zh-CN"/>
        </w:rPr>
        <w:t>2.16</w:t>
      </w:r>
      <w:r>
        <w:rPr>
          <w:szCs w:val="32"/>
        </w:rPr>
        <w:t>%，主要用于</w:t>
      </w:r>
      <w:r>
        <w:rPr>
          <w:rFonts w:hint="eastAsia" w:ascii="仿宋_GB2312" w:hAnsi="仿宋_GB2312" w:cs="仿宋_GB2312"/>
          <w:szCs w:val="32"/>
        </w:rPr>
        <w:t>缴纳职工医疗保险</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住房保障（类）支出</w:t>
      </w:r>
      <w:r>
        <w:rPr>
          <w:rFonts w:hint="eastAsia"/>
          <w:szCs w:val="32"/>
          <w:lang w:val="en-US" w:eastAsia="zh-CN"/>
        </w:rPr>
        <w:t>10.90</w:t>
      </w:r>
      <w:r>
        <w:rPr>
          <w:szCs w:val="32"/>
        </w:rPr>
        <w:t>万元，占</w:t>
      </w:r>
      <w:r>
        <w:rPr>
          <w:rFonts w:hint="eastAsia"/>
          <w:szCs w:val="32"/>
          <w:lang w:val="en-US" w:eastAsia="zh-CN"/>
        </w:rPr>
        <w:t>5.45</w:t>
      </w:r>
      <w:r>
        <w:rPr>
          <w:szCs w:val="32"/>
        </w:rPr>
        <w:t>%，主要用于</w:t>
      </w:r>
      <w:r>
        <w:rPr>
          <w:rFonts w:hint="eastAsia" w:ascii="仿宋_GB2312" w:hAnsi="仿宋_GB2312" w:cs="仿宋_GB2312"/>
          <w:szCs w:val="32"/>
        </w:rPr>
        <w:t>缴纳职工住房公积金</w:t>
      </w:r>
      <w:r>
        <w:rPr>
          <w:szCs w:val="32"/>
        </w:rPr>
        <w:t>。</w:t>
      </w:r>
    </w:p>
    <w:p>
      <w:pPr>
        <w:spacing w:line="520" w:lineRule="exact"/>
        <w:ind w:firstLine="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153.47</w:t>
      </w:r>
      <w:r>
        <w:rPr>
          <w:szCs w:val="32"/>
        </w:rPr>
        <w:t>万元，其中：</w:t>
      </w:r>
    </w:p>
    <w:p>
      <w:pPr>
        <w:ind w:firstLine="640" w:firstLineChars="200"/>
        <w:rPr>
          <w:kern w:val="0"/>
          <w:szCs w:val="32"/>
        </w:rPr>
      </w:pPr>
      <w:r>
        <w:rPr>
          <w:szCs w:val="32"/>
        </w:rPr>
        <w:t>人员经费</w:t>
      </w:r>
      <w:r>
        <w:rPr>
          <w:rFonts w:hint="eastAsia"/>
          <w:szCs w:val="32"/>
          <w:lang w:val="en-US" w:eastAsia="zh-CN"/>
        </w:rPr>
        <w:t>130.34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rFonts w:hint="eastAsia"/>
          <w:szCs w:val="32"/>
          <w:lang w:eastAsia="zh-CN"/>
        </w:rPr>
        <w:t>住房公积金、医疗费、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其他对个人和家庭的补助支出。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kern w:val="0"/>
          <w:szCs w:val="32"/>
          <w:lang w:eastAsia="zh-CN"/>
        </w:rPr>
      </w:pPr>
      <w:r>
        <w:rPr>
          <w:kern w:val="0"/>
          <w:szCs w:val="32"/>
        </w:rPr>
        <w:t>公用经费</w:t>
      </w:r>
      <w:r>
        <w:rPr>
          <w:rFonts w:hint="eastAsia"/>
          <w:szCs w:val="32"/>
          <w:lang w:val="en-US" w:eastAsia="zh-CN"/>
        </w:rPr>
        <w:t>23.13</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0.26</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0.26</w:t>
      </w:r>
      <w:r>
        <w:rPr>
          <w:szCs w:val="32"/>
        </w:rPr>
        <w:t>万元，主要原因是</w:t>
      </w:r>
      <w:r>
        <w:rPr>
          <w:rFonts w:hint="eastAsia"/>
          <w:szCs w:val="32"/>
          <w:lang w:eastAsia="zh-CN"/>
        </w:rPr>
        <w:t>认真贯彻落实中共中央八项规定精神和省财政厅“过紧日子”有关要求，厉行节约，压减公务接待费预算。</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本单位无</w:t>
      </w:r>
      <w:r>
        <w:rPr>
          <w:szCs w:val="32"/>
        </w:rPr>
        <w:t>政府性基金预算</w:t>
      </w:r>
      <w:r>
        <w:rPr>
          <w:rFonts w:hint="eastAsia"/>
          <w:szCs w:val="32"/>
          <w:lang w:eastAsia="zh-CN"/>
        </w:rPr>
        <w:t>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本单位无</w:t>
      </w:r>
      <w:r>
        <w:rPr>
          <w:rFonts w:hint="eastAsia"/>
          <w:szCs w:val="32"/>
        </w:rPr>
        <w:t>国有资本经营</w:t>
      </w:r>
      <w:r>
        <w:rPr>
          <w:szCs w:val="32"/>
        </w:rPr>
        <w:t>预算</w:t>
      </w:r>
      <w:r>
        <w:rPr>
          <w:rFonts w:hint="eastAsia"/>
          <w:szCs w:val="32"/>
          <w:lang w:eastAsia="zh-CN"/>
        </w:rPr>
        <w:t>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通化县统计局</w:t>
      </w:r>
      <w:r>
        <w:rPr>
          <w:rFonts w:hint="eastAsia"/>
          <w:szCs w:val="32"/>
          <w:lang w:val="en-US" w:eastAsia="zh-CN"/>
        </w:rPr>
        <w:t>1</w:t>
      </w:r>
      <w:r>
        <w:rPr>
          <w:szCs w:val="32"/>
        </w:rPr>
        <w:t>家</w:t>
      </w:r>
      <w:r>
        <w:rPr>
          <w:rFonts w:hint="eastAsia"/>
          <w:szCs w:val="32"/>
          <w:lang w:eastAsia="zh-CN"/>
        </w:rPr>
        <w:t>行政</w:t>
      </w:r>
      <w:r>
        <w:rPr>
          <w:szCs w:val="32"/>
        </w:rPr>
        <w:t>单位的机关运行经费财政拨款预算</w:t>
      </w:r>
      <w:r>
        <w:rPr>
          <w:rFonts w:hint="eastAsia"/>
          <w:szCs w:val="32"/>
          <w:lang w:val="en-US" w:eastAsia="zh-CN"/>
        </w:rPr>
        <w:t>23.13</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4.16</w:t>
      </w:r>
      <w:r>
        <w:rPr>
          <w:szCs w:val="32"/>
        </w:rPr>
        <w:t>万元，下降</w:t>
      </w:r>
      <w:r>
        <w:rPr>
          <w:rFonts w:hint="eastAsia"/>
          <w:szCs w:val="32"/>
          <w:lang w:val="en-US" w:eastAsia="zh-CN"/>
        </w:rPr>
        <w:t>15.24</w:t>
      </w:r>
      <w:r>
        <w:rPr>
          <w:szCs w:val="32"/>
        </w:rPr>
        <w:t>%</w:t>
      </w:r>
      <w:r>
        <w:rPr>
          <w:rFonts w:hint="eastAsia"/>
          <w:szCs w:val="32"/>
        </w:rPr>
        <w:t>，主要原因是</w:t>
      </w:r>
      <w:r>
        <w:rPr>
          <w:rFonts w:hint="eastAsia"/>
          <w:szCs w:val="32"/>
          <w:lang w:eastAsia="zh-CN"/>
        </w:rPr>
        <w:t>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本单位无</w:t>
      </w:r>
      <w:r>
        <w:rPr>
          <w:szCs w:val="32"/>
        </w:rPr>
        <w:t>政府采购</w:t>
      </w:r>
      <w:r>
        <w:rPr>
          <w:rFonts w:hint="eastAsia"/>
          <w:szCs w:val="32"/>
          <w:lang w:eastAsia="zh-CN"/>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通化县统计局</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46.56</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46.56</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46.56</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7B669EC"/>
    <w:rsid w:val="09015F14"/>
    <w:rsid w:val="091C5C63"/>
    <w:rsid w:val="09421190"/>
    <w:rsid w:val="09A0082A"/>
    <w:rsid w:val="0A00435B"/>
    <w:rsid w:val="0AAA1697"/>
    <w:rsid w:val="0ABA06FE"/>
    <w:rsid w:val="0B49202F"/>
    <w:rsid w:val="0B5F5ADA"/>
    <w:rsid w:val="0C2A5C84"/>
    <w:rsid w:val="0C4F64D9"/>
    <w:rsid w:val="0C583939"/>
    <w:rsid w:val="0C6D1BAE"/>
    <w:rsid w:val="0D2A2435"/>
    <w:rsid w:val="0D3456F2"/>
    <w:rsid w:val="0DA001B0"/>
    <w:rsid w:val="0DEB170B"/>
    <w:rsid w:val="0E4C7841"/>
    <w:rsid w:val="0E97506F"/>
    <w:rsid w:val="0EEB5322"/>
    <w:rsid w:val="0F3E0406"/>
    <w:rsid w:val="0F980230"/>
    <w:rsid w:val="0FD62F63"/>
    <w:rsid w:val="0FDE2A27"/>
    <w:rsid w:val="10AE7F82"/>
    <w:rsid w:val="10C93B35"/>
    <w:rsid w:val="11177619"/>
    <w:rsid w:val="112605C8"/>
    <w:rsid w:val="117E6E17"/>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1D6147"/>
    <w:rsid w:val="23EC61F6"/>
    <w:rsid w:val="244C543C"/>
    <w:rsid w:val="24624768"/>
    <w:rsid w:val="259B5BC5"/>
    <w:rsid w:val="25F62C4E"/>
    <w:rsid w:val="26643D6C"/>
    <w:rsid w:val="26FE109D"/>
    <w:rsid w:val="27073E1E"/>
    <w:rsid w:val="27B04AB3"/>
    <w:rsid w:val="27CE5C62"/>
    <w:rsid w:val="282C3BA1"/>
    <w:rsid w:val="28A63332"/>
    <w:rsid w:val="28C96E8E"/>
    <w:rsid w:val="29C45F24"/>
    <w:rsid w:val="2B3B594E"/>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DA62EB"/>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5042D1"/>
    <w:rsid w:val="49645F71"/>
    <w:rsid w:val="499F5C68"/>
    <w:rsid w:val="4A52465C"/>
    <w:rsid w:val="4A5C4AC6"/>
    <w:rsid w:val="4A662FBF"/>
    <w:rsid w:val="4AF16062"/>
    <w:rsid w:val="4B0A57E5"/>
    <w:rsid w:val="4B646DDD"/>
    <w:rsid w:val="4B7F44F8"/>
    <w:rsid w:val="4BAC24C5"/>
    <w:rsid w:val="4BFA0656"/>
    <w:rsid w:val="4C8C3872"/>
    <w:rsid w:val="4D3439E8"/>
    <w:rsid w:val="4D4E2809"/>
    <w:rsid w:val="4D730507"/>
    <w:rsid w:val="4D741DD3"/>
    <w:rsid w:val="4DC93207"/>
    <w:rsid w:val="4E010C4C"/>
    <w:rsid w:val="4E214B2B"/>
    <w:rsid w:val="4E8D5761"/>
    <w:rsid w:val="4EF54A85"/>
    <w:rsid w:val="4EF972C6"/>
    <w:rsid w:val="501B3C66"/>
    <w:rsid w:val="501F49FD"/>
    <w:rsid w:val="504B40C5"/>
    <w:rsid w:val="50987DC2"/>
    <w:rsid w:val="50A4703E"/>
    <w:rsid w:val="51282B99"/>
    <w:rsid w:val="5136104F"/>
    <w:rsid w:val="513B26F0"/>
    <w:rsid w:val="51465EDE"/>
    <w:rsid w:val="52071113"/>
    <w:rsid w:val="52085509"/>
    <w:rsid w:val="522774C4"/>
    <w:rsid w:val="522A7431"/>
    <w:rsid w:val="525A440D"/>
    <w:rsid w:val="52626449"/>
    <w:rsid w:val="52F12681"/>
    <w:rsid w:val="53755060"/>
    <w:rsid w:val="544E511A"/>
    <w:rsid w:val="54741940"/>
    <w:rsid w:val="54810E66"/>
    <w:rsid w:val="54C063E4"/>
    <w:rsid w:val="54C2556E"/>
    <w:rsid w:val="55480EEF"/>
    <w:rsid w:val="569B7F91"/>
    <w:rsid w:val="56D21BED"/>
    <w:rsid w:val="572651B2"/>
    <w:rsid w:val="57AE5C26"/>
    <w:rsid w:val="57DD75A9"/>
    <w:rsid w:val="5801059F"/>
    <w:rsid w:val="58256ABD"/>
    <w:rsid w:val="58804286"/>
    <w:rsid w:val="58C27FDB"/>
    <w:rsid w:val="59472AC7"/>
    <w:rsid w:val="59A85A64"/>
    <w:rsid w:val="59D514A6"/>
    <w:rsid w:val="59EC6E09"/>
    <w:rsid w:val="5AB343F7"/>
    <w:rsid w:val="5ABF50F2"/>
    <w:rsid w:val="5AF25D13"/>
    <w:rsid w:val="5AF76904"/>
    <w:rsid w:val="5B052E7A"/>
    <w:rsid w:val="5B3D7F7E"/>
    <w:rsid w:val="5B7C7777"/>
    <w:rsid w:val="5BB63CE5"/>
    <w:rsid w:val="5BC76675"/>
    <w:rsid w:val="5BEC6771"/>
    <w:rsid w:val="5CA506B9"/>
    <w:rsid w:val="5CF74CE4"/>
    <w:rsid w:val="5D5A7C63"/>
    <w:rsid w:val="5DAB5B22"/>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87D14"/>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0E0C79"/>
    <w:rsid w:val="761B13C4"/>
    <w:rsid w:val="764B6A8A"/>
    <w:rsid w:val="76C17E06"/>
    <w:rsid w:val="76CA67BD"/>
    <w:rsid w:val="773A3D47"/>
    <w:rsid w:val="774E6400"/>
    <w:rsid w:val="775B0046"/>
    <w:rsid w:val="79700BEF"/>
    <w:rsid w:val="798D552B"/>
    <w:rsid w:val="7A090695"/>
    <w:rsid w:val="7A1D5951"/>
    <w:rsid w:val="7A677E43"/>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26</Pages>
  <Words>6629</Words>
  <Characters>7912</Characters>
  <Lines>71</Lines>
  <Paragraphs>20</Paragraphs>
  <TotalTime>0</TotalTime>
  <ScaleCrop>false</ScaleCrop>
  <LinksUpToDate>false</LinksUpToDate>
  <CharactersWithSpaces>8480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2024-02-26T01:56:46Z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