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梅河口市统计局（本级）</w:t>
      </w:r>
      <w:r>
        <w:rPr>
          <w:rFonts w:eastAsia="方正小标宋简体"/>
          <w:sz w:val="44"/>
          <w:szCs w:val="44"/>
        </w:rPr>
        <w:t>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474"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jc w:val="center"/>
        <w:rPr>
          <w:rFonts w:eastAsia="黑体"/>
        </w:rPr>
      </w:pPr>
      <w:r>
        <w:rPr>
          <w:rFonts w:eastAsia="黑体"/>
        </w:rPr>
        <w:br w:type="page"/>
      </w: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color w:val="000000"/>
          <w:szCs w:val="32"/>
        </w:rPr>
      </w:pPr>
      <w:r>
        <w:rPr>
          <w:rFonts w:eastAsia="楷体_GB2312"/>
        </w:rPr>
        <w:t>一、主要职能</w:t>
      </w:r>
    </w:p>
    <w:p>
      <w:pPr>
        <w:ind w:firstLine="640" w:firstLineChars="200"/>
        <w:rPr>
          <w:color w:val="000000"/>
          <w:szCs w:val="32"/>
        </w:rPr>
      </w:pPr>
      <w:r>
        <w:rPr>
          <w:rFonts w:hint="eastAsia"/>
          <w:color w:val="000000"/>
          <w:szCs w:val="32"/>
        </w:rPr>
        <w:t>（一）贯彻执行国家统计方针、政策以及法律、法规，制定全市统计规划及统计调查计划；监督检查统计法律、法规的实施。组织领导全市统计工作，承担确保统计数据真实、准确、及时的责任。</w:t>
      </w:r>
    </w:p>
    <w:p>
      <w:pPr>
        <w:ind w:firstLine="640" w:firstLineChars="200"/>
        <w:rPr>
          <w:color w:val="000000"/>
          <w:szCs w:val="32"/>
        </w:rPr>
      </w:pPr>
      <w:r>
        <w:rPr>
          <w:rFonts w:hint="eastAsia"/>
          <w:color w:val="000000"/>
          <w:szCs w:val="32"/>
        </w:rPr>
        <w:t>（二）根据国家统一的基本统计制度，建立健全全市国民经济核算体系和统计指标体系，贯彻执行全省统一的基本统计报表制度和统计标准；汇编提供全市国民经济核算资料。</w:t>
      </w:r>
    </w:p>
    <w:p>
      <w:pPr>
        <w:ind w:firstLine="640" w:firstLineChars="200"/>
        <w:rPr>
          <w:color w:val="000000"/>
          <w:szCs w:val="32"/>
        </w:rPr>
      </w:pPr>
      <w:r>
        <w:rPr>
          <w:rFonts w:hint="eastAsia"/>
          <w:color w:val="000000"/>
          <w:szCs w:val="32"/>
        </w:rPr>
        <w:t>（三）组织实施重大省情省力普查计划；统一组织协调全市社会经济统计调查；汇总、整理全市基本统计资料；对国民经济、科技进步和社会发展等情况进行统计分析、统计预测预警和统计监督，向市委、市政府及有关部分提供统计信息和咨询建议。</w:t>
      </w:r>
    </w:p>
    <w:p>
      <w:pPr>
        <w:ind w:firstLine="640" w:firstLineChars="200"/>
        <w:rPr>
          <w:color w:val="000000"/>
          <w:szCs w:val="32"/>
        </w:rPr>
      </w:pPr>
      <w:r>
        <w:rPr>
          <w:rFonts w:hint="eastAsia"/>
          <w:color w:val="000000"/>
          <w:szCs w:val="32"/>
        </w:rPr>
        <w:t>（四）统一核定、管理、公布全市基本统计资料，定期向社会公众发布全市国民经济和社会发展情况的统计信息。</w:t>
      </w:r>
    </w:p>
    <w:p>
      <w:pPr>
        <w:ind w:firstLine="640" w:firstLineChars="200"/>
        <w:rPr>
          <w:color w:val="000000"/>
          <w:szCs w:val="32"/>
        </w:rPr>
      </w:pPr>
      <w:r>
        <w:rPr>
          <w:rFonts w:hint="eastAsia"/>
          <w:color w:val="000000"/>
          <w:szCs w:val="32"/>
        </w:rPr>
        <w:t>（五）建立、完善和管理全市统计信息自动化系统和全市统计数据库体系。</w:t>
      </w:r>
    </w:p>
    <w:p>
      <w:pPr>
        <w:ind w:firstLine="640" w:firstLineChars="200"/>
        <w:rPr>
          <w:color w:val="000000"/>
          <w:szCs w:val="32"/>
        </w:rPr>
      </w:pPr>
      <w:r>
        <w:rPr>
          <w:rFonts w:hint="eastAsia"/>
          <w:color w:val="000000"/>
          <w:szCs w:val="32"/>
        </w:rPr>
        <w:t>（六）负责全市统计系统的干部人事、劳动工资、机构编制和财务经费、审计监督及资产设施管理。</w:t>
      </w:r>
    </w:p>
    <w:p>
      <w:pPr>
        <w:ind w:firstLine="640" w:firstLineChars="200"/>
        <w:rPr>
          <w:color w:val="000000"/>
          <w:szCs w:val="32"/>
        </w:rPr>
      </w:pPr>
      <w:r>
        <w:rPr>
          <w:rFonts w:hint="eastAsia"/>
          <w:color w:val="000000"/>
          <w:szCs w:val="32"/>
        </w:rPr>
        <w:t>（七）领导局属事业单位。</w:t>
      </w:r>
    </w:p>
    <w:p>
      <w:pPr>
        <w:ind w:firstLine="640" w:firstLineChars="200"/>
        <w:rPr>
          <w:color w:val="000000"/>
          <w:szCs w:val="32"/>
        </w:rPr>
      </w:pPr>
      <w:r>
        <w:rPr>
          <w:rFonts w:hint="eastAsia"/>
          <w:color w:val="000000"/>
          <w:szCs w:val="32"/>
        </w:rPr>
        <w:t>（八）承办通化市统计局和梅河口市政府交办的其他事项。</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rPr>
        <w:t>梅河口市统计局（本级）</w:t>
      </w:r>
      <w:r>
        <w:rPr>
          <w:rFonts w:eastAsia="仿宋_GB2312"/>
        </w:rPr>
        <w:t>内设</w:t>
      </w:r>
      <w:r>
        <w:rPr>
          <w:rFonts w:hint="eastAsia" w:eastAsia="仿宋_GB2312"/>
        </w:rPr>
        <w:t>3</w:t>
      </w:r>
      <w:r>
        <w:rPr>
          <w:rFonts w:eastAsia="仿宋_GB2312"/>
        </w:rPr>
        <w:t>个机构，分别为</w:t>
      </w:r>
      <w:r>
        <w:rPr>
          <w:rFonts w:hint="eastAsia" w:eastAsia="仿宋_GB2312"/>
        </w:rPr>
        <w:t>办公室、综合统计科、社会经济统计科</w:t>
      </w:r>
      <w:r>
        <w:rPr>
          <w:rFonts w:eastAsia="仿宋_GB2312"/>
        </w:rPr>
        <w:t>。</w:t>
      </w:r>
    </w:p>
    <w:p>
      <w:pPr>
        <w:pStyle w:val="48"/>
        <w:ind w:firstLine="640" w:firstLineChars="200"/>
        <w:rPr>
          <w:rFonts w:eastAsia="仿宋_GB2312"/>
        </w:rPr>
      </w:pPr>
      <w:r>
        <w:rPr>
          <w:rFonts w:hint="eastAsia" w:eastAsia="仿宋_GB2312"/>
        </w:rPr>
        <w:t>本单位无下设预算单位。</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632" w:tblpY="698"/>
        <w:tblOverlap w:val="never"/>
        <w:tblW w:w="10774" w:type="dxa"/>
        <w:tblInd w:w="0" w:type="dxa"/>
        <w:tblLayout w:type="fixed"/>
        <w:tblCellMar>
          <w:top w:w="0" w:type="dxa"/>
          <w:left w:w="108" w:type="dxa"/>
          <w:bottom w:w="0" w:type="dxa"/>
          <w:right w:w="108" w:type="dxa"/>
        </w:tblCellMar>
      </w:tblPr>
      <w:tblGrid>
        <w:gridCol w:w="3085"/>
        <w:gridCol w:w="885"/>
        <w:gridCol w:w="394"/>
        <w:gridCol w:w="456"/>
        <w:gridCol w:w="744"/>
        <w:gridCol w:w="2375"/>
        <w:gridCol w:w="123"/>
        <w:gridCol w:w="869"/>
        <w:gridCol w:w="992"/>
        <w:gridCol w:w="851"/>
      </w:tblGrid>
      <w:tr>
        <w:tblPrEx>
          <w:tblCellMar>
            <w:top w:w="0" w:type="dxa"/>
            <w:left w:w="108" w:type="dxa"/>
            <w:bottom w:w="0" w:type="dxa"/>
            <w:right w:w="108" w:type="dxa"/>
          </w:tblCellMar>
        </w:tblPrEx>
        <w:trPr>
          <w:trHeight w:val="525" w:hRule="atLeast"/>
        </w:trPr>
        <w:tc>
          <w:tcPr>
            <w:tcW w:w="10774" w:type="dxa"/>
            <w:gridSpan w:val="10"/>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4364" w:type="dxa"/>
            <w:gridSpan w:val="3"/>
            <w:tcBorders>
              <w:top w:val="nil"/>
              <w:left w:val="nil"/>
              <w:bottom w:val="nil"/>
              <w:right w:val="nil"/>
            </w:tcBorders>
            <w:vAlign w:val="center"/>
          </w:tcPr>
          <w:p>
            <w:pPr>
              <w:widowControl/>
              <w:jc w:val="center"/>
              <w:rPr>
                <w:rFonts w:eastAsia="宋体"/>
                <w:kern w:val="0"/>
                <w:sz w:val="20"/>
              </w:rPr>
            </w:pPr>
          </w:p>
        </w:tc>
        <w:tc>
          <w:tcPr>
            <w:tcW w:w="1200" w:type="dxa"/>
            <w:gridSpan w:val="2"/>
            <w:tcBorders>
              <w:top w:val="nil"/>
              <w:left w:val="nil"/>
              <w:bottom w:val="nil"/>
              <w:right w:val="nil"/>
            </w:tcBorders>
            <w:vAlign w:val="center"/>
          </w:tcPr>
          <w:p>
            <w:pPr>
              <w:widowControl/>
              <w:jc w:val="center"/>
              <w:rPr>
                <w:rFonts w:eastAsia="宋体"/>
                <w:kern w:val="0"/>
                <w:sz w:val="20"/>
              </w:rPr>
            </w:pPr>
          </w:p>
        </w:tc>
        <w:tc>
          <w:tcPr>
            <w:tcW w:w="2498" w:type="dxa"/>
            <w:gridSpan w:val="2"/>
            <w:tcBorders>
              <w:top w:val="nil"/>
              <w:left w:val="nil"/>
              <w:bottom w:val="nil"/>
              <w:right w:val="nil"/>
            </w:tcBorders>
            <w:vAlign w:val="center"/>
          </w:tcPr>
          <w:p>
            <w:pPr>
              <w:widowControl/>
              <w:jc w:val="center"/>
              <w:rPr>
                <w:rFonts w:eastAsia="宋体"/>
                <w:kern w:val="0"/>
                <w:sz w:val="20"/>
              </w:rPr>
            </w:pPr>
          </w:p>
        </w:tc>
        <w:tc>
          <w:tcPr>
            <w:tcW w:w="2712" w:type="dxa"/>
            <w:gridSpan w:val="3"/>
            <w:tcBorders>
              <w:top w:val="nil"/>
              <w:left w:val="nil"/>
              <w:bottom w:val="nil"/>
              <w:right w:val="nil"/>
            </w:tcBorders>
            <w:vAlign w:val="bottom"/>
          </w:tcPr>
          <w:p>
            <w:pPr>
              <w:widowControl/>
              <w:jc w:val="right"/>
              <w:rPr>
                <w:rFonts w:eastAsia="宋体"/>
                <w:kern w:val="0"/>
                <w:sz w:val="20"/>
              </w:rPr>
            </w:pPr>
            <w:r>
              <w:rPr>
                <w:rFonts w:hint="eastAsia" w:eastAsia="宋体"/>
                <w:kern w:val="0"/>
                <w:sz w:val="20"/>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56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收       入</w:t>
            </w:r>
          </w:p>
        </w:tc>
        <w:tc>
          <w:tcPr>
            <w:tcW w:w="5210" w:type="dxa"/>
            <w:gridSpan w:val="5"/>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 xml:space="preserve">支 </w:t>
            </w:r>
            <w:r>
              <w:rPr>
                <w:rFonts w:asciiTheme="minorEastAsia" w:hAnsiTheme="minorEastAsia" w:eastAsiaTheme="minorEastAsia"/>
                <w:kern w:val="0"/>
                <w:sz w:val="20"/>
              </w:rPr>
              <w:t xml:space="preserve">       </w:t>
            </w:r>
            <w:r>
              <w:rPr>
                <w:rFonts w:hint="eastAsia" w:asciiTheme="minorEastAsia" w:hAnsiTheme="minorEastAsia" w:eastAsiaTheme="minorEastAsia"/>
                <w:kern w:val="0"/>
                <w:sz w:val="20"/>
              </w:rPr>
              <w:t>出</w:t>
            </w:r>
          </w:p>
        </w:tc>
      </w:tr>
      <w:tr>
        <w:tblPrEx>
          <w:tblCellMar>
            <w:top w:w="0" w:type="dxa"/>
            <w:left w:w="108" w:type="dxa"/>
            <w:bottom w:w="0" w:type="dxa"/>
            <w:right w:w="108" w:type="dxa"/>
          </w:tblCellMar>
        </w:tblPrEx>
        <w:trPr>
          <w:trHeight w:val="435" w:hRule="atLeast"/>
        </w:trPr>
        <w:tc>
          <w:tcPr>
            <w:tcW w:w="308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项  目</w:t>
            </w:r>
          </w:p>
        </w:tc>
        <w:tc>
          <w:tcPr>
            <w:tcW w:w="88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2</w:t>
            </w:r>
            <w:r>
              <w:rPr>
                <w:rFonts w:asciiTheme="minorEastAsia" w:hAnsiTheme="minorEastAsia" w:eastAsiaTheme="minorEastAsia"/>
                <w:kern w:val="0"/>
                <w:sz w:val="20"/>
              </w:rPr>
              <w:t>02</w:t>
            </w:r>
            <w:r>
              <w:rPr>
                <w:rFonts w:hint="eastAsia" w:asciiTheme="minorEastAsia" w:hAnsiTheme="minorEastAsia" w:eastAsiaTheme="minorEastAsia"/>
                <w:kern w:val="0"/>
                <w:sz w:val="20"/>
              </w:rPr>
              <w:t xml:space="preserve">4年  </w:t>
            </w:r>
            <w:r>
              <w:rPr>
                <w:rFonts w:asciiTheme="minorEastAsia" w:hAnsiTheme="minorEastAsia" w:eastAsiaTheme="minorEastAsia"/>
                <w:kern w:val="0"/>
                <w:sz w:val="20"/>
              </w:rPr>
              <w:t>预算数</w:t>
            </w:r>
          </w:p>
        </w:tc>
        <w:tc>
          <w:tcPr>
            <w:tcW w:w="850"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本年    预算</w:t>
            </w:r>
          </w:p>
        </w:tc>
        <w:tc>
          <w:tcPr>
            <w:tcW w:w="74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上年    结转</w:t>
            </w:r>
          </w:p>
        </w:tc>
        <w:tc>
          <w:tcPr>
            <w:tcW w:w="2375"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项  目</w:t>
            </w:r>
          </w:p>
        </w:tc>
        <w:tc>
          <w:tcPr>
            <w:tcW w:w="99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2</w:t>
            </w:r>
            <w:r>
              <w:rPr>
                <w:rFonts w:asciiTheme="minorEastAsia" w:hAnsiTheme="minorEastAsia" w:eastAsiaTheme="minorEastAsia"/>
                <w:kern w:val="0"/>
                <w:sz w:val="20"/>
              </w:rPr>
              <w:t>02</w:t>
            </w:r>
            <w:r>
              <w:rPr>
                <w:rFonts w:hint="eastAsia" w:asciiTheme="minorEastAsia" w:hAnsiTheme="minorEastAsia" w:eastAsiaTheme="minorEastAsia"/>
                <w:kern w:val="0"/>
                <w:sz w:val="20"/>
              </w:rPr>
              <w:t>4年  预算数</w:t>
            </w:r>
          </w:p>
        </w:tc>
        <w:tc>
          <w:tcPr>
            <w:tcW w:w="99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 xml:space="preserve">本年     </w:t>
            </w:r>
            <w:r>
              <w:rPr>
                <w:rFonts w:asciiTheme="minorEastAsia" w:hAnsiTheme="minorEastAsia" w:eastAsiaTheme="minorEastAsia"/>
                <w:kern w:val="0"/>
                <w:sz w:val="20"/>
              </w:rPr>
              <w:t>预算</w:t>
            </w:r>
          </w:p>
        </w:tc>
        <w:tc>
          <w:tcPr>
            <w:tcW w:w="85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上年     结转</w:t>
            </w: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一、财政拨款收入</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744"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c>
          <w:tcPr>
            <w:tcW w:w="2375"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一、一般公共服务支出</w:t>
            </w: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317.03</w:t>
            </w: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297.47</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19.56</w:t>
            </w: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一般公共预算拨款收入</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744"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c>
          <w:tcPr>
            <w:tcW w:w="2375" w:type="dxa"/>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二、社会保障和就业支出</w:t>
            </w:r>
          </w:p>
        </w:tc>
        <w:tc>
          <w:tcPr>
            <w:tcW w:w="992" w:type="dxa"/>
            <w:gridSpan w:val="2"/>
            <w:tcBorders>
              <w:top w:val="nil"/>
              <w:left w:val="single" w:color="auto" w:sz="4" w:space="0"/>
              <w:bottom w:val="single" w:color="auto" w:sz="4" w:space="0"/>
              <w:right w:val="single" w:color="auto" w:sz="4" w:space="0"/>
            </w:tcBorders>
            <w:vAlign w:val="center"/>
          </w:tcPr>
          <w:p>
            <w:pPr>
              <w:autoSpaceDN w:val="0"/>
              <w:jc w:val="righ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32.59</w:t>
            </w:r>
          </w:p>
        </w:tc>
        <w:tc>
          <w:tcPr>
            <w:tcW w:w="851"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1.73</w:t>
            </w: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政府性基金预算拨款收入</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44"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75" w:type="dxa"/>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三、卫生健康支出</w:t>
            </w:r>
          </w:p>
        </w:tc>
        <w:tc>
          <w:tcPr>
            <w:tcW w:w="992" w:type="dxa"/>
            <w:gridSpan w:val="2"/>
            <w:tcBorders>
              <w:top w:val="nil"/>
              <w:left w:val="single" w:color="auto" w:sz="4" w:space="0"/>
              <w:bottom w:val="single" w:color="auto" w:sz="4" w:space="0"/>
              <w:right w:val="single" w:color="auto" w:sz="4" w:space="0"/>
            </w:tcBorders>
            <w:vAlign w:val="center"/>
          </w:tcPr>
          <w:p>
            <w:pPr>
              <w:autoSpaceDN w:val="0"/>
              <w:jc w:val="righ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6.21</w:t>
            </w:r>
          </w:p>
        </w:tc>
        <w:tc>
          <w:tcPr>
            <w:tcW w:w="851"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0.27</w:t>
            </w: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国有资本经营预算拨款收入</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44"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75" w:type="dxa"/>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四、住房保障支出</w:t>
            </w:r>
          </w:p>
        </w:tc>
        <w:tc>
          <w:tcPr>
            <w:tcW w:w="992" w:type="dxa"/>
            <w:gridSpan w:val="2"/>
            <w:tcBorders>
              <w:top w:val="nil"/>
              <w:left w:val="single" w:color="auto" w:sz="4" w:space="0"/>
              <w:bottom w:val="single" w:color="auto" w:sz="4" w:space="0"/>
              <w:right w:val="single" w:color="auto" w:sz="4" w:space="0"/>
            </w:tcBorders>
            <w:vAlign w:val="center"/>
          </w:tcPr>
          <w:p>
            <w:pPr>
              <w:autoSpaceDN w:val="0"/>
              <w:jc w:val="righ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18.25</w:t>
            </w:r>
          </w:p>
        </w:tc>
        <w:tc>
          <w:tcPr>
            <w:tcW w:w="851"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shd w:val="solid" w:color="FFFFFF" w:fill="auto"/>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二、财政专户管理资金收入</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44"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3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三、单位资金收入</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44"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3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事业收入</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44"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3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事业单位经营收入</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44"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上级补助收入</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44"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附属单位上缴收入</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44"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ind w:firstLine="400" w:firstLineChars="200"/>
              <w:jc w:val="left"/>
              <w:rPr>
                <w:rFonts w:asciiTheme="minorEastAsia" w:hAnsiTheme="minorEastAsia" w:eastAsiaTheme="minorEastAsia"/>
                <w:sz w:val="20"/>
              </w:rPr>
            </w:pPr>
            <w:r>
              <w:rPr>
                <w:rFonts w:hint="eastAsia" w:asciiTheme="minorEastAsia" w:hAnsiTheme="minorEastAsia" w:eastAsiaTheme="minorEastAsia"/>
                <w:sz w:val="20"/>
              </w:rPr>
              <w:t>其他收入</w:t>
            </w:r>
          </w:p>
        </w:tc>
        <w:tc>
          <w:tcPr>
            <w:tcW w:w="885"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744"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sz w:val="20"/>
              </w:rPr>
            </w:pPr>
          </w:p>
        </w:tc>
        <w:tc>
          <w:tcPr>
            <w:tcW w:w="2375"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rPr>
            </w:pPr>
          </w:p>
        </w:tc>
        <w:tc>
          <w:tcPr>
            <w:tcW w:w="992" w:type="dxa"/>
            <w:gridSpan w:val="2"/>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851"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0"/>
              </w:rPr>
            </w:pPr>
            <w:r>
              <w:rPr>
                <w:rFonts w:asciiTheme="minorEastAsia" w:hAnsiTheme="minorEastAsia" w:eastAsiaTheme="minorEastAsia"/>
                <w:b/>
                <w:bCs/>
                <w:kern w:val="0"/>
                <w:sz w:val="20"/>
              </w:rPr>
              <w:t>本年收入合计</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744"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c>
          <w:tcPr>
            <w:tcW w:w="23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0"/>
              </w:rPr>
            </w:pPr>
            <w:r>
              <w:rPr>
                <w:rFonts w:asciiTheme="minorEastAsia" w:hAnsiTheme="minorEastAsia" w:eastAsiaTheme="minorEastAsia"/>
                <w:b/>
                <w:bCs/>
                <w:kern w:val="0"/>
                <w:sz w:val="20"/>
              </w:rPr>
              <w:t>本年支出合计</w:t>
            </w: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财政拨款结转</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744"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3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结转下年</w:t>
            </w:r>
            <w:r>
              <w:rPr>
                <w:rFonts w:hint="eastAsia" w:asciiTheme="minorEastAsia" w:hAnsiTheme="minorEastAsia" w:eastAsiaTheme="minorEastAsia"/>
                <w:kern w:val="0"/>
                <w:sz w:val="20"/>
              </w:rPr>
              <w:t>支出</w:t>
            </w: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非财政拨款结转结余</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744"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3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3085"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rPr>
            </w:pPr>
            <w:r>
              <w:rPr>
                <w:rFonts w:asciiTheme="minorEastAsia" w:hAnsiTheme="minorEastAsia" w:eastAsiaTheme="minorEastAsia"/>
                <w:b/>
                <w:bCs/>
                <w:kern w:val="0"/>
                <w:sz w:val="20"/>
              </w:rPr>
              <w:t>收入总计</w:t>
            </w:r>
          </w:p>
        </w:tc>
        <w:tc>
          <w:tcPr>
            <w:tcW w:w="885"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744"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c>
          <w:tcPr>
            <w:tcW w:w="2375"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b/>
                <w:bCs/>
                <w:kern w:val="0"/>
                <w:sz w:val="20"/>
              </w:rPr>
              <w:t>支出总计</w:t>
            </w:r>
          </w:p>
        </w:tc>
        <w:tc>
          <w:tcPr>
            <w:tcW w:w="992" w:type="dxa"/>
            <w:gridSpan w:val="2"/>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851"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r>
    </w:tbl>
    <w:p>
      <w:pPr>
        <w:ind w:firstLine="640" w:firstLineChars="200"/>
        <w:rPr>
          <w:rFonts w:eastAsia="楷体_GB2312"/>
          <w:strike/>
        </w:rPr>
      </w:pPr>
    </w:p>
    <w:p>
      <w:pPr>
        <w:ind w:firstLine="640" w:firstLineChars="200"/>
        <w:rPr>
          <w:rFonts w:eastAsia="楷体_GB2312"/>
        </w:rPr>
      </w:pPr>
    </w:p>
    <w:p>
      <w:pPr>
        <w:jc w:val="center"/>
        <w:rPr>
          <w:rFonts w:hAnsi="楷体" w:eastAsia="楷体"/>
        </w:rPr>
      </w:pPr>
    </w:p>
    <w:p>
      <w:pPr>
        <w:jc w:val="center"/>
        <w:rPr>
          <w:rFonts w:hAnsi="楷体" w:eastAsia="楷体"/>
        </w:rPr>
      </w:pPr>
    </w:p>
    <w:p>
      <w:pPr>
        <w:jc w:val="center"/>
        <w:rPr>
          <w:rFonts w:hAnsi="楷体" w:eastAsia="楷体"/>
        </w:rPr>
      </w:pPr>
    </w:p>
    <w:p>
      <w:pPr>
        <w:jc w:val="center"/>
        <w:rPr>
          <w:rFonts w:hAnsi="楷体" w:eastAsia="楷体"/>
        </w:rPr>
      </w:pPr>
    </w:p>
    <w:p>
      <w:pPr>
        <w:jc w:val="center"/>
        <w:rPr>
          <w:rFonts w:hAnsi="楷体" w:eastAsia="楷体"/>
        </w:rPr>
      </w:pPr>
    </w:p>
    <w:p>
      <w:pPr>
        <w:jc w:val="center"/>
        <w:rPr>
          <w:rFonts w:hAnsi="楷体" w:eastAsia="楷体"/>
        </w:rPr>
      </w:pPr>
    </w:p>
    <w:p>
      <w:pPr>
        <w:jc w:val="center"/>
        <w:rPr>
          <w:rFonts w:hAnsi="楷体" w:eastAsia="楷体"/>
        </w:rPr>
      </w:pPr>
    </w:p>
    <w:p>
      <w:pPr>
        <w:jc w:val="center"/>
        <w:rPr>
          <w:rFonts w:eastAsia="方正小标宋简体"/>
          <w:sz w:val="44"/>
        </w:rPr>
      </w:pPr>
    </w:p>
    <w:p>
      <w:pPr>
        <w:jc w:val="center"/>
        <w:rPr>
          <w:rFonts w:eastAsia="方正小标宋简体"/>
          <w:sz w:val="44"/>
        </w:rPr>
      </w:pP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10126" w:type="dxa"/>
        <w:jc w:val="center"/>
        <w:tblLayout w:type="fixed"/>
        <w:tblCellMar>
          <w:top w:w="0" w:type="dxa"/>
          <w:left w:w="108" w:type="dxa"/>
          <w:bottom w:w="0" w:type="dxa"/>
          <w:right w:w="108" w:type="dxa"/>
        </w:tblCellMar>
      </w:tblPr>
      <w:tblGrid>
        <w:gridCol w:w="1370"/>
        <w:gridCol w:w="992"/>
        <w:gridCol w:w="851"/>
        <w:gridCol w:w="850"/>
        <w:gridCol w:w="284"/>
        <w:gridCol w:w="340"/>
        <w:gridCol w:w="284"/>
        <w:gridCol w:w="271"/>
        <w:gridCol w:w="284"/>
        <w:gridCol w:w="64"/>
        <w:gridCol w:w="321"/>
        <w:gridCol w:w="421"/>
        <w:gridCol w:w="252"/>
        <w:gridCol w:w="76"/>
        <w:gridCol w:w="422"/>
        <w:gridCol w:w="383"/>
        <w:gridCol w:w="752"/>
        <w:gridCol w:w="236"/>
        <w:gridCol w:w="189"/>
        <w:gridCol w:w="425"/>
        <w:gridCol w:w="426"/>
        <w:gridCol w:w="425"/>
        <w:gridCol w:w="208"/>
      </w:tblGrid>
      <w:tr>
        <w:tblPrEx>
          <w:tblCellMar>
            <w:top w:w="0" w:type="dxa"/>
            <w:left w:w="108" w:type="dxa"/>
            <w:bottom w:w="0" w:type="dxa"/>
            <w:right w:w="108" w:type="dxa"/>
          </w:tblCellMar>
        </w:tblPrEx>
        <w:trPr>
          <w:trHeight w:val="335" w:hRule="atLeast"/>
          <w:jc w:val="center"/>
        </w:trPr>
        <w:tc>
          <w:tcPr>
            <w:tcW w:w="1370" w:type="dxa"/>
            <w:tcBorders>
              <w:bottom w:val="single" w:color="000000" w:sz="4" w:space="0"/>
            </w:tcBorders>
          </w:tcPr>
          <w:p>
            <w:pPr>
              <w:autoSpaceDN w:val="0"/>
              <w:jc w:val="left"/>
              <w:textAlignment w:val="center"/>
              <w:rPr>
                <w:rFonts w:eastAsia="华文细黑"/>
                <w:color w:val="000000"/>
                <w:sz w:val="20"/>
              </w:rPr>
            </w:pPr>
          </w:p>
        </w:tc>
        <w:tc>
          <w:tcPr>
            <w:tcW w:w="4220" w:type="dxa"/>
            <w:gridSpan w:val="9"/>
            <w:tcBorders>
              <w:bottom w:val="single" w:color="000000" w:sz="4" w:space="0"/>
            </w:tcBorders>
            <w:vAlign w:val="center"/>
          </w:tcPr>
          <w:p>
            <w:pPr>
              <w:autoSpaceDN w:val="0"/>
              <w:jc w:val="left"/>
              <w:textAlignment w:val="center"/>
              <w:rPr>
                <w:rFonts w:eastAsia="华文细黑"/>
                <w:color w:val="000000"/>
                <w:sz w:val="20"/>
              </w:rPr>
            </w:pPr>
          </w:p>
        </w:tc>
        <w:tc>
          <w:tcPr>
            <w:tcW w:w="994" w:type="dxa"/>
            <w:gridSpan w:val="3"/>
            <w:vAlign w:val="center"/>
          </w:tcPr>
          <w:p>
            <w:pPr>
              <w:autoSpaceDN w:val="0"/>
              <w:jc w:val="left"/>
              <w:textAlignment w:val="center"/>
              <w:rPr>
                <w:rFonts w:eastAsia="华文细黑"/>
                <w:color w:val="000000"/>
                <w:sz w:val="20"/>
              </w:rPr>
            </w:pPr>
          </w:p>
        </w:tc>
        <w:tc>
          <w:tcPr>
            <w:tcW w:w="498" w:type="dxa"/>
            <w:gridSpan w:val="2"/>
            <w:vAlign w:val="center"/>
          </w:tcPr>
          <w:p>
            <w:pPr>
              <w:autoSpaceDN w:val="0"/>
              <w:jc w:val="left"/>
              <w:textAlignment w:val="center"/>
              <w:rPr>
                <w:rFonts w:eastAsia="华文细黑"/>
                <w:color w:val="000000"/>
                <w:sz w:val="20"/>
              </w:rPr>
            </w:pPr>
          </w:p>
        </w:tc>
        <w:tc>
          <w:tcPr>
            <w:tcW w:w="1135" w:type="dxa"/>
            <w:gridSpan w:val="2"/>
            <w:vAlign w:val="center"/>
          </w:tcPr>
          <w:p>
            <w:pPr>
              <w:autoSpaceDN w:val="0"/>
              <w:jc w:val="left"/>
              <w:textAlignment w:val="center"/>
              <w:rPr>
                <w:rFonts w:eastAsia="华文细黑"/>
                <w:color w:val="000000"/>
                <w:sz w:val="20"/>
              </w:rPr>
            </w:pPr>
          </w:p>
        </w:tc>
        <w:tc>
          <w:tcPr>
            <w:tcW w:w="236" w:type="dxa"/>
            <w:vAlign w:val="bottom"/>
          </w:tcPr>
          <w:p>
            <w:pPr>
              <w:autoSpaceDN w:val="0"/>
              <w:jc w:val="right"/>
              <w:textAlignment w:val="bottom"/>
              <w:rPr>
                <w:rFonts w:eastAsia="宋体"/>
                <w:color w:val="000000"/>
                <w:sz w:val="20"/>
              </w:rPr>
            </w:pPr>
          </w:p>
        </w:tc>
        <w:tc>
          <w:tcPr>
            <w:tcW w:w="1673" w:type="dxa"/>
            <w:gridSpan w:val="5"/>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208" w:type="dxa"/>
          <w:trHeight w:val="517" w:hRule="atLeast"/>
          <w:jc w:val="center"/>
        </w:trPr>
        <w:tc>
          <w:tcPr>
            <w:tcW w:w="1370" w:type="dxa"/>
            <w:vMerge w:val="restart"/>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部门（单位）名称</w:t>
            </w:r>
          </w:p>
        </w:tc>
        <w:tc>
          <w:tcPr>
            <w:tcW w:w="99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总计</w:t>
            </w:r>
          </w:p>
        </w:tc>
        <w:tc>
          <w:tcPr>
            <w:tcW w:w="4298" w:type="dxa"/>
            <w:gridSpan w:val="12"/>
            <w:tcBorders>
              <w:top w:val="single" w:color="000000" w:sz="4" w:space="0"/>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本年预算</w:t>
            </w:r>
          </w:p>
        </w:tc>
        <w:tc>
          <w:tcPr>
            <w:tcW w:w="3258" w:type="dxa"/>
            <w:gridSpan w:val="8"/>
            <w:tcBorders>
              <w:top w:val="single" w:color="000000" w:sz="4" w:space="0"/>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上年结转结余</w:t>
            </w:r>
          </w:p>
        </w:tc>
      </w:tr>
      <w:tr>
        <w:tblPrEx>
          <w:tblCellMar>
            <w:top w:w="0" w:type="dxa"/>
            <w:left w:w="108" w:type="dxa"/>
            <w:bottom w:w="0" w:type="dxa"/>
            <w:right w:w="108" w:type="dxa"/>
          </w:tblCellMar>
        </w:tblPrEx>
        <w:trPr>
          <w:gridAfter w:val="1"/>
          <w:wAfter w:w="208" w:type="dxa"/>
          <w:trHeight w:val="517" w:hRule="atLeast"/>
          <w:jc w:val="center"/>
        </w:trPr>
        <w:tc>
          <w:tcPr>
            <w:tcW w:w="1370"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sz w:val="20"/>
              </w:rPr>
            </w:pPr>
          </w:p>
        </w:tc>
        <w:tc>
          <w:tcPr>
            <w:tcW w:w="992" w:type="dxa"/>
            <w:vMerge w:val="continue"/>
            <w:tcBorders>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p>
        </w:tc>
        <w:tc>
          <w:tcPr>
            <w:tcW w:w="851" w:type="dxa"/>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合计</w:t>
            </w:r>
          </w:p>
        </w:tc>
        <w:tc>
          <w:tcPr>
            <w:tcW w:w="1474" w:type="dxa"/>
            <w:gridSpan w:val="3"/>
            <w:tcBorders>
              <w:top w:val="single" w:color="000000" w:sz="4" w:space="0"/>
              <w:left w:val="single" w:color="auto" w:sz="4" w:space="0"/>
              <w:right w:val="single" w:color="auto"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财政拨款收入</w:t>
            </w:r>
          </w:p>
        </w:tc>
        <w:tc>
          <w:tcPr>
            <w:tcW w:w="284" w:type="dxa"/>
            <w:vMerge w:val="restart"/>
            <w:tcBorders>
              <w:top w:val="single" w:color="000000" w:sz="4" w:space="0"/>
              <w:left w:val="single" w:color="auto" w:sz="4" w:space="0"/>
              <w:right w:val="single" w:color="auto" w:sz="4" w:space="0"/>
            </w:tcBorders>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财政专户管理资金收入</w:t>
            </w:r>
          </w:p>
        </w:tc>
        <w:tc>
          <w:tcPr>
            <w:tcW w:w="1689" w:type="dxa"/>
            <w:gridSpan w:val="7"/>
            <w:tcBorders>
              <w:top w:val="single" w:color="000000" w:sz="4" w:space="0"/>
              <w:left w:val="single" w:color="auto"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单位资            金收入</w:t>
            </w:r>
          </w:p>
        </w:tc>
        <w:tc>
          <w:tcPr>
            <w:tcW w:w="805" w:type="dxa"/>
            <w:gridSpan w:val="2"/>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合计</w:t>
            </w:r>
          </w:p>
        </w:tc>
        <w:tc>
          <w:tcPr>
            <w:tcW w:w="1602" w:type="dxa"/>
            <w:gridSpan w:val="4"/>
            <w:tcBorders>
              <w:top w:val="single" w:color="000000" w:sz="4" w:space="0"/>
              <w:left w:val="single" w:color="auto" w:sz="4" w:space="0"/>
              <w:right w:val="single" w:color="auto"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财政拨款结转</w:t>
            </w:r>
          </w:p>
        </w:tc>
        <w:tc>
          <w:tcPr>
            <w:tcW w:w="851" w:type="dxa"/>
            <w:gridSpan w:val="2"/>
            <w:tcBorders>
              <w:top w:val="single" w:color="000000" w:sz="4" w:space="0"/>
              <w:left w:val="single" w:color="auto"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非财政拨款结转结余</w:t>
            </w:r>
          </w:p>
        </w:tc>
      </w:tr>
      <w:tr>
        <w:tblPrEx>
          <w:tblCellMar>
            <w:top w:w="0" w:type="dxa"/>
            <w:left w:w="108" w:type="dxa"/>
            <w:bottom w:w="0" w:type="dxa"/>
            <w:right w:w="108" w:type="dxa"/>
          </w:tblCellMar>
        </w:tblPrEx>
        <w:trPr>
          <w:gridAfter w:val="1"/>
          <w:wAfter w:w="208" w:type="dxa"/>
          <w:trHeight w:val="2818" w:hRule="atLeast"/>
          <w:jc w:val="center"/>
        </w:trPr>
        <w:tc>
          <w:tcPr>
            <w:tcW w:w="1370" w:type="dxa"/>
            <w:vMerge w:val="continue"/>
            <w:tcBorders>
              <w:left w:val="single" w:color="000000" w:sz="4" w:space="0"/>
              <w:bottom w:val="single" w:color="000000" w:sz="4" w:space="0"/>
              <w:right w:val="single" w:color="000000" w:sz="4" w:space="0"/>
            </w:tcBorders>
            <w:shd w:val="solid" w:color="FFFFFF" w:fill="auto"/>
            <w:vAlign w:val="center"/>
          </w:tcPr>
          <w:p>
            <w:pPr>
              <w:widowControl/>
              <w:jc w:val="left"/>
              <w:rPr>
                <w:rFonts w:cs="宋体" w:asciiTheme="minorEastAsia" w:hAnsiTheme="minorEastAsia" w:eastAsiaTheme="minorEastAsia"/>
                <w:color w:val="000000"/>
                <w:sz w:val="20"/>
                <w:shd w:val="clear" w:color="auto" w:fill="FFFFFF"/>
              </w:rPr>
            </w:pPr>
          </w:p>
        </w:tc>
        <w:tc>
          <w:tcPr>
            <w:tcW w:w="992" w:type="dxa"/>
            <w:vMerge w:val="continue"/>
            <w:tcBorders>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cs="宋体" w:asciiTheme="minorEastAsia" w:hAnsiTheme="minorEastAsia" w:eastAsiaTheme="minorEastAsia"/>
                <w:color w:val="000000"/>
                <w:sz w:val="20"/>
                <w:shd w:val="clear" w:color="auto" w:fill="FFFFFF"/>
              </w:rPr>
            </w:pPr>
          </w:p>
        </w:tc>
        <w:tc>
          <w:tcPr>
            <w:tcW w:w="851" w:type="dxa"/>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p>
        </w:tc>
        <w:tc>
          <w:tcPr>
            <w:tcW w:w="850"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一般公共预算收入</w:t>
            </w:r>
          </w:p>
        </w:tc>
        <w:tc>
          <w:tcPr>
            <w:tcW w:w="284" w:type="dxa"/>
            <w:tcBorders>
              <w:top w:val="single" w:color="000000" w:sz="4" w:space="0"/>
              <w:left w:val="single" w:color="000000" w:sz="4" w:space="0"/>
              <w:bottom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政府性基金预算收入</w:t>
            </w:r>
          </w:p>
        </w:tc>
        <w:tc>
          <w:tcPr>
            <w:tcW w:w="34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国有资本经营预算收入</w:t>
            </w:r>
          </w:p>
        </w:tc>
        <w:tc>
          <w:tcPr>
            <w:tcW w:w="284" w:type="dxa"/>
            <w:vMerge w:val="continue"/>
            <w:tcBorders>
              <w:left w:val="single" w:color="auto" w:sz="4" w:space="0"/>
              <w:bottom w:val="single" w:color="000000" w:sz="4" w:space="0"/>
              <w:right w:val="single" w:color="auto" w:sz="4" w:space="0"/>
            </w:tcBorders>
            <w:shd w:val="solid" w:color="FFFFFF" w:fill="auto"/>
            <w:textDirection w:val="tbLrV"/>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p>
        </w:tc>
        <w:tc>
          <w:tcPr>
            <w:tcW w:w="27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事业收入</w:t>
            </w:r>
          </w:p>
        </w:tc>
        <w:tc>
          <w:tcPr>
            <w:tcW w:w="28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事业单位经营收入</w:t>
            </w: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附属单位上缴收入</w:t>
            </w:r>
          </w:p>
        </w:tc>
        <w:tc>
          <w:tcPr>
            <w:tcW w:w="328"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其他收入</w:t>
            </w:r>
          </w:p>
        </w:tc>
        <w:tc>
          <w:tcPr>
            <w:tcW w:w="805" w:type="dxa"/>
            <w:gridSpan w:val="2"/>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p>
        </w:tc>
        <w:tc>
          <w:tcPr>
            <w:tcW w:w="752"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一般公共预算拨款结转</w:t>
            </w: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政府性基金预算拨款结转</w:t>
            </w:r>
          </w:p>
        </w:tc>
        <w:tc>
          <w:tcPr>
            <w:tcW w:w="42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国有资本经营预算拨款结转</w:t>
            </w:r>
          </w:p>
        </w:tc>
        <w:tc>
          <w:tcPr>
            <w:tcW w:w="426"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财政专户管理资金结转结余</w:t>
            </w:r>
          </w:p>
        </w:tc>
        <w:tc>
          <w:tcPr>
            <w:tcW w:w="42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单位资金结转结余</w:t>
            </w:r>
          </w:p>
        </w:tc>
      </w:tr>
      <w:tr>
        <w:tblPrEx>
          <w:tblCellMar>
            <w:top w:w="0" w:type="dxa"/>
            <w:left w:w="108" w:type="dxa"/>
            <w:bottom w:w="0" w:type="dxa"/>
            <w:right w:w="108" w:type="dxa"/>
          </w:tblCellMar>
        </w:tblPrEx>
        <w:trPr>
          <w:gridAfter w:val="1"/>
          <w:wAfter w:w="208" w:type="dxa"/>
          <w:trHeight w:val="928" w:hRule="atLeast"/>
          <w:jc w:val="center"/>
        </w:trPr>
        <w:tc>
          <w:tcPr>
            <w:tcW w:w="137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rPr>
            </w:pPr>
            <w:r>
              <w:rPr>
                <w:rFonts w:hint="eastAsia" w:asciiTheme="minorEastAsia" w:hAnsiTheme="minorEastAsia" w:eastAsiaTheme="minorEastAsia"/>
                <w:color w:val="000000"/>
                <w:sz w:val="20"/>
              </w:rPr>
              <w:t>梅河口市统计局（本级）</w:t>
            </w: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376.09</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354.52</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354.52</w:t>
            </w:r>
          </w:p>
        </w:tc>
        <w:tc>
          <w:tcPr>
            <w:tcW w:w="284"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7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21.57</w:t>
            </w:r>
          </w:p>
        </w:tc>
        <w:tc>
          <w:tcPr>
            <w:tcW w:w="7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21.57</w:t>
            </w: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208" w:type="dxa"/>
          <w:trHeight w:val="517" w:hRule="atLeast"/>
          <w:jc w:val="center"/>
        </w:trPr>
        <w:tc>
          <w:tcPr>
            <w:tcW w:w="137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7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7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208" w:type="dxa"/>
          <w:trHeight w:val="517" w:hRule="atLeast"/>
          <w:jc w:val="center"/>
        </w:trPr>
        <w:tc>
          <w:tcPr>
            <w:tcW w:w="137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7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7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208" w:type="dxa"/>
          <w:trHeight w:val="517" w:hRule="atLeast"/>
          <w:jc w:val="center"/>
        </w:trPr>
        <w:tc>
          <w:tcPr>
            <w:tcW w:w="137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7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7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208" w:type="dxa"/>
          <w:trHeight w:val="530" w:hRule="atLeast"/>
          <w:jc w:val="center"/>
        </w:trPr>
        <w:tc>
          <w:tcPr>
            <w:tcW w:w="137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asciiTheme="minorEastAsia" w:hAnsiTheme="minorEastAsia" w:eastAsiaTheme="minorEastAsia"/>
                <w:kern w:val="0"/>
                <w:sz w:val="20"/>
              </w:rPr>
              <w:t>合计</w:t>
            </w: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376.09</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354.52</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354.52</w:t>
            </w:r>
          </w:p>
        </w:tc>
        <w:tc>
          <w:tcPr>
            <w:tcW w:w="284"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7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328"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8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21.57</w:t>
            </w:r>
          </w:p>
        </w:tc>
        <w:tc>
          <w:tcPr>
            <w:tcW w:w="7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21.57</w:t>
            </w: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p>
    <w:tbl>
      <w:tblPr>
        <w:tblStyle w:val="9"/>
        <w:tblW w:w="0" w:type="auto"/>
        <w:jc w:val="center"/>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支出预算</w:t>
            </w:r>
            <w:r>
              <w:rPr>
                <w:rFonts w:hint="eastAsia" w:eastAsia="方正小标宋简体"/>
                <w:kern w:val="0"/>
                <w:sz w:val="44"/>
                <w:szCs w:val="44"/>
              </w:rPr>
              <w:t>总</w:t>
            </w:r>
            <w:r>
              <w:rPr>
                <w:rFonts w:eastAsia="方正小标宋简体"/>
                <w:kern w:val="0"/>
                <w:sz w:val="44"/>
                <w:szCs w:val="44"/>
              </w:rPr>
              <w:t>表</w:t>
            </w:r>
          </w:p>
          <w:tbl>
            <w:tblPr>
              <w:tblStyle w:val="9"/>
              <w:tblW w:w="5000" w:type="pct"/>
              <w:tblInd w:w="0" w:type="dxa"/>
              <w:tblLayout w:type="autofit"/>
              <w:tblCellMar>
                <w:top w:w="15" w:type="dxa"/>
                <w:left w:w="15" w:type="dxa"/>
                <w:bottom w:w="15" w:type="dxa"/>
                <w:right w:w="15" w:type="dxa"/>
              </w:tblCellMar>
            </w:tblPr>
            <w:tblGrid>
              <w:gridCol w:w="3220"/>
              <w:gridCol w:w="978"/>
              <w:gridCol w:w="839"/>
              <w:gridCol w:w="191"/>
              <w:gridCol w:w="649"/>
              <w:gridCol w:w="517"/>
              <w:gridCol w:w="601"/>
              <w:gridCol w:w="564"/>
              <w:gridCol w:w="416"/>
              <w:gridCol w:w="750"/>
              <w:gridCol w:w="120"/>
            </w:tblGrid>
            <w:tr>
              <w:tblPrEx>
                <w:tblCellMar>
                  <w:top w:w="15" w:type="dxa"/>
                  <w:left w:w="15" w:type="dxa"/>
                  <w:bottom w:w="15" w:type="dxa"/>
                  <w:right w:w="15" w:type="dxa"/>
                </w:tblCellMar>
              </w:tblPrEx>
              <w:trPr>
                <w:gridAfter w:val="1"/>
                <w:wAfter w:w="68" w:type="pct"/>
                <w:trHeight w:val="390" w:hRule="atLeast"/>
              </w:trPr>
              <w:tc>
                <w:tcPr>
                  <w:tcW w:w="2955" w:type="pct"/>
                  <w:gridSpan w:val="4"/>
                  <w:tcBorders>
                    <w:bottom w:val="single" w:color="000000" w:sz="4" w:space="0"/>
                  </w:tcBorders>
                  <w:vAlign w:val="center"/>
                </w:tcPr>
                <w:p>
                  <w:pPr>
                    <w:widowControl/>
                    <w:jc w:val="center"/>
                    <w:rPr>
                      <w:rFonts w:eastAsia="华文细黑"/>
                      <w:color w:val="000000"/>
                      <w:kern w:val="0"/>
                      <w:sz w:val="20"/>
                    </w:rPr>
                  </w:pPr>
                </w:p>
              </w:tc>
              <w:tc>
                <w:tcPr>
                  <w:tcW w:w="659" w:type="pct"/>
                  <w:gridSpan w:val="2"/>
                  <w:tcBorders>
                    <w:bottom w:val="single" w:color="000000" w:sz="4" w:space="0"/>
                  </w:tcBorders>
                  <w:vAlign w:val="center"/>
                </w:tcPr>
                <w:p>
                  <w:pPr>
                    <w:widowControl/>
                    <w:jc w:val="center"/>
                    <w:rPr>
                      <w:rFonts w:eastAsia="华文细黑"/>
                      <w:color w:val="000000"/>
                      <w:kern w:val="0"/>
                      <w:sz w:val="20"/>
                    </w:rPr>
                  </w:pPr>
                </w:p>
              </w:tc>
              <w:tc>
                <w:tcPr>
                  <w:tcW w:w="659" w:type="pct"/>
                  <w:gridSpan w:val="2"/>
                  <w:tcBorders>
                    <w:bottom w:val="single" w:color="000000" w:sz="4" w:space="0"/>
                  </w:tcBorders>
                  <w:vAlign w:val="center"/>
                </w:tcPr>
                <w:p>
                  <w:pPr>
                    <w:widowControl/>
                    <w:jc w:val="center"/>
                    <w:rPr>
                      <w:rFonts w:eastAsia="华文细黑"/>
                      <w:color w:val="000000"/>
                      <w:kern w:val="0"/>
                      <w:sz w:val="20"/>
                    </w:rPr>
                  </w:pPr>
                </w:p>
              </w:tc>
              <w:tc>
                <w:tcPr>
                  <w:tcW w:w="659" w:type="pct"/>
                  <w:gridSpan w:val="2"/>
                  <w:tcBorders>
                    <w:bottom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1820" w:type="pct"/>
                  <w:tcBorders>
                    <w:left w:val="single" w:color="000000" w:sz="4" w:space="0"/>
                    <w:bottom w:val="single" w:color="000000" w:sz="4" w:space="0"/>
                    <w:right w:val="single" w:color="000000" w:sz="4" w:space="0"/>
                  </w:tcBorders>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功能分类</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科目名称</w:t>
                  </w:r>
                </w:p>
              </w:tc>
              <w:tc>
                <w:tcPr>
                  <w:tcW w:w="553" w:type="pct"/>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总计</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基本</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支出</w:t>
                  </w:r>
                </w:p>
                <w:p>
                  <w:pPr>
                    <w:widowControl/>
                    <w:jc w:val="center"/>
                    <w:rPr>
                      <w:rFonts w:asciiTheme="minorEastAsia" w:hAnsiTheme="minorEastAsia" w:eastAsiaTheme="minorEastAsia"/>
                      <w:color w:val="000000"/>
                      <w:kern w:val="0"/>
                      <w:sz w:val="20"/>
                    </w:rPr>
                  </w:pPr>
                </w:p>
              </w:tc>
              <w:tc>
                <w:tcPr>
                  <w:tcW w:w="47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项目                                                               支出</w:t>
                  </w:r>
                </w:p>
              </w:tc>
              <w:tc>
                <w:tcPr>
                  <w:tcW w:w="63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事业单位</w:t>
                  </w:r>
                </w:p>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经营支出</w:t>
                  </w:r>
                </w:p>
              </w:tc>
              <w:tc>
                <w:tcPr>
                  <w:tcW w:w="55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上缴                                            上级                                                         支出</w:t>
                  </w:r>
                </w:p>
              </w:tc>
              <w:tc>
                <w:tcPr>
                  <w:tcW w:w="49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对附属                                           单位补                                      助支出</w:t>
                  </w:r>
                </w:p>
              </w:tc>
            </w:tr>
            <w:tr>
              <w:tblPrEx>
                <w:tblCellMar>
                  <w:top w:w="15" w:type="dxa"/>
                  <w:left w:w="15" w:type="dxa"/>
                  <w:bottom w:w="15" w:type="dxa"/>
                  <w:right w:w="15" w:type="dxa"/>
                </w:tblCellMar>
              </w:tblPrEx>
              <w:trPr>
                <w:trHeight w:val="423"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w:t>
                  </w:r>
                  <w:r>
                    <w:rPr>
                      <w:rFonts w:asciiTheme="minorEastAsia" w:hAnsiTheme="minorEastAsia" w:eastAsiaTheme="minorEastAsia"/>
                      <w:color w:val="000000"/>
                      <w:kern w:val="0"/>
                      <w:sz w:val="20"/>
                    </w:rPr>
                    <w:t>一般公共服务</w:t>
                  </w:r>
                  <w:r>
                    <w:rPr>
                      <w:rFonts w:hint="eastAsia" w:asciiTheme="minorEastAsia" w:hAnsiTheme="minorEastAsia" w:eastAsiaTheme="minorEastAsia"/>
                      <w:color w:val="000000"/>
                      <w:kern w:val="0"/>
                      <w:sz w:val="20"/>
                    </w:rPr>
                    <w:t>支出</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317.04</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176.26</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140.78</w:t>
                  </w: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317.04</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176.26</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140.78</w:t>
                  </w: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176.26</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176.26</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47.86</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ind w:right="200"/>
                    <w:jc w:val="right"/>
                    <w:rPr>
                      <w:rFonts w:asciiTheme="minorEastAsia" w:hAnsiTheme="minorEastAsia" w:eastAsiaTheme="minorEastAsia"/>
                      <w:color w:val="000000"/>
                      <w:kern w:val="0"/>
                      <w:sz w:val="20"/>
                    </w:rPr>
                  </w:pP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47.86</w:t>
                  </w: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机关服务</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9.73</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ind w:right="200"/>
                    <w:jc w:val="right"/>
                    <w:rPr>
                      <w:rFonts w:asciiTheme="minorEastAsia" w:hAnsiTheme="minorEastAsia" w:eastAsiaTheme="minorEastAsia"/>
                      <w:color w:val="000000"/>
                      <w:kern w:val="0"/>
                      <w:sz w:val="20"/>
                    </w:rPr>
                  </w:pP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9.73</w:t>
                  </w: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83.19</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ind w:right="200"/>
                    <w:jc w:val="right"/>
                    <w:rPr>
                      <w:rFonts w:asciiTheme="minorEastAsia" w:hAnsiTheme="minorEastAsia" w:eastAsiaTheme="minorEastAsia"/>
                      <w:color w:val="000000"/>
                      <w:kern w:val="0"/>
                      <w:sz w:val="20"/>
                    </w:rPr>
                  </w:pP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83.19</w:t>
                  </w: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二、社会保障和就业支出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13.32</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13.32</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21.00</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21.00</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三、卫生健康支出</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四、住房保障支出</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820" w:type="pct"/>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55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376.09</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235.31</w:t>
                  </w:r>
                </w:p>
              </w:tc>
              <w:tc>
                <w:tcPr>
                  <w:tcW w:w="47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140.78</w:t>
                  </w:r>
                </w:p>
              </w:tc>
              <w:tc>
                <w:tcPr>
                  <w:tcW w:w="632"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49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p>
      <w:pPr>
        <w:ind w:firstLine="640" w:firstLineChars="200"/>
      </w:pPr>
    </w:p>
    <w:tbl>
      <w:tblPr>
        <w:tblStyle w:val="9"/>
        <w:tblW w:w="9960" w:type="dxa"/>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vAlign w:val="bottom"/>
          </w:tcPr>
          <w:tbl>
            <w:tblPr>
              <w:tblStyle w:val="9"/>
              <w:tblpPr w:leftFromText="180" w:rightFromText="180" w:vertAnchor="page" w:horzAnchor="page" w:tblpX="114" w:tblpY="657"/>
              <w:tblOverlap w:val="never"/>
              <w:tblW w:w="9923" w:type="dxa"/>
              <w:tblInd w:w="0" w:type="dxa"/>
              <w:tblLayout w:type="fixed"/>
              <w:tblCellMar>
                <w:top w:w="0" w:type="dxa"/>
                <w:left w:w="108" w:type="dxa"/>
                <w:bottom w:w="0" w:type="dxa"/>
                <w:right w:w="108" w:type="dxa"/>
              </w:tblCellMar>
            </w:tblPr>
            <w:tblGrid>
              <w:gridCol w:w="2410"/>
              <w:gridCol w:w="851"/>
              <w:gridCol w:w="850"/>
              <w:gridCol w:w="851"/>
              <w:gridCol w:w="2409"/>
              <w:gridCol w:w="851"/>
              <w:gridCol w:w="850"/>
              <w:gridCol w:w="851"/>
            </w:tblGrid>
            <w:tr>
              <w:tblPrEx>
                <w:tblCellMar>
                  <w:top w:w="0" w:type="dxa"/>
                  <w:left w:w="108" w:type="dxa"/>
                  <w:bottom w:w="0" w:type="dxa"/>
                  <w:right w:w="108" w:type="dxa"/>
                </w:tblCellMar>
              </w:tblPrEx>
              <w:trPr>
                <w:trHeight w:val="634" w:hRule="atLeast"/>
              </w:trPr>
              <w:tc>
                <w:tcPr>
                  <w:tcW w:w="9923" w:type="dxa"/>
                  <w:gridSpan w:val="8"/>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923" w:type="dxa"/>
                  <w:gridSpan w:val="8"/>
                  <w:tcBorders>
                    <w:top w:val="nil"/>
                    <w:left w:val="nil"/>
                    <w:bottom w:val="nil"/>
                    <w:right w:val="nil"/>
                  </w:tcBorders>
                  <w:vAlign w:val="bottom"/>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w:t>
                  </w:r>
                  <w:r>
                    <w:rPr>
                      <w:rFonts w:asciiTheme="minorEastAsia" w:hAnsiTheme="minorEastAsia" w:eastAsiaTheme="minorEastAsia"/>
                      <w:color w:val="000000"/>
                      <w:kern w:val="0"/>
                      <w:sz w:val="20"/>
                    </w:rPr>
                    <w:t>单位：万元</w:t>
                  </w:r>
                </w:p>
              </w:tc>
            </w:tr>
            <w:tr>
              <w:tblPrEx>
                <w:tblCellMar>
                  <w:top w:w="0" w:type="dxa"/>
                  <w:left w:w="108" w:type="dxa"/>
                  <w:bottom w:w="0" w:type="dxa"/>
                  <w:right w:w="108" w:type="dxa"/>
                </w:tblCellMar>
              </w:tblPrEx>
              <w:trPr>
                <w:trHeight w:val="493" w:hRule="atLeast"/>
              </w:trPr>
              <w:tc>
                <w:tcPr>
                  <w:tcW w:w="496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收      入</w:t>
                  </w:r>
                </w:p>
              </w:tc>
              <w:tc>
                <w:tcPr>
                  <w:tcW w:w="496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支      出</w:t>
                  </w:r>
                </w:p>
              </w:tc>
            </w:tr>
            <w:tr>
              <w:tblPrEx>
                <w:tblCellMar>
                  <w:top w:w="0" w:type="dxa"/>
                  <w:left w:w="108" w:type="dxa"/>
                  <w:bottom w:w="0" w:type="dxa"/>
                  <w:right w:w="108" w:type="dxa"/>
                </w:tblCellMar>
              </w:tblPrEx>
              <w:trPr>
                <w:trHeight w:val="1363" w:hRule="atLeast"/>
              </w:trPr>
              <w:tc>
                <w:tcPr>
                  <w:tcW w:w="2410"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项  目</w:t>
                  </w:r>
                </w:p>
              </w:tc>
              <w:tc>
                <w:tcPr>
                  <w:tcW w:w="851"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2</w:t>
                  </w:r>
                  <w:r>
                    <w:rPr>
                      <w:rFonts w:asciiTheme="minorEastAsia" w:hAnsiTheme="minorEastAsia" w:eastAsiaTheme="minorEastAsia"/>
                      <w:kern w:val="0"/>
                      <w:sz w:val="20"/>
                    </w:rPr>
                    <w:t>02</w:t>
                  </w:r>
                  <w:r>
                    <w:rPr>
                      <w:rFonts w:hint="eastAsia" w:asciiTheme="minorEastAsia" w:hAnsiTheme="minorEastAsia" w:eastAsiaTheme="minorEastAsia"/>
                      <w:kern w:val="0"/>
                      <w:sz w:val="20"/>
                    </w:rPr>
                    <w:t>4年   预算数</w:t>
                  </w:r>
                </w:p>
              </w:tc>
              <w:tc>
                <w:tcPr>
                  <w:tcW w:w="850"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本年预算</w:t>
                  </w:r>
                </w:p>
              </w:tc>
              <w:tc>
                <w:tcPr>
                  <w:tcW w:w="851"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上年结转</w:t>
                  </w:r>
                </w:p>
              </w:tc>
              <w:tc>
                <w:tcPr>
                  <w:tcW w:w="2409"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项  目</w:t>
                  </w:r>
                </w:p>
              </w:tc>
              <w:tc>
                <w:tcPr>
                  <w:tcW w:w="851"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2</w:t>
                  </w:r>
                  <w:r>
                    <w:rPr>
                      <w:rFonts w:asciiTheme="minorEastAsia" w:hAnsiTheme="minorEastAsia" w:eastAsiaTheme="minorEastAsia"/>
                      <w:kern w:val="0"/>
                      <w:sz w:val="20"/>
                    </w:rPr>
                    <w:t>02</w:t>
                  </w:r>
                  <w:r>
                    <w:rPr>
                      <w:rFonts w:hint="eastAsia" w:asciiTheme="minorEastAsia" w:hAnsiTheme="minorEastAsia" w:eastAsiaTheme="minorEastAsia"/>
                      <w:kern w:val="0"/>
                      <w:sz w:val="20"/>
                    </w:rPr>
                    <w:t>4年   预算数</w:t>
                  </w:r>
                </w:p>
              </w:tc>
              <w:tc>
                <w:tcPr>
                  <w:tcW w:w="850"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本年预算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上年结转</w:t>
                  </w:r>
                </w:p>
              </w:tc>
            </w:tr>
            <w:tr>
              <w:tblPrEx>
                <w:tblCellMar>
                  <w:top w:w="0" w:type="dxa"/>
                  <w:left w:w="108" w:type="dxa"/>
                  <w:bottom w:w="0" w:type="dxa"/>
                  <w:right w:w="108" w:type="dxa"/>
                </w:tblCellMar>
              </w:tblPrEx>
              <w:trPr>
                <w:trHeight w:val="433" w:hRule="atLeast"/>
              </w:trPr>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一、本年收入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一、本年支出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一般公共预算拨款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c>
                <w:tcPr>
                  <w:tcW w:w="2409"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（一）一般公共服务支出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317.03</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297.47</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19.56</w:t>
                  </w: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政府性基金预算拨款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（二）社会保障和就业支出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34.32</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32.59</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1.73</w:t>
                  </w: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国有资本经营预算拨款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（三）卫生健康支出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6.48</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6.21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0.27</w:t>
                  </w: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（四）住房保障支出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18.25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18.25</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5" w:hRule="atLeast"/>
              </w:trPr>
              <w:tc>
                <w:tcPr>
                  <w:tcW w:w="24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Cs/>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b/>
                      <w:bCs/>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491" w:hRule="atLeast"/>
              </w:trPr>
              <w:tc>
                <w:tcPr>
                  <w:tcW w:w="2410"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c>
                <w:tcPr>
                  <w:tcW w:w="240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kern w:val="0"/>
                      <w:sz w:val="20"/>
                    </w:rPr>
                    <w:t>二、</w:t>
                  </w:r>
                  <w:r>
                    <w:rPr>
                      <w:rFonts w:asciiTheme="minorEastAsia" w:hAnsiTheme="minorEastAsia" w:eastAsiaTheme="minorEastAsia"/>
                      <w:kern w:val="0"/>
                      <w:sz w:val="20"/>
                    </w:rPr>
                    <w:t>结转下年</w:t>
                  </w:r>
                </w:p>
              </w:tc>
              <w:tc>
                <w:tcPr>
                  <w:tcW w:w="851"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heme="minorEastAsia" w:hAnsiTheme="minorEastAsia" w:eastAsiaTheme="minorEastAsia"/>
                      <w:sz w:val="20"/>
                    </w:rPr>
                  </w:pPr>
                </w:p>
              </w:tc>
            </w:tr>
            <w:tr>
              <w:tblPrEx>
                <w:tblCellMar>
                  <w:top w:w="0" w:type="dxa"/>
                  <w:left w:w="108" w:type="dxa"/>
                  <w:bottom w:w="0" w:type="dxa"/>
                  <w:right w:w="108" w:type="dxa"/>
                </w:tblCellMar>
              </w:tblPrEx>
              <w:trPr>
                <w:trHeight w:val="500" w:hRule="atLeast"/>
              </w:trPr>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0"/>
                    </w:rPr>
                  </w:pPr>
                  <w:r>
                    <w:rPr>
                      <w:rFonts w:asciiTheme="minorEastAsia" w:hAnsiTheme="minorEastAsia" w:eastAsiaTheme="minorEastAsia"/>
                      <w:b/>
                      <w:bCs/>
                      <w:kern w:val="0"/>
                      <w:sz w:val="20"/>
                    </w:rPr>
                    <w:t>收入总计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0"/>
                    </w:rPr>
                  </w:pPr>
                  <w:r>
                    <w:rPr>
                      <w:rFonts w:asciiTheme="minorEastAsia" w:hAnsiTheme="minorEastAsia" w:eastAsiaTheme="minorEastAsia"/>
                      <w:b/>
                      <w:bCs/>
                      <w:kern w:val="0"/>
                      <w:sz w:val="20"/>
                    </w:rPr>
                    <w:t>支出总计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376.09</w:t>
                  </w:r>
                  <w:r>
                    <w:rPr>
                      <w:rFonts w:asciiTheme="minorEastAsia" w:hAnsiTheme="minorEastAsia" w:eastAsiaTheme="minorEastAsia"/>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354.52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21.57</w:t>
                  </w:r>
                </w:p>
              </w:tc>
            </w:tr>
          </w:tbl>
          <w:p>
            <w:pPr>
              <w:widowControl/>
              <w:rPr>
                <w:rFonts w:asciiTheme="minorEastAsia" w:hAnsiTheme="minorEastAsia" w:eastAsiaTheme="minorEastAsia"/>
                <w:kern w:val="0"/>
                <w:sz w:val="20"/>
              </w:rPr>
            </w:pPr>
          </w:p>
        </w:tc>
      </w:tr>
    </w:tbl>
    <w:p>
      <w:pPr>
        <w:jc w:val="left"/>
        <w:rPr>
          <w:rFonts w:asciiTheme="minorEastAsia" w:hAnsiTheme="minorEastAsia" w:eastAsiaTheme="minorEastAsia"/>
          <w:sz w:val="20"/>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pPr>
              <w:widowControl/>
              <w:rPr>
                <w:rFonts w:asciiTheme="minorEastAsia" w:hAnsiTheme="minorEastAsia" w:eastAsiaTheme="minorEastAsia"/>
                <w:kern w:val="0"/>
                <w:sz w:val="20"/>
              </w:rPr>
            </w:pPr>
          </w:p>
          <w:tbl>
            <w:tblPr>
              <w:tblStyle w:val="9"/>
              <w:tblW w:w="0" w:type="auto"/>
              <w:jc w:val="center"/>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jc w:val="center"/>
              </w:trPr>
              <w:tc>
                <w:tcPr>
                  <w:tcW w:w="8789" w:type="dxa"/>
                  <w:gridSpan w:val="6"/>
                  <w:tcBorders>
                    <w:bottom w:val="single" w:color="000000" w:sz="4" w:space="0"/>
                  </w:tcBorders>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asciiTheme="minorEastAsia" w:hAnsiTheme="minorEastAsia" w:eastAsiaTheme="minorEastAsia"/>
                      <w:kern w:val="0"/>
                      <w:sz w:val="20"/>
                    </w:rPr>
                  </w:pPr>
                  <w:r>
                    <w:rPr>
                      <w:rFonts w:asciiTheme="minorEastAsia" w:hAnsiTheme="minorEastAsia" w:eastAsiaTheme="minorEastAsia"/>
                      <w:kern w:val="0"/>
                      <w:sz w:val="20"/>
                    </w:rPr>
                    <w:t>单位：万元</w:t>
                  </w:r>
                </w:p>
              </w:tc>
            </w:tr>
            <w:tr>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功能分类</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项目                                                               支出</w:t>
                  </w:r>
                </w:p>
              </w:tc>
            </w:tr>
            <w:tr>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w:t>
                  </w:r>
                  <w:r>
                    <w:rPr>
                      <w:rFonts w:asciiTheme="minorEastAsia" w:hAnsiTheme="minorEastAsia" w:eastAsiaTheme="minorEastAsia"/>
                      <w:color w:val="000000"/>
                      <w:kern w:val="0"/>
                      <w:sz w:val="20"/>
                    </w:rPr>
                    <w:t>一般公共服务</w:t>
                  </w:r>
                  <w:r>
                    <w:rPr>
                      <w:rFonts w:hint="eastAsia" w:asciiTheme="minorEastAsia" w:hAnsiTheme="minorEastAsia" w:eastAsiaTheme="minorEastAsia"/>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176.26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137.92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38.34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140.78</w:t>
                  </w: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317.04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176.26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137.92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Pr>
                <w:p>
                  <w:pPr>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38.34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Pr>
                <w:p>
                  <w:pPr>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140.78</w:t>
                  </w: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176.26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176.26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137.92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Pr>
                <w:p>
                  <w:pPr>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38.34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Pr>
                <w:p>
                  <w:pPr>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47.86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ind w:right="200"/>
                    <w:jc w:val="right"/>
                    <w:rPr>
                      <w:rFonts w:asciiTheme="minorEastAsia" w:hAnsiTheme="minorEastAsia" w:eastAsiaTheme="minorEastAsia"/>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47.86</w:t>
                  </w: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机关服务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9.73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ind w:right="200"/>
                    <w:jc w:val="right"/>
                    <w:rPr>
                      <w:rFonts w:asciiTheme="minorEastAsia" w:hAnsiTheme="minorEastAsia" w:eastAsiaTheme="minorEastAsia"/>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9.73</w:t>
                  </w: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83.19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ind w:right="200"/>
                    <w:jc w:val="right"/>
                    <w:rPr>
                      <w:rFonts w:asciiTheme="minorEastAsia" w:hAnsiTheme="minorEastAsia" w:eastAsiaTheme="minorEastAsia"/>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83.19</w:t>
                  </w: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21.00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21.00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21.00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6.48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376.09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235.31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196.97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38.34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140.78</w:t>
                  </w:r>
                </w:p>
              </w:tc>
            </w:tr>
          </w:tbl>
          <w:p>
            <w:pPr>
              <w:widowControl/>
              <w:jc w:val="center"/>
              <w:rPr>
                <w:rFonts w:asciiTheme="minorEastAsia" w:hAnsiTheme="minorEastAsia" w:eastAsiaTheme="minorEastAsia"/>
                <w:kern w:val="0"/>
                <w:sz w:val="20"/>
              </w:rPr>
            </w:pPr>
          </w:p>
        </w:tc>
      </w:tr>
    </w:tbl>
    <w:p>
      <w:pPr>
        <w:rPr>
          <w:rFonts w:asciiTheme="minorEastAsia" w:hAnsiTheme="minorEastAsia" w:eastAsiaTheme="minorEastAsia"/>
          <w:sz w:val="20"/>
        </w:rPr>
      </w:pPr>
    </w:p>
    <w:p/>
    <w:p/>
    <w:p/>
    <w:p/>
    <w:p>
      <w:pPr>
        <w:rPr>
          <w:rFonts w:eastAsia="楷体"/>
        </w:rPr>
      </w:pPr>
    </w:p>
    <w:tbl>
      <w:tblPr>
        <w:tblStyle w:val="9"/>
        <w:tblW w:w="0" w:type="auto"/>
        <w:jc w:val="center"/>
        <w:tblLayout w:type="fixed"/>
        <w:tblCellMar>
          <w:top w:w="0" w:type="dxa"/>
          <w:left w:w="108" w:type="dxa"/>
          <w:bottom w:w="0" w:type="dxa"/>
          <w:right w:w="108" w:type="dxa"/>
        </w:tblCellMar>
      </w:tblPr>
      <w:tblGrid>
        <w:gridCol w:w="3388"/>
        <w:gridCol w:w="2008"/>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支出预算表</w:t>
            </w:r>
          </w:p>
        </w:tc>
      </w:tr>
      <w:tr>
        <w:tblPrEx>
          <w:tblCellMar>
            <w:top w:w="0" w:type="dxa"/>
            <w:left w:w="108" w:type="dxa"/>
            <w:bottom w:w="0" w:type="dxa"/>
            <w:right w:w="108" w:type="dxa"/>
          </w:tblCellMar>
        </w:tblPrEx>
        <w:trPr>
          <w:trHeight w:val="390" w:hRule="atLeast"/>
          <w:jc w:val="center"/>
        </w:trPr>
        <w:tc>
          <w:tcPr>
            <w:tcW w:w="3388"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2008"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部门预算支出经济分类科目</w:t>
            </w:r>
          </w:p>
        </w:tc>
        <w:tc>
          <w:tcPr>
            <w:tcW w:w="2008"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color w:val="000000"/>
                <w:kern w:val="0"/>
                <w:sz w:val="20"/>
              </w:rPr>
              <w:t>合计</w:t>
            </w:r>
          </w:p>
        </w:tc>
        <w:tc>
          <w:tcPr>
            <w:tcW w:w="170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sz w:val="20"/>
              </w:rPr>
            </w:pPr>
            <w:r>
              <w:rPr>
                <w:rFonts w:asciiTheme="minorEastAsia" w:hAnsiTheme="minorEastAsia" w:eastAsiaTheme="minorEastAsia"/>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0"/>
              </w:rPr>
            </w:pPr>
            <w:r>
              <w:rPr>
                <w:rFonts w:asciiTheme="minorEastAsia" w:hAnsiTheme="minorEastAsia" w:eastAsiaTheme="minorEastAsia"/>
                <w:color w:val="000000"/>
                <w:kern w:val="0"/>
                <w:sz w:val="20"/>
              </w:rPr>
              <w:t>公用经费</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一、工资福利支出</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182.47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182.47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基本工资</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57.74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57.74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津贴补贴</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36.06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36.06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奖金</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34.85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34.85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机关事业单位基本养老保险缴费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21.00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21.00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职工基本医疗保险缴费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6.02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6.02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其他社会保障缴费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3.41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3.41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住房公积金</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18.25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18.25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医疗费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2.42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2.42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其他工资福利支出</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2.72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2.72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kern w:val="0"/>
                <w:sz w:val="20"/>
              </w:rPr>
            </w:pPr>
            <w:r>
              <w:rPr>
                <w:rFonts w:asciiTheme="minorEastAsia" w:hAnsiTheme="minorEastAsia" w:eastAsiaTheme="minorEastAsia"/>
                <w:color w:val="000000"/>
                <w:sz w:val="20"/>
              </w:rPr>
              <w:t>二、商品和服务支出</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35.87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35.87</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asciiTheme="minorEastAsia" w:hAnsiTheme="minorEastAsia" w:eastAsiaTheme="minorEastAsia"/>
                <w:color w:val="000000"/>
                <w:sz w:val="20"/>
              </w:rPr>
              <w:t>办公费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1.95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1.95</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印刷费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1.90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1.90</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邮电费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1.34</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差旅费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6.24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6.24</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维修（护）费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0.95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0.95</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会议费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0.74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0.74</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培训费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0.86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0.86</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工会经费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1.88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1.88</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福利费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5.75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5.75</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公务用车运行维护费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3.06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3.06</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其他交通费用</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9.60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9.60</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其他商品和服务支出</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1.60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1.60</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三、对个人和家庭的补助</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14.49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14.49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 xml:space="preserve">    退休费</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13.32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13.32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其他对个人和家庭的补助</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1.17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1.17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四、资本性支出</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2.47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2.47</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办公设备购置</w:t>
            </w:r>
          </w:p>
        </w:tc>
        <w:tc>
          <w:tcPr>
            <w:tcW w:w="20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2.47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2.47</w:t>
            </w:r>
          </w:p>
        </w:tc>
      </w:tr>
      <w:tr>
        <w:tblPrEx>
          <w:tblCellMar>
            <w:top w:w="0" w:type="dxa"/>
            <w:left w:w="108" w:type="dxa"/>
            <w:bottom w:w="0" w:type="dxa"/>
            <w:right w:w="108" w:type="dxa"/>
          </w:tblCellMar>
        </w:tblPrEx>
        <w:trPr>
          <w:trHeight w:val="283" w:hRule="atLeast"/>
          <w:jc w:val="center"/>
        </w:trPr>
        <w:tc>
          <w:tcPr>
            <w:tcW w:w="338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heme="minorEastAsia" w:hAnsiTheme="minorEastAsia" w:eastAsiaTheme="minorEastAsia"/>
                <w:kern w:val="0"/>
                <w:sz w:val="20"/>
              </w:rPr>
            </w:pPr>
            <w:r>
              <w:rPr>
                <w:rFonts w:hint="eastAsia" w:asciiTheme="minorEastAsia" w:hAnsiTheme="minorEastAsia" w:eastAsiaTheme="minorEastAsia"/>
                <w:color w:val="000000"/>
                <w:kern w:val="0"/>
                <w:sz w:val="20"/>
              </w:rPr>
              <w:t>合计</w:t>
            </w:r>
          </w:p>
        </w:tc>
        <w:tc>
          <w:tcPr>
            <w:tcW w:w="20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235.30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196.96</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38.34</w:t>
            </w:r>
          </w:p>
        </w:tc>
      </w:tr>
    </w:tbl>
    <w:p>
      <w:pPr>
        <w:rPr>
          <w:sz w:val="16"/>
          <w:szCs w:val="16"/>
        </w:rPr>
      </w:pPr>
    </w:p>
    <w:p>
      <w:pPr>
        <w:rPr>
          <w:sz w:val="16"/>
          <w:szCs w:val="16"/>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pPr>
              <w:widowControl/>
              <w:jc w:val="center"/>
              <w:rPr>
                <w:rFonts w:eastAsia="方正小标宋简体"/>
                <w:color w:val="000000"/>
                <w:kern w:val="0"/>
                <w:sz w:val="44"/>
                <w:szCs w:val="44"/>
              </w:rPr>
            </w:pPr>
          </w:p>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项    目</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20</w:t>
            </w:r>
            <w:r>
              <w:rPr>
                <w:rFonts w:hint="eastAsia" w:asciiTheme="minorEastAsia" w:hAnsiTheme="minorEastAsia" w:eastAsiaTheme="minorEastAsia"/>
                <w:color w:val="000000"/>
                <w:kern w:val="0"/>
                <w:sz w:val="20"/>
              </w:rPr>
              <w:t>24</w:t>
            </w:r>
            <w:r>
              <w:rPr>
                <w:rFonts w:asciiTheme="minorEastAsia" w:hAnsiTheme="minorEastAsia" w:eastAsiaTheme="minorEastAsia"/>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    计</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3.06</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1、因公出国（境）费用</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2、公务接待费</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3、公务用车费</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3.06</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3.06</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bl>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ind w:firstLine="560" w:firstLineChars="200"/>
        <w:rPr>
          <w:rFonts w:eastAsia="楷体"/>
          <w:kern w:val="0"/>
          <w:szCs w:val="32"/>
        </w:rPr>
      </w:pPr>
      <w:r>
        <w:rPr>
          <w:rFonts w:hint="eastAsia"/>
          <w:color w:val="000000"/>
          <w:kern w:val="0"/>
          <w:sz w:val="28"/>
          <w:szCs w:val="28"/>
          <w:lang w:val="en-US" w:eastAsia="zh-CN"/>
        </w:rPr>
        <w:t>2.“2024年预算数”的实有人员24人，其中：在职人员13人，离退休人员11</w:t>
      </w:r>
      <w:bookmarkStart w:id="0" w:name="_GoBack"/>
      <w:bookmarkEnd w:id="0"/>
      <w:r>
        <w:rPr>
          <w:rFonts w:hint="eastAsia"/>
          <w:color w:val="000000"/>
          <w:kern w:val="0"/>
          <w:sz w:val="28"/>
          <w:szCs w:val="28"/>
          <w:lang w:val="en-US" w:eastAsia="zh-CN"/>
        </w:rPr>
        <w:t>人。</w:t>
      </w: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rPr>
                <w:rFonts w:eastAsia="方正小标宋简体"/>
                <w:kern w:val="0"/>
                <w:sz w:val="44"/>
                <w:szCs w:val="44"/>
              </w:rPr>
            </w:pPr>
          </w:p>
          <w:p>
            <w:pPr>
              <w:widowControl/>
              <w:rPr>
                <w:rFonts w:eastAsia="方正小标宋简体"/>
                <w:kern w:val="0"/>
                <w:sz w:val="44"/>
                <w:szCs w:val="44"/>
              </w:rPr>
            </w:pPr>
          </w:p>
          <w:p>
            <w:pPr>
              <w:widowControl/>
              <w:rPr>
                <w:rFonts w:eastAsia="方正小标宋简体"/>
                <w:kern w:val="0"/>
                <w:sz w:val="44"/>
                <w:szCs w:val="44"/>
              </w:rPr>
            </w:pPr>
          </w:p>
          <w:p>
            <w:pPr>
              <w:widowControl/>
              <w:rPr>
                <w:rFonts w:eastAsia="方正小标宋简体"/>
                <w:kern w:val="0"/>
                <w:sz w:val="44"/>
                <w:szCs w:val="44"/>
              </w:rPr>
            </w:pPr>
          </w:p>
          <w:p>
            <w:pPr>
              <w:widowControl/>
              <w:rPr>
                <w:rFonts w:eastAsia="方正小标宋简体"/>
                <w:kern w:val="0"/>
                <w:sz w:val="44"/>
                <w:szCs w:val="44"/>
              </w:rPr>
            </w:pPr>
          </w:p>
          <w:p>
            <w:pPr>
              <w:widowControl/>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功能分类</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科目名称</w:t>
            </w:r>
          </w:p>
        </w:tc>
        <w:tc>
          <w:tcPr>
            <w:tcW w:w="2197" w:type="dxa"/>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bl>
    <w:p>
      <w:pPr>
        <w:spacing w:line="700" w:lineRule="exact"/>
        <w:rPr>
          <w:rFonts w:eastAsia="楷体_GB2312"/>
          <w:kern w:val="0"/>
          <w:szCs w:val="32"/>
        </w:rPr>
        <w:sectPr>
          <w:footerReference r:id="rId10" w:type="first"/>
          <w:footerReference r:id="rId9" w:type="default"/>
          <w:pgSz w:w="11907" w:h="16840"/>
          <w:pgMar w:top="2041" w:right="1474" w:bottom="2041" w:left="1588" w:header="851" w:footer="1587" w:gutter="0"/>
          <w:pgNumType w:fmt="numberInDash" w:start="1"/>
          <w:cols w:space="720" w:num="1"/>
          <w:docGrid w:type="lines" w:linePitch="574" w:charSpace="0"/>
        </w:sectPr>
      </w:pPr>
      <w:r>
        <w:rPr>
          <w:rFonts w:asciiTheme="minorEastAsia" w:hAnsiTheme="minorEastAsia" w:eastAsiaTheme="minorEastAsia"/>
          <w:kern w:val="0"/>
          <w:sz w:val="20"/>
        </w:rPr>
        <w:t xml:space="preserve">  </w:t>
      </w:r>
    </w:p>
    <w:p>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功能分类</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r>
    </w:tbl>
    <w:p>
      <w:pPr>
        <w:rPr>
          <w:rFonts w:eastAsia="楷体"/>
          <w:kern w:val="0"/>
          <w:szCs w:val="32"/>
        </w:rPr>
        <w:sectPr>
          <w:pgSz w:w="11907" w:h="16840"/>
          <w:pgMar w:top="2041" w:right="1474" w:bottom="2041" w:left="1588" w:header="851" w:footer="1588" w:gutter="0"/>
          <w:pgNumType w:fmt="numberInDash"/>
          <w:cols w:space="720" w:num="1"/>
          <w:titlePg/>
          <w:docGrid w:type="lines" w:linePitch="574" w:charSpace="-1675"/>
        </w:sectPr>
      </w:pPr>
    </w:p>
    <w:tbl>
      <w:tblPr>
        <w:tblStyle w:val="9"/>
        <w:tblpPr w:leftFromText="180" w:rightFromText="180" w:vertAnchor="text" w:horzAnchor="margin" w:tblpXSpec="center" w:tblpY="52"/>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83"/>
        <w:gridCol w:w="448"/>
        <w:gridCol w:w="432"/>
        <w:gridCol w:w="992"/>
        <w:gridCol w:w="850"/>
        <w:gridCol w:w="851"/>
        <w:gridCol w:w="425"/>
        <w:gridCol w:w="425"/>
        <w:gridCol w:w="426"/>
        <w:gridCol w:w="425"/>
        <w:gridCol w:w="850"/>
        <w:gridCol w:w="426"/>
        <w:gridCol w:w="414"/>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0598" w:type="dxa"/>
            <w:gridSpan w:val="16"/>
            <w:tcBorders>
              <w:top w:val="nil"/>
              <w:left w:val="nil"/>
              <w:bottom w:val="nil"/>
              <w:right w:val="nil"/>
            </w:tcBorders>
            <w:vAlign w:val="center"/>
          </w:tcPr>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131" w:type="dxa"/>
            <w:gridSpan w:val="2"/>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432"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992"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850" w:type="dxa"/>
            <w:tcBorders>
              <w:top w:val="nil"/>
              <w:left w:val="nil"/>
              <w:right w:val="nil"/>
            </w:tcBorders>
            <w:vAlign w:val="center"/>
          </w:tcPr>
          <w:p>
            <w:pPr>
              <w:autoSpaceDN w:val="0"/>
              <w:textAlignment w:val="center"/>
              <w:rPr>
                <w:rFonts w:ascii="Calibri" w:hAnsi="Calibri" w:eastAsia="华文细黑"/>
                <w:color w:val="000000"/>
                <w:sz w:val="20"/>
                <w:szCs w:val="22"/>
              </w:rPr>
            </w:pPr>
          </w:p>
        </w:tc>
        <w:tc>
          <w:tcPr>
            <w:tcW w:w="2552" w:type="dxa"/>
            <w:gridSpan w:val="5"/>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824" w:type="dxa"/>
            <w:gridSpan w:val="5"/>
            <w:tcBorders>
              <w:top w:val="nil"/>
              <w:left w:val="nil"/>
              <w:right w:val="nil"/>
            </w:tcBorders>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dxa"/>
            <w:vMerge w:val="restart"/>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类型</w:t>
            </w:r>
          </w:p>
        </w:tc>
        <w:tc>
          <w:tcPr>
            <w:tcW w:w="2563" w:type="dxa"/>
            <w:gridSpan w:val="3"/>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项目名称</w:t>
            </w:r>
          </w:p>
        </w:tc>
        <w:tc>
          <w:tcPr>
            <w:tcW w:w="992" w:type="dxa"/>
            <w:vMerge w:val="restart"/>
            <w:textDirection w:val="tbRlV"/>
            <w:vAlign w:val="center"/>
          </w:tcPr>
          <w:p>
            <w:pPr>
              <w:autoSpaceDN w:val="0"/>
              <w:ind w:left="113" w:right="113"/>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单位名称</w:t>
            </w:r>
          </w:p>
        </w:tc>
        <w:tc>
          <w:tcPr>
            <w:tcW w:w="850" w:type="dxa"/>
            <w:vMerge w:val="restart"/>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合计</w:t>
            </w:r>
          </w:p>
        </w:tc>
        <w:tc>
          <w:tcPr>
            <w:tcW w:w="2552" w:type="dxa"/>
            <w:gridSpan w:val="5"/>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本年预算</w:t>
            </w:r>
          </w:p>
        </w:tc>
        <w:tc>
          <w:tcPr>
            <w:tcW w:w="2824" w:type="dxa"/>
            <w:gridSpan w:val="5"/>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vMerge w:val="continue"/>
            <w:vAlign w:val="center"/>
          </w:tcPr>
          <w:p>
            <w:pPr>
              <w:autoSpaceDN w:val="0"/>
              <w:jc w:val="center"/>
              <w:textAlignment w:val="center"/>
              <w:rPr>
                <w:rFonts w:asciiTheme="minorEastAsia" w:hAnsiTheme="minorEastAsia" w:eastAsiaTheme="minorEastAsia"/>
                <w:color w:val="000000"/>
                <w:sz w:val="20"/>
              </w:rPr>
            </w:pPr>
          </w:p>
        </w:tc>
        <w:tc>
          <w:tcPr>
            <w:tcW w:w="1683" w:type="dxa"/>
            <w:vMerge w:val="restart"/>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一级项目</w:t>
            </w:r>
          </w:p>
        </w:tc>
        <w:tc>
          <w:tcPr>
            <w:tcW w:w="880" w:type="dxa"/>
            <w:gridSpan w:val="2"/>
            <w:vMerge w:val="restart"/>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二级  项目</w:t>
            </w:r>
          </w:p>
        </w:tc>
        <w:tc>
          <w:tcPr>
            <w:tcW w:w="992" w:type="dxa"/>
            <w:vMerge w:val="continue"/>
            <w:textDirection w:val="tbLrV"/>
            <w:vAlign w:val="center"/>
          </w:tcPr>
          <w:p>
            <w:pPr>
              <w:autoSpaceDN w:val="0"/>
              <w:ind w:left="113" w:right="113"/>
              <w:jc w:val="center"/>
              <w:textAlignment w:val="center"/>
              <w:rPr>
                <w:rFonts w:asciiTheme="minorEastAsia" w:hAnsiTheme="minorEastAsia" w:eastAsiaTheme="minorEastAsia"/>
                <w:color w:val="000000"/>
                <w:sz w:val="20"/>
              </w:rPr>
            </w:pPr>
          </w:p>
        </w:tc>
        <w:tc>
          <w:tcPr>
            <w:tcW w:w="850" w:type="dxa"/>
            <w:vMerge w:val="continue"/>
            <w:vAlign w:val="center"/>
          </w:tcPr>
          <w:p>
            <w:pPr>
              <w:autoSpaceDN w:val="0"/>
              <w:jc w:val="center"/>
              <w:textAlignment w:val="center"/>
              <w:rPr>
                <w:rFonts w:asciiTheme="minorEastAsia" w:hAnsiTheme="minorEastAsia" w:eastAsiaTheme="minorEastAsia"/>
                <w:color w:val="000000"/>
                <w:sz w:val="20"/>
              </w:rPr>
            </w:pPr>
          </w:p>
        </w:tc>
        <w:tc>
          <w:tcPr>
            <w:tcW w:w="1701" w:type="dxa"/>
            <w:gridSpan w:val="3"/>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财政拨款</w:t>
            </w:r>
          </w:p>
        </w:tc>
        <w:tc>
          <w:tcPr>
            <w:tcW w:w="426" w:type="dxa"/>
            <w:vMerge w:val="restart"/>
            <w:textDirection w:val="tbLrV"/>
            <w:vAlign w:val="center"/>
          </w:tcPr>
          <w:p>
            <w:pPr>
              <w:autoSpaceDN w:val="0"/>
              <w:ind w:left="113" w:right="113"/>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财政专户管理资金</w:t>
            </w:r>
          </w:p>
        </w:tc>
        <w:tc>
          <w:tcPr>
            <w:tcW w:w="425" w:type="dxa"/>
            <w:vMerge w:val="restart"/>
            <w:textDirection w:val="tbLrV"/>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单位资金</w:t>
            </w:r>
          </w:p>
        </w:tc>
        <w:tc>
          <w:tcPr>
            <w:tcW w:w="1690" w:type="dxa"/>
            <w:gridSpan w:val="3"/>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财政拨款结转</w:t>
            </w:r>
          </w:p>
        </w:tc>
        <w:tc>
          <w:tcPr>
            <w:tcW w:w="1134" w:type="dxa"/>
            <w:gridSpan w:val="2"/>
            <w:vAlign w:val="center"/>
          </w:tcPr>
          <w:p>
            <w:pPr>
              <w:tabs>
                <w:tab w:val="left" w:pos="492"/>
              </w:tabs>
              <w:autoSpaceDN w:val="0"/>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817" w:type="dxa"/>
            <w:vMerge w:val="continue"/>
            <w:vAlign w:val="center"/>
          </w:tcPr>
          <w:p>
            <w:pPr>
              <w:autoSpaceDN w:val="0"/>
              <w:jc w:val="center"/>
              <w:textAlignment w:val="center"/>
              <w:rPr>
                <w:rFonts w:asciiTheme="minorEastAsia" w:hAnsiTheme="minorEastAsia" w:eastAsiaTheme="minorEastAsia"/>
                <w:color w:val="000000"/>
                <w:sz w:val="20"/>
              </w:rPr>
            </w:pPr>
          </w:p>
        </w:tc>
        <w:tc>
          <w:tcPr>
            <w:tcW w:w="1683" w:type="dxa"/>
            <w:vMerge w:val="continue"/>
            <w:vAlign w:val="center"/>
          </w:tcPr>
          <w:p>
            <w:pPr>
              <w:autoSpaceDN w:val="0"/>
              <w:jc w:val="center"/>
              <w:textAlignment w:val="center"/>
              <w:rPr>
                <w:rFonts w:asciiTheme="minorEastAsia" w:hAnsiTheme="minorEastAsia" w:eastAsiaTheme="minorEastAsia"/>
                <w:color w:val="000000"/>
                <w:sz w:val="20"/>
              </w:rPr>
            </w:pPr>
          </w:p>
        </w:tc>
        <w:tc>
          <w:tcPr>
            <w:tcW w:w="880" w:type="dxa"/>
            <w:gridSpan w:val="2"/>
            <w:vMerge w:val="continue"/>
            <w:vAlign w:val="center"/>
          </w:tcPr>
          <w:p>
            <w:pPr>
              <w:autoSpaceDN w:val="0"/>
              <w:jc w:val="center"/>
              <w:textAlignment w:val="center"/>
              <w:rPr>
                <w:rFonts w:asciiTheme="minorEastAsia" w:hAnsiTheme="minorEastAsia" w:eastAsiaTheme="minorEastAsia"/>
                <w:color w:val="000000"/>
                <w:sz w:val="20"/>
              </w:rPr>
            </w:pPr>
          </w:p>
        </w:tc>
        <w:tc>
          <w:tcPr>
            <w:tcW w:w="992" w:type="dxa"/>
            <w:vMerge w:val="continue"/>
            <w:vAlign w:val="center"/>
          </w:tcPr>
          <w:p>
            <w:pPr>
              <w:autoSpaceDN w:val="0"/>
              <w:jc w:val="center"/>
              <w:textAlignment w:val="center"/>
              <w:rPr>
                <w:rFonts w:asciiTheme="minorEastAsia" w:hAnsiTheme="minorEastAsia" w:eastAsiaTheme="minorEastAsia"/>
                <w:color w:val="000000"/>
                <w:sz w:val="20"/>
              </w:rPr>
            </w:pPr>
          </w:p>
        </w:tc>
        <w:tc>
          <w:tcPr>
            <w:tcW w:w="850" w:type="dxa"/>
            <w:vMerge w:val="continue"/>
            <w:vAlign w:val="center"/>
          </w:tcPr>
          <w:p>
            <w:pPr>
              <w:autoSpaceDN w:val="0"/>
              <w:jc w:val="center"/>
              <w:textAlignment w:val="center"/>
              <w:rPr>
                <w:rFonts w:asciiTheme="minorEastAsia" w:hAnsiTheme="minorEastAsia" w:eastAsiaTheme="minorEastAsia"/>
                <w:color w:val="000000"/>
                <w:sz w:val="20"/>
              </w:rPr>
            </w:pPr>
          </w:p>
        </w:tc>
        <w:tc>
          <w:tcPr>
            <w:tcW w:w="851"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一般公共预算</w:t>
            </w:r>
          </w:p>
        </w:tc>
        <w:tc>
          <w:tcPr>
            <w:tcW w:w="425"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政府性</w:t>
            </w:r>
          </w:p>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基金</w:t>
            </w:r>
          </w:p>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预算</w:t>
            </w:r>
          </w:p>
        </w:tc>
        <w:tc>
          <w:tcPr>
            <w:tcW w:w="425"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国有资本经营预算</w:t>
            </w:r>
          </w:p>
        </w:tc>
        <w:tc>
          <w:tcPr>
            <w:tcW w:w="426" w:type="dxa"/>
            <w:vMerge w:val="continue"/>
            <w:textDirection w:val="tbLrV"/>
            <w:vAlign w:val="center"/>
          </w:tcPr>
          <w:p>
            <w:pPr>
              <w:autoSpaceDN w:val="0"/>
              <w:ind w:left="113" w:right="113"/>
              <w:jc w:val="center"/>
              <w:textAlignment w:val="center"/>
              <w:rPr>
                <w:rFonts w:asciiTheme="minorEastAsia" w:hAnsiTheme="minorEastAsia" w:eastAsiaTheme="minorEastAsia"/>
                <w:color w:val="000000"/>
                <w:sz w:val="20"/>
              </w:rPr>
            </w:pPr>
          </w:p>
        </w:tc>
        <w:tc>
          <w:tcPr>
            <w:tcW w:w="425" w:type="dxa"/>
            <w:vMerge w:val="continue"/>
            <w:textDirection w:val="tbLrV"/>
            <w:vAlign w:val="center"/>
          </w:tcPr>
          <w:p>
            <w:pPr>
              <w:autoSpaceDN w:val="0"/>
              <w:ind w:left="113" w:right="113"/>
              <w:jc w:val="center"/>
              <w:textAlignment w:val="center"/>
              <w:rPr>
                <w:rFonts w:asciiTheme="minorEastAsia" w:hAnsiTheme="minorEastAsia" w:eastAsiaTheme="minorEastAsia"/>
                <w:color w:val="000000"/>
                <w:sz w:val="20"/>
              </w:rPr>
            </w:pPr>
          </w:p>
        </w:tc>
        <w:tc>
          <w:tcPr>
            <w:tcW w:w="850"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一般</w:t>
            </w:r>
            <w:r>
              <w:rPr>
                <w:rFonts w:hint="eastAsia" w:asciiTheme="minorEastAsia" w:hAnsiTheme="minorEastAsia" w:eastAsiaTheme="minorEastAsia"/>
                <w:color w:val="000000"/>
                <w:sz w:val="20"/>
              </w:rPr>
              <w:br w:type="textWrapping"/>
            </w:r>
            <w:r>
              <w:rPr>
                <w:rFonts w:hint="eastAsia" w:asciiTheme="minorEastAsia" w:hAnsiTheme="minorEastAsia" w:eastAsiaTheme="minorEastAsia"/>
                <w:color w:val="000000"/>
                <w:sz w:val="20"/>
              </w:rPr>
              <w:t>公共</w:t>
            </w:r>
            <w:r>
              <w:rPr>
                <w:rFonts w:hint="eastAsia" w:asciiTheme="minorEastAsia" w:hAnsiTheme="minorEastAsia" w:eastAsiaTheme="minorEastAsia"/>
                <w:color w:val="000000"/>
                <w:sz w:val="20"/>
              </w:rPr>
              <w:br w:type="textWrapping"/>
            </w:r>
            <w:r>
              <w:rPr>
                <w:rFonts w:hint="eastAsia" w:asciiTheme="minorEastAsia" w:hAnsiTheme="minorEastAsia" w:eastAsiaTheme="minorEastAsia"/>
                <w:color w:val="000000"/>
                <w:sz w:val="20"/>
              </w:rPr>
              <w:t>预算</w:t>
            </w:r>
          </w:p>
        </w:tc>
        <w:tc>
          <w:tcPr>
            <w:tcW w:w="426" w:type="dxa"/>
            <w:vAlign w:val="center"/>
          </w:tcPr>
          <w:p>
            <w:pPr>
              <w:autoSpaceDN w:val="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政府性</w:t>
            </w:r>
            <w:r>
              <w:rPr>
                <w:rFonts w:hint="eastAsia" w:asciiTheme="minorEastAsia" w:hAnsiTheme="minorEastAsia" w:eastAsiaTheme="minorEastAsia"/>
                <w:color w:val="000000"/>
                <w:sz w:val="20"/>
              </w:rPr>
              <w:br w:type="textWrapping"/>
            </w:r>
            <w:r>
              <w:rPr>
                <w:rFonts w:hint="eastAsia" w:asciiTheme="minorEastAsia" w:hAnsiTheme="minorEastAsia" w:eastAsiaTheme="minorEastAsia"/>
                <w:color w:val="000000"/>
                <w:sz w:val="20"/>
              </w:rPr>
              <w:t>基金</w:t>
            </w:r>
            <w:r>
              <w:rPr>
                <w:rFonts w:hint="eastAsia" w:asciiTheme="minorEastAsia" w:hAnsiTheme="minorEastAsia" w:eastAsiaTheme="minorEastAsia"/>
                <w:color w:val="000000"/>
                <w:sz w:val="20"/>
              </w:rPr>
              <w:br w:type="textWrapping"/>
            </w:r>
            <w:r>
              <w:rPr>
                <w:rFonts w:hint="eastAsia" w:asciiTheme="minorEastAsia" w:hAnsiTheme="minorEastAsia" w:eastAsiaTheme="minorEastAsia"/>
                <w:color w:val="000000"/>
                <w:sz w:val="20"/>
              </w:rPr>
              <w:t>预算</w:t>
            </w:r>
          </w:p>
        </w:tc>
        <w:tc>
          <w:tcPr>
            <w:tcW w:w="414" w:type="dxa"/>
          </w:tcPr>
          <w:p>
            <w:pPr>
              <w:autoSpaceDN w:val="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国有资本经营</w:t>
            </w:r>
            <w:r>
              <w:rPr>
                <w:rFonts w:hint="eastAsia" w:asciiTheme="minorEastAsia" w:hAnsiTheme="minorEastAsia" w:eastAsiaTheme="minorEastAsia"/>
                <w:color w:val="000000"/>
                <w:sz w:val="20"/>
              </w:rPr>
              <w:br w:type="textWrapping"/>
            </w:r>
            <w:r>
              <w:rPr>
                <w:rFonts w:hint="eastAsia" w:asciiTheme="minorEastAsia" w:hAnsiTheme="minorEastAsia" w:eastAsiaTheme="minorEastAsia"/>
                <w:color w:val="000000"/>
                <w:sz w:val="20"/>
              </w:rPr>
              <w:t>预算</w:t>
            </w:r>
          </w:p>
        </w:tc>
        <w:tc>
          <w:tcPr>
            <w:tcW w:w="567" w:type="dxa"/>
            <w:textDirection w:val="tbRlV"/>
            <w:vAlign w:val="center"/>
          </w:tcPr>
          <w:p>
            <w:pPr>
              <w:autoSpaceDN w:val="0"/>
              <w:ind w:left="113" w:right="113"/>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财政专户管理资金</w:t>
            </w:r>
          </w:p>
        </w:tc>
        <w:tc>
          <w:tcPr>
            <w:tcW w:w="567" w:type="dxa"/>
            <w:textDirection w:val="tbRlV"/>
            <w:vAlign w:val="center"/>
          </w:tcPr>
          <w:p>
            <w:pPr>
              <w:autoSpaceDN w:val="0"/>
              <w:ind w:left="113" w:right="113"/>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专项业务支出</w:t>
            </w:r>
          </w:p>
        </w:tc>
        <w:tc>
          <w:tcPr>
            <w:tcW w:w="1683" w:type="dxa"/>
            <w:vAlign w:val="center"/>
          </w:tcPr>
          <w:p>
            <w:pPr>
              <w:autoSpaceDN w:val="0"/>
              <w:jc w:val="center"/>
              <w:textAlignment w:val="center"/>
              <w:rPr>
                <w:rFonts w:asciiTheme="minorEastAsia" w:hAnsiTheme="minorEastAsia" w:eastAsiaTheme="minorEastAsia"/>
                <w:color w:val="000000"/>
                <w:sz w:val="20"/>
              </w:rPr>
            </w:pPr>
          </w:p>
        </w:tc>
        <w:tc>
          <w:tcPr>
            <w:tcW w:w="880" w:type="dxa"/>
            <w:gridSpan w:val="2"/>
            <w:vAlign w:val="center"/>
          </w:tcPr>
          <w:p>
            <w:pPr>
              <w:autoSpaceDN w:val="0"/>
              <w:jc w:val="center"/>
              <w:textAlignment w:val="center"/>
              <w:rPr>
                <w:rFonts w:asciiTheme="minorEastAsia" w:hAnsiTheme="minorEastAsia" w:eastAsiaTheme="minorEastAsia"/>
                <w:color w:val="000000"/>
                <w:sz w:val="20"/>
              </w:rPr>
            </w:pPr>
          </w:p>
        </w:tc>
        <w:tc>
          <w:tcPr>
            <w:tcW w:w="992" w:type="dxa"/>
            <w:vAlign w:val="center"/>
          </w:tcPr>
          <w:p>
            <w:pPr>
              <w:autoSpaceDN w:val="0"/>
              <w:jc w:val="center"/>
              <w:textAlignment w:val="center"/>
              <w:rPr>
                <w:rFonts w:asciiTheme="minorEastAsia" w:hAnsiTheme="minorEastAsia" w:eastAsiaTheme="minorEastAsia"/>
                <w:color w:val="000000"/>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140.78</w:t>
            </w:r>
          </w:p>
        </w:tc>
        <w:tc>
          <w:tcPr>
            <w:tcW w:w="851"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128.50</w:t>
            </w: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12.28</w:t>
            </w: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14"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pPr>
              <w:rPr>
                <w:rFonts w:asciiTheme="minorEastAsia" w:hAnsiTheme="minorEastAsia" w:eastAsiaTheme="minorEastAsia"/>
                <w:sz w:val="20"/>
              </w:rPr>
            </w:pPr>
          </w:p>
        </w:tc>
        <w:tc>
          <w:tcPr>
            <w:tcW w:w="1683" w:type="dxa"/>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专项普查活动</w:t>
            </w:r>
          </w:p>
        </w:tc>
        <w:tc>
          <w:tcPr>
            <w:tcW w:w="880" w:type="dxa"/>
            <w:gridSpan w:val="2"/>
            <w:vAlign w:val="center"/>
          </w:tcPr>
          <w:p>
            <w:pPr>
              <w:autoSpaceDN w:val="0"/>
              <w:jc w:val="center"/>
              <w:textAlignment w:val="center"/>
              <w:rPr>
                <w:rFonts w:asciiTheme="minorEastAsia" w:hAnsiTheme="minorEastAsia" w:eastAsiaTheme="minorEastAsia"/>
                <w:color w:val="000000"/>
                <w:sz w:val="20"/>
              </w:rPr>
            </w:pPr>
          </w:p>
        </w:tc>
        <w:tc>
          <w:tcPr>
            <w:tcW w:w="992" w:type="dxa"/>
          </w:tcPr>
          <w:p>
            <w:pPr>
              <w:rPr>
                <w:rFonts w:asciiTheme="minorEastAsia" w:hAnsiTheme="minorEastAsia" w:eastAsiaTheme="minorEastAsia"/>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83.19</w:t>
            </w:r>
          </w:p>
        </w:tc>
        <w:tc>
          <w:tcPr>
            <w:tcW w:w="851"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76.64</w:t>
            </w: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6.55</w:t>
            </w: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14"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Pr>
          <w:p>
            <w:pPr>
              <w:rPr>
                <w:rFonts w:asciiTheme="minorEastAsia" w:hAnsiTheme="minorEastAsia" w:eastAsiaTheme="minorEastAsia"/>
                <w:sz w:val="20"/>
              </w:rPr>
            </w:pPr>
          </w:p>
        </w:tc>
        <w:tc>
          <w:tcPr>
            <w:tcW w:w="1683" w:type="dxa"/>
            <w:vAlign w:val="center"/>
          </w:tcPr>
          <w:p>
            <w:pPr>
              <w:autoSpaceDN w:val="0"/>
              <w:textAlignment w:val="center"/>
              <w:rPr>
                <w:rFonts w:asciiTheme="minorEastAsia" w:hAnsiTheme="minorEastAsia" w:eastAsiaTheme="minorEastAsia"/>
                <w:color w:val="000000"/>
                <w:sz w:val="20"/>
              </w:rPr>
            </w:pPr>
          </w:p>
        </w:tc>
        <w:tc>
          <w:tcPr>
            <w:tcW w:w="880" w:type="dxa"/>
            <w:gridSpan w:val="2"/>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第五次全国经济普查经费</w:t>
            </w:r>
          </w:p>
        </w:tc>
        <w:tc>
          <w:tcPr>
            <w:tcW w:w="992" w:type="dxa"/>
          </w:tcPr>
          <w:p>
            <w:pPr>
              <w:rPr>
                <w:rFonts w:asciiTheme="minorEastAsia" w:hAnsiTheme="minorEastAsia" w:eastAsiaTheme="minorEastAsia"/>
                <w:sz w:val="20"/>
              </w:rPr>
            </w:pPr>
            <w:r>
              <w:rPr>
                <w:rFonts w:asciiTheme="minorEastAsia" w:hAnsiTheme="minorEastAsia" w:eastAsiaTheme="minorEastAsia"/>
                <w:color w:val="000000"/>
                <w:sz w:val="20"/>
              </w:rPr>
              <w:t>梅河口市统计局（本级）</w:t>
            </w: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83.19</w:t>
            </w:r>
          </w:p>
        </w:tc>
        <w:tc>
          <w:tcPr>
            <w:tcW w:w="851"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76.64</w:t>
            </w: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6.55</w:t>
            </w: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14"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autoSpaceDN w:val="0"/>
              <w:jc w:val="center"/>
              <w:textAlignment w:val="center"/>
              <w:rPr>
                <w:rFonts w:asciiTheme="minorEastAsia" w:hAnsiTheme="minorEastAsia" w:eastAsiaTheme="minorEastAsia"/>
                <w:color w:val="000000"/>
                <w:sz w:val="20"/>
              </w:rPr>
            </w:pPr>
          </w:p>
        </w:tc>
        <w:tc>
          <w:tcPr>
            <w:tcW w:w="1683" w:type="dxa"/>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专项统计业务</w:t>
            </w:r>
          </w:p>
        </w:tc>
        <w:tc>
          <w:tcPr>
            <w:tcW w:w="880" w:type="dxa"/>
            <w:gridSpan w:val="2"/>
            <w:vAlign w:val="center"/>
          </w:tcPr>
          <w:p>
            <w:pPr>
              <w:autoSpaceDN w:val="0"/>
              <w:jc w:val="center"/>
              <w:textAlignment w:val="center"/>
              <w:rPr>
                <w:rFonts w:asciiTheme="minorEastAsia" w:hAnsiTheme="minorEastAsia" w:eastAsiaTheme="minorEastAsia"/>
                <w:color w:val="000000"/>
                <w:sz w:val="20"/>
              </w:rPr>
            </w:pPr>
          </w:p>
        </w:tc>
        <w:tc>
          <w:tcPr>
            <w:tcW w:w="992" w:type="dxa"/>
            <w:vAlign w:val="center"/>
          </w:tcPr>
          <w:p>
            <w:pPr>
              <w:autoSpaceDN w:val="0"/>
              <w:jc w:val="center"/>
              <w:textAlignment w:val="center"/>
              <w:rPr>
                <w:rFonts w:asciiTheme="minorEastAsia" w:hAnsiTheme="minorEastAsia" w:eastAsiaTheme="minorEastAsia"/>
                <w:color w:val="000000"/>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47.86</w:t>
            </w:r>
          </w:p>
        </w:tc>
        <w:tc>
          <w:tcPr>
            <w:tcW w:w="851"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42.13</w:t>
            </w: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5.73</w:t>
            </w: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14"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autoSpaceDN w:val="0"/>
              <w:jc w:val="center"/>
              <w:textAlignment w:val="center"/>
              <w:rPr>
                <w:rFonts w:asciiTheme="minorEastAsia" w:hAnsiTheme="minorEastAsia" w:eastAsiaTheme="minorEastAsia"/>
                <w:color w:val="000000"/>
                <w:sz w:val="20"/>
              </w:rPr>
            </w:pPr>
          </w:p>
        </w:tc>
        <w:tc>
          <w:tcPr>
            <w:tcW w:w="1683" w:type="dxa"/>
            <w:vAlign w:val="center"/>
          </w:tcPr>
          <w:p>
            <w:pPr>
              <w:autoSpaceDN w:val="0"/>
              <w:jc w:val="center"/>
              <w:textAlignment w:val="center"/>
              <w:rPr>
                <w:rFonts w:asciiTheme="minorEastAsia" w:hAnsiTheme="minorEastAsia" w:eastAsiaTheme="minorEastAsia"/>
                <w:color w:val="000000"/>
                <w:sz w:val="20"/>
              </w:rPr>
            </w:pPr>
          </w:p>
        </w:tc>
        <w:tc>
          <w:tcPr>
            <w:tcW w:w="880" w:type="dxa"/>
            <w:gridSpan w:val="2"/>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统计调查经费</w:t>
            </w:r>
          </w:p>
        </w:tc>
        <w:tc>
          <w:tcPr>
            <w:tcW w:w="992" w:type="dxa"/>
          </w:tcPr>
          <w:p>
            <w:pPr>
              <w:rPr>
                <w:rFonts w:asciiTheme="minorEastAsia" w:hAnsiTheme="minorEastAsia" w:eastAsiaTheme="minorEastAsia"/>
                <w:sz w:val="20"/>
              </w:rPr>
            </w:pPr>
            <w:r>
              <w:rPr>
                <w:rFonts w:asciiTheme="minorEastAsia" w:hAnsiTheme="minorEastAsia" w:eastAsiaTheme="minorEastAsia"/>
                <w:color w:val="000000"/>
                <w:sz w:val="20"/>
              </w:rPr>
              <w:t>梅河口市统计局（本级）</w:t>
            </w: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47.86</w:t>
            </w:r>
          </w:p>
        </w:tc>
        <w:tc>
          <w:tcPr>
            <w:tcW w:w="851"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42.13</w:t>
            </w: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5.73</w:t>
            </w: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14"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autoSpaceDN w:val="0"/>
              <w:jc w:val="center"/>
              <w:textAlignment w:val="center"/>
              <w:rPr>
                <w:rFonts w:asciiTheme="minorEastAsia" w:hAnsiTheme="minorEastAsia" w:eastAsiaTheme="minorEastAsia"/>
                <w:color w:val="000000"/>
                <w:sz w:val="20"/>
              </w:rPr>
            </w:pPr>
          </w:p>
        </w:tc>
        <w:tc>
          <w:tcPr>
            <w:tcW w:w="1683"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统计综合业务管理</w:t>
            </w:r>
          </w:p>
        </w:tc>
        <w:tc>
          <w:tcPr>
            <w:tcW w:w="880" w:type="dxa"/>
            <w:gridSpan w:val="2"/>
            <w:vAlign w:val="center"/>
          </w:tcPr>
          <w:p>
            <w:pPr>
              <w:spacing w:line="700" w:lineRule="exact"/>
              <w:jc w:val="center"/>
              <w:rPr>
                <w:rFonts w:asciiTheme="minorEastAsia" w:hAnsiTheme="minorEastAsia" w:eastAsiaTheme="minorEastAsia"/>
                <w:color w:val="000000"/>
                <w:sz w:val="20"/>
              </w:rPr>
            </w:pPr>
          </w:p>
        </w:tc>
        <w:tc>
          <w:tcPr>
            <w:tcW w:w="992" w:type="dxa"/>
            <w:vAlign w:val="center"/>
          </w:tcPr>
          <w:p>
            <w:pPr>
              <w:spacing w:line="700" w:lineRule="exact"/>
              <w:jc w:val="center"/>
              <w:rPr>
                <w:rFonts w:asciiTheme="minorEastAsia" w:hAnsiTheme="minorEastAsia" w:eastAsiaTheme="minorEastAsia"/>
                <w:color w:val="000000"/>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9.73</w:t>
            </w:r>
          </w:p>
        </w:tc>
        <w:tc>
          <w:tcPr>
            <w:tcW w:w="851"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9.73</w:t>
            </w:r>
          </w:p>
        </w:tc>
        <w:tc>
          <w:tcPr>
            <w:tcW w:w="425"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425"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426"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425"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850"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426"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414"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567"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567" w:type="dxa"/>
            <w:vAlign w:val="center"/>
          </w:tcPr>
          <w:p>
            <w:pPr>
              <w:autoSpaceDN w:val="0"/>
              <w:spacing w:line="700" w:lineRule="exact"/>
              <w:jc w:val="right"/>
              <w:textAlignment w:val="center"/>
              <w:rPr>
                <w:rFonts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autoSpaceDN w:val="0"/>
              <w:jc w:val="center"/>
              <w:textAlignment w:val="center"/>
              <w:rPr>
                <w:rFonts w:asciiTheme="minorEastAsia" w:hAnsiTheme="minorEastAsia" w:eastAsiaTheme="minorEastAsia"/>
                <w:color w:val="000000"/>
                <w:sz w:val="20"/>
              </w:rPr>
            </w:pPr>
          </w:p>
        </w:tc>
        <w:tc>
          <w:tcPr>
            <w:tcW w:w="1683" w:type="dxa"/>
            <w:vAlign w:val="center"/>
          </w:tcPr>
          <w:p>
            <w:pPr>
              <w:autoSpaceDN w:val="0"/>
              <w:jc w:val="center"/>
              <w:textAlignment w:val="center"/>
              <w:rPr>
                <w:rFonts w:asciiTheme="minorEastAsia" w:hAnsiTheme="minorEastAsia" w:eastAsiaTheme="minorEastAsia"/>
                <w:color w:val="000000"/>
                <w:sz w:val="20"/>
              </w:rPr>
            </w:pPr>
          </w:p>
        </w:tc>
        <w:tc>
          <w:tcPr>
            <w:tcW w:w="880" w:type="dxa"/>
            <w:gridSpan w:val="2"/>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员额人员经费</w:t>
            </w:r>
          </w:p>
        </w:tc>
        <w:tc>
          <w:tcPr>
            <w:tcW w:w="992" w:type="dxa"/>
            <w:vAlign w:val="center"/>
          </w:tcPr>
          <w:p>
            <w:pPr>
              <w:rPr>
                <w:rFonts w:asciiTheme="minorEastAsia" w:hAnsiTheme="minorEastAsia" w:eastAsiaTheme="minorEastAsia"/>
                <w:color w:val="000000"/>
                <w:sz w:val="20"/>
              </w:rPr>
            </w:pPr>
            <w:r>
              <w:rPr>
                <w:rFonts w:asciiTheme="minorEastAsia" w:hAnsiTheme="minorEastAsia" w:eastAsiaTheme="minorEastAsia"/>
                <w:color w:val="000000"/>
                <w:sz w:val="20"/>
              </w:rPr>
              <w:t>梅河口市统计局（本级）</w:t>
            </w: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9.73</w:t>
            </w:r>
          </w:p>
        </w:tc>
        <w:tc>
          <w:tcPr>
            <w:tcW w:w="851"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9.73</w:t>
            </w:r>
          </w:p>
        </w:tc>
        <w:tc>
          <w:tcPr>
            <w:tcW w:w="425"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425"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426"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425"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850"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426"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414"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567" w:type="dxa"/>
            <w:vAlign w:val="center"/>
          </w:tcPr>
          <w:p>
            <w:pPr>
              <w:autoSpaceDN w:val="0"/>
              <w:spacing w:line="700" w:lineRule="exact"/>
              <w:jc w:val="right"/>
              <w:textAlignment w:val="center"/>
              <w:rPr>
                <w:rFonts w:asciiTheme="minorEastAsia" w:hAnsiTheme="minorEastAsia" w:eastAsiaTheme="minorEastAsia"/>
                <w:color w:val="000000"/>
                <w:sz w:val="20"/>
              </w:rPr>
            </w:pPr>
          </w:p>
        </w:tc>
        <w:tc>
          <w:tcPr>
            <w:tcW w:w="567" w:type="dxa"/>
            <w:vAlign w:val="center"/>
          </w:tcPr>
          <w:p>
            <w:pPr>
              <w:autoSpaceDN w:val="0"/>
              <w:spacing w:line="700" w:lineRule="exact"/>
              <w:jc w:val="right"/>
              <w:textAlignment w:val="center"/>
              <w:rPr>
                <w:rFonts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合计</w:t>
            </w:r>
          </w:p>
        </w:tc>
        <w:tc>
          <w:tcPr>
            <w:tcW w:w="1683" w:type="dxa"/>
            <w:vAlign w:val="center"/>
          </w:tcPr>
          <w:p>
            <w:pPr>
              <w:autoSpaceDN w:val="0"/>
              <w:jc w:val="center"/>
              <w:textAlignment w:val="center"/>
              <w:rPr>
                <w:rFonts w:asciiTheme="minorEastAsia" w:hAnsiTheme="minorEastAsia" w:eastAsiaTheme="minorEastAsia"/>
                <w:color w:val="000000"/>
                <w:sz w:val="20"/>
              </w:rPr>
            </w:pPr>
          </w:p>
        </w:tc>
        <w:tc>
          <w:tcPr>
            <w:tcW w:w="880" w:type="dxa"/>
            <w:gridSpan w:val="2"/>
            <w:vAlign w:val="center"/>
          </w:tcPr>
          <w:p>
            <w:pPr>
              <w:spacing w:line="700" w:lineRule="exact"/>
              <w:jc w:val="center"/>
              <w:rPr>
                <w:rFonts w:asciiTheme="minorEastAsia" w:hAnsiTheme="minorEastAsia" w:eastAsiaTheme="minorEastAsia"/>
                <w:color w:val="000000"/>
                <w:sz w:val="20"/>
              </w:rPr>
            </w:pPr>
          </w:p>
        </w:tc>
        <w:tc>
          <w:tcPr>
            <w:tcW w:w="992" w:type="dxa"/>
            <w:vAlign w:val="center"/>
          </w:tcPr>
          <w:p>
            <w:pPr>
              <w:spacing w:line="700" w:lineRule="exact"/>
              <w:jc w:val="center"/>
              <w:rPr>
                <w:rFonts w:asciiTheme="minorEastAsia" w:hAnsiTheme="minorEastAsia" w:eastAsiaTheme="minorEastAsia"/>
                <w:color w:val="000000"/>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140.78</w:t>
            </w:r>
          </w:p>
        </w:tc>
        <w:tc>
          <w:tcPr>
            <w:tcW w:w="851"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128.50</w:t>
            </w: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25" w:type="dxa"/>
            <w:vAlign w:val="center"/>
          </w:tcPr>
          <w:p>
            <w:pPr>
              <w:autoSpaceDN w:val="0"/>
              <w:jc w:val="right"/>
              <w:textAlignment w:val="center"/>
              <w:rPr>
                <w:rFonts w:asciiTheme="minorEastAsia" w:hAnsiTheme="minorEastAsia" w:eastAsiaTheme="minorEastAsia"/>
                <w:color w:val="000000"/>
                <w:sz w:val="20"/>
              </w:rPr>
            </w:pPr>
          </w:p>
        </w:tc>
        <w:tc>
          <w:tcPr>
            <w:tcW w:w="850" w:type="dxa"/>
            <w:vAlign w:val="center"/>
          </w:tcPr>
          <w:p>
            <w:pPr>
              <w:autoSpaceDN w:val="0"/>
              <w:jc w:val="righ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12.28</w:t>
            </w:r>
          </w:p>
        </w:tc>
        <w:tc>
          <w:tcPr>
            <w:tcW w:w="426" w:type="dxa"/>
            <w:vAlign w:val="center"/>
          </w:tcPr>
          <w:p>
            <w:pPr>
              <w:autoSpaceDN w:val="0"/>
              <w:jc w:val="right"/>
              <w:textAlignment w:val="center"/>
              <w:rPr>
                <w:rFonts w:asciiTheme="minorEastAsia" w:hAnsiTheme="minorEastAsia" w:eastAsiaTheme="minorEastAsia"/>
                <w:color w:val="000000"/>
                <w:sz w:val="20"/>
              </w:rPr>
            </w:pPr>
          </w:p>
        </w:tc>
        <w:tc>
          <w:tcPr>
            <w:tcW w:w="414"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c>
          <w:tcPr>
            <w:tcW w:w="567" w:type="dxa"/>
            <w:vAlign w:val="center"/>
          </w:tcPr>
          <w:p>
            <w:pPr>
              <w:autoSpaceDN w:val="0"/>
              <w:jc w:val="right"/>
              <w:textAlignment w:val="center"/>
              <w:rPr>
                <w:rFonts w:asciiTheme="minorEastAsia" w:hAnsiTheme="minorEastAsia" w:eastAsiaTheme="minorEastAsia"/>
                <w:color w:val="000000"/>
                <w:sz w:val="20"/>
              </w:rPr>
            </w:pPr>
          </w:p>
        </w:tc>
      </w:tr>
    </w:tbl>
    <w:p>
      <w:pPr>
        <w:rPr>
          <w:rFonts w:eastAsia="楷体"/>
          <w:kern w:val="0"/>
          <w:szCs w:val="32"/>
        </w:rPr>
      </w:pPr>
    </w:p>
    <w:p>
      <w:pPr>
        <w:autoSpaceDN w:val="0"/>
        <w:jc w:val="center"/>
        <w:textAlignment w:val="center"/>
        <w:rPr>
          <w:rFonts w:hAnsi="楷体" w:eastAsia="楷体"/>
        </w:rPr>
        <w:sectPr>
          <w:pgSz w:w="11907" w:h="16840"/>
          <w:pgMar w:top="2041" w:right="1474" w:bottom="2041" w:left="1588" w:header="851" w:footer="1588" w:gutter="0"/>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pPr>
              <w:jc w:val="center"/>
              <w:rPr>
                <w:rFonts w:ascii="Calibri" w:hAnsi="Calibri" w:eastAsia="方正小标宋简体"/>
                <w:kern w:val="0"/>
                <w:sz w:val="44"/>
                <w:szCs w:val="44"/>
              </w:rPr>
            </w:pPr>
          </w:p>
          <w:p>
            <w:pPr>
              <w:jc w:val="center"/>
              <w:rPr>
                <w:rFonts w:ascii="华文细黑" w:hAnsi="华文细黑" w:eastAsia="华文细黑" w:cs="华文细黑"/>
                <w:kern w:val="0"/>
                <w:sz w:val="20"/>
                <w:szCs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pPr>
              <w:jc w:val="right"/>
              <w:rPr>
                <w:rFonts w:ascii="华文细黑" w:hAnsi="华文细黑" w:eastAsia="华文细黑" w:cs="华文细黑"/>
                <w:kern w:val="0"/>
                <w:sz w:val="20"/>
                <w:szCs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color w:val="000000"/>
                <w:sz w:val="20"/>
                <w:szCs w:val="20"/>
              </w:rPr>
              <w:t>单位项目名称</w:t>
            </w:r>
          </w:p>
        </w:tc>
        <w:tc>
          <w:tcPr>
            <w:tcW w:w="1284" w:type="dxa"/>
            <w:vMerge w:val="restart"/>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color w:val="000000"/>
                <w:sz w:val="20"/>
                <w:szCs w:val="20"/>
              </w:rPr>
              <w:t>委托事    项内容</w:t>
            </w:r>
          </w:p>
        </w:tc>
        <w:tc>
          <w:tcPr>
            <w:tcW w:w="2778" w:type="dxa"/>
            <w:gridSpan w:val="4"/>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财政拨款收入</w:t>
            </w:r>
          </w:p>
        </w:tc>
        <w:tc>
          <w:tcPr>
            <w:tcW w:w="1063" w:type="dxa"/>
            <w:vMerge w:val="restart"/>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是否政府购买服务  （是/否）</w:t>
            </w:r>
          </w:p>
        </w:tc>
        <w:tc>
          <w:tcPr>
            <w:tcW w:w="1036" w:type="dxa"/>
            <w:vMerge w:val="restart"/>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是否政  府采购  （是/否）</w:t>
            </w:r>
          </w:p>
        </w:tc>
        <w:tc>
          <w:tcPr>
            <w:tcW w:w="803" w:type="dxa"/>
            <w:vMerge w:val="restart"/>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pPr>
              <w:jc w:val="center"/>
              <w:rPr>
                <w:rFonts w:cs="华文细黑" w:asciiTheme="minorEastAsia" w:hAnsiTheme="minorEastAsia" w:eastAsiaTheme="minorEastAsia"/>
                <w:kern w:val="0"/>
                <w:sz w:val="20"/>
                <w:szCs w:val="20"/>
              </w:rPr>
            </w:pPr>
          </w:p>
        </w:tc>
        <w:tc>
          <w:tcPr>
            <w:tcW w:w="1284" w:type="dxa"/>
            <w:vMerge w:val="continue"/>
            <w:tcBorders>
              <w:top w:val="single" w:color="auto" w:sz="4" w:space="0"/>
            </w:tcBorders>
            <w:vAlign w:val="center"/>
          </w:tcPr>
          <w:p>
            <w:pPr>
              <w:jc w:val="center"/>
              <w:rPr>
                <w:rFonts w:cs="华文细黑" w:asciiTheme="minorEastAsia" w:hAnsiTheme="minorEastAsia" w:eastAsiaTheme="minorEastAsia"/>
                <w:kern w:val="0"/>
                <w:sz w:val="20"/>
                <w:szCs w:val="20"/>
              </w:rPr>
            </w:pPr>
          </w:p>
        </w:tc>
        <w:tc>
          <w:tcPr>
            <w:tcW w:w="667" w:type="dxa"/>
            <w:tcBorders>
              <w:top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合计</w:t>
            </w:r>
          </w:p>
        </w:tc>
        <w:tc>
          <w:tcPr>
            <w:tcW w:w="666" w:type="dxa"/>
            <w:tcBorders>
              <w:top w:val="single" w:color="auto" w:sz="4" w:space="0"/>
            </w:tcBorders>
            <w:vAlign w:val="center"/>
          </w:tcPr>
          <w:p>
            <w:pPr>
              <w:jc w:val="center"/>
              <w:rPr>
                <w:rFonts w:cs="华文细黑" w:asciiTheme="minorEastAsia" w:hAnsiTheme="minorEastAsia" w:eastAsiaTheme="minorEastAsia"/>
                <w:kern w:val="0"/>
                <w:sz w:val="20"/>
                <w:szCs w:val="20"/>
              </w:rPr>
            </w:pPr>
            <w:r>
              <w:rPr>
                <w:rFonts w:hint="eastAsia" w:asciiTheme="minorEastAsia" w:hAnsiTheme="minorEastAsia" w:eastAsiaTheme="minorEastAsia"/>
                <w:color w:val="000000"/>
                <w:sz w:val="20"/>
                <w:szCs w:val="20"/>
              </w:rPr>
              <w:t>一般公共预算拨款收入</w:t>
            </w:r>
          </w:p>
        </w:tc>
        <w:tc>
          <w:tcPr>
            <w:tcW w:w="717" w:type="dxa"/>
            <w:tcBorders>
              <w:top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政府性基金预算拨款收入</w:t>
            </w:r>
          </w:p>
        </w:tc>
        <w:tc>
          <w:tcPr>
            <w:tcW w:w="728" w:type="dxa"/>
            <w:tcBorders>
              <w:top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国有资本经营预算拨款收入</w:t>
            </w:r>
          </w:p>
        </w:tc>
        <w:tc>
          <w:tcPr>
            <w:tcW w:w="1063" w:type="dxa"/>
            <w:vMerge w:val="continue"/>
            <w:tcBorders>
              <w:top w:val="single" w:color="auto" w:sz="4" w:space="0"/>
            </w:tcBorders>
            <w:vAlign w:val="center"/>
          </w:tcPr>
          <w:p>
            <w:pPr>
              <w:jc w:val="center"/>
              <w:rPr>
                <w:rFonts w:cs="华文细黑" w:asciiTheme="minorEastAsia" w:hAnsiTheme="minorEastAsia" w:eastAsiaTheme="minorEastAsia"/>
                <w:kern w:val="0"/>
                <w:sz w:val="20"/>
                <w:szCs w:val="20"/>
              </w:rPr>
            </w:pPr>
          </w:p>
        </w:tc>
        <w:tc>
          <w:tcPr>
            <w:tcW w:w="1036" w:type="dxa"/>
            <w:vMerge w:val="continue"/>
            <w:tcBorders>
              <w:top w:val="single" w:color="auto" w:sz="4" w:space="0"/>
            </w:tcBorders>
            <w:vAlign w:val="center"/>
          </w:tcPr>
          <w:p>
            <w:pPr>
              <w:jc w:val="center"/>
              <w:rPr>
                <w:rFonts w:cs="华文细黑" w:asciiTheme="minorEastAsia" w:hAnsiTheme="minorEastAsia" w:eastAsiaTheme="minorEastAsia"/>
                <w:kern w:val="0"/>
                <w:sz w:val="20"/>
                <w:szCs w:val="20"/>
              </w:rPr>
            </w:pPr>
          </w:p>
        </w:tc>
        <w:tc>
          <w:tcPr>
            <w:tcW w:w="803" w:type="dxa"/>
            <w:vMerge w:val="continue"/>
            <w:tcBorders>
              <w:top w:val="single" w:color="auto" w:sz="4" w:space="0"/>
            </w:tcBorders>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部门名称</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单位名称1</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项目名称1</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项目名称2</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单位名称2</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项目名称1</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项目名称2</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pP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bl>
    <w:p>
      <w:pPr>
        <w:ind w:firstLine="640" w:firstLineChars="200"/>
        <w:rPr>
          <w:rFonts w:eastAsia="楷体"/>
          <w:kern w:val="0"/>
          <w:szCs w:val="32"/>
        </w:rPr>
      </w:pPr>
    </w:p>
    <w:p>
      <w:pPr>
        <w:ind w:firstLine="640" w:firstLineChars="200"/>
        <w:rPr>
          <w:rFonts w:hAnsi="楷体" w:eastAsia="楷体"/>
        </w:rPr>
        <w:sectPr>
          <w:pgSz w:w="11907" w:h="16840"/>
          <w:pgMar w:top="2041" w:right="1474" w:bottom="2041" w:left="1588" w:header="851" w:footer="1588" w:gutter="0"/>
          <w:pgNumType w:fmt="numberInDash"/>
          <w:cols w:space="720" w:num="1"/>
          <w:titlePg/>
          <w:docGrid w:type="lines" w:linePitch="574" w:charSpace="-1675"/>
        </w:sectPr>
      </w:pPr>
    </w:p>
    <w:p>
      <w:pPr>
        <w:ind w:firstLine="640" w:firstLineChars="200"/>
        <w:rPr>
          <w:rFonts w:hAnsi="楷体" w:eastAsia="楷体"/>
        </w:rPr>
      </w:pPr>
    </w:p>
    <w:p>
      <w:pPr>
        <w:ind w:firstLine="640" w:firstLineChars="200"/>
        <w:rPr>
          <w:rFonts w:hAnsi="楷体" w:eastAsia="楷体"/>
        </w:rPr>
      </w:pPr>
    </w:p>
    <w:tbl>
      <w:tblPr>
        <w:tblStyle w:val="10"/>
        <w:tblW w:w="11341"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2"/>
        <w:gridCol w:w="1134"/>
        <w:gridCol w:w="992"/>
        <w:gridCol w:w="709"/>
        <w:gridCol w:w="1417"/>
        <w:gridCol w:w="1701"/>
        <w:gridCol w:w="1843"/>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341" w:type="dxa"/>
            <w:gridSpan w:val="10"/>
            <w:tcBorders>
              <w:top w:val="nil"/>
              <w:left w:val="nil"/>
              <w:bottom w:val="single" w:color="000000" w:sz="4" w:space="0"/>
              <w:right w:val="nil"/>
            </w:tcBorders>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ind w:left="400" w:hanging="400" w:hangingChars="200"/>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单位名称</w:t>
            </w:r>
          </w:p>
        </w:tc>
        <w:tc>
          <w:tcPr>
            <w:tcW w:w="852"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年度资  金总额   （万元）</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年度绩  效目标</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一级指标</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二级指标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三级指标</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指标解释</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指标值</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restart"/>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梅河口市统计局（本级）</w:t>
            </w:r>
          </w:p>
        </w:tc>
        <w:tc>
          <w:tcPr>
            <w:tcW w:w="852" w:type="dxa"/>
            <w:vMerge w:val="restart"/>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第五次全国经济普查经费</w:t>
            </w:r>
          </w:p>
        </w:tc>
        <w:tc>
          <w:tcPr>
            <w:tcW w:w="1134" w:type="dxa"/>
            <w:vMerge w:val="restart"/>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76.64</w:t>
            </w:r>
          </w:p>
        </w:tc>
        <w:tc>
          <w:tcPr>
            <w:tcW w:w="992" w:type="dxa"/>
            <w:vMerge w:val="restart"/>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完成第五次全国经济普查的录入、审核、整理及开发工作。</w:t>
            </w:r>
          </w:p>
        </w:tc>
        <w:tc>
          <w:tcPr>
            <w:tcW w:w="709"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产出指标</w:t>
            </w:r>
          </w:p>
        </w:tc>
        <w:tc>
          <w:tcPr>
            <w:tcW w:w="141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数量指标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普查员、普查指导员补贴发放人数</w:t>
            </w:r>
          </w:p>
        </w:tc>
        <w:tc>
          <w:tcPr>
            <w:tcW w:w="1843" w:type="dxa"/>
            <w:vAlign w:val="center"/>
          </w:tcPr>
          <w:p>
            <w:pPr>
              <w:jc w:val="center"/>
              <w:rPr>
                <w:rFonts w:cs="华文细黑" w:asciiTheme="minorEastAsia" w:hAnsiTheme="minorEastAsia" w:eastAsiaTheme="minorEastAsia"/>
                <w:b/>
                <w:kern w:val="0"/>
                <w:sz w:val="20"/>
                <w:szCs w:val="20"/>
              </w:rPr>
            </w:pPr>
            <w:r>
              <w:rPr>
                <w:rFonts w:hint="eastAsia" w:cs="华文细黑" w:asciiTheme="minorEastAsia" w:hAnsiTheme="minorEastAsia" w:eastAsiaTheme="minorEastAsia"/>
                <w:kern w:val="0"/>
                <w:sz w:val="20"/>
                <w:szCs w:val="20"/>
              </w:rPr>
              <w:t>反映普查员、普查指导员补贴发放人数</w:t>
            </w:r>
            <w:r>
              <w:rPr>
                <w:rFonts w:hint="eastAsia" w:cs="华文细黑" w:asciiTheme="minorEastAsia" w:hAnsiTheme="minorEastAsia" w:eastAsiaTheme="minorEastAsia"/>
                <w:b/>
                <w:kern w:val="0"/>
                <w:sz w:val="20"/>
                <w:szCs w:val="20"/>
              </w:rPr>
              <w:t>。</w:t>
            </w:r>
          </w:p>
        </w:tc>
        <w:tc>
          <w:tcPr>
            <w:tcW w:w="992" w:type="dxa"/>
            <w:vAlign w:val="center"/>
          </w:tcPr>
          <w:p>
            <w:pPr>
              <w:jc w:val="center"/>
              <w:rPr>
                <w:rFonts w:cs="华文细黑" w:asciiTheme="minorEastAsia" w:hAnsiTheme="minorEastAsia" w:eastAsiaTheme="minorEastAsia"/>
                <w:kern w:val="0"/>
                <w:sz w:val="20"/>
                <w:szCs w:val="20"/>
              </w:rPr>
            </w:pPr>
            <w:r>
              <w:rPr>
                <w:rFonts w:hint="default" w:ascii="Arial" w:hAnsi="Arial" w:eastAsia="宋体" w:cs="Arial"/>
                <w:kern w:val="0"/>
                <w:sz w:val="20"/>
                <w:szCs w:val="20"/>
                <w:vertAlign w:val="baseline"/>
                <w:lang w:val="en-US" w:eastAsia="zh-CN"/>
              </w:rPr>
              <w:t>≥</w:t>
            </w:r>
            <w:r>
              <w:rPr>
                <w:rFonts w:hint="eastAsia" w:cs="华文细黑" w:asciiTheme="minorEastAsia" w:hAnsiTheme="minorEastAsia" w:eastAsiaTheme="minorEastAsia"/>
                <w:kern w:val="0"/>
                <w:sz w:val="20"/>
                <w:szCs w:val="20"/>
              </w:rPr>
              <w:t>160人</w:t>
            </w:r>
          </w:p>
        </w:tc>
        <w:tc>
          <w:tcPr>
            <w:tcW w:w="851"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85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134"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质量指标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统计报告审核通过率</w:t>
            </w:r>
          </w:p>
        </w:tc>
        <w:tc>
          <w:tcPr>
            <w:tcW w:w="1843"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反映统计分析报告评审通过的情况。</w:t>
            </w:r>
          </w:p>
        </w:tc>
        <w:tc>
          <w:tcPr>
            <w:tcW w:w="992"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=100%</w:t>
            </w:r>
          </w:p>
        </w:tc>
        <w:tc>
          <w:tcPr>
            <w:tcW w:w="851"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85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134"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continue"/>
            <w:vAlign w:val="center"/>
          </w:tcPr>
          <w:p>
            <w:pPr>
              <w:jc w:val="center"/>
              <w:rPr>
                <w:rFonts w:cs="华文细黑" w:asciiTheme="minorEastAsia" w:hAnsiTheme="minorEastAsia" w:eastAsiaTheme="minorEastAsia"/>
                <w:kern w:val="0"/>
                <w:sz w:val="20"/>
                <w:szCs w:val="20"/>
              </w:rPr>
            </w:pP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调查员、调查记补助发放准确率</w:t>
            </w:r>
          </w:p>
        </w:tc>
        <w:tc>
          <w:tcPr>
            <w:tcW w:w="1843"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反映对参与经济普查的普查员、调查员补助发放对象和数额准确率的情况。</w:t>
            </w:r>
          </w:p>
        </w:tc>
        <w:tc>
          <w:tcPr>
            <w:tcW w:w="992"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=100%</w:t>
            </w:r>
          </w:p>
        </w:tc>
        <w:tc>
          <w:tcPr>
            <w:tcW w:w="851"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85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134"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时效指标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分析报告完成时间</w:t>
            </w:r>
          </w:p>
        </w:tc>
        <w:tc>
          <w:tcPr>
            <w:tcW w:w="1843"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反映经济普查数据分析情况报告完成及时性。</w:t>
            </w:r>
          </w:p>
        </w:tc>
        <w:tc>
          <w:tcPr>
            <w:tcW w:w="992"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12月31日前</w:t>
            </w:r>
          </w:p>
        </w:tc>
        <w:tc>
          <w:tcPr>
            <w:tcW w:w="851"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85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134"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continue"/>
            <w:vAlign w:val="center"/>
          </w:tcPr>
          <w:p>
            <w:pPr>
              <w:jc w:val="center"/>
              <w:rPr>
                <w:rFonts w:cs="华文细黑" w:asciiTheme="minorEastAsia" w:hAnsiTheme="minorEastAsia" w:eastAsiaTheme="minorEastAsia"/>
                <w:kern w:val="0"/>
                <w:sz w:val="20"/>
                <w:szCs w:val="20"/>
              </w:rPr>
            </w:pP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按时发放两员补贴</w:t>
            </w:r>
          </w:p>
        </w:tc>
        <w:tc>
          <w:tcPr>
            <w:tcW w:w="1843"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反映及时发放两员补贴</w:t>
            </w:r>
          </w:p>
        </w:tc>
        <w:tc>
          <w:tcPr>
            <w:tcW w:w="992"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12月31日前</w:t>
            </w:r>
          </w:p>
        </w:tc>
        <w:tc>
          <w:tcPr>
            <w:tcW w:w="851"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85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134"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效益指标</w:t>
            </w:r>
          </w:p>
        </w:tc>
        <w:tc>
          <w:tcPr>
            <w:tcW w:w="1417"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社会效益指标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经济普查行业分析报告</w:t>
            </w:r>
          </w:p>
        </w:tc>
        <w:tc>
          <w:tcPr>
            <w:tcW w:w="1843"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利用经济普查数据开展行业分析</w:t>
            </w:r>
          </w:p>
        </w:tc>
        <w:tc>
          <w:tcPr>
            <w:tcW w:w="992"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=100%</w:t>
            </w:r>
          </w:p>
        </w:tc>
        <w:tc>
          <w:tcPr>
            <w:tcW w:w="85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85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134"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continue"/>
            <w:vAlign w:val="center"/>
          </w:tcPr>
          <w:p>
            <w:pPr>
              <w:jc w:val="center"/>
              <w:rPr>
                <w:rFonts w:cs="华文细黑" w:asciiTheme="minorEastAsia" w:hAnsiTheme="minorEastAsia" w:eastAsiaTheme="minorEastAsia"/>
                <w:kern w:val="0"/>
                <w:sz w:val="20"/>
                <w:szCs w:val="20"/>
              </w:rPr>
            </w:pP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普查员、普查指导员补贴发放覆盖率</w:t>
            </w:r>
          </w:p>
        </w:tc>
        <w:tc>
          <w:tcPr>
            <w:tcW w:w="1843"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反映普查员、普查指导员补贴发放覆盖率情况。</w:t>
            </w:r>
          </w:p>
        </w:tc>
        <w:tc>
          <w:tcPr>
            <w:tcW w:w="992"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=100%</w:t>
            </w:r>
          </w:p>
        </w:tc>
        <w:tc>
          <w:tcPr>
            <w:tcW w:w="85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20</w:t>
            </w:r>
          </w:p>
        </w:tc>
      </w:tr>
    </w:tbl>
    <w:p/>
    <w:p/>
    <w:p/>
    <w:p/>
    <w:p/>
    <w:p/>
    <w:p>
      <w:pPr>
        <w:widowControl/>
        <w:jc w:val="center"/>
        <w:rPr>
          <w:rFonts w:eastAsia="方正小标宋简体"/>
          <w:kern w:val="0"/>
          <w:sz w:val="44"/>
          <w:szCs w:val="44"/>
        </w:rPr>
      </w:pPr>
    </w:p>
    <w:p>
      <w:pPr>
        <w:widowControl/>
        <w:jc w:val="center"/>
        <w:rPr>
          <w:rFonts w:eastAsia="方正小标宋简体"/>
          <w:kern w:val="0"/>
          <w:sz w:val="44"/>
          <w:szCs w:val="44"/>
        </w:rPr>
      </w:pPr>
      <w:r>
        <w:rPr>
          <w:rFonts w:hint="eastAsia" w:eastAsia="方正小标宋简体"/>
          <w:kern w:val="0"/>
          <w:sz w:val="44"/>
          <w:szCs w:val="44"/>
        </w:rPr>
        <w:t>项目支出绩效目标</w:t>
      </w:r>
      <w:r>
        <w:rPr>
          <w:rFonts w:eastAsia="方正小标宋简体"/>
          <w:kern w:val="0"/>
          <w:sz w:val="44"/>
          <w:szCs w:val="44"/>
        </w:rPr>
        <w:t>表</w:t>
      </w:r>
    </w:p>
    <w:p/>
    <w:tbl>
      <w:tblPr>
        <w:tblStyle w:val="10"/>
        <w:tblW w:w="11341"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93"/>
        <w:gridCol w:w="993"/>
        <w:gridCol w:w="992"/>
        <w:gridCol w:w="709"/>
        <w:gridCol w:w="1417"/>
        <w:gridCol w:w="1701"/>
        <w:gridCol w:w="2268"/>
        <w:gridCol w:w="85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ind w:left="400" w:hanging="400" w:hangingChars="200"/>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单位名称</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年度资  金总额   （万元）</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年度绩  效目标</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一级指标</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二级指标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三级指标</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指标解释</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指标值</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restart"/>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梅河口市统计局（本级）</w:t>
            </w:r>
          </w:p>
        </w:tc>
        <w:tc>
          <w:tcPr>
            <w:tcW w:w="993" w:type="dxa"/>
            <w:vMerge w:val="restart"/>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统计调查经费</w:t>
            </w:r>
          </w:p>
        </w:tc>
        <w:tc>
          <w:tcPr>
            <w:tcW w:w="993" w:type="dxa"/>
            <w:vMerge w:val="restart"/>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42.13</w:t>
            </w:r>
          </w:p>
        </w:tc>
        <w:tc>
          <w:tcPr>
            <w:tcW w:w="992" w:type="dxa"/>
            <w:vMerge w:val="restart"/>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1.组织落实全市国民经济和社会发展各专业的调查任务。2.指导各部门和基层统计人员的统计工作及人员培训。3.做好统计宣传工作。</w:t>
            </w:r>
          </w:p>
        </w:tc>
        <w:tc>
          <w:tcPr>
            <w:tcW w:w="709"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产出指标</w:t>
            </w:r>
          </w:p>
        </w:tc>
        <w:tc>
          <w:tcPr>
            <w:tcW w:w="1417"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数量指标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统计培训人次</w:t>
            </w:r>
          </w:p>
        </w:tc>
        <w:tc>
          <w:tcPr>
            <w:tcW w:w="2268" w:type="dxa"/>
            <w:vAlign w:val="center"/>
          </w:tcPr>
          <w:p>
            <w:pPr>
              <w:jc w:val="center"/>
              <w:rPr>
                <w:rFonts w:cs="华文细黑" w:asciiTheme="minorEastAsia" w:hAnsiTheme="minorEastAsia" w:eastAsiaTheme="minorEastAsia"/>
                <w:b/>
                <w:kern w:val="0"/>
                <w:sz w:val="20"/>
                <w:szCs w:val="20"/>
              </w:rPr>
            </w:pPr>
            <w:r>
              <w:rPr>
                <w:rFonts w:hint="eastAsia" w:cs="华文细黑" w:asciiTheme="minorEastAsia" w:hAnsiTheme="minorEastAsia" w:eastAsiaTheme="minorEastAsia"/>
                <w:kern w:val="0"/>
                <w:sz w:val="20"/>
                <w:szCs w:val="20"/>
              </w:rPr>
              <w:t>反映培训各级统计机构及辅助调查人员数情况</w:t>
            </w:r>
          </w:p>
        </w:tc>
        <w:tc>
          <w:tcPr>
            <w:tcW w:w="851" w:type="dxa"/>
            <w:vAlign w:val="center"/>
          </w:tcPr>
          <w:p>
            <w:pPr>
              <w:jc w:val="center"/>
              <w:rPr>
                <w:rFonts w:cs="华文细黑" w:asciiTheme="minorEastAsia" w:hAnsiTheme="minorEastAsia" w:eastAsiaTheme="minorEastAsia"/>
                <w:kern w:val="0"/>
                <w:sz w:val="20"/>
                <w:szCs w:val="20"/>
              </w:rPr>
            </w:pPr>
            <w:r>
              <w:rPr>
                <w:rFonts w:hint="default" w:ascii="Arial" w:hAnsi="Arial" w:eastAsia="宋体" w:cs="Arial"/>
                <w:kern w:val="0"/>
                <w:sz w:val="20"/>
                <w:szCs w:val="20"/>
                <w:vertAlign w:val="baseline"/>
                <w:lang w:val="en-US" w:eastAsia="zh-CN"/>
              </w:rPr>
              <w:t>≥</w:t>
            </w:r>
            <w:r>
              <w:rPr>
                <w:rFonts w:hint="eastAsia" w:cs="华文细黑" w:asciiTheme="minorEastAsia" w:hAnsiTheme="minorEastAsia" w:eastAsiaTheme="minorEastAsia"/>
                <w:kern w:val="0"/>
                <w:sz w:val="20"/>
                <w:szCs w:val="20"/>
              </w:rPr>
              <w:t>195人次</w:t>
            </w:r>
          </w:p>
        </w:tc>
        <w:tc>
          <w:tcPr>
            <w:tcW w:w="56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continue"/>
            <w:vAlign w:val="center"/>
          </w:tcPr>
          <w:p>
            <w:pPr>
              <w:jc w:val="center"/>
              <w:rPr>
                <w:rFonts w:cs="华文细黑" w:asciiTheme="minorEastAsia" w:hAnsiTheme="minorEastAsia" w:eastAsiaTheme="minorEastAsia"/>
                <w:kern w:val="0"/>
                <w:sz w:val="20"/>
                <w:szCs w:val="20"/>
              </w:rPr>
            </w:pP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发布统计数据</w:t>
            </w:r>
          </w:p>
        </w:tc>
        <w:tc>
          <w:tcPr>
            <w:tcW w:w="2268"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反映发布各类统计数据情况</w:t>
            </w:r>
          </w:p>
        </w:tc>
        <w:tc>
          <w:tcPr>
            <w:tcW w:w="851" w:type="dxa"/>
            <w:vAlign w:val="center"/>
          </w:tcPr>
          <w:p>
            <w:pPr>
              <w:jc w:val="center"/>
              <w:rPr>
                <w:rFonts w:cs="华文细黑" w:asciiTheme="minorEastAsia" w:hAnsiTheme="minorEastAsia" w:eastAsiaTheme="minorEastAsia"/>
                <w:kern w:val="0"/>
                <w:sz w:val="20"/>
                <w:szCs w:val="20"/>
              </w:rPr>
            </w:pPr>
            <w:r>
              <w:rPr>
                <w:rFonts w:hint="default" w:ascii="Arial" w:hAnsi="Arial" w:eastAsia="宋体" w:cs="Arial"/>
                <w:kern w:val="0"/>
                <w:sz w:val="20"/>
                <w:szCs w:val="20"/>
                <w:vertAlign w:val="baseline"/>
                <w:lang w:val="en-US" w:eastAsia="zh-CN"/>
              </w:rPr>
              <w:t>≥</w:t>
            </w:r>
            <w:r>
              <w:rPr>
                <w:rFonts w:hint="eastAsia" w:cs="华文细黑" w:asciiTheme="minorEastAsia" w:hAnsiTheme="minorEastAsia" w:eastAsiaTheme="minorEastAsia"/>
                <w:kern w:val="0"/>
                <w:sz w:val="20"/>
                <w:szCs w:val="20"/>
              </w:rPr>
              <w:t>12次</w:t>
            </w:r>
          </w:p>
        </w:tc>
        <w:tc>
          <w:tcPr>
            <w:tcW w:w="56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质量指标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培训人员合格率</w:t>
            </w:r>
          </w:p>
        </w:tc>
        <w:tc>
          <w:tcPr>
            <w:tcW w:w="2268"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反映培训人员掌握培训主要内容的程度</w:t>
            </w:r>
          </w:p>
        </w:tc>
        <w:tc>
          <w:tcPr>
            <w:tcW w:w="851"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=100%</w:t>
            </w:r>
          </w:p>
        </w:tc>
        <w:tc>
          <w:tcPr>
            <w:tcW w:w="56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continue"/>
            <w:vAlign w:val="center"/>
          </w:tcPr>
          <w:p>
            <w:pPr>
              <w:jc w:val="center"/>
              <w:rPr>
                <w:rFonts w:cs="华文细黑" w:asciiTheme="minorEastAsia" w:hAnsiTheme="minorEastAsia" w:eastAsiaTheme="minorEastAsia"/>
                <w:kern w:val="0"/>
                <w:sz w:val="20"/>
                <w:szCs w:val="20"/>
              </w:rPr>
            </w:pP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采纳统计分析数据质量</w:t>
            </w:r>
          </w:p>
        </w:tc>
        <w:tc>
          <w:tcPr>
            <w:tcW w:w="2268"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反映12月31日前被采纳统计分析数量质量篇数</w:t>
            </w:r>
          </w:p>
        </w:tc>
        <w:tc>
          <w:tcPr>
            <w:tcW w:w="851"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=100%</w:t>
            </w:r>
          </w:p>
        </w:tc>
        <w:tc>
          <w:tcPr>
            <w:tcW w:w="56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时效指标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数据上报时效</w:t>
            </w:r>
          </w:p>
        </w:tc>
        <w:tc>
          <w:tcPr>
            <w:tcW w:w="2268"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反映统计数据上报完成时效</w:t>
            </w:r>
          </w:p>
        </w:tc>
        <w:tc>
          <w:tcPr>
            <w:tcW w:w="85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12月31日前</w:t>
            </w:r>
          </w:p>
        </w:tc>
        <w:tc>
          <w:tcPr>
            <w:tcW w:w="56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continue"/>
            <w:vAlign w:val="center"/>
          </w:tcPr>
          <w:p>
            <w:pPr>
              <w:jc w:val="center"/>
              <w:rPr>
                <w:rFonts w:cs="华文细黑" w:asciiTheme="minorEastAsia" w:hAnsiTheme="minorEastAsia" w:eastAsiaTheme="minorEastAsia"/>
                <w:kern w:val="0"/>
                <w:sz w:val="20"/>
                <w:szCs w:val="20"/>
              </w:rPr>
            </w:pP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及时完成培训</w:t>
            </w:r>
          </w:p>
        </w:tc>
        <w:tc>
          <w:tcPr>
            <w:tcW w:w="2268"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反映及时完成培训时效</w:t>
            </w:r>
          </w:p>
        </w:tc>
        <w:tc>
          <w:tcPr>
            <w:tcW w:w="85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12月31日前</w:t>
            </w:r>
          </w:p>
        </w:tc>
        <w:tc>
          <w:tcPr>
            <w:tcW w:w="56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效益指标</w:t>
            </w:r>
          </w:p>
        </w:tc>
        <w:tc>
          <w:tcPr>
            <w:tcW w:w="1417"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社会效益指标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统计分析报告成果应用率</w:t>
            </w:r>
          </w:p>
        </w:tc>
        <w:tc>
          <w:tcPr>
            <w:tcW w:w="2268"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为上级统计部门查询验证数据质量时及时、准确、提供支撑基础资料</w:t>
            </w:r>
          </w:p>
        </w:tc>
        <w:tc>
          <w:tcPr>
            <w:tcW w:w="851"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=100%</w:t>
            </w:r>
          </w:p>
        </w:tc>
        <w:tc>
          <w:tcPr>
            <w:tcW w:w="56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Merge w:val="continue"/>
            <w:vAlign w:val="center"/>
          </w:tcPr>
          <w:p>
            <w:pPr>
              <w:jc w:val="center"/>
              <w:rPr>
                <w:rFonts w:cs="华文细黑" w:asciiTheme="minorEastAsia" w:hAnsiTheme="minorEastAsia" w:eastAsiaTheme="minorEastAsia"/>
                <w:kern w:val="0"/>
                <w:sz w:val="20"/>
                <w:szCs w:val="20"/>
              </w:rPr>
            </w:pP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培训对象覆盖率</w:t>
            </w:r>
          </w:p>
        </w:tc>
        <w:tc>
          <w:tcPr>
            <w:tcW w:w="2268"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反映培训对象覆盖情况</w:t>
            </w:r>
          </w:p>
        </w:tc>
        <w:tc>
          <w:tcPr>
            <w:tcW w:w="851"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=100%</w:t>
            </w:r>
          </w:p>
        </w:tc>
        <w:tc>
          <w:tcPr>
            <w:tcW w:w="56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20</w:t>
            </w:r>
          </w:p>
        </w:tc>
      </w:tr>
    </w:tbl>
    <w:p/>
    <w:p/>
    <w:p/>
    <w:p/>
    <w:p/>
    <w:p/>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r>
        <w:rPr>
          <w:rFonts w:hint="eastAsia" w:eastAsia="方正小标宋简体"/>
          <w:kern w:val="0"/>
          <w:sz w:val="44"/>
          <w:szCs w:val="44"/>
        </w:rPr>
        <w:t>项目支出绩效目标</w:t>
      </w:r>
      <w:r>
        <w:rPr>
          <w:rFonts w:eastAsia="方正小标宋简体"/>
          <w:kern w:val="0"/>
          <w:sz w:val="44"/>
          <w:szCs w:val="44"/>
        </w:rPr>
        <w:t>表</w:t>
      </w:r>
    </w:p>
    <w:p/>
    <w:tbl>
      <w:tblPr>
        <w:tblStyle w:val="10"/>
        <w:tblW w:w="11341"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93"/>
        <w:gridCol w:w="993"/>
        <w:gridCol w:w="992"/>
        <w:gridCol w:w="709"/>
        <w:gridCol w:w="1417"/>
        <w:gridCol w:w="1701"/>
        <w:gridCol w:w="1701"/>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ind w:left="400" w:hanging="400" w:hangingChars="200"/>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单位</w:t>
            </w:r>
          </w:p>
          <w:p>
            <w:pPr>
              <w:ind w:left="400" w:hanging="400" w:hangingChars="200"/>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名称</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年度资  金总额   （万元）</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年度绩  效目标</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一级指标</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二级指标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三级指标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指标解释</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指标值</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0"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梅河口市统计局（本级）</w:t>
            </w:r>
          </w:p>
        </w:tc>
        <w:tc>
          <w:tcPr>
            <w:tcW w:w="993"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员额人员经费</w:t>
            </w:r>
          </w:p>
        </w:tc>
        <w:tc>
          <w:tcPr>
            <w:tcW w:w="993"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9.73</w:t>
            </w:r>
          </w:p>
        </w:tc>
        <w:tc>
          <w:tcPr>
            <w:tcW w:w="992"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保障员额编制人员正常开展工作</w:t>
            </w:r>
          </w:p>
        </w:tc>
        <w:tc>
          <w:tcPr>
            <w:tcW w:w="709"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产出指标</w:t>
            </w:r>
          </w:p>
        </w:tc>
        <w:tc>
          <w:tcPr>
            <w:tcW w:w="141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数量指标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员额人员经费发放人数</w:t>
            </w:r>
          </w:p>
        </w:tc>
        <w:tc>
          <w:tcPr>
            <w:tcW w:w="1701" w:type="dxa"/>
            <w:vAlign w:val="center"/>
          </w:tcPr>
          <w:p>
            <w:pPr>
              <w:jc w:val="center"/>
              <w:rPr>
                <w:rFonts w:cs="华文细黑" w:asciiTheme="minorEastAsia" w:hAnsiTheme="minorEastAsia" w:eastAsiaTheme="minorEastAsia"/>
                <w:b/>
                <w:kern w:val="0"/>
                <w:sz w:val="20"/>
                <w:szCs w:val="20"/>
              </w:rPr>
            </w:pPr>
            <w:r>
              <w:rPr>
                <w:rFonts w:hint="eastAsia" w:cs="华文细黑" w:asciiTheme="minorEastAsia" w:hAnsiTheme="minorEastAsia" w:eastAsiaTheme="minorEastAsia"/>
                <w:kern w:val="0"/>
                <w:sz w:val="20"/>
                <w:szCs w:val="20"/>
              </w:rPr>
              <w:t>反映发放员额人员经费的人数情况。</w:t>
            </w:r>
          </w:p>
        </w:tc>
        <w:tc>
          <w:tcPr>
            <w:tcW w:w="1134"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=1人</w:t>
            </w:r>
          </w:p>
        </w:tc>
        <w:tc>
          <w:tcPr>
            <w:tcW w:w="85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质量指标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员额人员经费发放准确率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反映员额人员经费发放对象和数额准确的情况</w:t>
            </w:r>
          </w:p>
        </w:tc>
        <w:tc>
          <w:tcPr>
            <w:tcW w:w="1134"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=100%</w:t>
            </w:r>
          </w:p>
        </w:tc>
        <w:tc>
          <w:tcPr>
            <w:tcW w:w="85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Merge w:val="continue"/>
            <w:vAlign w:val="center"/>
          </w:tcPr>
          <w:p>
            <w:pPr>
              <w:jc w:val="center"/>
              <w:rPr>
                <w:rFonts w:cs="华文细黑" w:asciiTheme="minorEastAsia" w:hAnsiTheme="minorEastAsia" w:eastAsiaTheme="minorEastAsia"/>
                <w:kern w:val="0"/>
                <w:sz w:val="20"/>
                <w:szCs w:val="20"/>
              </w:rPr>
            </w:pPr>
          </w:p>
        </w:tc>
        <w:tc>
          <w:tcPr>
            <w:tcW w:w="141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时效指标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经费发放及时性</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反应经费发放的时效性</w:t>
            </w:r>
          </w:p>
        </w:tc>
        <w:tc>
          <w:tcPr>
            <w:tcW w:w="1134"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12月15日</w:t>
            </w:r>
          </w:p>
        </w:tc>
        <w:tc>
          <w:tcPr>
            <w:tcW w:w="85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3"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992"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09"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效益指标</w:t>
            </w:r>
          </w:p>
        </w:tc>
        <w:tc>
          <w:tcPr>
            <w:tcW w:w="141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社会效益指标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员额人员经费发放覆盖率</w:t>
            </w:r>
          </w:p>
        </w:tc>
        <w:tc>
          <w:tcPr>
            <w:tcW w:w="170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保障员额编制人员全年正常开展工作，机构正常运转。</w:t>
            </w:r>
          </w:p>
        </w:tc>
        <w:tc>
          <w:tcPr>
            <w:tcW w:w="1134" w:type="dxa"/>
            <w:vAlign w:val="center"/>
          </w:tcPr>
          <w:p>
            <w:pPr>
              <w:jc w:val="center"/>
              <w:rPr>
                <w:rFonts w:cs="华文细黑" w:asciiTheme="minorEastAsia" w:hAnsiTheme="minorEastAsia" w:eastAsiaTheme="minorEastAsia"/>
                <w:kern w:val="0"/>
                <w:sz w:val="20"/>
                <w:szCs w:val="20"/>
              </w:rPr>
            </w:pPr>
            <w:r>
              <w:rPr>
                <w:rFonts w:cs="华文细黑" w:asciiTheme="minorEastAsia" w:hAnsiTheme="minorEastAsia" w:eastAsiaTheme="minorEastAsia"/>
                <w:kern w:val="0"/>
                <w:sz w:val="20"/>
                <w:szCs w:val="20"/>
              </w:rPr>
              <w:t>=100%</w:t>
            </w:r>
          </w:p>
        </w:tc>
        <w:tc>
          <w:tcPr>
            <w:tcW w:w="851"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40</w:t>
            </w:r>
          </w:p>
        </w:tc>
      </w:tr>
    </w:tbl>
    <w:p>
      <w:pPr>
        <w:ind w:firstLine="400" w:firstLineChars="200"/>
        <w:jc w:val="center"/>
        <w:rPr>
          <w:rFonts w:asciiTheme="minorEastAsia" w:hAnsiTheme="minorEastAsia" w:eastAsiaTheme="minorEastAsia"/>
          <w:kern w:val="0"/>
          <w:sz w:val="20"/>
        </w:rPr>
      </w:pPr>
    </w:p>
    <w:p>
      <w:pPr>
        <w:ind w:firstLine="640" w:firstLineChars="200"/>
        <w:jc w:val="center"/>
        <w:rPr>
          <w:rFonts w:eastAsia="楷体"/>
          <w:kern w:val="0"/>
          <w:szCs w:val="32"/>
        </w:rPr>
      </w:pPr>
    </w:p>
    <w:p>
      <w:pPr>
        <w:ind w:firstLine="640" w:firstLineChars="200"/>
        <w:jc w:val="cente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ind w:firstLine="640" w:firstLineChars="200"/>
        <w:jc w:val="center"/>
        <w:rPr>
          <w:rFonts w:eastAsia="黑体"/>
        </w:rPr>
      </w:pPr>
    </w:p>
    <w:p>
      <w:pPr>
        <w:spacing w:line="660" w:lineRule="exact"/>
        <w:rPr>
          <w:rFonts w:eastAsia="黑体"/>
        </w:rPr>
      </w:pPr>
    </w:p>
    <w:p>
      <w:pPr>
        <w:spacing w:line="660" w:lineRule="exact"/>
        <w:jc w:val="center"/>
        <w:rPr>
          <w:rFonts w:hint="eastAsia" w:eastAsia="黑体"/>
        </w:rPr>
      </w:pPr>
    </w:p>
    <w:p>
      <w:pPr>
        <w:spacing w:line="660" w:lineRule="exact"/>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rFonts w:eastAsia="楷体"/>
          <w:szCs w:val="30"/>
        </w:rPr>
      </w:pPr>
      <w:r>
        <w:rPr>
          <w:szCs w:val="32"/>
        </w:rPr>
        <w:t>按照综合预算的原则，所有收入和支出全部纳入</w:t>
      </w:r>
      <w:r>
        <w:rPr>
          <w:rFonts w:hint="eastAsia"/>
          <w:szCs w:val="32"/>
        </w:rPr>
        <w:t>单位</w:t>
      </w:r>
      <w:r>
        <w:rPr>
          <w:szCs w:val="32"/>
        </w:rPr>
        <w:t>预算管理。收入包括：一般公共预算拨款收入</w:t>
      </w:r>
      <w:r>
        <w:rPr>
          <w:rFonts w:hint="eastAsia"/>
          <w:szCs w:val="32"/>
          <w:lang w:eastAsia="zh-CN"/>
        </w:rPr>
        <w:t>、</w:t>
      </w:r>
      <w:r>
        <w:rPr>
          <w:szCs w:val="32"/>
        </w:rPr>
        <w:t>上年结转；支出包括：一般公共服务支出、社会保障和就业支出、</w:t>
      </w:r>
      <w:r>
        <w:rPr>
          <w:rFonts w:hint="eastAsia"/>
          <w:szCs w:val="32"/>
        </w:rPr>
        <w:t>卫生健康</w:t>
      </w:r>
      <w:r>
        <w:rPr>
          <w:szCs w:val="32"/>
        </w:rPr>
        <w:t>支出、住房保障支出等。20</w:t>
      </w:r>
      <w:r>
        <w:rPr>
          <w:rFonts w:hint="eastAsia"/>
          <w:szCs w:val="32"/>
        </w:rPr>
        <w:t>24</w:t>
      </w:r>
      <w:r>
        <w:rPr>
          <w:szCs w:val="32"/>
        </w:rPr>
        <w:t>年收支总预算</w:t>
      </w:r>
      <w:r>
        <w:rPr>
          <w:rFonts w:hint="eastAsia"/>
          <w:szCs w:val="32"/>
        </w:rPr>
        <w:t>376.09</w:t>
      </w:r>
      <w:r>
        <w:rPr>
          <w:szCs w:val="32"/>
        </w:rPr>
        <w:t>万元</w:t>
      </w:r>
      <w:r>
        <w:rPr>
          <w:rFonts w:hint="eastAsia"/>
          <w:szCs w:val="32"/>
        </w:rPr>
        <w:t>，其中：本年预算354.52万元；上年结转21.57万元。2024年本年预算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65.87</w:t>
      </w:r>
      <w:r>
        <w:rPr>
          <w:szCs w:val="32"/>
        </w:rPr>
        <w:t>万元，主要原因是</w:t>
      </w:r>
      <w:r>
        <w:rPr>
          <w:rFonts w:hint="eastAsia"/>
          <w:szCs w:val="32"/>
        </w:rPr>
        <w:t>增加</w:t>
      </w:r>
      <w:r>
        <w:rPr>
          <w:szCs w:val="32"/>
        </w:rPr>
        <w:t>人员经费、项目经费。</w:t>
      </w:r>
    </w:p>
    <w:p>
      <w:pPr>
        <w:ind w:firstLine="640" w:firstLineChars="200"/>
        <w:rPr>
          <w:szCs w:val="32"/>
        </w:rPr>
      </w:pP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376.09</w:t>
      </w:r>
      <w:r>
        <w:rPr>
          <w:szCs w:val="32"/>
        </w:rPr>
        <w:t>万元，其中：本年收入</w:t>
      </w:r>
      <w:r>
        <w:rPr>
          <w:rFonts w:hint="eastAsia"/>
          <w:szCs w:val="32"/>
        </w:rPr>
        <w:t>354.52</w:t>
      </w:r>
      <w:r>
        <w:rPr>
          <w:szCs w:val="32"/>
        </w:rPr>
        <w:t>万元，占</w:t>
      </w:r>
      <w:r>
        <w:rPr>
          <w:rFonts w:hint="eastAsia"/>
          <w:szCs w:val="32"/>
        </w:rPr>
        <w:t>94.26</w:t>
      </w:r>
      <w:r>
        <w:rPr>
          <w:szCs w:val="32"/>
        </w:rPr>
        <w:t>%；上年结转</w:t>
      </w:r>
      <w:r>
        <w:rPr>
          <w:rFonts w:hint="eastAsia"/>
          <w:szCs w:val="32"/>
        </w:rPr>
        <w:t>结余21.57</w:t>
      </w:r>
      <w:r>
        <w:rPr>
          <w:szCs w:val="32"/>
        </w:rPr>
        <w:t>万元，占</w:t>
      </w:r>
      <w:r>
        <w:rPr>
          <w:rFonts w:hint="eastAsia"/>
          <w:szCs w:val="32"/>
        </w:rPr>
        <w:t>5.74</w:t>
      </w:r>
      <w:r>
        <w:rPr>
          <w:szCs w:val="32"/>
        </w:rPr>
        <w:t>%。本年收入中，一般公共预算拨款收入</w:t>
      </w:r>
      <w:r>
        <w:rPr>
          <w:rFonts w:hint="eastAsia"/>
          <w:szCs w:val="32"/>
        </w:rPr>
        <w:t>354.52</w:t>
      </w:r>
      <w:r>
        <w:rPr>
          <w:szCs w:val="32"/>
        </w:rPr>
        <w:t>万元，占</w:t>
      </w:r>
      <w:r>
        <w:rPr>
          <w:rFonts w:hint="eastAsia"/>
          <w:szCs w:val="32"/>
        </w:rPr>
        <w:t>100.00</w:t>
      </w:r>
      <w:r>
        <w:rPr>
          <w:szCs w:val="32"/>
        </w:rPr>
        <w:t>%。上年结转</w:t>
      </w:r>
      <w:r>
        <w:rPr>
          <w:rFonts w:hint="eastAsia"/>
          <w:szCs w:val="32"/>
        </w:rPr>
        <w:t>中，一般公共预算拨款结转21.57</w:t>
      </w:r>
      <w:r>
        <w:rPr>
          <w:szCs w:val="32"/>
        </w:rPr>
        <w:t>万元，占</w:t>
      </w:r>
      <w:r>
        <w:rPr>
          <w:rFonts w:hint="eastAsia"/>
          <w:szCs w:val="32"/>
        </w:rPr>
        <w:t>100.00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szCs w:val="32"/>
        </w:rPr>
      </w:pPr>
      <w:r>
        <w:rPr>
          <w:szCs w:val="32"/>
        </w:rPr>
        <w:t>20</w:t>
      </w:r>
      <w:r>
        <w:rPr>
          <w:rFonts w:hint="eastAsia"/>
          <w:szCs w:val="32"/>
        </w:rPr>
        <w:t>24</w:t>
      </w:r>
      <w:r>
        <w:rPr>
          <w:szCs w:val="32"/>
        </w:rPr>
        <w:t>年支出预算</w:t>
      </w:r>
      <w:r>
        <w:rPr>
          <w:rFonts w:hint="eastAsia"/>
          <w:szCs w:val="32"/>
        </w:rPr>
        <w:t>376.09</w:t>
      </w:r>
      <w:r>
        <w:rPr>
          <w:szCs w:val="32"/>
        </w:rPr>
        <w:t>万元，其中：基本支出</w:t>
      </w:r>
      <w:r>
        <w:rPr>
          <w:rFonts w:hint="eastAsia"/>
          <w:szCs w:val="32"/>
        </w:rPr>
        <w:t>235.31</w:t>
      </w:r>
      <w:r>
        <w:rPr>
          <w:szCs w:val="32"/>
        </w:rPr>
        <w:t>万元，占</w:t>
      </w:r>
      <w:r>
        <w:rPr>
          <w:rFonts w:hint="eastAsia"/>
          <w:szCs w:val="32"/>
        </w:rPr>
        <w:t>62.57</w:t>
      </w:r>
      <w:r>
        <w:rPr>
          <w:szCs w:val="32"/>
        </w:rPr>
        <w:t>%；项目支出</w:t>
      </w:r>
      <w:r>
        <w:rPr>
          <w:rFonts w:hint="eastAsia"/>
          <w:szCs w:val="32"/>
        </w:rPr>
        <w:t>140.78</w:t>
      </w:r>
      <w:r>
        <w:rPr>
          <w:szCs w:val="32"/>
        </w:rPr>
        <w:t>万元，占</w:t>
      </w:r>
      <w:r>
        <w:rPr>
          <w:rFonts w:hint="eastAsia"/>
          <w:szCs w:val="32"/>
        </w:rPr>
        <w:t>37.43</w:t>
      </w:r>
      <w:r>
        <w:rPr>
          <w:szCs w:val="32"/>
        </w:rPr>
        <w:t>%</w:t>
      </w:r>
      <w:r>
        <w:rPr>
          <w:rFonts w:hint="eastAsia"/>
          <w:szCs w:val="32"/>
        </w:rPr>
        <w:t>。</w:t>
      </w:r>
      <w:r>
        <w:rPr>
          <w:szCs w:val="32"/>
        </w:rPr>
        <w:t xml:space="preserve"> </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376.09</w:t>
      </w:r>
      <w:r>
        <w:rPr>
          <w:szCs w:val="32"/>
        </w:rPr>
        <w:t>万元，其中：</w:t>
      </w:r>
      <w:r>
        <w:rPr>
          <w:rFonts w:hint="eastAsia"/>
          <w:szCs w:val="32"/>
        </w:rPr>
        <w:t>本年预算354.52</w:t>
      </w:r>
      <w:r>
        <w:rPr>
          <w:szCs w:val="32"/>
        </w:rPr>
        <w:t>万元</w:t>
      </w:r>
      <w:r>
        <w:rPr>
          <w:rFonts w:hint="eastAsia"/>
          <w:szCs w:val="32"/>
        </w:rPr>
        <w:t>，上年结转21.57</w:t>
      </w:r>
      <w:r>
        <w:rPr>
          <w:szCs w:val="32"/>
        </w:rPr>
        <w:t>万元</w:t>
      </w:r>
      <w:r>
        <w:rPr>
          <w:rFonts w:hint="eastAsia"/>
          <w:szCs w:val="32"/>
        </w:rPr>
        <w:t>。</w:t>
      </w:r>
      <w:r>
        <w:rPr>
          <w:szCs w:val="32"/>
        </w:rPr>
        <w:t>支出包括：</w:t>
      </w:r>
      <w:r>
        <w:rPr>
          <w:kern w:val="0"/>
          <w:szCs w:val="32"/>
        </w:rPr>
        <w:t>一般公共服务支出</w:t>
      </w:r>
      <w:r>
        <w:rPr>
          <w:rFonts w:hint="eastAsia"/>
          <w:szCs w:val="32"/>
        </w:rPr>
        <w:t>317.03</w:t>
      </w:r>
      <w:r>
        <w:rPr>
          <w:szCs w:val="32"/>
        </w:rPr>
        <w:t>万元，</w:t>
      </w:r>
      <w:r>
        <w:rPr>
          <w:kern w:val="0"/>
          <w:szCs w:val="32"/>
        </w:rPr>
        <w:t>社会保障和就业支出</w:t>
      </w:r>
      <w:r>
        <w:rPr>
          <w:rFonts w:hint="eastAsia"/>
          <w:szCs w:val="32"/>
        </w:rPr>
        <w:t>34.32</w:t>
      </w:r>
      <w:r>
        <w:rPr>
          <w:szCs w:val="32"/>
        </w:rPr>
        <w:t>万元，</w:t>
      </w:r>
      <w:r>
        <w:rPr>
          <w:kern w:val="0"/>
          <w:szCs w:val="32"/>
        </w:rPr>
        <w:t>卫生</w:t>
      </w:r>
      <w:r>
        <w:rPr>
          <w:rFonts w:hint="eastAsia"/>
          <w:kern w:val="0"/>
          <w:szCs w:val="32"/>
        </w:rPr>
        <w:t>健康</w:t>
      </w:r>
      <w:r>
        <w:rPr>
          <w:kern w:val="0"/>
          <w:szCs w:val="32"/>
        </w:rPr>
        <w:t>支出</w:t>
      </w:r>
      <w:r>
        <w:rPr>
          <w:rFonts w:hint="eastAsia"/>
          <w:szCs w:val="32"/>
        </w:rPr>
        <w:t>6.48</w:t>
      </w:r>
      <w:r>
        <w:rPr>
          <w:szCs w:val="32"/>
        </w:rPr>
        <w:t>万元，</w:t>
      </w:r>
      <w:r>
        <w:rPr>
          <w:kern w:val="0"/>
          <w:szCs w:val="32"/>
        </w:rPr>
        <w:t>住房保障支出</w:t>
      </w:r>
      <w:r>
        <w:rPr>
          <w:rFonts w:hint="eastAsia"/>
          <w:szCs w:val="32"/>
        </w:rPr>
        <w:t>18.25</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376.09</w:t>
      </w:r>
      <w:r>
        <w:rPr>
          <w:szCs w:val="32"/>
        </w:rPr>
        <w:t>元，其中：基本支出</w:t>
      </w:r>
      <w:r>
        <w:rPr>
          <w:rFonts w:hint="eastAsia"/>
          <w:szCs w:val="32"/>
        </w:rPr>
        <w:t>235.31</w:t>
      </w:r>
      <w:r>
        <w:rPr>
          <w:szCs w:val="32"/>
        </w:rPr>
        <w:t>万元，占</w:t>
      </w:r>
      <w:r>
        <w:rPr>
          <w:rFonts w:hint="eastAsia"/>
          <w:szCs w:val="32"/>
        </w:rPr>
        <w:t>62.57</w:t>
      </w:r>
      <w:r>
        <w:rPr>
          <w:szCs w:val="32"/>
        </w:rPr>
        <w:t>%；项目支出</w:t>
      </w:r>
      <w:r>
        <w:rPr>
          <w:rFonts w:hint="eastAsia"/>
          <w:szCs w:val="32"/>
        </w:rPr>
        <w:t>140.78</w:t>
      </w:r>
      <w:r>
        <w:rPr>
          <w:szCs w:val="32"/>
        </w:rPr>
        <w:t>万元，占</w:t>
      </w:r>
      <w:r>
        <w:rPr>
          <w:rFonts w:hint="eastAsia"/>
          <w:szCs w:val="32"/>
        </w:rPr>
        <w:t>37.43</w:t>
      </w:r>
      <w:r>
        <w:rPr>
          <w:szCs w:val="32"/>
        </w:rPr>
        <w:t>%。基本支出中，人员经费</w:t>
      </w:r>
      <w:r>
        <w:rPr>
          <w:rFonts w:hint="eastAsia"/>
          <w:szCs w:val="32"/>
        </w:rPr>
        <w:t>196.97</w:t>
      </w:r>
      <w:r>
        <w:rPr>
          <w:szCs w:val="32"/>
        </w:rPr>
        <w:t>万元，占</w:t>
      </w:r>
      <w:r>
        <w:rPr>
          <w:rFonts w:hint="eastAsia"/>
          <w:szCs w:val="32"/>
        </w:rPr>
        <w:t>83.71</w:t>
      </w:r>
      <w:r>
        <w:rPr>
          <w:szCs w:val="32"/>
        </w:rPr>
        <w:t>%；公用经费</w:t>
      </w:r>
      <w:r>
        <w:rPr>
          <w:rFonts w:hint="eastAsia"/>
          <w:szCs w:val="32"/>
        </w:rPr>
        <w:t>38.34</w:t>
      </w:r>
      <w:r>
        <w:rPr>
          <w:szCs w:val="32"/>
        </w:rPr>
        <w:t>万元，占</w:t>
      </w:r>
      <w:r>
        <w:rPr>
          <w:rFonts w:hint="eastAsia"/>
          <w:szCs w:val="32"/>
        </w:rPr>
        <w:t>16.29</w:t>
      </w:r>
      <w:r>
        <w:rPr>
          <w:szCs w:val="32"/>
        </w:rPr>
        <w:t>%。</w:t>
      </w:r>
    </w:p>
    <w:p>
      <w:pPr>
        <w:spacing w:line="520" w:lineRule="exact"/>
        <w:ind w:firstLine="640" w:firstLineChars="200"/>
        <w:rPr>
          <w:szCs w:val="32"/>
        </w:rPr>
      </w:pPr>
      <w:r>
        <w:rPr>
          <w:szCs w:val="32"/>
        </w:rPr>
        <w:t>一般公共服务（类）支出</w:t>
      </w:r>
      <w:r>
        <w:rPr>
          <w:rFonts w:hint="eastAsia"/>
          <w:szCs w:val="32"/>
        </w:rPr>
        <w:t>317.04</w:t>
      </w:r>
      <w:r>
        <w:rPr>
          <w:szCs w:val="32"/>
        </w:rPr>
        <w:t>万元，占</w:t>
      </w:r>
      <w:r>
        <w:rPr>
          <w:rFonts w:hint="eastAsia"/>
          <w:szCs w:val="32"/>
        </w:rPr>
        <w:t>84.30</w:t>
      </w:r>
      <w:r>
        <w:rPr>
          <w:szCs w:val="32"/>
        </w:rPr>
        <w:t>%，主要用于</w:t>
      </w:r>
      <w:r>
        <w:rPr>
          <w:rFonts w:hint="eastAsia"/>
          <w:szCs w:val="32"/>
        </w:rPr>
        <w:t>人员工资经费支出、统计日常业务办公经费支出、各类普查和统计抽样调查经费支出</w:t>
      </w:r>
      <w:r>
        <w:rPr>
          <w:szCs w:val="32"/>
        </w:rPr>
        <w:t>。</w:t>
      </w:r>
    </w:p>
    <w:p>
      <w:pPr>
        <w:spacing w:line="520" w:lineRule="exact"/>
        <w:ind w:firstLine="640" w:firstLineChars="200"/>
        <w:rPr>
          <w:kern w:val="0"/>
          <w:szCs w:val="32"/>
        </w:rPr>
      </w:pPr>
      <w:r>
        <w:rPr>
          <w:kern w:val="0"/>
          <w:szCs w:val="32"/>
        </w:rPr>
        <w:t>社会保障和就业（类）支出</w:t>
      </w:r>
      <w:r>
        <w:rPr>
          <w:rFonts w:hint="eastAsia"/>
          <w:kern w:val="0"/>
          <w:szCs w:val="32"/>
        </w:rPr>
        <w:t>34.32</w:t>
      </w:r>
      <w:r>
        <w:rPr>
          <w:kern w:val="0"/>
          <w:szCs w:val="32"/>
        </w:rPr>
        <w:t>万元，占</w:t>
      </w:r>
      <w:r>
        <w:rPr>
          <w:rFonts w:hint="eastAsia"/>
          <w:kern w:val="0"/>
          <w:szCs w:val="32"/>
        </w:rPr>
        <w:t>9.13</w:t>
      </w:r>
      <w:r>
        <w:rPr>
          <w:kern w:val="0"/>
          <w:szCs w:val="32"/>
        </w:rPr>
        <w:t>%，主要用于退休人员补贴、</w:t>
      </w:r>
      <w:r>
        <w:rPr>
          <w:rFonts w:hint="eastAsia"/>
          <w:kern w:val="0"/>
          <w:szCs w:val="32"/>
        </w:rPr>
        <w:t>缴纳</w:t>
      </w:r>
      <w:r>
        <w:rPr>
          <w:kern w:val="0"/>
          <w:szCs w:val="32"/>
        </w:rPr>
        <w:t>职工基本养老保险支出。</w:t>
      </w:r>
    </w:p>
    <w:p>
      <w:pPr>
        <w:spacing w:line="520" w:lineRule="exact"/>
        <w:ind w:firstLine="640" w:firstLineChars="200"/>
        <w:rPr>
          <w:kern w:val="0"/>
          <w:szCs w:val="32"/>
        </w:rPr>
      </w:pPr>
      <w:r>
        <w:rPr>
          <w:rFonts w:hint="eastAsia"/>
          <w:kern w:val="0"/>
          <w:szCs w:val="32"/>
        </w:rPr>
        <w:t>卫生健康</w:t>
      </w:r>
      <w:r>
        <w:rPr>
          <w:kern w:val="0"/>
          <w:szCs w:val="32"/>
        </w:rPr>
        <w:t>（类）支出</w:t>
      </w:r>
      <w:r>
        <w:rPr>
          <w:rFonts w:hint="eastAsia"/>
          <w:kern w:val="0"/>
          <w:szCs w:val="32"/>
        </w:rPr>
        <w:t>6.48</w:t>
      </w:r>
      <w:r>
        <w:rPr>
          <w:kern w:val="0"/>
          <w:szCs w:val="32"/>
        </w:rPr>
        <w:t>万元，占</w:t>
      </w:r>
      <w:r>
        <w:rPr>
          <w:rFonts w:hint="eastAsia"/>
          <w:kern w:val="0"/>
          <w:szCs w:val="32"/>
        </w:rPr>
        <w:t>1.72</w:t>
      </w:r>
      <w:r>
        <w:rPr>
          <w:kern w:val="0"/>
          <w:szCs w:val="32"/>
        </w:rPr>
        <w:t>%，主要用于</w:t>
      </w:r>
      <w:r>
        <w:rPr>
          <w:rFonts w:hint="eastAsia"/>
          <w:kern w:val="0"/>
          <w:szCs w:val="32"/>
        </w:rPr>
        <w:t>缴纳</w:t>
      </w:r>
      <w:r>
        <w:rPr>
          <w:kern w:val="0"/>
          <w:szCs w:val="32"/>
        </w:rPr>
        <w:t>职工</w:t>
      </w:r>
      <w:r>
        <w:rPr>
          <w:rFonts w:hint="eastAsia"/>
          <w:kern w:val="0"/>
          <w:szCs w:val="32"/>
        </w:rPr>
        <w:t>医疗保险</w:t>
      </w:r>
      <w:r>
        <w:rPr>
          <w:kern w:val="0"/>
          <w:szCs w:val="32"/>
        </w:rPr>
        <w:t>。</w:t>
      </w:r>
    </w:p>
    <w:p>
      <w:pPr>
        <w:spacing w:line="520" w:lineRule="exact"/>
        <w:ind w:firstLine="640" w:firstLineChars="200"/>
        <w:rPr>
          <w:kern w:val="0"/>
          <w:szCs w:val="32"/>
        </w:rPr>
      </w:pPr>
      <w:r>
        <w:rPr>
          <w:kern w:val="0"/>
          <w:szCs w:val="32"/>
        </w:rPr>
        <w:t>住房保障（类）支出</w:t>
      </w:r>
      <w:r>
        <w:rPr>
          <w:rFonts w:hint="eastAsia"/>
          <w:kern w:val="0"/>
          <w:szCs w:val="32"/>
        </w:rPr>
        <w:t>18.25</w:t>
      </w:r>
      <w:r>
        <w:rPr>
          <w:kern w:val="0"/>
          <w:szCs w:val="32"/>
        </w:rPr>
        <w:t>万元，占</w:t>
      </w:r>
      <w:r>
        <w:rPr>
          <w:rFonts w:hint="eastAsia"/>
          <w:kern w:val="0"/>
          <w:szCs w:val="32"/>
        </w:rPr>
        <w:t>4.85</w:t>
      </w:r>
      <w:r>
        <w:rPr>
          <w:kern w:val="0"/>
          <w:szCs w:val="32"/>
        </w:rPr>
        <w:t>%，主要用于</w:t>
      </w:r>
      <w:r>
        <w:rPr>
          <w:rFonts w:hint="eastAsia"/>
          <w:kern w:val="0"/>
          <w:szCs w:val="32"/>
        </w:rPr>
        <w:t>缴纳</w:t>
      </w:r>
      <w:r>
        <w:rPr>
          <w:kern w:val="0"/>
          <w:szCs w:val="32"/>
        </w:rPr>
        <w:t>职工</w:t>
      </w:r>
      <w:r>
        <w:rPr>
          <w:rFonts w:hint="eastAsia"/>
          <w:kern w:val="0"/>
          <w:szCs w:val="32"/>
        </w:rPr>
        <w:t>住房</w:t>
      </w:r>
      <w:r>
        <w:rPr>
          <w:kern w:val="0"/>
          <w:szCs w:val="32"/>
        </w:rPr>
        <w:t>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235.30</w:t>
      </w:r>
      <w:r>
        <w:rPr>
          <w:szCs w:val="32"/>
        </w:rPr>
        <w:t>万元，其中：</w:t>
      </w:r>
    </w:p>
    <w:p>
      <w:pPr>
        <w:ind w:firstLine="640" w:firstLineChars="200"/>
        <w:rPr>
          <w:kern w:val="0"/>
          <w:szCs w:val="32"/>
        </w:rPr>
      </w:pPr>
      <w:r>
        <w:rPr>
          <w:szCs w:val="32"/>
        </w:rPr>
        <w:t>人员经费</w:t>
      </w:r>
      <w:r>
        <w:rPr>
          <w:rFonts w:hint="eastAsia"/>
          <w:szCs w:val="32"/>
        </w:rPr>
        <w:t>196.96</w:t>
      </w:r>
      <w:r>
        <w:rPr>
          <w:szCs w:val="32"/>
        </w:rPr>
        <w:t>万元，主要包括：</w:t>
      </w:r>
      <w:r>
        <w:rPr>
          <w:kern w:val="0"/>
          <w:szCs w:val="32"/>
        </w:rPr>
        <w:t>基本工资、津贴补贴、奖金</w:t>
      </w:r>
      <w:r>
        <w:rPr>
          <w:szCs w:val="32"/>
        </w:rPr>
        <w:t>、机关事业单位基本养老保险缴费、职工基本医疗保险缴费、其他</w:t>
      </w:r>
      <w:r>
        <w:rPr>
          <w:kern w:val="0"/>
          <w:szCs w:val="32"/>
        </w:rPr>
        <w:t>社会保障缴费</w:t>
      </w:r>
      <w:r>
        <w:rPr>
          <w:szCs w:val="32"/>
        </w:rPr>
        <w:t>、住房公积金、医疗费、</w:t>
      </w:r>
      <w:r>
        <w:rPr>
          <w:kern w:val="0"/>
          <w:szCs w:val="32"/>
        </w:rPr>
        <w:t>其他工资福利支出</w:t>
      </w:r>
      <w:r>
        <w:rPr>
          <w:szCs w:val="32"/>
        </w:rPr>
        <w:t>、退休费、</w:t>
      </w:r>
      <w:r>
        <w:rPr>
          <w:kern w:val="0"/>
          <w:szCs w:val="32"/>
        </w:rPr>
        <w:t>其他对个人和家庭的补助。</w:t>
      </w:r>
    </w:p>
    <w:p>
      <w:pPr>
        <w:ind w:firstLine="640" w:firstLineChars="200"/>
        <w:rPr>
          <w:szCs w:val="32"/>
        </w:rPr>
      </w:pPr>
      <w:r>
        <w:rPr>
          <w:kern w:val="0"/>
          <w:szCs w:val="32"/>
        </w:rPr>
        <w:t>公用经费</w:t>
      </w:r>
      <w:r>
        <w:rPr>
          <w:rFonts w:hint="eastAsia"/>
          <w:szCs w:val="32"/>
        </w:rPr>
        <w:t>38.34</w:t>
      </w:r>
      <w:r>
        <w:rPr>
          <w:szCs w:val="32"/>
        </w:rPr>
        <w:t>万元，主要包括：</w:t>
      </w:r>
      <w:r>
        <w:rPr>
          <w:kern w:val="0"/>
          <w:szCs w:val="32"/>
        </w:rPr>
        <w:t>办公费</w:t>
      </w:r>
      <w:r>
        <w:rPr>
          <w:szCs w:val="32"/>
        </w:rPr>
        <w:t>、</w:t>
      </w:r>
      <w:r>
        <w:rPr>
          <w:kern w:val="0"/>
          <w:szCs w:val="32"/>
        </w:rPr>
        <w:t>印刷费</w:t>
      </w:r>
      <w:r>
        <w:rPr>
          <w:szCs w:val="32"/>
        </w:rPr>
        <w:t>、邮电费、差旅费、维修（护）费、会议费、培训费、</w:t>
      </w:r>
      <w:r>
        <w:rPr>
          <w:kern w:val="0"/>
          <w:szCs w:val="32"/>
        </w:rPr>
        <w:t>工会经费、福利费</w:t>
      </w:r>
      <w:r>
        <w:rPr>
          <w:szCs w:val="32"/>
        </w:rPr>
        <w:t>、公务用车运行维护费、其他交通</w:t>
      </w:r>
      <w:r>
        <w:rPr>
          <w:rFonts w:hint="eastAsia"/>
          <w:szCs w:val="32"/>
        </w:rPr>
        <w:t>费用</w:t>
      </w:r>
      <w:r>
        <w:rPr>
          <w:szCs w:val="32"/>
        </w:rPr>
        <w:t>、</w:t>
      </w:r>
      <w:r>
        <w:rPr>
          <w:kern w:val="0"/>
          <w:szCs w:val="32"/>
        </w:rPr>
        <w:t>其他商品和服务支出、办公设备购置。</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3.06</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预算数减少</w:t>
      </w:r>
      <w:r>
        <w:rPr>
          <w:rFonts w:hint="eastAsia"/>
          <w:szCs w:val="32"/>
        </w:rPr>
        <w:t>0.34</w:t>
      </w:r>
      <w:r>
        <w:rPr>
          <w:szCs w:val="32"/>
        </w:rPr>
        <w:t>万元。其中：</w:t>
      </w:r>
    </w:p>
    <w:p>
      <w:pPr>
        <w:ind w:firstLine="640" w:firstLineChars="200"/>
        <w:rPr>
          <w:szCs w:val="32"/>
        </w:rPr>
      </w:pPr>
      <w:r>
        <w:rPr>
          <w:szCs w:val="32"/>
        </w:rPr>
        <w:t>1.因公出国（境）费</w:t>
      </w:r>
      <w:r>
        <w:rPr>
          <w:rFonts w:hint="eastAsia"/>
          <w:szCs w:val="32"/>
        </w:rPr>
        <w:t>0.00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0.00</w:t>
      </w:r>
      <w:r>
        <w:rPr>
          <w:szCs w:val="32"/>
        </w:rPr>
        <w:t>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预算数减少</w:t>
      </w:r>
      <w:r>
        <w:rPr>
          <w:rFonts w:hint="eastAsia"/>
          <w:szCs w:val="32"/>
        </w:rPr>
        <w:t>0.34</w:t>
      </w:r>
      <w:r>
        <w:rPr>
          <w:szCs w:val="32"/>
        </w:rPr>
        <w:t>万元，主要原因是认真贯彻落实中共中央八项规定精神和省财政厅“过紧日子”有关要求，厉行节俭，压减公务接待费预算</w:t>
      </w:r>
      <w:r>
        <w:rPr>
          <w:rFonts w:hint="eastAsia"/>
          <w:szCs w:val="32"/>
        </w:rPr>
        <w:t>。</w:t>
      </w:r>
    </w:p>
    <w:p>
      <w:pPr>
        <w:ind w:firstLine="640" w:firstLineChars="200"/>
        <w:rPr>
          <w:rFonts w:eastAsia="楷体"/>
          <w:szCs w:val="32"/>
        </w:rPr>
      </w:pPr>
      <w:r>
        <w:rPr>
          <w:szCs w:val="32"/>
        </w:rPr>
        <w:t>3.公务用车购置及运行费</w:t>
      </w:r>
      <w:r>
        <w:rPr>
          <w:rFonts w:hint="eastAsia"/>
          <w:szCs w:val="32"/>
        </w:rPr>
        <w:t>0.00</w:t>
      </w:r>
      <w:r>
        <w:rPr>
          <w:szCs w:val="32"/>
        </w:rPr>
        <w:t>万元</w:t>
      </w:r>
      <w:r>
        <w:rPr>
          <w:rFonts w:hint="eastAsia"/>
          <w:szCs w:val="32"/>
        </w:rPr>
        <w:t>。2024年当年预算数与</w:t>
      </w:r>
      <w:r>
        <w:rPr>
          <w:szCs w:val="32"/>
        </w:rPr>
        <w:t>20</w:t>
      </w:r>
      <w:r>
        <w:rPr>
          <w:rFonts w:hint="eastAsia"/>
          <w:szCs w:val="32"/>
        </w:rPr>
        <w:t>23</w:t>
      </w:r>
      <w:r>
        <w:rPr>
          <w:szCs w:val="32"/>
        </w:rPr>
        <w:t>年当年预算数</w:t>
      </w:r>
      <w:r>
        <w:rPr>
          <w:rFonts w:hint="eastAsia"/>
          <w:szCs w:val="32"/>
        </w:rPr>
        <w:t>持平；</w:t>
      </w:r>
      <w:r>
        <w:rPr>
          <w:szCs w:val="32"/>
        </w:rPr>
        <w:t>公务用车运行维护费</w:t>
      </w:r>
      <w:r>
        <w:rPr>
          <w:rFonts w:hint="eastAsia"/>
          <w:szCs w:val="32"/>
        </w:rPr>
        <w:t>3.06</w:t>
      </w:r>
      <w:r>
        <w:rPr>
          <w:szCs w:val="32"/>
        </w:rPr>
        <w:t>万元</w:t>
      </w:r>
      <w:r>
        <w:rPr>
          <w:rFonts w:hint="eastAsia"/>
          <w:szCs w:val="32"/>
        </w:rPr>
        <w:t>，2024年当年预算数与</w:t>
      </w:r>
      <w:r>
        <w:rPr>
          <w:szCs w:val="32"/>
        </w:rPr>
        <w:t>20</w:t>
      </w:r>
      <w:r>
        <w:rPr>
          <w:rFonts w:hint="eastAsia"/>
          <w:szCs w:val="32"/>
        </w:rPr>
        <w:t>23</w:t>
      </w:r>
      <w:r>
        <w:rPr>
          <w:szCs w:val="32"/>
        </w:rPr>
        <w:t>年当年预算数</w:t>
      </w:r>
      <w:r>
        <w:rPr>
          <w:rFonts w:hint="eastAsia"/>
          <w:szCs w:val="32"/>
        </w:rPr>
        <w:t>持平</w:t>
      </w:r>
      <w:r>
        <w:rPr>
          <w:szCs w:val="32"/>
        </w:rPr>
        <w:t>；公务用车购置费</w:t>
      </w:r>
      <w:r>
        <w:rPr>
          <w:rFonts w:hint="eastAsia"/>
          <w:szCs w:val="32"/>
        </w:rPr>
        <w:t>0.00</w:t>
      </w:r>
      <w:r>
        <w:rPr>
          <w:szCs w:val="32"/>
        </w:rPr>
        <w:t>万元</w:t>
      </w:r>
      <w:r>
        <w:rPr>
          <w:rFonts w:hint="eastAsia"/>
          <w:szCs w:val="32"/>
        </w:rPr>
        <w:t>，2024年当年预算数与</w:t>
      </w:r>
      <w:r>
        <w:rPr>
          <w:szCs w:val="32"/>
        </w:rPr>
        <w:t>20</w:t>
      </w:r>
      <w:r>
        <w:rPr>
          <w:rFonts w:hint="eastAsia"/>
          <w:szCs w:val="32"/>
        </w:rPr>
        <w:t>23</w:t>
      </w:r>
      <w:r>
        <w:rPr>
          <w:szCs w:val="32"/>
        </w:rPr>
        <w:t>年当年预算数</w:t>
      </w:r>
      <w:r>
        <w:rPr>
          <w:rFonts w:hint="eastAsia"/>
          <w:szCs w:val="32"/>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rPr>
          <w:szCs w:val="32"/>
        </w:rPr>
      </w:pPr>
      <w:r>
        <w:rPr>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ind w:firstLine="640" w:firstLineChars="200"/>
        <w:rPr>
          <w:szCs w:val="32"/>
        </w:rPr>
      </w:pPr>
      <w:r>
        <w:rPr>
          <w:szCs w:val="32"/>
        </w:rPr>
        <w:t>20</w:t>
      </w:r>
      <w:r>
        <w:rPr>
          <w:rFonts w:hint="eastAsia"/>
          <w:szCs w:val="32"/>
        </w:rPr>
        <w:t>24</w:t>
      </w:r>
      <w:r>
        <w:rPr>
          <w:szCs w:val="32"/>
        </w:rPr>
        <w:t>年</w:t>
      </w:r>
      <w:r>
        <w:rPr>
          <w:rFonts w:hint="eastAsia"/>
          <w:szCs w:val="32"/>
        </w:rPr>
        <w:t>梅河口市统计局（本级）1</w:t>
      </w:r>
      <w:r>
        <w:rPr>
          <w:szCs w:val="32"/>
        </w:rPr>
        <w:t>家</w:t>
      </w:r>
      <w:r>
        <w:rPr>
          <w:rFonts w:hint="eastAsia"/>
          <w:szCs w:val="32"/>
        </w:rPr>
        <w:t>行政单位</w:t>
      </w:r>
      <w:r>
        <w:rPr>
          <w:szCs w:val="32"/>
        </w:rPr>
        <w:t>的机关运行经费财政拨款预算</w:t>
      </w:r>
      <w:r>
        <w:rPr>
          <w:rFonts w:hint="eastAsia"/>
          <w:szCs w:val="32"/>
        </w:rPr>
        <w:t>38.34</w:t>
      </w:r>
      <w:r>
        <w:rPr>
          <w:szCs w:val="32"/>
        </w:rPr>
        <w:t>万元，比20</w:t>
      </w:r>
      <w:r>
        <w:rPr>
          <w:rFonts w:hint="eastAsia"/>
          <w:szCs w:val="32"/>
        </w:rPr>
        <w:t>23</w:t>
      </w:r>
      <w:r>
        <w:rPr>
          <w:szCs w:val="32"/>
        </w:rPr>
        <w:t>年预算</w:t>
      </w:r>
      <w:r>
        <w:rPr>
          <w:rFonts w:hint="eastAsia"/>
          <w:szCs w:val="32"/>
        </w:rPr>
        <w:t>增加0.76</w:t>
      </w:r>
      <w:r>
        <w:rPr>
          <w:szCs w:val="32"/>
        </w:rPr>
        <w:t>万元，</w:t>
      </w:r>
      <w:r>
        <w:rPr>
          <w:rFonts w:hint="eastAsia"/>
          <w:szCs w:val="32"/>
        </w:rPr>
        <w:t>增加2.02</w:t>
      </w:r>
      <w:r>
        <w:rPr>
          <w:szCs w:val="32"/>
        </w:rPr>
        <w:t>%</w:t>
      </w:r>
      <w:r>
        <w:rPr>
          <w:rFonts w:hint="eastAsia"/>
          <w:szCs w:val="32"/>
        </w:rPr>
        <w:t>，主要原因是包含2023年结转经费。</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本单位无政府采购情况</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截至2023年8月底，本单位共有车辆1辆，土地0平方米，房屋0平方米，单价50万元以上设备0台/套。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rPr>
          <w:szCs w:val="32"/>
        </w:rPr>
      </w:pPr>
      <w:r>
        <w:rPr>
          <w:szCs w:val="32"/>
        </w:rPr>
        <w:t>202</w:t>
      </w:r>
      <w:r>
        <w:rPr>
          <w:rFonts w:hint="eastAsia"/>
          <w:szCs w:val="32"/>
        </w:rPr>
        <w:t>3</w:t>
      </w:r>
      <w:r>
        <w:rPr>
          <w:szCs w:val="32"/>
        </w:rPr>
        <w:t>年</w:t>
      </w:r>
      <w:r>
        <w:rPr>
          <w:rFonts w:hint="eastAsia"/>
          <w:szCs w:val="32"/>
        </w:rPr>
        <w:t>单位</w:t>
      </w:r>
      <w:r>
        <w:rPr>
          <w:szCs w:val="32"/>
        </w:rPr>
        <w:t>项目支出</w:t>
      </w:r>
      <w:r>
        <w:rPr>
          <w:rFonts w:hint="eastAsia"/>
          <w:szCs w:val="32"/>
        </w:rPr>
        <w:t>140.78</w:t>
      </w:r>
      <w:r>
        <w:rPr>
          <w:szCs w:val="32"/>
        </w:rPr>
        <w:t>万元，其中：一级项目</w:t>
      </w:r>
      <w:r>
        <w:rPr>
          <w:rFonts w:hint="eastAsia"/>
          <w:szCs w:val="32"/>
        </w:rPr>
        <w:t>3</w:t>
      </w:r>
      <w:r>
        <w:rPr>
          <w:szCs w:val="32"/>
        </w:rPr>
        <w:t>个，二级项目</w:t>
      </w:r>
      <w:r>
        <w:rPr>
          <w:rFonts w:hint="eastAsia"/>
          <w:szCs w:val="32"/>
        </w:rPr>
        <w:t>3</w:t>
      </w:r>
      <w:r>
        <w:rPr>
          <w:szCs w:val="32"/>
        </w:rPr>
        <w:t>个；使用</w:t>
      </w:r>
      <w:r>
        <w:rPr>
          <w:rFonts w:hint="eastAsia"/>
          <w:szCs w:val="32"/>
        </w:rPr>
        <w:t>本年财政拨款128.50</w:t>
      </w:r>
      <w:r>
        <w:rPr>
          <w:szCs w:val="32"/>
        </w:rPr>
        <w:t>万元，</w:t>
      </w:r>
      <w:r>
        <w:rPr>
          <w:rFonts w:hint="eastAsia"/>
          <w:szCs w:val="32"/>
        </w:rPr>
        <w:t>财政拨款结转12.28</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按照全面实施预算绩效管理的要求，结合本单位职能和重点工作，2024年将</w:t>
      </w:r>
      <w:r>
        <w:rPr>
          <w:rFonts w:hint="eastAsia"/>
          <w:szCs w:val="32"/>
        </w:rPr>
        <w:t>3</w:t>
      </w:r>
      <w:r>
        <w:rPr>
          <w:rFonts w:hint="eastAsia" w:ascii="宋体" w:hAnsi="宋体"/>
        </w:rPr>
        <w:t>个项目支出的绩效目标和指标向社会公开，涉及金额</w:t>
      </w:r>
      <w:r>
        <w:rPr>
          <w:rFonts w:hint="eastAsia"/>
          <w:szCs w:val="32"/>
        </w:rPr>
        <w:t>128.50</w:t>
      </w:r>
      <w:r>
        <w:rPr>
          <w:rFonts w:hint="eastAsia" w:ascii="宋体" w:hAnsi="宋体"/>
        </w:rPr>
        <w:t>万元。</w:t>
      </w:r>
    </w:p>
    <w:p>
      <w:pPr>
        <w:ind w:firstLine="645"/>
        <w:rPr>
          <w:rFonts w:eastAsia="楷体"/>
          <w:szCs w:val="32"/>
        </w:rPr>
      </w:pPr>
    </w:p>
    <w:p>
      <w:pPr>
        <w:ind w:firstLine="640" w:firstLineChars="200"/>
        <w:rPr>
          <w:szCs w:val="32"/>
        </w:rPr>
      </w:pPr>
    </w:p>
    <w:p>
      <w:pPr>
        <w:jc w:val="center"/>
        <w:rPr>
          <w:rFonts w:eastAsia="黑体"/>
        </w:rPr>
      </w:pPr>
    </w:p>
    <w:p>
      <w:pP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474"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compatSetting w:name="compatibilityMode" w:uri="http://schemas.microsoft.com/office/word" w:val="12"/>
  </w:compat>
  <w:docVars>
    <w:docVar w:name="commondata" w:val="eyJoZGlkIjoiYjNkNWUxMmJhYzhhN2JjN2EzYzZiNDcyNmZmYzE0OTgifQ=="/>
  </w:docVars>
  <w:rsids>
    <w:rsidRoot w:val="48674ED2"/>
    <w:rsid w:val="00027E23"/>
    <w:rsid w:val="00065E6D"/>
    <w:rsid w:val="00097A43"/>
    <w:rsid w:val="000A5B82"/>
    <w:rsid w:val="000C2343"/>
    <w:rsid w:val="000C6D48"/>
    <w:rsid w:val="000D1BDE"/>
    <w:rsid w:val="000D7FB8"/>
    <w:rsid w:val="000E0EAE"/>
    <w:rsid w:val="000E46F6"/>
    <w:rsid w:val="00102492"/>
    <w:rsid w:val="00103215"/>
    <w:rsid w:val="00113F8E"/>
    <w:rsid w:val="00136A0A"/>
    <w:rsid w:val="00145456"/>
    <w:rsid w:val="00155A82"/>
    <w:rsid w:val="00191223"/>
    <w:rsid w:val="001C536C"/>
    <w:rsid w:val="001D0CD7"/>
    <w:rsid w:val="001D3929"/>
    <w:rsid w:val="00204ADA"/>
    <w:rsid w:val="002300BA"/>
    <w:rsid w:val="00251885"/>
    <w:rsid w:val="002565D5"/>
    <w:rsid w:val="0027271C"/>
    <w:rsid w:val="00292A39"/>
    <w:rsid w:val="002A5441"/>
    <w:rsid w:val="002E7CD8"/>
    <w:rsid w:val="003312C9"/>
    <w:rsid w:val="00351365"/>
    <w:rsid w:val="003545B1"/>
    <w:rsid w:val="00367BC1"/>
    <w:rsid w:val="00396D8D"/>
    <w:rsid w:val="003B0100"/>
    <w:rsid w:val="003D3EFD"/>
    <w:rsid w:val="003D4072"/>
    <w:rsid w:val="003D7DF8"/>
    <w:rsid w:val="00401207"/>
    <w:rsid w:val="00426F96"/>
    <w:rsid w:val="0044208E"/>
    <w:rsid w:val="004444BA"/>
    <w:rsid w:val="00450ED2"/>
    <w:rsid w:val="00452936"/>
    <w:rsid w:val="00477E92"/>
    <w:rsid w:val="00484F1E"/>
    <w:rsid w:val="00487479"/>
    <w:rsid w:val="004875A2"/>
    <w:rsid w:val="00496365"/>
    <w:rsid w:val="004A63B0"/>
    <w:rsid w:val="004B51BD"/>
    <w:rsid w:val="004C247A"/>
    <w:rsid w:val="005062A1"/>
    <w:rsid w:val="00513453"/>
    <w:rsid w:val="00514321"/>
    <w:rsid w:val="005211BA"/>
    <w:rsid w:val="00525CF7"/>
    <w:rsid w:val="00532829"/>
    <w:rsid w:val="00536613"/>
    <w:rsid w:val="00561E6B"/>
    <w:rsid w:val="00570172"/>
    <w:rsid w:val="00584D1B"/>
    <w:rsid w:val="00584F5B"/>
    <w:rsid w:val="00586A56"/>
    <w:rsid w:val="005A680B"/>
    <w:rsid w:val="005D5B16"/>
    <w:rsid w:val="005F314F"/>
    <w:rsid w:val="00604D62"/>
    <w:rsid w:val="00606EAC"/>
    <w:rsid w:val="00623896"/>
    <w:rsid w:val="006358AE"/>
    <w:rsid w:val="00646533"/>
    <w:rsid w:val="00654DBF"/>
    <w:rsid w:val="00670CFC"/>
    <w:rsid w:val="006742A7"/>
    <w:rsid w:val="006846F4"/>
    <w:rsid w:val="0069331F"/>
    <w:rsid w:val="006A62B9"/>
    <w:rsid w:val="006B3914"/>
    <w:rsid w:val="006E6E41"/>
    <w:rsid w:val="006F3F77"/>
    <w:rsid w:val="00734068"/>
    <w:rsid w:val="0073422A"/>
    <w:rsid w:val="00744A0E"/>
    <w:rsid w:val="0075725C"/>
    <w:rsid w:val="007638E0"/>
    <w:rsid w:val="007B177C"/>
    <w:rsid w:val="007C02F7"/>
    <w:rsid w:val="007E6C94"/>
    <w:rsid w:val="00804665"/>
    <w:rsid w:val="00806ECE"/>
    <w:rsid w:val="00810659"/>
    <w:rsid w:val="00812796"/>
    <w:rsid w:val="00815A97"/>
    <w:rsid w:val="00825722"/>
    <w:rsid w:val="00832140"/>
    <w:rsid w:val="00841DA8"/>
    <w:rsid w:val="008463A5"/>
    <w:rsid w:val="00851A6F"/>
    <w:rsid w:val="00870789"/>
    <w:rsid w:val="008729DB"/>
    <w:rsid w:val="008752D1"/>
    <w:rsid w:val="008765F4"/>
    <w:rsid w:val="00876AFD"/>
    <w:rsid w:val="00895180"/>
    <w:rsid w:val="00896C22"/>
    <w:rsid w:val="008C034B"/>
    <w:rsid w:val="008C26CD"/>
    <w:rsid w:val="008F7D03"/>
    <w:rsid w:val="0091631A"/>
    <w:rsid w:val="0093200A"/>
    <w:rsid w:val="00932BEF"/>
    <w:rsid w:val="00983A8D"/>
    <w:rsid w:val="009B2F41"/>
    <w:rsid w:val="009B3249"/>
    <w:rsid w:val="009B6665"/>
    <w:rsid w:val="009E093A"/>
    <w:rsid w:val="00A01B27"/>
    <w:rsid w:val="00A06DED"/>
    <w:rsid w:val="00A20129"/>
    <w:rsid w:val="00A34894"/>
    <w:rsid w:val="00A37CC2"/>
    <w:rsid w:val="00A73E5D"/>
    <w:rsid w:val="00A96058"/>
    <w:rsid w:val="00AA4644"/>
    <w:rsid w:val="00AB683D"/>
    <w:rsid w:val="00AC4079"/>
    <w:rsid w:val="00AD42CD"/>
    <w:rsid w:val="00AD4E96"/>
    <w:rsid w:val="00B05DD3"/>
    <w:rsid w:val="00B47B2A"/>
    <w:rsid w:val="00B60748"/>
    <w:rsid w:val="00B62F90"/>
    <w:rsid w:val="00B668F4"/>
    <w:rsid w:val="00B918C0"/>
    <w:rsid w:val="00BA7D5D"/>
    <w:rsid w:val="00BB6FD3"/>
    <w:rsid w:val="00BE1CDD"/>
    <w:rsid w:val="00BE2DE7"/>
    <w:rsid w:val="00C028D0"/>
    <w:rsid w:val="00C33DD6"/>
    <w:rsid w:val="00C36C22"/>
    <w:rsid w:val="00C5153E"/>
    <w:rsid w:val="00C55740"/>
    <w:rsid w:val="00C75950"/>
    <w:rsid w:val="00C7768C"/>
    <w:rsid w:val="00C80C12"/>
    <w:rsid w:val="00C9224D"/>
    <w:rsid w:val="00C95D5B"/>
    <w:rsid w:val="00C96BD1"/>
    <w:rsid w:val="00CA1FFF"/>
    <w:rsid w:val="00CA3DE2"/>
    <w:rsid w:val="00CC6E11"/>
    <w:rsid w:val="00CC7209"/>
    <w:rsid w:val="00CD6D8B"/>
    <w:rsid w:val="00CE002C"/>
    <w:rsid w:val="00CE2147"/>
    <w:rsid w:val="00CF49B1"/>
    <w:rsid w:val="00D123A6"/>
    <w:rsid w:val="00D12664"/>
    <w:rsid w:val="00D12683"/>
    <w:rsid w:val="00D25357"/>
    <w:rsid w:val="00D33284"/>
    <w:rsid w:val="00D44841"/>
    <w:rsid w:val="00D55467"/>
    <w:rsid w:val="00D64F3A"/>
    <w:rsid w:val="00D71247"/>
    <w:rsid w:val="00D77968"/>
    <w:rsid w:val="00D77E1D"/>
    <w:rsid w:val="00D90BC4"/>
    <w:rsid w:val="00DD08EE"/>
    <w:rsid w:val="00DD302D"/>
    <w:rsid w:val="00DE5D1D"/>
    <w:rsid w:val="00DF0F79"/>
    <w:rsid w:val="00E00855"/>
    <w:rsid w:val="00E22C47"/>
    <w:rsid w:val="00E24A52"/>
    <w:rsid w:val="00E31B70"/>
    <w:rsid w:val="00E366BC"/>
    <w:rsid w:val="00E56F79"/>
    <w:rsid w:val="00E61A0F"/>
    <w:rsid w:val="00E67450"/>
    <w:rsid w:val="00E75E7E"/>
    <w:rsid w:val="00E8101A"/>
    <w:rsid w:val="00E82D48"/>
    <w:rsid w:val="00EC73B7"/>
    <w:rsid w:val="00EE1F67"/>
    <w:rsid w:val="00EE2B2F"/>
    <w:rsid w:val="00EE6982"/>
    <w:rsid w:val="00F42265"/>
    <w:rsid w:val="00F47B19"/>
    <w:rsid w:val="00F7193F"/>
    <w:rsid w:val="00F8523B"/>
    <w:rsid w:val="00F85763"/>
    <w:rsid w:val="00FC06EC"/>
    <w:rsid w:val="00FC2C29"/>
    <w:rsid w:val="00FE06F1"/>
    <w:rsid w:val="00FF287D"/>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53431E"/>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3C34729"/>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6E16EC"/>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6C2C09"/>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50220A"/>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Char"/>
    <w:link w:val="6"/>
    <w:autoRedefine/>
    <w:qFormat/>
    <w:uiPriority w:val="0"/>
    <w:rPr>
      <w:rFonts w:eastAsia="仿宋_GB2312"/>
      <w:kern w:val="2"/>
      <w:sz w:val="18"/>
    </w:rPr>
  </w:style>
  <w:style w:type="character" w:customStyle="1" w:styleId="17">
    <w:name w:val="批注框文本 Char"/>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8">
    <w:name w:val="页脚 New"/>
    <w:basedOn w:val="1"/>
    <w:autoRedefine/>
    <w:qFormat/>
    <w:uiPriority w:val="0"/>
    <w:pPr>
      <w:tabs>
        <w:tab w:val="center" w:pos="4153"/>
        <w:tab w:val="right" w:pos="8306"/>
      </w:tabs>
      <w:snapToGrid w:val="0"/>
      <w:jc w:val="left"/>
    </w:pPr>
    <w:rPr>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sz w:val="18"/>
    </w:rPr>
  </w:style>
  <w:style w:type="paragraph" w:customStyle="1" w:styleId="33">
    <w:name w:val="页脚 New New New"/>
    <w:basedOn w:val="1"/>
    <w:autoRedefine/>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0">
    <w:name w:val="页脚 New New New New New New"/>
    <w:basedOn w:val="1"/>
    <w:autoRedefine/>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uiPriority w:val="0"/>
    <w:pPr>
      <w:tabs>
        <w:tab w:val="center" w:pos="4153"/>
        <w:tab w:val="right" w:pos="8306"/>
      </w:tabs>
      <w:snapToGrid w:val="0"/>
      <w:jc w:val="left"/>
    </w:pPr>
    <w:rPr>
      <w:sz w:val="18"/>
    </w:rPr>
  </w:style>
  <w:style w:type="paragraph" w:customStyle="1" w:styleId="47">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uiPriority w:val="0"/>
    <w:pPr>
      <w:widowControl/>
    </w:pPr>
    <w:rPr>
      <w:rFonts w:eastAsia="宋体"/>
      <w:kern w:val="0"/>
      <w:szCs w:val="32"/>
    </w:rPr>
  </w:style>
  <w:style w:type="paragraph" w:customStyle="1" w:styleId="49">
    <w:name w:val="页脚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50">
    <w:name w:val="页脚 New New New New New New New New"/>
    <w:basedOn w:val="1"/>
    <w:uiPriority w:val="0"/>
    <w:pPr>
      <w:tabs>
        <w:tab w:val="center" w:pos="4153"/>
        <w:tab w:val="right" w:pos="8306"/>
      </w:tabs>
      <w:snapToGrid w:val="0"/>
      <w:jc w:val="left"/>
    </w:pPr>
    <w:rPr>
      <w:sz w:val="18"/>
    </w:rPr>
  </w:style>
  <w:style w:type="paragraph" w:customStyle="1" w:styleId="51">
    <w:name w:val="页脚 New New New New New New New New New"/>
    <w:basedOn w:val="1"/>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uiPriority w:val="0"/>
    <w:pPr>
      <w:tabs>
        <w:tab w:val="center" w:pos="4153"/>
        <w:tab w:val="right" w:pos="8306"/>
      </w:tabs>
      <w:snapToGrid w:val="0"/>
      <w:jc w:val="left"/>
    </w:pPr>
    <w:rPr>
      <w:sz w:val="18"/>
    </w:rPr>
  </w:style>
  <w:style w:type="paragraph" w:customStyle="1" w:styleId="53">
    <w:name w:val="页脚 New New New New New New New"/>
    <w:basedOn w:val="1"/>
    <w:autoRedefine/>
    <w:uiPriority w:val="0"/>
    <w:pPr>
      <w:tabs>
        <w:tab w:val="center" w:pos="4153"/>
        <w:tab w:val="right" w:pos="8306"/>
      </w:tabs>
      <w:snapToGrid w:val="0"/>
      <w:jc w:val="left"/>
    </w:pPr>
    <w:rPr>
      <w:sz w:val="18"/>
    </w:rPr>
  </w:style>
  <w:style w:type="paragraph" w:customStyle="1" w:styleId="54">
    <w:name w:val="页脚 New New New New"/>
    <w:basedOn w:val="1"/>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56">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uiPriority w:val="0"/>
    <w:pPr>
      <w:tabs>
        <w:tab w:val="center" w:pos="4153"/>
        <w:tab w:val="right" w:pos="8306"/>
      </w:tabs>
      <w:snapToGrid w:val="0"/>
      <w:jc w:val="left"/>
    </w:pPr>
    <w:rPr>
      <w:sz w:val="18"/>
    </w:rPr>
  </w:style>
  <w:style w:type="paragraph" w:customStyle="1" w:styleId="61">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w:basedOn w:val="1"/>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8">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uiPriority w:val="0"/>
    <w:rPr>
      <w:rFonts w:eastAsia="宋体"/>
      <w:sz w:val="21"/>
      <w:szCs w:val="21"/>
    </w:rPr>
  </w:style>
  <w:style w:type="paragraph" w:customStyle="1" w:styleId="80">
    <w:name w:val="页脚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styleId="8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4A825-36A9-411B-A9C7-50B444948C55}">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1490</Words>
  <Characters>8494</Characters>
  <Lines>70</Lines>
  <Paragraphs>19</Paragraphs>
  <TotalTime>0</TotalTime>
  <ScaleCrop>false</ScaleCrop>
  <LinksUpToDate>false</LinksUpToDate>
  <CharactersWithSpaces>9965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2024-02-23T00:56:00Z</cp:lastPrinted>
  <dcterms:modified xsi:type="dcterms:W3CDTF">2024-02-26T02:05:26Z</dcterms:modified>
  <dc:title>主  持  词</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