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抚松县城市社会经济调查队</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1.为政府决策及社会需求调查提供城市社会经济信息。</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2.贯彻执行国家有关统计工作的方针政策。</w:t>
      </w:r>
    </w:p>
    <w:p>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3.组织实施城镇住户、价格等有关调查。</w:t>
      </w:r>
    </w:p>
    <w:p>
      <w:pPr>
        <w:spacing w:line="560" w:lineRule="exact"/>
        <w:ind w:firstLine="640" w:firstLineChars="200"/>
      </w:pPr>
      <w:r>
        <w:rPr>
          <w:rFonts w:hint="eastAsia" w:ascii="仿宋_GB2312" w:hAnsi="仿宋" w:cs="宋体"/>
          <w:kern w:val="0"/>
          <w:szCs w:val="32"/>
          <w:lang w:bidi="en-US"/>
        </w:rPr>
        <w:t>4.为政府决策提供城市社会经济信息。</w:t>
      </w:r>
    </w:p>
    <w:p>
      <w:pPr>
        <w:ind w:firstLine="640" w:firstLineChars="200"/>
      </w:pPr>
      <w:r>
        <w:rPr>
          <w:rFonts w:eastAsia="楷体_GB2312"/>
        </w:rPr>
        <w:t>二、机构设置</w:t>
      </w:r>
    </w:p>
    <w:p>
      <w:pPr>
        <w:ind w:firstLine="640" w:firstLineChars="200"/>
        <w:rPr>
          <w:kern w:val="0"/>
          <w:szCs w:val="32"/>
        </w:rPr>
      </w:pPr>
      <w:r>
        <w:rPr>
          <w:rFonts w:hint="eastAsia"/>
          <w:kern w:val="0"/>
          <w:szCs w:val="32"/>
        </w:rPr>
        <w:t>根据机构编制管理有关规定，抚松县城市社会经济调查队不设置内设机构。</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12.72</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81.38</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8.32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106.06</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12.72</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16.07</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13.35</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2.72</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3.92</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3.14</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0.78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9.09</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8.19</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0.90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12.72</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12.72</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12.72</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841" w:type="dxa"/>
        <w:jc w:val="center"/>
        <w:tblLayout w:type="fixed"/>
        <w:tblCellMar>
          <w:top w:w="0" w:type="dxa"/>
          <w:left w:w="108" w:type="dxa"/>
          <w:bottom w:w="0" w:type="dxa"/>
          <w:right w:w="108" w:type="dxa"/>
        </w:tblCellMar>
      </w:tblPr>
      <w:tblGrid>
        <w:gridCol w:w="1382"/>
        <w:gridCol w:w="794"/>
        <w:gridCol w:w="810"/>
        <w:gridCol w:w="780"/>
        <w:gridCol w:w="360"/>
        <w:gridCol w:w="330"/>
        <w:gridCol w:w="360"/>
        <w:gridCol w:w="360"/>
        <w:gridCol w:w="375"/>
        <w:gridCol w:w="360"/>
        <w:gridCol w:w="336"/>
        <w:gridCol w:w="294"/>
        <w:gridCol w:w="204"/>
        <w:gridCol w:w="501"/>
        <w:gridCol w:w="687"/>
        <w:gridCol w:w="236"/>
        <w:gridCol w:w="153"/>
        <w:gridCol w:w="375"/>
        <w:gridCol w:w="375"/>
        <w:gridCol w:w="340"/>
        <w:gridCol w:w="429"/>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tcPr>
          <w:p>
            <w:pPr>
              <w:autoSpaceDN w:val="0"/>
              <w:jc w:val="left"/>
              <w:textAlignment w:val="center"/>
              <w:rPr>
                <w:rFonts w:eastAsia="华文细黑"/>
                <w:color w:val="000000"/>
                <w:sz w:val="20"/>
              </w:rPr>
            </w:pPr>
          </w:p>
        </w:tc>
        <w:tc>
          <w:tcPr>
            <w:tcW w:w="3794" w:type="dxa"/>
            <w:gridSpan w:val="7"/>
            <w:tcBorders>
              <w:bottom w:val="single" w:color="000000" w:sz="4" w:space="0"/>
            </w:tcBorders>
            <w:noWrap/>
            <w:vAlign w:val="center"/>
          </w:tcPr>
          <w:p>
            <w:pPr>
              <w:autoSpaceDN w:val="0"/>
              <w:jc w:val="left"/>
              <w:textAlignment w:val="center"/>
              <w:rPr>
                <w:rFonts w:eastAsia="华文细黑"/>
                <w:color w:val="000000"/>
                <w:sz w:val="20"/>
              </w:rPr>
            </w:pPr>
          </w:p>
        </w:tc>
        <w:tc>
          <w:tcPr>
            <w:tcW w:w="1071"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88"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1672"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794"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1"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794"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1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70"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05"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51"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5"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29"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794"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抚松县城市社会经济调查队</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118.78</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106.06</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106.06</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12.72</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12.72</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118.78</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106.06</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106.06</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12.72</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12.72</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12.72</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szCs w:val="22"/>
                    </w:rPr>
                    <w:t>12.72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12.72</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89.70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81.38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8.32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16.07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13.35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2.72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3.92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3.14</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9.09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8.19</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0.90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118.78</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106.06</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12.72</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106.06</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12.72</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一、一般公共服</w:t>
                  </w:r>
                  <w:r>
                    <w:rPr>
                      <w:rFonts w:eastAsia="宋体"/>
                      <w:kern w:val="0"/>
                      <w:sz w:val="20"/>
                    </w:rPr>
                    <w:t>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73.17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118.78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97.41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97.41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31.08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22.83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22.83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15.96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15.96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11.83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9.09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0.88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13.69</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1.20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1.98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1.98</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0.42</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0.42</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1.20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0.08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0.08</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0.95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0.95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2.45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4.38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4.38</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1.03</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1.03</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4.83</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4.83</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4.24</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4.24</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0.59</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0.59</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2.85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2.85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2.85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2.85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102.24</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16.54</w:t>
            </w:r>
          </w:p>
        </w:tc>
      </w:tr>
    </w:tbl>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0.08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0.08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ign w:val="center"/>
          </w:tcPr>
          <w:p>
            <w:pPr>
              <w:widowControl/>
              <w:ind w:firstLine="560" w:firstLineChars="200"/>
              <w:jc w:val="left"/>
              <w:rPr>
                <w:rFonts w:hint="eastAsia"/>
                <w:kern w:val="0"/>
                <w:sz w:val="28"/>
                <w:szCs w:val="28"/>
              </w:rPr>
            </w:pPr>
            <w:r>
              <w:rPr>
                <w:kern w:val="0"/>
                <w:sz w:val="28"/>
                <w:szCs w:val="28"/>
              </w:rPr>
              <w:t>说明：</w:t>
            </w:r>
          </w:p>
          <w:p>
            <w:pPr>
              <w:widowControl/>
              <w:jc w:val="left"/>
              <w:rPr>
                <w:rFonts w:hint="eastAsia" w:eastAsia="宋体"/>
                <w:kern w:val="0"/>
                <w:sz w:val="28"/>
                <w:szCs w:val="28"/>
              </w:rPr>
            </w:pPr>
            <w:r>
              <w:rPr>
                <w:rFonts w:eastAsia="宋体"/>
                <w:kern w:val="0"/>
                <w:sz w:val="28"/>
                <w:szCs w:val="28"/>
              </w:rPr>
              <w:t xml:space="preserve">       1</w:t>
            </w:r>
            <w:r>
              <w:rPr>
                <w:kern w:val="0"/>
                <w:sz w:val="28"/>
                <w:szCs w:val="28"/>
              </w:rPr>
              <w:t>、“</w:t>
            </w:r>
            <w:r>
              <w:rPr>
                <w:rFonts w:hint="eastAsia"/>
                <w:kern w:val="0"/>
                <w:sz w:val="28"/>
                <w:szCs w:val="28"/>
              </w:rPr>
              <w:t>202</w:t>
            </w:r>
            <w:r>
              <w:rPr>
                <w:rFonts w:hint="eastAsia"/>
                <w:kern w:val="0"/>
                <w:sz w:val="28"/>
                <w:szCs w:val="28"/>
                <w:lang w:val="en-US" w:eastAsia="zh-CN"/>
              </w:rPr>
              <w:t>4</w:t>
            </w:r>
            <w:r>
              <w:rPr>
                <w:rFonts w:hint="eastAsia"/>
                <w:kern w:val="0"/>
                <w:sz w:val="28"/>
                <w:szCs w:val="28"/>
              </w:rPr>
              <w:t>年预算数</w:t>
            </w:r>
            <w:r>
              <w:rPr>
                <w:kern w:val="0"/>
                <w:sz w:val="28"/>
                <w:szCs w:val="28"/>
              </w:rPr>
              <w:t>”的单位范围包括</w:t>
            </w:r>
            <w:r>
              <w:rPr>
                <w:rFonts w:hint="eastAsia"/>
                <w:kern w:val="0"/>
                <w:sz w:val="28"/>
                <w:szCs w:val="28"/>
              </w:rPr>
              <w:t>单位</w:t>
            </w:r>
            <w:r>
              <w:rPr>
                <w:kern w:val="0"/>
                <w:sz w:val="28"/>
                <w:szCs w:val="28"/>
              </w:rPr>
              <w:t>本级</w:t>
            </w:r>
            <w:r>
              <w:rPr>
                <w:rFonts w:hint="eastAsia"/>
                <w:kern w:val="0"/>
                <w:sz w:val="28"/>
                <w:szCs w:val="28"/>
              </w:rPr>
              <w:t>1</w:t>
            </w:r>
            <w:r>
              <w:rPr>
                <w:kern w:val="0"/>
                <w:sz w:val="28"/>
                <w:szCs w:val="28"/>
              </w:rPr>
              <w:t>个预算单位。</w:t>
            </w:r>
            <w:r>
              <w:rPr>
                <w:rFonts w:eastAsia="宋体"/>
                <w:kern w:val="0"/>
                <w:sz w:val="28"/>
                <w:szCs w:val="28"/>
              </w:rPr>
              <w:t xml:space="preserve">   </w:t>
            </w:r>
          </w:p>
          <w:p>
            <w:pPr>
              <w:widowControl/>
              <w:jc w:val="left"/>
              <w:rPr>
                <w:kern w:val="0"/>
                <w:sz w:val="28"/>
                <w:szCs w:val="28"/>
              </w:rPr>
            </w:pPr>
            <w:r>
              <w:rPr>
                <w:rFonts w:eastAsia="宋体"/>
                <w:kern w:val="0"/>
                <w:sz w:val="28"/>
                <w:szCs w:val="28"/>
              </w:rPr>
              <w:t xml:space="preserve">       2</w:t>
            </w:r>
            <w:r>
              <w:rPr>
                <w:kern w:val="0"/>
                <w:sz w:val="28"/>
                <w:szCs w:val="28"/>
              </w:rPr>
              <w:t>、“</w:t>
            </w:r>
            <w:r>
              <w:rPr>
                <w:rFonts w:hint="eastAsia"/>
                <w:kern w:val="0"/>
                <w:sz w:val="28"/>
                <w:szCs w:val="28"/>
              </w:rPr>
              <w:t>202</w:t>
            </w:r>
            <w:r>
              <w:rPr>
                <w:rFonts w:hint="eastAsia"/>
                <w:kern w:val="0"/>
                <w:sz w:val="28"/>
                <w:szCs w:val="28"/>
                <w:lang w:val="en-US" w:eastAsia="zh-CN"/>
              </w:rPr>
              <w:t>4</w:t>
            </w:r>
            <w:r>
              <w:rPr>
                <w:rFonts w:hint="eastAsia"/>
                <w:kern w:val="0"/>
                <w:sz w:val="28"/>
                <w:szCs w:val="28"/>
              </w:rPr>
              <w:t>年预算数</w:t>
            </w:r>
            <w:r>
              <w:rPr>
                <w:kern w:val="0"/>
                <w:sz w:val="28"/>
                <w:szCs w:val="28"/>
              </w:rPr>
              <w:t>”的实有人员</w:t>
            </w:r>
            <w:r>
              <w:rPr>
                <w:rFonts w:hint="eastAsia"/>
                <w:kern w:val="0"/>
                <w:sz w:val="28"/>
                <w:szCs w:val="28"/>
              </w:rPr>
              <w:t>10</w:t>
            </w:r>
            <w:r>
              <w:rPr>
                <w:kern w:val="0"/>
                <w:sz w:val="28"/>
                <w:szCs w:val="28"/>
              </w:rPr>
              <w:t>人，其中：在职人员</w:t>
            </w:r>
            <w:r>
              <w:rPr>
                <w:rFonts w:hint="eastAsia"/>
                <w:kern w:val="0"/>
                <w:sz w:val="28"/>
                <w:szCs w:val="28"/>
              </w:rPr>
              <w:t>6</w:t>
            </w:r>
            <w:r>
              <w:rPr>
                <w:kern w:val="0"/>
                <w:sz w:val="28"/>
                <w:szCs w:val="28"/>
              </w:rPr>
              <w:t>人，离退休人员</w:t>
            </w:r>
            <w:r>
              <w:rPr>
                <w:rFonts w:hint="eastAsia"/>
                <w:kern w:val="0"/>
                <w:sz w:val="28"/>
                <w:szCs w:val="28"/>
              </w:rPr>
              <w:t>4</w:t>
            </w:r>
            <w:r>
              <w:rPr>
                <w:kern w:val="0"/>
                <w:sz w:val="28"/>
                <w:szCs w:val="28"/>
              </w:rPr>
              <w:t>人。</w:t>
            </w:r>
          </w:p>
          <w:p>
            <w:pPr>
              <w:widowControl/>
              <w:rPr>
                <w:color w:val="000000"/>
                <w:kern w:val="0"/>
                <w:sz w:val="28"/>
                <w:szCs w:val="28"/>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9" w:type="first"/>
          <w:footerReference r:id="rId8"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9"/>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44"/>
        <w:gridCol w:w="1230"/>
        <w:gridCol w:w="1170"/>
        <w:gridCol w:w="559"/>
        <w:gridCol w:w="559"/>
        <w:gridCol w:w="461"/>
        <w:gridCol w:w="407"/>
        <w:gridCol w:w="385"/>
        <w:gridCol w:w="411"/>
        <w:gridCol w:w="418"/>
        <w:gridCol w:w="446"/>
        <w:gridCol w:w="439"/>
        <w:gridCol w:w="359"/>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00" w:type="pct"/>
            <w:gridSpan w:val="15"/>
            <w:tcBorders>
              <w:top w:val="nil"/>
              <w:left w:val="nil"/>
              <w:bottom w:val="nil"/>
              <w:right w:val="nil"/>
            </w:tcBorders>
            <w:noWrap/>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3"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75"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67"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34"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303"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206" w:type="pct"/>
            <w:gridSpan w:val="5"/>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089" w:type="pct"/>
            <w:gridSpan w:val="5"/>
            <w:tcBorders>
              <w:top w:val="nil"/>
              <w:left w:val="nil"/>
              <w:right w:val="nil"/>
            </w:tcBorders>
            <w:noWrap/>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3"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1342" w:type="pct"/>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634" w:type="pct"/>
            <w:vMerge w:val="restar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303"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206" w:type="pct"/>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1089" w:type="pct"/>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3" w:type="pct"/>
            <w:vMerge w:val="continue"/>
            <w:noWrap/>
            <w:vAlign w:val="center"/>
          </w:tcPr>
          <w:p>
            <w:pPr>
              <w:autoSpaceDN w:val="0"/>
              <w:jc w:val="center"/>
              <w:textAlignment w:val="center"/>
              <w:rPr>
                <w:rFonts w:ascii="Calibri" w:hAnsi="Calibri" w:eastAsia="华文细黑"/>
                <w:color w:val="000000"/>
                <w:sz w:val="20"/>
                <w:szCs w:val="22"/>
              </w:rPr>
            </w:pPr>
          </w:p>
        </w:tc>
        <w:tc>
          <w:tcPr>
            <w:tcW w:w="675"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667"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634"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303" w:type="pct"/>
            <w:vMerge w:val="continue"/>
            <w:noWrap/>
            <w:vAlign w:val="center"/>
          </w:tcPr>
          <w:p>
            <w:pPr>
              <w:autoSpaceDN w:val="0"/>
              <w:jc w:val="center"/>
              <w:textAlignment w:val="center"/>
              <w:rPr>
                <w:rFonts w:ascii="Calibri" w:hAnsi="Calibri" w:eastAsia="华文细黑"/>
                <w:color w:val="000000"/>
                <w:sz w:val="20"/>
                <w:szCs w:val="22"/>
              </w:rPr>
            </w:pPr>
          </w:p>
        </w:tc>
        <w:tc>
          <w:tcPr>
            <w:tcW w:w="774" w:type="pct"/>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209" w:type="pct"/>
            <w:vMerge w:val="restart"/>
            <w:noWrap/>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222" w:type="pct"/>
            <w:vMerge w:val="restart"/>
            <w:noWrap/>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707" w:type="pct"/>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382" w:type="pct"/>
            <w:gridSpan w:val="2"/>
            <w:noWrap/>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423" w:type="pct"/>
            <w:vMerge w:val="continue"/>
            <w:noWrap/>
            <w:vAlign w:val="center"/>
          </w:tcPr>
          <w:p>
            <w:pPr>
              <w:autoSpaceDN w:val="0"/>
              <w:jc w:val="center"/>
              <w:textAlignment w:val="center"/>
              <w:rPr>
                <w:rFonts w:ascii="Calibri" w:hAnsi="Calibri" w:eastAsia="华文细黑"/>
                <w:color w:val="000000"/>
                <w:sz w:val="20"/>
                <w:szCs w:val="22"/>
              </w:rPr>
            </w:pPr>
          </w:p>
        </w:tc>
        <w:tc>
          <w:tcPr>
            <w:tcW w:w="675" w:type="pct"/>
            <w:vMerge w:val="continue"/>
            <w:noWrap/>
            <w:vAlign w:val="center"/>
          </w:tcPr>
          <w:p>
            <w:pPr>
              <w:autoSpaceDN w:val="0"/>
              <w:jc w:val="center"/>
              <w:textAlignment w:val="center"/>
              <w:rPr>
                <w:rFonts w:ascii="Calibri" w:hAnsi="Calibri" w:eastAsia="华文细黑"/>
                <w:color w:val="000000"/>
                <w:sz w:val="20"/>
                <w:szCs w:val="22"/>
              </w:rPr>
            </w:pPr>
          </w:p>
        </w:tc>
        <w:tc>
          <w:tcPr>
            <w:tcW w:w="667" w:type="pct"/>
            <w:vMerge w:val="continue"/>
            <w:noWrap/>
            <w:vAlign w:val="center"/>
          </w:tcPr>
          <w:p>
            <w:pPr>
              <w:autoSpaceDN w:val="0"/>
              <w:jc w:val="center"/>
              <w:textAlignment w:val="center"/>
              <w:rPr>
                <w:rFonts w:ascii="Calibri" w:hAnsi="Calibri" w:eastAsia="华文细黑"/>
                <w:color w:val="000000"/>
                <w:sz w:val="20"/>
                <w:szCs w:val="22"/>
              </w:rPr>
            </w:pPr>
          </w:p>
        </w:tc>
        <w:tc>
          <w:tcPr>
            <w:tcW w:w="634" w:type="pct"/>
            <w:vMerge w:val="continue"/>
            <w:noWrap/>
            <w:vAlign w:val="center"/>
          </w:tcPr>
          <w:p>
            <w:pPr>
              <w:autoSpaceDN w:val="0"/>
              <w:jc w:val="center"/>
              <w:textAlignment w:val="center"/>
              <w:rPr>
                <w:rFonts w:ascii="Calibri" w:hAnsi="Calibri" w:eastAsia="华文细黑"/>
                <w:color w:val="000000"/>
                <w:sz w:val="20"/>
                <w:szCs w:val="22"/>
              </w:rPr>
            </w:pPr>
          </w:p>
        </w:tc>
        <w:tc>
          <w:tcPr>
            <w:tcW w:w="303" w:type="pct"/>
            <w:vMerge w:val="continue"/>
            <w:noWrap/>
            <w:vAlign w:val="center"/>
          </w:tcPr>
          <w:p>
            <w:pPr>
              <w:autoSpaceDN w:val="0"/>
              <w:jc w:val="center"/>
              <w:textAlignment w:val="center"/>
              <w:rPr>
                <w:rFonts w:ascii="Calibri" w:hAnsi="Calibri" w:eastAsia="华文细黑"/>
                <w:color w:val="000000"/>
                <w:sz w:val="20"/>
                <w:szCs w:val="22"/>
              </w:rPr>
            </w:pPr>
          </w:p>
        </w:tc>
        <w:tc>
          <w:tcPr>
            <w:tcW w:w="303"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250"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20"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209"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22"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2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42"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3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195" w:type="pc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187" w:type="pc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23" w:type="pct"/>
            <w:noWrap/>
            <w:vAlign w:val="center"/>
          </w:tcPr>
          <w:p>
            <w:pPr>
              <w:spacing w:line="480" w:lineRule="auto"/>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tcFitText/>
            <w:vAlign w:val="center"/>
          </w:tcPr>
          <w:p>
            <w:pPr>
              <w:spacing w:line="700" w:lineRule="exact"/>
              <w:jc w:val="center"/>
              <w:rPr>
                <w:rFonts w:ascii="宋体" w:hAnsi="宋体" w:eastAsia="宋体" w:cs="宋体"/>
                <w:kern w:val="0"/>
                <w:sz w:val="16"/>
                <w:szCs w:val="16"/>
              </w:rPr>
            </w:pPr>
          </w:p>
        </w:tc>
        <w:tc>
          <w:tcPr>
            <w:tcW w:w="634" w:type="pct"/>
            <w:noWrap/>
            <w:tcFitText/>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spacing w:line="700" w:lineRule="exact"/>
              <w:jc w:val="center"/>
              <w:rPr>
                <w:rFonts w:ascii="宋体" w:hAnsi="宋体" w:eastAsia="宋体" w:cs="宋体"/>
                <w:kern w:val="0"/>
                <w:sz w:val="16"/>
                <w:szCs w:val="16"/>
              </w:rPr>
            </w:pPr>
          </w:p>
        </w:tc>
        <w:tc>
          <w:tcPr>
            <w:tcW w:w="675" w:type="pct"/>
            <w:noWrap/>
            <w:vAlign w:val="center"/>
          </w:tcPr>
          <w:p>
            <w:pPr>
              <w:spacing w:line="700" w:lineRule="exact"/>
              <w:jc w:val="center"/>
              <w:rPr>
                <w:rFonts w:ascii="宋体" w:hAnsi="宋体" w:eastAsia="宋体" w:cs="宋体"/>
                <w:kern w:val="0"/>
                <w:sz w:val="16"/>
                <w:szCs w:val="16"/>
              </w:rPr>
            </w:pPr>
          </w:p>
        </w:tc>
        <w:tc>
          <w:tcPr>
            <w:tcW w:w="667" w:type="pct"/>
            <w:noWrap/>
            <w:vAlign w:val="center"/>
          </w:tcPr>
          <w:p>
            <w:pPr>
              <w:spacing w:line="700" w:lineRule="exact"/>
              <w:jc w:val="center"/>
              <w:rPr>
                <w:rFonts w:ascii="宋体" w:hAnsi="宋体" w:eastAsia="宋体" w:cs="宋体"/>
                <w:kern w:val="0"/>
                <w:sz w:val="16"/>
                <w:szCs w:val="16"/>
              </w:rPr>
            </w:pPr>
          </w:p>
        </w:tc>
        <w:tc>
          <w:tcPr>
            <w:tcW w:w="634" w:type="pct"/>
            <w:noWrap/>
            <w:vAlign w:val="center"/>
          </w:tcPr>
          <w:p>
            <w:pPr>
              <w:spacing w:line="700" w:lineRule="exact"/>
              <w:jc w:val="center"/>
              <w:rPr>
                <w:rFonts w:ascii="宋体" w:hAnsi="宋体" w:eastAsia="宋体" w:cs="宋体"/>
                <w:kern w:val="0"/>
                <w:sz w:val="16"/>
                <w:szCs w:val="16"/>
              </w:rPr>
            </w:pPr>
          </w:p>
        </w:tc>
        <w:tc>
          <w:tcPr>
            <w:tcW w:w="303" w:type="pct"/>
            <w:noWrap/>
            <w:vAlign w:val="center"/>
          </w:tcPr>
          <w:p>
            <w:pPr>
              <w:spacing w:line="700" w:lineRule="exact"/>
              <w:jc w:val="center"/>
              <w:rPr>
                <w:rFonts w:ascii="Calibri" w:hAnsi="Calibri" w:eastAsia="楷体"/>
                <w:kern w:val="0"/>
                <w:sz w:val="13"/>
                <w:szCs w:val="13"/>
              </w:rPr>
            </w:pPr>
          </w:p>
        </w:tc>
        <w:tc>
          <w:tcPr>
            <w:tcW w:w="303" w:type="pct"/>
            <w:noWrap/>
            <w:vAlign w:val="center"/>
          </w:tcPr>
          <w:p>
            <w:pPr>
              <w:spacing w:line="700" w:lineRule="exact"/>
              <w:jc w:val="center"/>
              <w:rPr>
                <w:rFonts w:ascii="Calibri" w:hAnsi="Calibri" w:eastAsia="楷体"/>
                <w:kern w:val="0"/>
                <w:sz w:val="13"/>
                <w:szCs w:val="13"/>
              </w:rPr>
            </w:pPr>
          </w:p>
        </w:tc>
        <w:tc>
          <w:tcPr>
            <w:tcW w:w="250" w:type="pct"/>
            <w:noWrap/>
            <w:vAlign w:val="center"/>
          </w:tcPr>
          <w:p>
            <w:pPr>
              <w:spacing w:line="700" w:lineRule="exact"/>
              <w:jc w:val="center"/>
              <w:rPr>
                <w:rFonts w:ascii="Calibri" w:hAnsi="Calibri" w:eastAsia="楷体"/>
                <w:kern w:val="0"/>
                <w:sz w:val="13"/>
                <w:szCs w:val="13"/>
              </w:rPr>
            </w:pPr>
          </w:p>
        </w:tc>
        <w:tc>
          <w:tcPr>
            <w:tcW w:w="220" w:type="pct"/>
            <w:noWrap/>
            <w:vAlign w:val="center"/>
          </w:tcPr>
          <w:p>
            <w:pPr>
              <w:spacing w:line="700" w:lineRule="exact"/>
              <w:jc w:val="center"/>
              <w:rPr>
                <w:rFonts w:ascii="Calibri" w:hAnsi="Calibri" w:eastAsia="楷体"/>
                <w:kern w:val="0"/>
                <w:sz w:val="13"/>
                <w:szCs w:val="13"/>
              </w:rPr>
            </w:pPr>
          </w:p>
        </w:tc>
        <w:tc>
          <w:tcPr>
            <w:tcW w:w="209" w:type="pct"/>
            <w:noWrap/>
            <w:vAlign w:val="center"/>
          </w:tcPr>
          <w:p>
            <w:pPr>
              <w:spacing w:line="700" w:lineRule="exact"/>
              <w:jc w:val="center"/>
              <w:rPr>
                <w:rFonts w:ascii="Calibri" w:hAnsi="Calibri" w:eastAsia="楷体"/>
                <w:kern w:val="0"/>
                <w:sz w:val="13"/>
                <w:szCs w:val="13"/>
              </w:rPr>
            </w:pPr>
          </w:p>
        </w:tc>
        <w:tc>
          <w:tcPr>
            <w:tcW w:w="222"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3" w:type="pct"/>
            <w:noWrap/>
            <w:vAlign w:val="center"/>
          </w:tcPr>
          <w:p>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675" w:type="pct"/>
            <w:noWrap/>
            <w:vAlign w:val="center"/>
          </w:tcPr>
          <w:p>
            <w:pPr>
              <w:autoSpaceDN w:val="0"/>
              <w:jc w:val="center"/>
              <w:textAlignment w:val="center"/>
              <w:rPr>
                <w:rFonts w:ascii="宋体" w:hAnsi="宋体" w:eastAsia="宋体" w:cs="宋体"/>
                <w:color w:val="000000"/>
                <w:sz w:val="20"/>
                <w:szCs w:val="22"/>
              </w:rPr>
            </w:pPr>
          </w:p>
        </w:tc>
        <w:tc>
          <w:tcPr>
            <w:tcW w:w="667" w:type="pct"/>
            <w:noWrap/>
            <w:vAlign w:val="center"/>
          </w:tcPr>
          <w:p>
            <w:pPr>
              <w:spacing w:line="700" w:lineRule="exact"/>
              <w:jc w:val="center"/>
              <w:rPr>
                <w:rFonts w:ascii="宋体" w:hAnsi="宋体" w:eastAsia="宋体" w:cs="宋体"/>
                <w:kern w:val="0"/>
                <w:szCs w:val="32"/>
              </w:rPr>
            </w:pPr>
          </w:p>
        </w:tc>
        <w:tc>
          <w:tcPr>
            <w:tcW w:w="634" w:type="pct"/>
            <w:noWrap/>
            <w:vAlign w:val="center"/>
          </w:tcPr>
          <w:p>
            <w:pPr>
              <w:spacing w:line="700" w:lineRule="exact"/>
              <w:jc w:val="center"/>
              <w:rPr>
                <w:rFonts w:ascii="宋体" w:hAnsi="宋体" w:eastAsia="宋体" w:cs="宋体"/>
                <w:kern w:val="0"/>
                <w:szCs w:val="32"/>
              </w:rPr>
            </w:pPr>
          </w:p>
        </w:tc>
        <w:tc>
          <w:tcPr>
            <w:tcW w:w="560" w:type="dxa"/>
            <w:noWrap/>
            <w:vAlign w:val="center"/>
          </w:tcPr>
          <w:p>
            <w:pPr>
              <w:spacing w:line="700" w:lineRule="exact"/>
              <w:jc w:val="center"/>
              <w:rPr>
                <w:rFonts w:ascii="Calibri" w:hAnsi="Calibri" w:eastAsia="楷体"/>
                <w:kern w:val="0"/>
                <w:szCs w:val="32"/>
              </w:rPr>
            </w:pPr>
          </w:p>
        </w:tc>
        <w:tc>
          <w:tcPr>
            <w:tcW w:w="559" w:type="dxa"/>
            <w:noWrap/>
            <w:vAlign w:val="center"/>
          </w:tcPr>
          <w:p>
            <w:pPr>
              <w:spacing w:line="700" w:lineRule="exact"/>
              <w:jc w:val="center"/>
              <w:rPr>
                <w:rFonts w:ascii="Calibri" w:hAnsi="Calibri" w:eastAsia="楷体"/>
                <w:kern w:val="0"/>
                <w:szCs w:val="32"/>
              </w:rPr>
            </w:pPr>
          </w:p>
        </w:tc>
        <w:tc>
          <w:tcPr>
            <w:tcW w:w="250" w:type="pct"/>
            <w:noWrap/>
            <w:vAlign w:val="center"/>
          </w:tcPr>
          <w:p>
            <w:pPr>
              <w:spacing w:line="700" w:lineRule="exact"/>
              <w:jc w:val="center"/>
              <w:rPr>
                <w:rFonts w:ascii="Calibri" w:hAnsi="Calibri" w:eastAsia="楷体"/>
                <w:kern w:val="0"/>
                <w:szCs w:val="32"/>
              </w:rPr>
            </w:pPr>
          </w:p>
        </w:tc>
        <w:tc>
          <w:tcPr>
            <w:tcW w:w="220" w:type="pct"/>
            <w:noWrap/>
            <w:vAlign w:val="center"/>
          </w:tcPr>
          <w:p>
            <w:pPr>
              <w:spacing w:line="700" w:lineRule="exact"/>
              <w:jc w:val="center"/>
              <w:rPr>
                <w:rFonts w:ascii="Calibri" w:hAnsi="Calibri" w:eastAsia="楷体"/>
                <w:kern w:val="0"/>
                <w:szCs w:val="32"/>
              </w:rPr>
            </w:pPr>
          </w:p>
        </w:tc>
        <w:tc>
          <w:tcPr>
            <w:tcW w:w="209" w:type="pct"/>
            <w:noWrap/>
            <w:vAlign w:val="center"/>
          </w:tcPr>
          <w:p>
            <w:pPr>
              <w:spacing w:line="700" w:lineRule="exact"/>
              <w:jc w:val="center"/>
              <w:rPr>
                <w:rFonts w:ascii="Calibri" w:hAnsi="Calibri" w:eastAsia="楷体"/>
                <w:kern w:val="0"/>
                <w:szCs w:val="32"/>
              </w:rPr>
            </w:pPr>
          </w:p>
        </w:tc>
        <w:tc>
          <w:tcPr>
            <w:tcW w:w="222" w:type="pct"/>
            <w:noWrap/>
            <w:vAlign w:val="center"/>
          </w:tcPr>
          <w:p>
            <w:pPr>
              <w:spacing w:line="700" w:lineRule="exact"/>
              <w:jc w:val="center"/>
              <w:rPr>
                <w:rFonts w:ascii="Calibri" w:hAnsi="Calibri" w:eastAsia="楷体"/>
                <w:kern w:val="0"/>
                <w:szCs w:val="32"/>
              </w:rPr>
            </w:pPr>
          </w:p>
        </w:tc>
        <w:tc>
          <w:tcPr>
            <w:tcW w:w="227" w:type="pct"/>
            <w:noWrap/>
            <w:vAlign w:val="center"/>
          </w:tcPr>
          <w:p>
            <w:pPr>
              <w:spacing w:line="700" w:lineRule="exact"/>
              <w:jc w:val="center"/>
              <w:rPr>
                <w:rFonts w:ascii="Calibri" w:hAnsi="Calibri" w:eastAsia="楷体"/>
                <w:kern w:val="0"/>
                <w:szCs w:val="32"/>
              </w:rPr>
            </w:pPr>
          </w:p>
        </w:tc>
        <w:tc>
          <w:tcPr>
            <w:tcW w:w="242" w:type="pct"/>
            <w:noWrap/>
            <w:vAlign w:val="center"/>
          </w:tcPr>
          <w:p>
            <w:pPr>
              <w:spacing w:line="700" w:lineRule="exact"/>
              <w:jc w:val="center"/>
              <w:rPr>
                <w:rFonts w:ascii="Calibri" w:hAnsi="Calibri" w:eastAsia="楷体"/>
                <w:kern w:val="0"/>
                <w:szCs w:val="32"/>
              </w:rPr>
            </w:pPr>
          </w:p>
        </w:tc>
        <w:tc>
          <w:tcPr>
            <w:tcW w:w="237" w:type="pct"/>
            <w:noWrap/>
            <w:vAlign w:val="center"/>
          </w:tcPr>
          <w:p>
            <w:pPr>
              <w:spacing w:line="700" w:lineRule="exact"/>
              <w:jc w:val="center"/>
              <w:rPr>
                <w:rFonts w:ascii="Calibri" w:hAnsi="Calibri" w:eastAsia="楷体"/>
                <w:kern w:val="0"/>
                <w:szCs w:val="32"/>
              </w:rPr>
            </w:pPr>
          </w:p>
        </w:tc>
        <w:tc>
          <w:tcPr>
            <w:tcW w:w="195" w:type="pct"/>
            <w:noWrap/>
            <w:vAlign w:val="center"/>
          </w:tcPr>
          <w:p>
            <w:pPr>
              <w:spacing w:line="700" w:lineRule="exact"/>
              <w:jc w:val="center"/>
              <w:rPr>
                <w:rFonts w:ascii="Calibri" w:hAnsi="Calibri" w:eastAsia="楷体"/>
                <w:kern w:val="0"/>
                <w:szCs w:val="32"/>
              </w:rPr>
            </w:pPr>
          </w:p>
        </w:tc>
        <w:tc>
          <w:tcPr>
            <w:tcW w:w="187" w:type="pct"/>
            <w:noWrap/>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成本指标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经济成本指标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447" w:type="dxa"/>
            <w:tcBorders>
              <w:top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社会成本指标</w:t>
            </w: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生态环境成本指标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产出指标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数量指标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质量指标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时效指标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效益指标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生态效益指标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满意度指标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服务对象满意度指标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ascii="楷体" w:hAnsi="楷体" w:eastAsia="楷体" w:cs="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bookmarkStart w:id="0" w:name="_GoBack"/>
      <w:bookmarkEnd w:id="0"/>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118.78</w:t>
      </w:r>
      <w:r>
        <w:rPr>
          <w:szCs w:val="32"/>
        </w:rPr>
        <w:t>万元</w:t>
      </w:r>
      <w:r>
        <w:rPr>
          <w:rFonts w:hint="eastAsia"/>
          <w:szCs w:val="32"/>
        </w:rPr>
        <w:t>，其中：本年预算106.06万元；上年结转12.72万元。2024年本年预算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16.13</w:t>
      </w:r>
      <w:r>
        <w:rPr>
          <w:szCs w:val="32"/>
        </w:rPr>
        <w:t>万元，主要原因是</w:t>
      </w:r>
      <w:r>
        <w:rPr>
          <w:rFonts w:hint="eastAsia"/>
          <w:szCs w:val="32"/>
        </w:rPr>
        <w:t>：本单位通过公务员考试招录一人，人员经费增加。</w:t>
      </w:r>
    </w:p>
    <w:p>
      <w:pPr>
        <w:rPr>
          <w:rFonts w:eastAsia="黑体"/>
          <w:szCs w:val="32"/>
        </w:rPr>
      </w:pPr>
      <w:r>
        <w:rPr>
          <w:rFonts w:hint="eastAsia" w:eastAsia="黑体"/>
          <w:szCs w:val="32"/>
        </w:rPr>
        <w:t>　　</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118.78</w:t>
      </w:r>
      <w:r>
        <w:rPr>
          <w:szCs w:val="32"/>
        </w:rPr>
        <w:t>万元，其中：本年收入</w:t>
      </w:r>
      <w:r>
        <w:rPr>
          <w:rFonts w:hint="eastAsia"/>
          <w:szCs w:val="32"/>
        </w:rPr>
        <w:t>106.06</w:t>
      </w:r>
      <w:r>
        <w:rPr>
          <w:szCs w:val="32"/>
        </w:rPr>
        <w:t>万元，占</w:t>
      </w:r>
      <w:r>
        <w:rPr>
          <w:rFonts w:hint="eastAsia"/>
          <w:szCs w:val="32"/>
        </w:rPr>
        <w:t>89.29</w:t>
      </w:r>
      <w:r>
        <w:rPr>
          <w:szCs w:val="32"/>
        </w:rPr>
        <w:t>%；上年结转</w:t>
      </w:r>
      <w:r>
        <w:rPr>
          <w:rFonts w:hint="eastAsia"/>
          <w:szCs w:val="32"/>
        </w:rPr>
        <w:t>结余12.72</w:t>
      </w:r>
      <w:r>
        <w:rPr>
          <w:szCs w:val="32"/>
        </w:rPr>
        <w:t>万元，占</w:t>
      </w:r>
      <w:r>
        <w:rPr>
          <w:rFonts w:hint="eastAsia"/>
          <w:szCs w:val="32"/>
        </w:rPr>
        <w:t>10.71</w:t>
      </w:r>
      <w:r>
        <w:rPr>
          <w:szCs w:val="32"/>
        </w:rPr>
        <w:t>%。本年收入中，一般公共预算拨款收入</w:t>
      </w:r>
      <w:r>
        <w:rPr>
          <w:rFonts w:hint="eastAsia"/>
          <w:szCs w:val="32"/>
        </w:rPr>
        <w:t>106.06</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中，一般公共预算拨款结转12.72</w:t>
      </w:r>
      <w:r>
        <w:rPr>
          <w:szCs w:val="32"/>
        </w:rPr>
        <w:t>万元，占</w:t>
      </w:r>
      <w:r>
        <w:rPr>
          <w:rFonts w:hint="eastAsia"/>
          <w:szCs w:val="32"/>
        </w:rPr>
        <w:t>100</w:t>
      </w:r>
      <w:r>
        <w:rPr>
          <w:szCs w:val="32"/>
        </w:rPr>
        <w:t>%</w:t>
      </w:r>
      <w:r>
        <w:rPr>
          <w:rFonts w:hint="eastAsia"/>
          <w:szCs w:val="32"/>
        </w:rPr>
        <w:t>。</w:t>
      </w:r>
    </w:p>
    <w:p>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24</w:t>
      </w:r>
      <w:r>
        <w:rPr>
          <w:szCs w:val="32"/>
        </w:rPr>
        <w:t>年支出预算</w:t>
      </w:r>
      <w:r>
        <w:rPr>
          <w:rFonts w:hint="eastAsia"/>
          <w:szCs w:val="32"/>
        </w:rPr>
        <w:t>118.78</w:t>
      </w:r>
      <w:r>
        <w:rPr>
          <w:szCs w:val="32"/>
        </w:rPr>
        <w:t>万元，其中：基本支出</w:t>
      </w:r>
      <w:r>
        <w:rPr>
          <w:rFonts w:hint="eastAsia"/>
          <w:szCs w:val="32"/>
        </w:rPr>
        <w:t>118.78</w:t>
      </w:r>
      <w:r>
        <w:rPr>
          <w:szCs w:val="32"/>
        </w:rPr>
        <w:t>万元，占</w:t>
      </w:r>
      <w:r>
        <w:rPr>
          <w:rFonts w:hint="eastAsia"/>
          <w:szCs w:val="32"/>
        </w:rPr>
        <w:t>100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118.78</w:t>
      </w:r>
      <w:r>
        <w:rPr>
          <w:szCs w:val="32"/>
        </w:rPr>
        <w:t>万元，其中：</w:t>
      </w:r>
      <w:r>
        <w:rPr>
          <w:rFonts w:hint="eastAsia"/>
          <w:szCs w:val="32"/>
        </w:rPr>
        <w:t>本年预算106.06</w:t>
      </w:r>
      <w:r>
        <w:rPr>
          <w:szCs w:val="32"/>
        </w:rPr>
        <w:t>万元</w:t>
      </w:r>
      <w:r>
        <w:rPr>
          <w:rFonts w:hint="eastAsia"/>
          <w:szCs w:val="32"/>
        </w:rPr>
        <w:t>，上年结转12.72</w:t>
      </w:r>
      <w:r>
        <w:rPr>
          <w:szCs w:val="32"/>
        </w:rPr>
        <w:t>万元</w:t>
      </w:r>
      <w:r>
        <w:rPr>
          <w:rFonts w:hint="eastAsia"/>
          <w:szCs w:val="32"/>
        </w:rPr>
        <w:t>。</w:t>
      </w:r>
      <w:r>
        <w:rPr>
          <w:szCs w:val="32"/>
        </w:rPr>
        <w:t>支出包括：</w:t>
      </w:r>
      <w:r>
        <w:rPr>
          <w:kern w:val="0"/>
          <w:szCs w:val="32"/>
        </w:rPr>
        <w:t>一般公共服务支出</w:t>
      </w:r>
      <w:r>
        <w:rPr>
          <w:rFonts w:hint="eastAsia"/>
          <w:szCs w:val="32"/>
        </w:rPr>
        <w:t>89.70</w:t>
      </w:r>
      <w:r>
        <w:rPr>
          <w:szCs w:val="32"/>
        </w:rPr>
        <w:t>万元，</w:t>
      </w:r>
      <w:r>
        <w:rPr>
          <w:kern w:val="0"/>
          <w:szCs w:val="32"/>
        </w:rPr>
        <w:t>社会保障和就业支出</w:t>
      </w:r>
      <w:r>
        <w:rPr>
          <w:rFonts w:hint="eastAsia"/>
          <w:szCs w:val="32"/>
        </w:rPr>
        <w:t>16.07</w:t>
      </w:r>
      <w:r>
        <w:rPr>
          <w:szCs w:val="32"/>
        </w:rPr>
        <w:t>万元，</w:t>
      </w:r>
      <w:r>
        <w:rPr>
          <w:kern w:val="0"/>
          <w:szCs w:val="32"/>
        </w:rPr>
        <w:t>卫生</w:t>
      </w:r>
      <w:r>
        <w:rPr>
          <w:rFonts w:hint="eastAsia"/>
          <w:kern w:val="0"/>
          <w:szCs w:val="32"/>
        </w:rPr>
        <w:t>健康</w:t>
      </w:r>
      <w:r>
        <w:rPr>
          <w:kern w:val="0"/>
          <w:szCs w:val="32"/>
        </w:rPr>
        <w:t>支出</w:t>
      </w:r>
      <w:r>
        <w:rPr>
          <w:rFonts w:hint="eastAsia"/>
          <w:szCs w:val="32"/>
        </w:rPr>
        <w:t>3.92</w:t>
      </w:r>
      <w:r>
        <w:rPr>
          <w:szCs w:val="32"/>
        </w:rPr>
        <w:t>万元，</w:t>
      </w:r>
      <w:r>
        <w:rPr>
          <w:kern w:val="0"/>
          <w:szCs w:val="32"/>
        </w:rPr>
        <w:t>住房保障支出</w:t>
      </w:r>
      <w:r>
        <w:rPr>
          <w:rFonts w:hint="eastAsia"/>
          <w:szCs w:val="32"/>
        </w:rPr>
        <w:t>9.09</w:t>
      </w:r>
      <w:r>
        <w:rPr>
          <w:szCs w:val="32"/>
        </w:rPr>
        <w:t>万元。</w:t>
      </w:r>
    </w:p>
    <w:p>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118.78</w:t>
      </w:r>
      <w:r>
        <w:rPr>
          <w:szCs w:val="32"/>
        </w:rPr>
        <w:t>万元，其中：基本支出</w:t>
      </w:r>
      <w:r>
        <w:rPr>
          <w:rFonts w:hint="eastAsia"/>
          <w:szCs w:val="32"/>
        </w:rPr>
        <w:t>118.78</w:t>
      </w:r>
      <w:r>
        <w:rPr>
          <w:szCs w:val="32"/>
        </w:rPr>
        <w:t>万元，占</w:t>
      </w:r>
      <w:r>
        <w:rPr>
          <w:rFonts w:hint="eastAsia"/>
          <w:szCs w:val="32"/>
        </w:rPr>
        <w:t>100</w:t>
      </w:r>
      <w:r>
        <w:rPr>
          <w:szCs w:val="32"/>
        </w:rPr>
        <w:t>%。基本支出中，人员经费</w:t>
      </w:r>
      <w:r>
        <w:rPr>
          <w:rFonts w:hint="eastAsia"/>
          <w:szCs w:val="32"/>
        </w:rPr>
        <w:t>102.25</w:t>
      </w:r>
      <w:r>
        <w:rPr>
          <w:szCs w:val="32"/>
        </w:rPr>
        <w:t>万元，占</w:t>
      </w:r>
      <w:r>
        <w:rPr>
          <w:rFonts w:hint="eastAsia"/>
          <w:szCs w:val="32"/>
        </w:rPr>
        <w:t>86.08</w:t>
      </w:r>
      <w:r>
        <w:rPr>
          <w:szCs w:val="32"/>
        </w:rPr>
        <w:t>%；公用经费</w:t>
      </w:r>
      <w:r>
        <w:rPr>
          <w:rFonts w:hint="eastAsia"/>
          <w:szCs w:val="32"/>
        </w:rPr>
        <w:t>16.54</w:t>
      </w:r>
      <w:r>
        <w:rPr>
          <w:szCs w:val="32"/>
        </w:rPr>
        <w:t>万元，占</w:t>
      </w:r>
      <w:r>
        <w:rPr>
          <w:rFonts w:hint="eastAsia"/>
          <w:szCs w:val="32"/>
        </w:rPr>
        <w:t>13.92</w:t>
      </w:r>
      <w:r>
        <w:rPr>
          <w:szCs w:val="32"/>
        </w:rPr>
        <w:t>%。</w:t>
      </w:r>
    </w:p>
    <w:p>
      <w:pPr>
        <w:spacing w:line="520" w:lineRule="exact"/>
        <w:rPr>
          <w:szCs w:val="32"/>
        </w:rPr>
      </w:pPr>
      <w:r>
        <w:rPr>
          <w:rFonts w:hint="eastAsia"/>
          <w:szCs w:val="32"/>
        </w:rPr>
        <w:t>　　</w:t>
      </w:r>
      <w:r>
        <w:rPr>
          <w:szCs w:val="32"/>
        </w:rPr>
        <w:t>一般公共服务（类）支出</w:t>
      </w:r>
      <w:r>
        <w:rPr>
          <w:rFonts w:hint="eastAsia"/>
          <w:szCs w:val="32"/>
        </w:rPr>
        <w:t>89.70</w:t>
      </w:r>
      <w:r>
        <w:rPr>
          <w:szCs w:val="32"/>
        </w:rPr>
        <w:t>万元，占</w:t>
      </w:r>
      <w:r>
        <w:rPr>
          <w:rFonts w:hint="eastAsia"/>
          <w:szCs w:val="32"/>
        </w:rPr>
        <w:t>75.52</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rPr>
          <w:szCs w:val="32"/>
        </w:rPr>
      </w:pPr>
      <w:r>
        <w:rPr>
          <w:rFonts w:hint="eastAsia"/>
          <w:szCs w:val="32"/>
        </w:rPr>
        <w:t>　　</w:t>
      </w:r>
      <w:r>
        <w:rPr>
          <w:szCs w:val="32"/>
        </w:rPr>
        <w:t>社会保障和就业（类）支出</w:t>
      </w:r>
      <w:r>
        <w:rPr>
          <w:rFonts w:hint="eastAsia"/>
          <w:szCs w:val="32"/>
        </w:rPr>
        <w:t>16.07</w:t>
      </w:r>
      <w:r>
        <w:rPr>
          <w:szCs w:val="32"/>
        </w:rPr>
        <w:t>万元，占</w:t>
      </w:r>
      <w:r>
        <w:rPr>
          <w:rFonts w:hint="eastAsia"/>
          <w:szCs w:val="32"/>
        </w:rPr>
        <w:t>13.53</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rPr>
          <w:szCs w:val="32"/>
        </w:rPr>
      </w:pPr>
      <w:r>
        <w:rPr>
          <w:rFonts w:hint="eastAsia"/>
          <w:szCs w:val="32"/>
        </w:rPr>
        <w:t>　　卫生健康</w:t>
      </w:r>
      <w:r>
        <w:rPr>
          <w:szCs w:val="32"/>
        </w:rPr>
        <w:t>（类）支出</w:t>
      </w:r>
      <w:r>
        <w:rPr>
          <w:rFonts w:hint="eastAsia"/>
          <w:szCs w:val="32"/>
        </w:rPr>
        <w:t>3.92</w:t>
      </w:r>
      <w:r>
        <w:rPr>
          <w:szCs w:val="32"/>
        </w:rPr>
        <w:t>万元，占</w:t>
      </w:r>
      <w:r>
        <w:rPr>
          <w:rFonts w:hint="eastAsia"/>
          <w:szCs w:val="32"/>
        </w:rPr>
        <w:t>3.3</w:t>
      </w:r>
      <w:r>
        <w:rPr>
          <w:szCs w:val="32"/>
        </w:rPr>
        <w:t>%，主要用于</w:t>
      </w:r>
      <w:r>
        <w:rPr>
          <w:rFonts w:hint="eastAsia" w:ascii="仿宋_GB2312"/>
          <w:szCs w:val="32"/>
        </w:rPr>
        <w:t>缴纳职工医疗保险</w:t>
      </w:r>
      <w:r>
        <w:rPr>
          <w:szCs w:val="32"/>
        </w:rPr>
        <w:t>。</w:t>
      </w:r>
    </w:p>
    <w:p>
      <w:pPr>
        <w:spacing w:line="520" w:lineRule="exact"/>
        <w:rPr>
          <w:szCs w:val="32"/>
        </w:rPr>
      </w:pPr>
      <w:r>
        <w:rPr>
          <w:rFonts w:hint="eastAsia"/>
          <w:szCs w:val="32"/>
        </w:rPr>
        <w:t>　　</w:t>
      </w:r>
      <w:r>
        <w:rPr>
          <w:szCs w:val="32"/>
        </w:rPr>
        <w:t>住房保障（类）支出</w:t>
      </w:r>
      <w:r>
        <w:rPr>
          <w:rFonts w:hint="eastAsia"/>
          <w:szCs w:val="32"/>
        </w:rPr>
        <w:t>9.09</w:t>
      </w:r>
      <w:r>
        <w:rPr>
          <w:szCs w:val="32"/>
        </w:rPr>
        <w:t>万元，占</w:t>
      </w:r>
      <w:r>
        <w:rPr>
          <w:rFonts w:hint="eastAsia"/>
          <w:szCs w:val="32"/>
        </w:rPr>
        <w:t>7.65</w:t>
      </w:r>
      <w:r>
        <w:rPr>
          <w:szCs w:val="32"/>
        </w:rPr>
        <w:t>%，主要用于</w:t>
      </w:r>
      <w:r>
        <w:rPr>
          <w:rFonts w:hint="eastAsia" w:ascii="仿宋_GB2312" w:hAnsi="仿宋"/>
          <w:szCs w:val="32"/>
        </w:rPr>
        <w:t>缴纳职工住房公积金</w:t>
      </w:r>
      <w:r>
        <w:rPr>
          <w:szCs w:val="32"/>
        </w:rPr>
        <w:t>。</w:t>
      </w:r>
    </w:p>
    <w:p>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118.78</w:t>
      </w:r>
      <w:r>
        <w:rPr>
          <w:szCs w:val="32"/>
        </w:rPr>
        <w:t>万元，其中：</w:t>
      </w:r>
    </w:p>
    <w:p>
      <w:pPr>
        <w:ind w:firstLine="640" w:firstLineChars="200"/>
        <w:rPr>
          <w:kern w:val="0"/>
          <w:szCs w:val="32"/>
        </w:rPr>
      </w:pPr>
      <w:r>
        <w:rPr>
          <w:szCs w:val="32"/>
        </w:rPr>
        <w:t>人员经费</w:t>
      </w:r>
      <w:r>
        <w:rPr>
          <w:rFonts w:hint="eastAsia"/>
          <w:szCs w:val="32"/>
        </w:rPr>
        <w:t>102.24</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w:t>
      </w:r>
      <w:r>
        <w:rPr>
          <w:rFonts w:hint="eastAsia"/>
          <w:kern w:val="0"/>
          <w:szCs w:val="32"/>
        </w:rPr>
        <w:t>支出</w:t>
      </w:r>
      <w:r>
        <w:rPr>
          <w:kern w:val="0"/>
          <w:szCs w:val="32"/>
        </w:rPr>
        <w:t>。</w:t>
      </w:r>
    </w:p>
    <w:p>
      <w:pPr>
        <w:ind w:firstLine="640" w:firstLineChars="200"/>
        <w:rPr>
          <w:kern w:val="0"/>
          <w:szCs w:val="32"/>
        </w:rPr>
      </w:pPr>
      <w:r>
        <w:rPr>
          <w:kern w:val="0"/>
          <w:szCs w:val="32"/>
        </w:rPr>
        <w:t>公用经费</w:t>
      </w:r>
      <w:r>
        <w:rPr>
          <w:rFonts w:hint="eastAsia"/>
          <w:szCs w:val="32"/>
        </w:rPr>
        <w:t>16.54</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0.08</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0.08</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rFonts w:ascii="仿宋" w:hAnsi="仿宋" w:eastAsia="仿宋" w:cs="仿宋"/>
          <w:szCs w:val="32"/>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rFonts w:ascii="仿宋" w:hAnsi="仿宋" w:eastAsia="仿宋" w:cs="仿宋"/>
          <w:szCs w:val="32"/>
        </w:rPr>
      </w:pPr>
      <w:r>
        <w:rPr>
          <w:rFonts w:hint="eastAsia" w:ascii="仿宋" w:hAnsi="仿宋" w:eastAsia="仿宋" w:cs="仿宋"/>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抚松县城市社会经济调查队</w:t>
      </w:r>
      <w:r>
        <w:rPr>
          <w:szCs w:val="32"/>
        </w:rPr>
        <w:t>机关运行经费财政拨款预算</w:t>
      </w:r>
      <w:r>
        <w:rPr>
          <w:rFonts w:hint="eastAsia"/>
          <w:szCs w:val="32"/>
        </w:rPr>
        <w:t>16.54</w:t>
      </w:r>
      <w:r>
        <w:rPr>
          <w:szCs w:val="32"/>
        </w:rPr>
        <w:t>万元，比20</w:t>
      </w:r>
      <w:r>
        <w:rPr>
          <w:rFonts w:hint="eastAsia"/>
          <w:szCs w:val="32"/>
        </w:rPr>
        <w:t>23</w:t>
      </w:r>
      <w:r>
        <w:rPr>
          <w:szCs w:val="32"/>
        </w:rPr>
        <w:t>年预算减少</w:t>
      </w:r>
      <w:r>
        <w:rPr>
          <w:rFonts w:hint="eastAsia"/>
          <w:szCs w:val="32"/>
        </w:rPr>
        <w:t>0.39</w:t>
      </w:r>
      <w:r>
        <w:rPr>
          <w:szCs w:val="32"/>
        </w:rPr>
        <w:t>万元，下降</w:t>
      </w:r>
      <w:r>
        <w:rPr>
          <w:rFonts w:hint="eastAsia"/>
          <w:szCs w:val="32"/>
        </w:rPr>
        <w:t>2.41</w:t>
      </w:r>
      <w:r>
        <w:rPr>
          <w:szCs w:val="32"/>
        </w:rPr>
        <w:t>%</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基本持平。</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rPr>
          <w:szCs w:val="32"/>
        </w:rPr>
        <w:t>本单位无</w:t>
      </w:r>
      <w:r>
        <w:rPr>
          <w:rFonts w:hint="eastAsia"/>
          <w:szCs w:val="32"/>
        </w:rPr>
        <w:t>项目支出</w:t>
      </w:r>
      <w:r>
        <w:rPr>
          <w:szCs w:val="32"/>
        </w:rPr>
        <w:t>预算拨款。</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0</w:t>
      </w:r>
      <w:r>
        <w:rPr>
          <w:rFonts w:hint="eastAsia" w:ascii="宋体" w:hAnsi="宋体"/>
        </w:rPr>
        <w:t>个项目支出的绩效目标和指标向社会公开，涉及金额</w:t>
      </w:r>
      <w:r>
        <w:rPr>
          <w:rFonts w:hint="eastAsia"/>
          <w:szCs w:val="32"/>
        </w:rPr>
        <w:t>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- 14 -</w:t>
                </w:r>
                <w:r>
                  <w:rPr>
                    <w:rFonts w:hint="eastAsia" w:ascii="宋体" w:hAnsi="宋体" w:eastAsia="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kNDlhYjlkZDg1MDhhZGZiZTFjNGQyMzM3YjZjMTkifQ=="/>
    <w:docVar w:name="KSO_WPS_MARK_KEY" w:val="b3c4ea04-89a4-4775-b8f2-b2484f170bfc"/>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C067F"/>
    <w:rsid w:val="009E093A"/>
    <w:rsid w:val="00A01B27"/>
    <w:rsid w:val="00A34894"/>
    <w:rsid w:val="00A73E5D"/>
    <w:rsid w:val="00A96058"/>
    <w:rsid w:val="00AD4E96"/>
    <w:rsid w:val="00B05DD3"/>
    <w:rsid w:val="00B60748"/>
    <w:rsid w:val="00B62F90"/>
    <w:rsid w:val="00B668F4"/>
    <w:rsid w:val="00BA7D5D"/>
    <w:rsid w:val="00BB5298"/>
    <w:rsid w:val="00BB6FD3"/>
    <w:rsid w:val="00BE1CDD"/>
    <w:rsid w:val="00BE4B41"/>
    <w:rsid w:val="00C36C22"/>
    <w:rsid w:val="00C55740"/>
    <w:rsid w:val="00CA1FFF"/>
    <w:rsid w:val="00CC6E11"/>
    <w:rsid w:val="00CC7209"/>
    <w:rsid w:val="00D33284"/>
    <w:rsid w:val="00D44841"/>
    <w:rsid w:val="00D55467"/>
    <w:rsid w:val="00D71247"/>
    <w:rsid w:val="00DF0F79"/>
    <w:rsid w:val="00E00855"/>
    <w:rsid w:val="00E016DC"/>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597A8E"/>
    <w:rsid w:val="05681A7F"/>
    <w:rsid w:val="056F5A6D"/>
    <w:rsid w:val="059B3770"/>
    <w:rsid w:val="063949A0"/>
    <w:rsid w:val="06BD5BC7"/>
    <w:rsid w:val="06F008FF"/>
    <w:rsid w:val="079E5032"/>
    <w:rsid w:val="09015F14"/>
    <w:rsid w:val="091C5C63"/>
    <w:rsid w:val="09421190"/>
    <w:rsid w:val="09663A33"/>
    <w:rsid w:val="09A0082A"/>
    <w:rsid w:val="0A00435B"/>
    <w:rsid w:val="0AAA1697"/>
    <w:rsid w:val="0ABA06FE"/>
    <w:rsid w:val="0B49202F"/>
    <w:rsid w:val="0B5F5ADA"/>
    <w:rsid w:val="0C2A5C84"/>
    <w:rsid w:val="0C4F64D9"/>
    <w:rsid w:val="0C583939"/>
    <w:rsid w:val="0C6D1BAE"/>
    <w:rsid w:val="0D2446AF"/>
    <w:rsid w:val="0D2A2435"/>
    <w:rsid w:val="0DA001B0"/>
    <w:rsid w:val="0DDE4FD5"/>
    <w:rsid w:val="0DEB170B"/>
    <w:rsid w:val="0E4C7841"/>
    <w:rsid w:val="0E640604"/>
    <w:rsid w:val="0E97506F"/>
    <w:rsid w:val="0F3E0406"/>
    <w:rsid w:val="0F980230"/>
    <w:rsid w:val="0FD62F63"/>
    <w:rsid w:val="0FDE2A27"/>
    <w:rsid w:val="10AE7F82"/>
    <w:rsid w:val="10C93B35"/>
    <w:rsid w:val="11177619"/>
    <w:rsid w:val="112605C8"/>
    <w:rsid w:val="11845E93"/>
    <w:rsid w:val="11A6707B"/>
    <w:rsid w:val="11B35B2F"/>
    <w:rsid w:val="12483364"/>
    <w:rsid w:val="12612A07"/>
    <w:rsid w:val="12E711B7"/>
    <w:rsid w:val="136D62BD"/>
    <w:rsid w:val="136E4388"/>
    <w:rsid w:val="13F21722"/>
    <w:rsid w:val="1441443C"/>
    <w:rsid w:val="14C12787"/>
    <w:rsid w:val="15593E10"/>
    <w:rsid w:val="159F7E25"/>
    <w:rsid w:val="15AB388B"/>
    <w:rsid w:val="15F848D0"/>
    <w:rsid w:val="160E1FA5"/>
    <w:rsid w:val="160F2600"/>
    <w:rsid w:val="16C829AB"/>
    <w:rsid w:val="16DD34F5"/>
    <w:rsid w:val="17765BCA"/>
    <w:rsid w:val="17A027D8"/>
    <w:rsid w:val="17CC2625"/>
    <w:rsid w:val="19132BE0"/>
    <w:rsid w:val="191F4716"/>
    <w:rsid w:val="1954649C"/>
    <w:rsid w:val="197607B7"/>
    <w:rsid w:val="1A817DF8"/>
    <w:rsid w:val="1A825AA4"/>
    <w:rsid w:val="1A8A6135"/>
    <w:rsid w:val="1ADC594E"/>
    <w:rsid w:val="1AEB5252"/>
    <w:rsid w:val="1B4F7512"/>
    <w:rsid w:val="1B770817"/>
    <w:rsid w:val="1B8A03E4"/>
    <w:rsid w:val="1B9C1459"/>
    <w:rsid w:val="1BEC2FB3"/>
    <w:rsid w:val="1C08409A"/>
    <w:rsid w:val="1C852172"/>
    <w:rsid w:val="1CA40C0C"/>
    <w:rsid w:val="1CFF4A32"/>
    <w:rsid w:val="1D127758"/>
    <w:rsid w:val="1D833200"/>
    <w:rsid w:val="1E3A3FD0"/>
    <w:rsid w:val="1E8F35DC"/>
    <w:rsid w:val="1EB55C07"/>
    <w:rsid w:val="1F351A10"/>
    <w:rsid w:val="1F857EA5"/>
    <w:rsid w:val="1FED47E9"/>
    <w:rsid w:val="206816AC"/>
    <w:rsid w:val="20AE6A88"/>
    <w:rsid w:val="21134335"/>
    <w:rsid w:val="21156B08"/>
    <w:rsid w:val="22146DBF"/>
    <w:rsid w:val="226E581D"/>
    <w:rsid w:val="22A4003E"/>
    <w:rsid w:val="23135C25"/>
    <w:rsid w:val="23EC61F6"/>
    <w:rsid w:val="244C543C"/>
    <w:rsid w:val="24624768"/>
    <w:rsid w:val="247B3126"/>
    <w:rsid w:val="2503311B"/>
    <w:rsid w:val="259B5BC5"/>
    <w:rsid w:val="25A0096A"/>
    <w:rsid w:val="25F62C4E"/>
    <w:rsid w:val="26643D6C"/>
    <w:rsid w:val="26BD4A3E"/>
    <w:rsid w:val="26FE109D"/>
    <w:rsid w:val="27073E1E"/>
    <w:rsid w:val="27B04AB3"/>
    <w:rsid w:val="282C3BA1"/>
    <w:rsid w:val="286B525F"/>
    <w:rsid w:val="288A18A7"/>
    <w:rsid w:val="28A63332"/>
    <w:rsid w:val="28C96E8E"/>
    <w:rsid w:val="29064F88"/>
    <w:rsid w:val="29C45F24"/>
    <w:rsid w:val="2BE661B9"/>
    <w:rsid w:val="2C043A01"/>
    <w:rsid w:val="2D6C5D01"/>
    <w:rsid w:val="2D9038E4"/>
    <w:rsid w:val="2DA24512"/>
    <w:rsid w:val="2DF8796C"/>
    <w:rsid w:val="2EB22F18"/>
    <w:rsid w:val="2EE12108"/>
    <w:rsid w:val="2EED35E3"/>
    <w:rsid w:val="2F0B5068"/>
    <w:rsid w:val="2F1A79DF"/>
    <w:rsid w:val="2F250383"/>
    <w:rsid w:val="2F63610B"/>
    <w:rsid w:val="2FBC646B"/>
    <w:rsid w:val="2FC11C09"/>
    <w:rsid w:val="300965A3"/>
    <w:rsid w:val="30730D6E"/>
    <w:rsid w:val="308B20C9"/>
    <w:rsid w:val="30B91A70"/>
    <w:rsid w:val="30F84C22"/>
    <w:rsid w:val="310C6AA2"/>
    <w:rsid w:val="31793674"/>
    <w:rsid w:val="31880C30"/>
    <w:rsid w:val="31894469"/>
    <w:rsid w:val="31F65838"/>
    <w:rsid w:val="32332703"/>
    <w:rsid w:val="32CF2C5D"/>
    <w:rsid w:val="32EE2C61"/>
    <w:rsid w:val="335402B5"/>
    <w:rsid w:val="339466B2"/>
    <w:rsid w:val="34555AF5"/>
    <w:rsid w:val="34FF687B"/>
    <w:rsid w:val="351B1DBB"/>
    <w:rsid w:val="354C4987"/>
    <w:rsid w:val="35616772"/>
    <w:rsid w:val="35EA1663"/>
    <w:rsid w:val="364C598E"/>
    <w:rsid w:val="368A3622"/>
    <w:rsid w:val="36B543E5"/>
    <w:rsid w:val="36B76177"/>
    <w:rsid w:val="36CC2B0F"/>
    <w:rsid w:val="36FC762F"/>
    <w:rsid w:val="3838492F"/>
    <w:rsid w:val="383A009B"/>
    <w:rsid w:val="3887374F"/>
    <w:rsid w:val="38CB0ABC"/>
    <w:rsid w:val="38E01351"/>
    <w:rsid w:val="39041A07"/>
    <w:rsid w:val="39043B77"/>
    <w:rsid w:val="3909254B"/>
    <w:rsid w:val="39670895"/>
    <w:rsid w:val="397B4EE2"/>
    <w:rsid w:val="3A387943"/>
    <w:rsid w:val="3A657F9A"/>
    <w:rsid w:val="3A9113D4"/>
    <w:rsid w:val="3AC54F32"/>
    <w:rsid w:val="3B144A0A"/>
    <w:rsid w:val="3B254018"/>
    <w:rsid w:val="3B5257F8"/>
    <w:rsid w:val="3BC92948"/>
    <w:rsid w:val="3BE370D4"/>
    <w:rsid w:val="3C1A026D"/>
    <w:rsid w:val="3C236125"/>
    <w:rsid w:val="3C29381E"/>
    <w:rsid w:val="3C711E1D"/>
    <w:rsid w:val="3C7F463D"/>
    <w:rsid w:val="3C925059"/>
    <w:rsid w:val="3CAE3960"/>
    <w:rsid w:val="3CEF6494"/>
    <w:rsid w:val="3D365BF6"/>
    <w:rsid w:val="3D4A76E1"/>
    <w:rsid w:val="3D7F7007"/>
    <w:rsid w:val="3DB008AA"/>
    <w:rsid w:val="3DF23324"/>
    <w:rsid w:val="3EA14040"/>
    <w:rsid w:val="3EB92D70"/>
    <w:rsid w:val="3EE8108D"/>
    <w:rsid w:val="3F8201A3"/>
    <w:rsid w:val="402675EA"/>
    <w:rsid w:val="40B80EFF"/>
    <w:rsid w:val="40F66FE9"/>
    <w:rsid w:val="41A35364"/>
    <w:rsid w:val="41C31686"/>
    <w:rsid w:val="41C837BC"/>
    <w:rsid w:val="421643AC"/>
    <w:rsid w:val="42982B4E"/>
    <w:rsid w:val="429F5D0C"/>
    <w:rsid w:val="42A90D7D"/>
    <w:rsid w:val="42D83665"/>
    <w:rsid w:val="434A6B47"/>
    <w:rsid w:val="436B1E42"/>
    <w:rsid w:val="456D114B"/>
    <w:rsid w:val="45CE45F2"/>
    <w:rsid w:val="45EB670F"/>
    <w:rsid w:val="46AB7C0D"/>
    <w:rsid w:val="46B5206F"/>
    <w:rsid w:val="46D44808"/>
    <w:rsid w:val="46ED776B"/>
    <w:rsid w:val="479D2523"/>
    <w:rsid w:val="47CF49E6"/>
    <w:rsid w:val="48674ED2"/>
    <w:rsid w:val="487708E6"/>
    <w:rsid w:val="48B540F2"/>
    <w:rsid w:val="493F6F72"/>
    <w:rsid w:val="49645F71"/>
    <w:rsid w:val="499F5C68"/>
    <w:rsid w:val="49CE6AF5"/>
    <w:rsid w:val="4A52465C"/>
    <w:rsid w:val="4A5C4AC6"/>
    <w:rsid w:val="4A662FBF"/>
    <w:rsid w:val="4AF16062"/>
    <w:rsid w:val="4B0A57E5"/>
    <w:rsid w:val="4B646DDD"/>
    <w:rsid w:val="4B7F44F8"/>
    <w:rsid w:val="4BAC24C5"/>
    <w:rsid w:val="4BFA0656"/>
    <w:rsid w:val="4CE0596C"/>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9E664A"/>
    <w:rsid w:val="51A258E6"/>
    <w:rsid w:val="52071113"/>
    <w:rsid w:val="52080F62"/>
    <w:rsid w:val="52085509"/>
    <w:rsid w:val="522774C4"/>
    <w:rsid w:val="522A7431"/>
    <w:rsid w:val="525A440D"/>
    <w:rsid w:val="52626449"/>
    <w:rsid w:val="53E144A4"/>
    <w:rsid w:val="544E511A"/>
    <w:rsid w:val="54741940"/>
    <w:rsid w:val="54810E66"/>
    <w:rsid w:val="54C063E4"/>
    <w:rsid w:val="54C2556E"/>
    <w:rsid w:val="54F870B5"/>
    <w:rsid w:val="55480EEF"/>
    <w:rsid w:val="55C2570C"/>
    <w:rsid w:val="569B7F91"/>
    <w:rsid w:val="56D21BED"/>
    <w:rsid w:val="56E8551F"/>
    <w:rsid w:val="56EB5639"/>
    <w:rsid w:val="5704164B"/>
    <w:rsid w:val="572651B2"/>
    <w:rsid w:val="57AE5C26"/>
    <w:rsid w:val="57DD75A9"/>
    <w:rsid w:val="5801059F"/>
    <w:rsid w:val="58256ABD"/>
    <w:rsid w:val="58461ED7"/>
    <w:rsid w:val="58B077D0"/>
    <w:rsid w:val="58C27FDB"/>
    <w:rsid w:val="59472AC7"/>
    <w:rsid w:val="59486D73"/>
    <w:rsid w:val="59D514A6"/>
    <w:rsid w:val="59EC6E09"/>
    <w:rsid w:val="5A5D23AA"/>
    <w:rsid w:val="5AB343F7"/>
    <w:rsid w:val="5ABF50F2"/>
    <w:rsid w:val="5AF25D13"/>
    <w:rsid w:val="5AF76904"/>
    <w:rsid w:val="5B052E7A"/>
    <w:rsid w:val="5B3D7F7E"/>
    <w:rsid w:val="5B7C7777"/>
    <w:rsid w:val="5BEC6771"/>
    <w:rsid w:val="5BED73ED"/>
    <w:rsid w:val="5C2A72ED"/>
    <w:rsid w:val="5C2C6A62"/>
    <w:rsid w:val="5CA506B9"/>
    <w:rsid w:val="5CBD6AC2"/>
    <w:rsid w:val="5CF74CE4"/>
    <w:rsid w:val="5D5A7C63"/>
    <w:rsid w:val="5DE314D6"/>
    <w:rsid w:val="5DFB2606"/>
    <w:rsid w:val="5E256F6F"/>
    <w:rsid w:val="5E4647B1"/>
    <w:rsid w:val="5F6235A9"/>
    <w:rsid w:val="607248F0"/>
    <w:rsid w:val="60A07495"/>
    <w:rsid w:val="60DC439E"/>
    <w:rsid w:val="614125C2"/>
    <w:rsid w:val="619E1C26"/>
    <w:rsid w:val="61A966BE"/>
    <w:rsid w:val="61AA1D1F"/>
    <w:rsid w:val="624C5C52"/>
    <w:rsid w:val="63844E4C"/>
    <w:rsid w:val="63DF08E4"/>
    <w:rsid w:val="64C04AFD"/>
    <w:rsid w:val="652A0972"/>
    <w:rsid w:val="655B219F"/>
    <w:rsid w:val="661A7B69"/>
    <w:rsid w:val="66455323"/>
    <w:rsid w:val="664909C1"/>
    <w:rsid w:val="66635AE4"/>
    <w:rsid w:val="66C63EB5"/>
    <w:rsid w:val="66FE3167"/>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B11024D"/>
    <w:rsid w:val="6B4078AA"/>
    <w:rsid w:val="6B7D5B36"/>
    <w:rsid w:val="6B8F0831"/>
    <w:rsid w:val="6C834DAA"/>
    <w:rsid w:val="6C993CCE"/>
    <w:rsid w:val="6CB62049"/>
    <w:rsid w:val="6CF120A8"/>
    <w:rsid w:val="6D182CC8"/>
    <w:rsid w:val="6D72413D"/>
    <w:rsid w:val="6E7905AD"/>
    <w:rsid w:val="6E7C68E8"/>
    <w:rsid w:val="6FF50B81"/>
    <w:rsid w:val="70330B9C"/>
    <w:rsid w:val="714213DD"/>
    <w:rsid w:val="714510B8"/>
    <w:rsid w:val="717F272E"/>
    <w:rsid w:val="725718D4"/>
    <w:rsid w:val="72783A23"/>
    <w:rsid w:val="728027C6"/>
    <w:rsid w:val="73D62FA6"/>
    <w:rsid w:val="73FE7ACC"/>
    <w:rsid w:val="74556746"/>
    <w:rsid w:val="74743258"/>
    <w:rsid w:val="74D07EF1"/>
    <w:rsid w:val="74DB6895"/>
    <w:rsid w:val="74EE65C9"/>
    <w:rsid w:val="7564688B"/>
    <w:rsid w:val="757765BE"/>
    <w:rsid w:val="761B13C4"/>
    <w:rsid w:val="764B6A8A"/>
    <w:rsid w:val="76C17E06"/>
    <w:rsid w:val="76CA67BD"/>
    <w:rsid w:val="774E6400"/>
    <w:rsid w:val="775B0046"/>
    <w:rsid w:val="77915A0F"/>
    <w:rsid w:val="79700BEF"/>
    <w:rsid w:val="79772997"/>
    <w:rsid w:val="798D552B"/>
    <w:rsid w:val="799040F2"/>
    <w:rsid w:val="7A090695"/>
    <w:rsid w:val="7A1D5951"/>
    <w:rsid w:val="7AE175F4"/>
    <w:rsid w:val="7B417685"/>
    <w:rsid w:val="7B5220F0"/>
    <w:rsid w:val="7BA169C0"/>
    <w:rsid w:val="7BC55243"/>
    <w:rsid w:val="7C2F4A9A"/>
    <w:rsid w:val="7CAD595B"/>
    <w:rsid w:val="7CF65D07"/>
    <w:rsid w:val="7D2975D1"/>
    <w:rsid w:val="7D2F3083"/>
    <w:rsid w:val="7D906046"/>
    <w:rsid w:val="7DA92317"/>
    <w:rsid w:val="7DCC0CD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Char"/>
    <w:link w:val="6"/>
    <w:qFormat/>
    <w:uiPriority w:val="0"/>
    <w:rPr>
      <w:rFonts w:eastAsia="仿宋_GB2312"/>
      <w:kern w:val="2"/>
      <w:sz w:val="18"/>
    </w:rPr>
  </w:style>
  <w:style w:type="character" w:customStyle="1" w:styleId="17">
    <w:name w:val="批注框文本 Char"/>
    <w:link w:val="5"/>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脚 New"/>
    <w:basedOn w:val="1"/>
    <w:autoRedefine/>
    <w:qFormat/>
    <w:uiPriority w:val="0"/>
    <w:pPr>
      <w:tabs>
        <w:tab w:val="center" w:pos="4153"/>
        <w:tab w:val="right" w:pos="8306"/>
      </w:tabs>
      <w:snapToGrid w:val="0"/>
      <w:jc w:val="left"/>
    </w:pPr>
    <w:rPr>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0">
    <w:name w:val="页脚 New New New New New New New New"/>
    <w:basedOn w:val="1"/>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3">
    <w:name w:val="页脚 New New New New New New New"/>
    <w:basedOn w:val="1"/>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22</Pages>
  <Words>4769</Words>
  <Characters>5841</Characters>
  <Lines>55</Lines>
  <Paragraphs>15</Paragraphs>
  <TotalTime>3</TotalTime>
  <ScaleCrop>false</ScaleCrop>
  <LinksUpToDate>false</LinksUpToDate>
  <CharactersWithSpaces>6337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后来</cp:lastModifiedBy>
  <cp:lastPrinted>2024-01-23T03:39:00Z</cp:lastPrinted>
  <dcterms:modified xsi:type="dcterms:W3CDTF">2024-02-26T03:30:50Z</dcterms:modified>
  <dc:title>主  持  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