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白山市统计局（本级）</w:t>
      </w: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1.贯彻执行国家统计方针、政策和法律、法规，制定全市统计规划以及统计调查计划；监督检查统计法律、法规的实施。组织领导全市统计工作，承担确保统计数据真实、准确、及时的责任。</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2.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3.组织实施重大省情省力普查计划；统一组织协调全市社会经济统计调查；汇总全市的统计资料；对国民经济各行业、科技、资源环境和社会发展等情况进行统计分析、统计预测预警和统计监督，向省局及市委、市政府和有关部门提供统计信息和咨询建议；收集、整理、提供国家及省和外市（州）的统计资料，并进行对比分析和研究。</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4.统一核定、管理、公布全市基本统计资料，定期向社会公布全市国民经济和社会发展情况的统计信息。</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5.建立、完善和管理全市统计信息化系统和统计数据体系；组织指导各县（市、区）统计信息化网络和数据库系统建设。</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6.依法管理全市统计调查项目和统计标准，指导专业统计基础工作、统计基层业务基础建设；建立健全统计数据质量审核、监控和评</w:t>
      </w:r>
      <w:r>
        <w:rPr>
          <w:rFonts w:hint="eastAsia" w:ascii="仿宋_GB2312" w:hAnsi="仿宋" w:eastAsia="仿宋" w:cs="宋体"/>
          <w:kern w:val="0"/>
          <w:szCs w:val="32"/>
          <w:lang w:bidi="en-US"/>
        </w:rPr>
        <w:t>估</w:t>
      </w:r>
      <w:r>
        <w:rPr>
          <w:rFonts w:hint="eastAsia" w:ascii="仿宋_GB2312" w:hAnsi="仿宋" w:cs="宋体"/>
          <w:kern w:val="0"/>
          <w:szCs w:val="32"/>
          <w:lang w:bidi="en-US"/>
        </w:rPr>
        <w:t>制度，负责重要统计数据的审核、监控和评估，依法监督管理涉外调查活动。</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7.负责全市统计系统的干部人事、劳动工资、机构编制和财务经费、审计监督及资产设施管理。</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8.领导局属事业单位。</w:t>
      </w:r>
    </w:p>
    <w:p>
      <w:pPr>
        <w:spacing w:line="560" w:lineRule="exact"/>
        <w:ind w:firstLine="640" w:firstLineChars="200"/>
      </w:pPr>
      <w:r>
        <w:rPr>
          <w:rFonts w:hint="eastAsia" w:ascii="仿宋_GB2312" w:hAnsi="仿宋" w:cs="宋体"/>
          <w:kern w:val="0"/>
          <w:szCs w:val="32"/>
          <w:lang w:bidi="en-US"/>
        </w:rPr>
        <w:t>9.承办省统计局和市政府交办的其他事项。</w:t>
      </w:r>
    </w:p>
    <w:p>
      <w:pPr>
        <w:ind w:firstLine="640" w:firstLineChars="200"/>
      </w:pPr>
      <w:r>
        <w:rPr>
          <w:rFonts w:eastAsia="楷体_GB2312"/>
        </w:rPr>
        <w:t>二、机构设置</w:t>
      </w:r>
    </w:p>
    <w:p>
      <w:pPr>
        <w:spacing w:line="560" w:lineRule="exact"/>
        <w:ind w:firstLine="640" w:firstLineChars="200"/>
        <w:rPr>
          <w:rFonts w:ascii="仿宋_GB2312" w:hAnsi="仿宋"/>
          <w:kern w:val="0"/>
          <w:szCs w:val="32"/>
          <w:lang w:bidi="en-US"/>
        </w:rPr>
      </w:pPr>
      <w:r>
        <w:t>根据上述职责</w:t>
      </w:r>
      <w:r>
        <w:rPr>
          <w:rFonts w:hint="eastAsia"/>
        </w:rPr>
        <w:t>，</w:t>
      </w:r>
      <w:r>
        <w:rPr>
          <w:rFonts w:hint="eastAsia" w:ascii="仿宋_GB2312" w:hAnsi="仿宋"/>
          <w:kern w:val="0"/>
          <w:szCs w:val="32"/>
          <w:lang w:bidi="en-US"/>
        </w:rPr>
        <w:t>白山市统计局下设6个内设机构分别是：办公室、国民经济综合核算与法规科、工业交通与能源统计科、农业贸易与服务业统计科、固定资产投资统计科、人口就业与社会科技统计科及人事监察科、机关党总支。</w:t>
      </w:r>
    </w:p>
    <w:p>
      <w:pPr>
        <w:spacing w:line="560" w:lineRule="exact"/>
        <w:ind w:firstLine="640" w:firstLineChars="200"/>
        <w:rPr>
          <w:rFonts w:ascii="仿宋_GB2312" w:hAnsi="仿宋"/>
          <w:kern w:val="0"/>
          <w:szCs w:val="32"/>
          <w:lang w:bidi="en-US"/>
        </w:rPr>
      </w:pPr>
      <w:r>
        <w:rPr>
          <w:rFonts w:hint="eastAsia" w:ascii="仿宋_GB2312" w:hAnsi="仿宋"/>
          <w:kern w:val="0"/>
          <w:szCs w:val="32"/>
          <w:lang w:bidi="en-US"/>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22.31</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346.83</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332.54</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14.29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425.17</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r>
              <w:rPr>
                <w:rFonts w:hint="eastAsia" w:eastAsia="宋体"/>
                <w:kern w:val="0"/>
                <w:sz w:val="20"/>
              </w:rPr>
              <w:t>22.31</w:t>
            </w: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57.39</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49.37</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8.02</w:t>
            </w:r>
          </w:p>
        </w:tc>
      </w:tr>
      <w:tr>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18.63</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18.63</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24.63</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24.63</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22.31</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hint="eastAsia" w:eastAsia="宋体"/>
                <w:kern w:val="0"/>
                <w:sz w:val="20"/>
              </w:rPr>
              <w:t>447.48</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22.31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22.31</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22.31</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9841" w:type="dxa"/>
        <w:jc w:val="center"/>
        <w:tblLayout w:type="fixed"/>
        <w:tblCellMar>
          <w:top w:w="0" w:type="dxa"/>
          <w:left w:w="108" w:type="dxa"/>
          <w:bottom w:w="0" w:type="dxa"/>
          <w:right w:w="108" w:type="dxa"/>
        </w:tblCellMar>
      </w:tblPr>
      <w:tblGrid>
        <w:gridCol w:w="1382"/>
        <w:gridCol w:w="794"/>
        <w:gridCol w:w="810"/>
        <w:gridCol w:w="780"/>
        <w:gridCol w:w="360"/>
        <w:gridCol w:w="330"/>
        <w:gridCol w:w="360"/>
        <w:gridCol w:w="360"/>
        <w:gridCol w:w="375"/>
        <w:gridCol w:w="360"/>
        <w:gridCol w:w="336"/>
        <w:gridCol w:w="294"/>
        <w:gridCol w:w="204"/>
        <w:gridCol w:w="501"/>
        <w:gridCol w:w="687"/>
        <w:gridCol w:w="236"/>
        <w:gridCol w:w="153"/>
        <w:gridCol w:w="375"/>
        <w:gridCol w:w="375"/>
        <w:gridCol w:w="340"/>
        <w:gridCol w:w="429"/>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tcPr>
          <w:p>
            <w:pPr>
              <w:autoSpaceDN w:val="0"/>
              <w:jc w:val="left"/>
              <w:textAlignment w:val="center"/>
              <w:rPr>
                <w:rFonts w:eastAsia="华文细黑"/>
                <w:color w:val="000000"/>
                <w:sz w:val="20"/>
              </w:rPr>
            </w:pPr>
          </w:p>
        </w:tc>
        <w:tc>
          <w:tcPr>
            <w:tcW w:w="3794" w:type="dxa"/>
            <w:gridSpan w:val="7"/>
            <w:tcBorders>
              <w:bottom w:val="single" w:color="000000" w:sz="4" w:space="0"/>
            </w:tcBorders>
            <w:noWrap/>
            <w:vAlign w:val="center"/>
          </w:tcPr>
          <w:p>
            <w:pPr>
              <w:autoSpaceDN w:val="0"/>
              <w:jc w:val="left"/>
              <w:textAlignment w:val="center"/>
              <w:rPr>
                <w:rFonts w:eastAsia="华文细黑"/>
                <w:color w:val="000000"/>
                <w:sz w:val="20"/>
              </w:rPr>
            </w:pPr>
          </w:p>
        </w:tc>
        <w:tc>
          <w:tcPr>
            <w:tcW w:w="1071" w:type="dxa"/>
            <w:gridSpan w:val="3"/>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1188" w:type="dxa"/>
            <w:gridSpan w:val="2"/>
            <w:noWrap/>
            <w:vAlign w:val="center"/>
          </w:tcPr>
          <w:p>
            <w:pPr>
              <w:autoSpaceDN w:val="0"/>
              <w:jc w:val="left"/>
              <w:textAlignment w:val="center"/>
              <w:rPr>
                <w:rFonts w:eastAsia="华文细黑"/>
                <w:color w:val="000000"/>
                <w:sz w:val="20"/>
              </w:rPr>
            </w:pPr>
          </w:p>
        </w:tc>
        <w:tc>
          <w:tcPr>
            <w:tcW w:w="236" w:type="dxa"/>
            <w:noWrap/>
            <w:vAlign w:val="bottom"/>
          </w:tcPr>
          <w:p>
            <w:pPr>
              <w:autoSpaceDN w:val="0"/>
              <w:jc w:val="right"/>
              <w:textAlignment w:val="bottom"/>
              <w:rPr>
                <w:rFonts w:eastAsia="宋体"/>
                <w:color w:val="000000"/>
                <w:sz w:val="20"/>
              </w:rPr>
            </w:pPr>
          </w:p>
        </w:tc>
        <w:tc>
          <w:tcPr>
            <w:tcW w:w="1672" w:type="dxa"/>
            <w:gridSpan w:val="5"/>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794"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365" w:type="dxa"/>
            <w:gridSpan w:val="10"/>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871" w:type="dxa"/>
            <w:gridSpan w:val="8"/>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794"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810"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70"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360"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725" w:type="dxa"/>
            <w:gridSpan w:val="5"/>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705" w:type="dxa"/>
            <w:gridSpan w:val="2"/>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51"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715"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429"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794"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10"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60"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375" w:type="dxa"/>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375"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白山市统计局（本级）</w:t>
            </w: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447.48</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425.17</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425.17</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22.31</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22.31</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447.48</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425.17</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425.17</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22.31</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22.31</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11137"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ign w:val="center"/>
                </w:tcPr>
                <w:p>
                  <w:pPr>
                    <w:widowControl/>
                    <w:jc w:val="left"/>
                    <w:rPr>
                      <w:rFonts w:eastAsia="华文细黑"/>
                      <w:color w:val="000000"/>
                      <w:kern w:val="0"/>
                      <w:sz w:val="20"/>
                    </w:rPr>
                  </w:pPr>
                </w:p>
              </w:tc>
              <w:tc>
                <w:tcPr>
                  <w:tcW w:w="1297" w:type="dxa"/>
                  <w:tcBorders>
                    <w:bottom w:val="single" w:color="000000" w:sz="4" w:space="0"/>
                  </w:tcBorders>
                  <w:noWrap/>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ign w:val="center"/>
                </w:tcPr>
                <w:p>
                  <w:pPr>
                    <w:widowControl/>
                    <w:jc w:val="right"/>
                    <w:rPr>
                      <w:rFonts w:eastAsia="华文细黑"/>
                      <w:color w:val="000000"/>
                      <w:kern w:val="0"/>
                      <w:sz w:val="20"/>
                    </w:rPr>
                  </w:pPr>
                </w:p>
              </w:tc>
              <w:tc>
                <w:tcPr>
                  <w:tcW w:w="1297"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ign w:val="bottom"/>
                </w:tcPr>
                <w:p>
                  <w:pPr>
                    <w:widowControl/>
                    <w:jc w:val="right"/>
                    <w:rPr>
                      <w:rFonts w:eastAsia="华文细黑"/>
                      <w:color w:val="000000"/>
                      <w:kern w:val="0"/>
                      <w:sz w:val="20"/>
                    </w:rPr>
                  </w:pPr>
                </w:p>
              </w:tc>
            </w:tr>
            <w:tr>
              <w:tblPrEx>
                <w:tblCellMar>
                  <w:top w:w="15" w:type="dxa"/>
                  <w:left w:w="15" w:type="dxa"/>
                  <w:bottom w:w="15" w:type="dxa"/>
                  <w:right w:w="15" w:type="dxa"/>
                </w:tblCellMar>
              </w:tblPrEx>
              <w:trPr>
                <w:trHeight w:val="2091" w:hRule="atLeast"/>
              </w:trPr>
              <w:tc>
                <w:tcPr>
                  <w:tcW w:w="2149"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346.83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346.83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47.36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47.36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9"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rPr>
                      <w:rFonts w:ascii="宋体" w:hAnsi="宋体" w:eastAsia="宋体" w:cs="宋体"/>
                      <w:kern w:val="0"/>
                      <w:sz w:val="20"/>
                    </w:rPr>
                  </w:pPr>
                  <w:r>
                    <w:rPr>
                      <w:rFonts w:hint="eastAsia" w:ascii="宋体" w:hAnsi="宋体" w:eastAsia="宋体" w:cs="宋体"/>
                      <w:kern w:val="0"/>
                      <w:sz w:val="20"/>
                    </w:rPr>
                    <w:t>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41.92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41.92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447.48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396.62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rPr>
          <w:rFonts w:hAnsi="楷体" w:eastAsia="楷体"/>
        </w:rPr>
      </w:pPr>
      <w:r>
        <w:rPr>
          <w:rFonts w:hint="eastAsia" w:hAnsi="楷体" w:eastAsia="楷体"/>
        </w:rPr>
        <w:t>　</w:t>
      </w: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22.31</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szCs w:val="22"/>
                    </w:rPr>
                  </w:pPr>
                  <w:r>
                    <w:rPr>
                      <w:rFonts w:hint="eastAsia" w:eastAsia="宋体"/>
                      <w:kern w:val="0"/>
                      <w:sz w:val="20"/>
                      <w:szCs w:val="22"/>
                    </w:rPr>
                    <w:t>22.31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22.31</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w:t>
                  </w:r>
                  <w:r>
                    <w:rPr>
                      <w:rFonts w:eastAsia="宋体"/>
                      <w:kern w:val="0"/>
                      <w:sz w:val="20"/>
                    </w:rPr>
                    <w:t>一般公共服务</w:t>
                  </w:r>
                  <w:r>
                    <w:rPr>
                      <w:rFonts w:hint="eastAsia" w:eastAsia="宋体"/>
                      <w:kern w:val="0"/>
                      <w:sz w:val="20"/>
                    </w:rPr>
                    <w:t>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346.83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332.54</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14.29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57.39</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49.37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8.02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18.63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18.63</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24.63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24.63</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黑体"/>
                      <w:kern w:val="0"/>
                      <w:sz w:val="20"/>
                    </w:rPr>
                  </w:pPr>
                  <w:r>
                    <w:rPr>
                      <w:rFonts w:hint="eastAsia" w:eastAsia="黑体"/>
                      <w:kern w:val="0"/>
                      <w:sz w:val="20"/>
                    </w:rPr>
                    <w:t>447.48</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黑体"/>
                      <w:kern w:val="0"/>
                      <w:sz w:val="20"/>
                    </w:rPr>
                  </w:pPr>
                  <w:r>
                    <w:rPr>
                      <w:rFonts w:hint="eastAsia" w:eastAsia="黑体"/>
                      <w:kern w:val="0"/>
                      <w:sz w:val="20"/>
                    </w:rPr>
                    <w:t>425.17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黑体"/>
                      <w:kern w:val="0"/>
                      <w:sz w:val="20"/>
                    </w:rPr>
                  </w:pPr>
                  <w:r>
                    <w:rPr>
                      <w:rFonts w:hint="eastAsia" w:eastAsia="黑体"/>
                      <w:kern w:val="0"/>
                      <w:sz w:val="20"/>
                    </w:rPr>
                    <w:t>22.31</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447.48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425.17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22.31</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eastAsia="宋体"/>
                      <w:color w:val="000000"/>
                      <w:kern w:val="0"/>
                      <w:sz w:val="20"/>
                    </w:rPr>
                    <w:t>一、一般公共</w:t>
                  </w:r>
                  <w:r>
                    <w:rPr>
                      <w:rFonts w:eastAsia="宋体"/>
                      <w:kern w:val="0"/>
                      <w:sz w:val="20"/>
                    </w:rPr>
                    <w:t>服务</w:t>
                  </w:r>
                  <w:r>
                    <w:rPr>
                      <w:rFonts w:hint="eastAsia" w:eastAsia="宋体"/>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346.83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231.43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64.54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50.86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346.83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231.43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64.54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50.86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231.43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64.54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47.36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47.36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r>
                    <w:rPr>
                      <w:rFonts w:hint="eastAsia" w:eastAsia="宋体"/>
                      <w:color w:val="000000"/>
                      <w:kern w:val="0"/>
                      <w:sz w:val="20"/>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447.48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396.62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332.08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64.54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50.86</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373"/>
        <w:gridCol w:w="1331"/>
        <w:gridCol w:w="1831"/>
        <w:gridCol w:w="209"/>
      </w:tblGrid>
      <w:tr>
        <w:tblPrEx>
          <w:tblCellMar>
            <w:top w:w="0" w:type="dxa"/>
            <w:left w:w="108" w:type="dxa"/>
            <w:bottom w:w="0" w:type="dxa"/>
            <w:right w:w="108" w:type="dxa"/>
          </w:tblCellMar>
        </w:tblPrEx>
        <w:trPr>
          <w:gridAfter w:val="1"/>
          <w:wAfter w:w="209" w:type="dxa"/>
          <w:trHeight w:val="615" w:hRule="atLeast"/>
          <w:jc w:val="center"/>
        </w:trPr>
        <w:tc>
          <w:tcPr>
            <w:tcW w:w="8931" w:type="dxa"/>
            <w:gridSpan w:val="5"/>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gridAfter w:val="1"/>
          <w:wAfter w:w="209" w:type="dxa"/>
          <w:trHeight w:val="390" w:hRule="atLeast"/>
          <w:jc w:val="center"/>
        </w:trPr>
        <w:tc>
          <w:tcPr>
            <w:tcW w:w="3176" w:type="dxa"/>
            <w:tcBorders>
              <w:top w:val="nil"/>
              <w:left w:val="nil"/>
              <w:bottom w:val="single" w:color="auto" w:sz="4" w:space="0"/>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gridAfter w:val="1"/>
          <w:wAfter w:w="209" w:type="dxa"/>
          <w:trHeight w:val="628" w:hRule="atLeast"/>
          <w:jc w:val="center"/>
        </w:trPr>
        <w:tc>
          <w:tcPr>
            <w:tcW w:w="3176" w:type="dxa"/>
            <w:tcBorders>
              <w:top w:val="single" w:color="auto" w:sz="4" w:space="0"/>
              <w:left w:val="single" w:color="auto" w:sz="4" w:space="0"/>
              <w:right w:val="single" w:color="auto" w:sz="4" w:space="0"/>
            </w:tcBorders>
            <w:noWrap/>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noWrap/>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314.85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314.85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102.57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102.57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65.80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65.80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52.66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52.66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41.92</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41.92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10.81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10.81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7.48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7.48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3.04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3.04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24.63</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24.63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2.40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2.40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3.54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3.54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62.12</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62.12</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3.00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3.00</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1.00</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咨询费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0.50</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邮电费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2.12</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2.12</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7.94</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7.94</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租赁费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0.63</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0.63</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会议费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0.48</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0.48</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2.00</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0.46</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0.46</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劳务费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0.50</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3.38</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3.38</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16.08</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16.08</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公务用车运行维护费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3.33</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3.33</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其他交通费用</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16.98</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16.98</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3.72</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3.72</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17.23</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17.23</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15.47</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15.47</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1.76</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1.76</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2.42</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2.42</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2.42</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2.42</w:t>
            </w:r>
          </w:p>
        </w:tc>
      </w:tr>
      <w:tr>
        <w:tblPrEx>
          <w:tblCellMar>
            <w:top w:w="0" w:type="dxa"/>
            <w:left w:w="108" w:type="dxa"/>
            <w:bottom w:w="0" w:type="dxa"/>
            <w:right w:w="108" w:type="dxa"/>
          </w:tblCellMar>
        </w:tblPrEx>
        <w:trPr>
          <w:gridAfter w:val="1"/>
          <w:wAfter w:w="209" w:type="dxa"/>
          <w:cantSplit/>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396.62</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332.08</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64.54</w:t>
            </w:r>
          </w:p>
        </w:tc>
      </w:tr>
      <w:tr>
        <w:tblPrEx>
          <w:tblCellMar>
            <w:top w:w="0" w:type="dxa"/>
            <w:left w:w="108" w:type="dxa"/>
            <w:bottom w:w="0" w:type="dxa"/>
            <w:right w:w="108" w:type="dxa"/>
          </w:tblCellMar>
        </w:tblPrEx>
        <w:trPr>
          <w:trHeight w:val="1246" w:hRule="atLeast"/>
          <w:jc w:val="center"/>
        </w:trPr>
        <w:tc>
          <w:tcPr>
            <w:tcW w:w="9140" w:type="dxa"/>
            <w:gridSpan w:val="6"/>
            <w:tcBorders>
              <w:top w:val="nil"/>
              <w:left w:val="nil"/>
              <w:right w:val="nil"/>
            </w:tcBorders>
            <w:noWrap/>
            <w:vAlign w:val="center"/>
          </w:tcPr>
          <w:p>
            <w:pPr>
              <w:widowControl/>
              <w:ind w:firstLine="880" w:firstLineChars="200"/>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6"/>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gridSpan w:val="3"/>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3.79</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0.46</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3.33</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3.33</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680" w:hRule="atLeast"/>
          <w:jc w:val="center"/>
        </w:trPr>
        <w:tc>
          <w:tcPr>
            <w:tcW w:w="9140" w:type="dxa"/>
            <w:gridSpan w:val="6"/>
            <w:tcBorders>
              <w:top w:val="single" w:color="auto" w:sz="4" w:space="0"/>
              <w:left w:val="nil"/>
              <w:bottom w:val="nil"/>
              <w:right w:val="nil"/>
            </w:tcBorders>
            <w:noWrap/>
            <w:vAlign w:val="center"/>
          </w:tcPr>
          <w:p>
            <w:pPr>
              <w:widowControl/>
              <w:ind w:firstLine="560" w:firstLineChars="200"/>
              <w:jc w:val="left"/>
              <w:rPr>
                <w:rFonts w:hint="eastAsia" w:eastAsia="仿宋_GB2312"/>
                <w:color w:val="auto"/>
                <w:kern w:val="0"/>
                <w:sz w:val="28"/>
                <w:szCs w:val="28"/>
                <w:lang w:eastAsia="zh-CN"/>
              </w:rPr>
            </w:pPr>
            <w:r>
              <w:rPr>
                <w:color w:val="auto"/>
                <w:kern w:val="0"/>
                <w:sz w:val="28"/>
                <w:szCs w:val="28"/>
              </w:rPr>
              <w:t>说明：</w:t>
            </w:r>
          </w:p>
          <w:p>
            <w:pPr>
              <w:widowControl/>
              <w:jc w:val="left"/>
              <w:rPr>
                <w:rFonts w:hint="eastAsia" w:eastAsia="宋体"/>
                <w:color w:val="auto"/>
                <w:kern w:val="0"/>
                <w:sz w:val="28"/>
                <w:szCs w:val="28"/>
                <w:lang w:eastAsia="zh-CN"/>
              </w:rPr>
            </w:pPr>
            <w:r>
              <w:rPr>
                <w:rFonts w:eastAsia="宋体"/>
                <w:color w:val="auto"/>
                <w:kern w:val="0"/>
                <w:sz w:val="28"/>
                <w:szCs w:val="28"/>
              </w:rPr>
              <w:t xml:space="preserve">       1</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color w:val="auto"/>
                <w:kern w:val="0"/>
                <w:sz w:val="28"/>
                <w:szCs w:val="28"/>
              </w:rPr>
              <w:t>”的单位范围包括</w:t>
            </w:r>
            <w:r>
              <w:rPr>
                <w:rFonts w:hint="eastAsia"/>
                <w:color w:val="auto"/>
                <w:kern w:val="0"/>
                <w:sz w:val="28"/>
                <w:szCs w:val="28"/>
                <w:lang w:eastAsia="zh-CN"/>
              </w:rPr>
              <w:t>单位</w:t>
            </w:r>
            <w:r>
              <w:rPr>
                <w:color w:val="auto"/>
                <w:kern w:val="0"/>
                <w:sz w:val="28"/>
                <w:szCs w:val="28"/>
              </w:rPr>
              <w:t>本级</w:t>
            </w:r>
            <w:r>
              <w:rPr>
                <w:rFonts w:hint="eastAsia"/>
                <w:color w:val="auto"/>
                <w:kern w:val="0"/>
                <w:sz w:val="28"/>
                <w:szCs w:val="28"/>
                <w:lang w:val="en-US" w:eastAsia="zh-CN"/>
              </w:rPr>
              <w:t>1</w:t>
            </w:r>
            <w:r>
              <w:rPr>
                <w:color w:val="auto"/>
                <w:kern w:val="0"/>
                <w:sz w:val="28"/>
                <w:szCs w:val="28"/>
              </w:rPr>
              <w:t>个预算单位。</w:t>
            </w:r>
            <w:r>
              <w:rPr>
                <w:rFonts w:eastAsia="宋体"/>
                <w:color w:val="auto"/>
                <w:kern w:val="0"/>
                <w:sz w:val="28"/>
                <w:szCs w:val="28"/>
              </w:rPr>
              <w:t xml:space="preserve">   </w:t>
            </w:r>
          </w:p>
          <w:p>
            <w:pPr>
              <w:widowControl/>
              <w:rPr>
                <w:color w:val="000000"/>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rFonts w:eastAsia="宋体"/>
                <w:color w:val="auto"/>
                <w:kern w:val="0"/>
                <w:sz w:val="28"/>
                <w:szCs w:val="28"/>
              </w:rPr>
              <w:t>”</w:t>
            </w:r>
            <w:r>
              <w:rPr>
                <w:color w:val="auto"/>
                <w:kern w:val="0"/>
                <w:sz w:val="28"/>
                <w:szCs w:val="28"/>
              </w:rPr>
              <w:t>的实有人员</w:t>
            </w:r>
            <w:r>
              <w:rPr>
                <w:rFonts w:hint="eastAsia"/>
                <w:color w:val="auto"/>
                <w:kern w:val="0"/>
                <w:sz w:val="28"/>
                <w:szCs w:val="28"/>
                <w:lang w:val="en-US" w:eastAsia="zh-CN"/>
              </w:rPr>
              <w:t>28</w:t>
            </w:r>
            <w:r>
              <w:rPr>
                <w:color w:val="auto"/>
                <w:kern w:val="0"/>
                <w:sz w:val="28"/>
                <w:szCs w:val="28"/>
              </w:rPr>
              <w:t>人，其中：在职人员</w:t>
            </w:r>
            <w:r>
              <w:rPr>
                <w:rFonts w:hint="eastAsia"/>
                <w:color w:val="auto"/>
                <w:kern w:val="0"/>
                <w:sz w:val="28"/>
                <w:szCs w:val="28"/>
                <w:lang w:val="en-US" w:eastAsia="zh-CN"/>
              </w:rPr>
              <w:t>16</w:t>
            </w:r>
            <w:r>
              <w:rPr>
                <w:color w:val="auto"/>
                <w:kern w:val="0"/>
                <w:sz w:val="28"/>
                <w:szCs w:val="28"/>
              </w:rPr>
              <w:t>人，离退休人员</w:t>
            </w:r>
            <w:r>
              <w:rPr>
                <w:rFonts w:hint="eastAsia"/>
                <w:color w:val="auto"/>
                <w:kern w:val="0"/>
                <w:sz w:val="28"/>
                <w:szCs w:val="28"/>
                <w:lang w:val="en-US" w:eastAsia="zh-CN"/>
              </w:rPr>
              <w:t>12</w:t>
            </w:r>
            <w:r>
              <w:rPr>
                <w:color w:val="auto"/>
                <w:kern w:val="0"/>
                <w:sz w:val="28"/>
                <w:szCs w:val="28"/>
              </w:rPr>
              <w:t>人。</w:t>
            </w:r>
          </w:p>
        </w:tc>
      </w:tr>
    </w:tbl>
    <w:p>
      <w:pPr>
        <w:ind w:firstLine="640" w:firstLineChars="200"/>
        <w:rPr>
          <w:rFonts w:hAnsi="楷体" w:eastAsia="楷体"/>
        </w:rPr>
      </w:pPr>
    </w:p>
    <w:p>
      <w:pPr>
        <w:ind w:firstLine="640" w:firstLineChars="200"/>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10" w:type="first"/>
          <w:footerReference r:id="rId9"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tbl>
      <w:tblPr>
        <w:tblStyle w:val="9"/>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4"/>
        <w:gridCol w:w="1748"/>
        <w:gridCol w:w="1115"/>
        <w:gridCol w:w="680"/>
        <w:gridCol w:w="708"/>
        <w:gridCol w:w="284"/>
        <w:gridCol w:w="284"/>
        <w:gridCol w:w="284"/>
        <w:gridCol w:w="284"/>
        <w:gridCol w:w="288"/>
        <w:gridCol w:w="334"/>
        <w:gridCol w:w="442"/>
        <w:gridCol w:w="358"/>
        <w:gridCol w:w="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000" w:type="pct"/>
            <w:gridSpan w:val="15"/>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4" w:type="pct"/>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65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94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605"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36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000" w:type="pct"/>
            <w:gridSpan w:val="5"/>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941" w:type="pct"/>
            <w:gridSpan w:val="5"/>
            <w:tcBorders>
              <w:top w:val="nil"/>
              <w:left w:val="nil"/>
              <w:right w:val="nil"/>
            </w:tcBorders>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74"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类型</w:t>
            </w:r>
          </w:p>
        </w:tc>
        <w:tc>
          <w:tcPr>
            <w:tcW w:w="1608" w:type="pct"/>
            <w:gridSpan w:val="2"/>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项目名称</w:t>
            </w:r>
          </w:p>
        </w:tc>
        <w:tc>
          <w:tcPr>
            <w:tcW w:w="605" w:type="pct"/>
            <w:vMerge w:val="restar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部门（单位）名称</w:t>
            </w:r>
          </w:p>
        </w:tc>
        <w:tc>
          <w:tcPr>
            <w:tcW w:w="36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合计</w:t>
            </w:r>
          </w:p>
        </w:tc>
        <w:tc>
          <w:tcPr>
            <w:tcW w:w="1000" w:type="pct"/>
            <w:gridSpan w:val="5"/>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本年预算</w:t>
            </w:r>
          </w:p>
        </w:tc>
        <w:tc>
          <w:tcPr>
            <w:tcW w:w="941" w:type="pct"/>
            <w:gridSpan w:val="5"/>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74" w:type="pct"/>
            <w:vMerge w:val="continue"/>
            <w:vAlign w:val="center"/>
          </w:tcPr>
          <w:p>
            <w:pPr>
              <w:autoSpaceDN w:val="0"/>
              <w:jc w:val="center"/>
              <w:textAlignment w:val="center"/>
              <w:rPr>
                <w:rFonts w:ascii="Calibri" w:hAnsi="Calibri" w:eastAsia="华文细黑"/>
                <w:color w:val="000000"/>
                <w:sz w:val="16"/>
                <w:szCs w:val="16"/>
              </w:rPr>
            </w:pPr>
          </w:p>
        </w:tc>
        <w:tc>
          <w:tcPr>
            <w:tcW w:w="65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一级项目</w:t>
            </w:r>
          </w:p>
        </w:tc>
        <w:tc>
          <w:tcPr>
            <w:tcW w:w="94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二级项目</w:t>
            </w:r>
          </w:p>
        </w:tc>
        <w:tc>
          <w:tcPr>
            <w:tcW w:w="605"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369" w:type="pct"/>
            <w:vMerge w:val="continue"/>
            <w:vAlign w:val="center"/>
          </w:tcPr>
          <w:p>
            <w:pPr>
              <w:autoSpaceDN w:val="0"/>
              <w:jc w:val="center"/>
              <w:textAlignment w:val="center"/>
              <w:rPr>
                <w:rFonts w:ascii="Calibri" w:hAnsi="Calibri" w:eastAsia="华文细黑"/>
                <w:color w:val="000000"/>
                <w:sz w:val="16"/>
                <w:szCs w:val="16"/>
              </w:rPr>
            </w:pPr>
          </w:p>
        </w:tc>
        <w:tc>
          <w:tcPr>
            <w:tcW w:w="692" w:type="pct"/>
            <w:gridSpan w:val="3"/>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w:t>
            </w:r>
          </w:p>
        </w:tc>
        <w:tc>
          <w:tcPr>
            <w:tcW w:w="154" w:type="pct"/>
            <w:vMerge w:val="restart"/>
            <w:textDirection w:val="tbLr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154" w:type="pct"/>
            <w:vMerge w:val="restart"/>
            <w:textDirection w:val="tbLrV"/>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c>
          <w:tcPr>
            <w:tcW w:w="577" w:type="pct"/>
            <w:gridSpan w:val="3"/>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财政拨款结转</w:t>
            </w:r>
          </w:p>
        </w:tc>
        <w:tc>
          <w:tcPr>
            <w:tcW w:w="364" w:type="pct"/>
            <w:gridSpan w:val="2"/>
            <w:vAlign w:val="center"/>
          </w:tcPr>
          <w:p>
            <w:pPr>
              <w:tabs>
                <w:tab w:val="left" w:pos="492"/>
              </w:tabs>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74" w:type="pct"/>
            <w:vMerge w:val="continue"/>
            <w:vAlign w:val="center"/>
          </w:tcPr>
          <w:p>
            <w:pPr>
              <w:autoSpaceDN w:val="0"/>
              <w:jc w:val="center"/>
              <w:textAlignment w:val="center"/>
              <w:rPr>
                <w:rFonts w:ascii="Calibri" w:hAnsi="Calibri" w:eastAsia="华文细黑"/>
                <w:color w:val="000000"/>
                <w:sz w:val="16"/>
                <w:szCs w:val="16"/>
              </w:rPr>
            </w:pPr>
          </w:p>
        </w:tc>
        <w:tc>
          <w:tcPr>
            <w:tcW w:w="659" w:type="pct"/>
            <w:vMerge w:val="continue"/>
            <w:vAlign w:val="center"/>
          </w:tcPr>
          <w:p>
            <w:pPr>
              <w:autoSpaceDN w:val="0"/>
              <w:jc w:val="center"/>
              <w:textAlignment w:val="center"/>
              <w:rPr>
                <w:rFonts w:ascii="Calibri" w:hAnsi="Calibri" w:eastAsia="华文细黑"/>
                <w:color w:val="000000"/>
                <w:sz w:val="16"/>
                <w:szCs w:val="16"/>
              </w:rPr>
            </w:pPr>
          </w:p>
        </w:tc>
        <w:tc>
          <w:tcPr>
            <w:tcW w:w="949" w:type="pct"/>
            <w:vMerge w:val="continue"/>
            <w:vAlign w:val="center"/>
          </w:tcPr>
          <w:p>
            <w:pPr>
              <w:autoSpaceDN w:val="0"/>
              <w:jc w:val="center"/>
              <w:textAlignment w:val="center"/>
              <w:rPr>
                <w:rFonts w:ascii="Calibri" w:hAnsi="Calibri" w:eastAsia="华文细黑"/>
                <w:color w:val="000000"/>
                <w:sz w:val="16"/>
                <w:szCs w:val="16"/>
              </w:rPr>
            </w:pPr>
          </w:p>
        </w:tc>
        <w:tc>
          <w:tcPr>
            <w:tcW w:w="605" w:type="pct"/>
            <w:vMerge w:val="continue"/>
            <w:vAlign w:val="center"/>
          </w:tcPr>
          <w:p>
            <w:pPr>
              <w:autoSpaceDN w:val="0"/>
              <w:jc w:val="center"/>
              <w:textAlignment w:val="center"/>
              <w:rPr>
                <w:rFonts w:ascii="Calibri" w:hAnsi="Calibri" w:eastAsia="华文细黑"/>
                <w:color w:val="000000"/>
                <w:sz w:val="16"/>
                <w:szCs w:val="16"/>
              </w:rPr>
            </w:pPr>
          </w:p>
        </w:tc>
        <w:tc>
          <w:tcPr>
            <w:tcW w:w="369" w:type="pct"/>
            <w:vMerge w:val="continue"/>
            <w:vAlign w:val="center"/>
          </w:tcPr>
          <w:p>
            <w:pPr>
              <w:autoSpaceDN w:val="0"/>
              <w:jc w:val="center"/>
              <w:textAlignment w:val="center"/>
              <w:rPr>
                <w:rFonts w:ascii="Calibri" w:hAnsi="Calibri" w:eastAsia="华文细黑"/>
                <w:color w:val="000000"/>
                <w:sz w:val="16"/>
                <w:szCs w:val="16"/>
              </w:rPr>
            </w:pPr>
          </w:p>
        </w:tc>
        <w:tc>
          <w:tcPr>
            <w:tcW w:w="38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 般 公 共 预 算</w:t>
            </w:r>
          </w:p>
        </w:tc>
        <w:tc>
          <w:tcPr>
            <w:tcW w:w="15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5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国有资本经营预算</w:t>
            </w:r>
          </w:p>
        </w:tc>
        <w:tc>
          <w:tcPr>
            <w:tcW w:w="154"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154"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156"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公共</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81"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239"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94" w:type="pc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169" w:type="pc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4" w:type="pct"/>
            <w:vAlign w:val="center"/>
          </w:tcPr>
          <w:p>
            <w:pPr>
              <w:rPr>
                <w:rFonts w:ascii="宋体" w:hAnsi="宋体" w:eastAsia="宋体"/>
                <w:sz w:val="16"/>
                <w:szCs w:val="16"/>
              </w:rPr>
            </w:pPr>
            <w:r>
              <w:rPr>
                <w:rFonts w:hint="eastAsia" w:ascii="宋体" w:hAnsi="宋体" w:eastAsia="宋体"/>
                <w:sz w:val="16"/>
                <w:szCs w:val="16"/>
              </w:rPr>
              <w:t>专项业务支出</w:t>
            </w: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50.86</w:t>
            </w:r>
          </w:p>
        </w:tc>
        <w:tc>
          <w:tcPr>
            <w:tcW w:w="384" w:type="pct"/>
            <w:vAlign w:val="center"/>
          </w:tcPr>
          <w:p>
            <w:pPr>
              <w:rPr>
                <w:rFonts w:ascii="宋体" w:hAnsi="宋体" w:eastAsia="宋体"/>
                <w:sz w:val="16"/>
                <w:szCs w:val="16"/>
              </w:rPr>
            </w:pPr>
            <w:r>
              <w:rPr>
                <w:rFonts w:hint="eastAsia" w:ascii="宋体" w:hAnsi="宋体" w:eastAsia="宋体"/>
                <w:sz w:val="16"/>
                <w:szCs w:val="16"/>
              </w:rPr>
              <w:t>50.86</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4" w:type="pct"/>
            <w:vAlign w:val="center"/>
          </w:tcPr>
          <w:p>
            <w:pPr>
              <w:rPr>
                <w:rFonts w:ascii="宋体" w:hAnsi="宋体" w:eastAsia="宋体"/>
                <w:sz w:val="16"/>
                <w:szCs w:val="16"/>
              </w:rPr>
            </w:pPr>
            <w:bookmarkStart w:id="0" w:name="_Hlk159434871"/>
          </w:p>
        </w:tc>
        <w:tc>
          <w:tcPr>
            <w:tcW w:w="659" w:type="pct"/>
            <w:vAlign w:val="center"/>
          </w:tcPr>
          <w:p>
            <w:pPr>
              <w:rPr>
                <w:rFonts w:ascii="宋体" w:hAnsi="宋体" w:eastAsia="宋体"/>
                <w:sz w:val="16"/>
                <w:szCs w:val="16"/>
              </w:rPr>
            </w:pPr>
            <w:r>
              <w:rPr>
                <w:rFonts w:hint="eastAsia" w:ascii="宋体" w:hAnsi="宋体" w:eastAsia="宋体"/>
                <w:sz w:val="16"/>
                <w:szCs w:val="16"/>
              </w:rPr>
              <w:t>专项普查活动</w:t>
            </w: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3.50</w:t>
            </w:r>
          </w:p>
        </w:tc>
        <w:tc>
          <w:tcPr>
            <w:tcW w:w="384" w:type="pct"/>
            <w:vAlign w:val="center"/>
          </w:tcPr>
          <w:p>
            <w:pPr>
              <w:rPr>
                <w:rFonts w:ascii="宋体" w:hAnsi="宋体" w:eastAsia="宋体"/>
                <w:sz w:val="16"/>
                <w:szCs w:val="16"/>
              </w:rPr>
            </w:pPr>
            <w:r>
              <w:rPr>
                <w:rFonts w:hint="eastAsia" w:ascii="宋体" w:hAnsi="宋体" w:eastAsia="宋体"/>
                <w:sz w:val="16"/>
                <w:szCs w:val="16"/>
              </w:rPr>
              <w:t>3.50</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p>
        </w:tc>
        <w:tc>
          <w:tcPr>
            <w:tcW w:w="949" w:type="pct"/>
            <w:vAlign w:val="center"/>
          </w:tcPr>
          <w:p>
            <w:pPr>
              <w:jc w:val="left"/>
              <w:rPr>
                <w:rFonts w:ascii="宋体" w:hAnsi="宋体" w:eastAsia="宋体"/>
                <w:sz w:val="16"/>
                <w:szCs w:val="16"/>
              </w:rPr>
            </w:pPr>
            <w:r>
              <w:rPr>
                <w:rFonts w:hint="eastAsia" w:ascii="宋体" w:hAnsi="宋体" w:eastAsia="宋体"/>
                <w:sz w:val="16"/>
                <w:szCs w:val="16"/>
              </w:rPr>
              <w:t>第五次全国经济普查经费</w:t>
            </w:r>
          </w:p>
        </w:tc>
        <w:tc>
          <w:tcPr>
            <w:tcW w:w="605" w:type="pct"/>
            <w:vAlign w:val="center"/>
          </w:tcPr>
          <w:p>
            <w:pPr>
              <w:jc w:val="left"/>
              <w:rPr>
                <w:rFonts w:ascii="宋体" w:hAnsi="宋体" w:eastAsia="宋体"/>
                <w:sz w:val="16"/>
                <w:szCs w:val="16"/>
              </w:rPr>
            </w:pPr>
            <w:r>
              <w:rPr>
                <w:rFonts w:hint="eastAsia" w:ascii="宋体" w:hAnsi="宋体" w:eastAsia="宋体"/>
                <w:sz w:val="16"/>
                <w:szCs w:val="16"/>
              </w:rPr>
              <w:t>白山市统计局（本级）</w:t>
            </w:r>
          </w:p>
        </w:tc>
        <w:tc>
          <w:tcPr>
            <w:tcW w:w="369" w:type="pct"/>
            <w:vAlign w:val="center"/>
          </w:tcPr>
          <w:p>
            <w:pPr>
              <w:rPr>
                <w:rFonts w:ascii="宋体" w:hAnsi="宋体" w:eastAsia="宋体"/>
                <w:sz w:val="16"/>
                <w:szCs w:val="16"/>
              </w:rPr>
            </w:pPr>
            <w:r>
              <w:rPr>
                <w:rFonts w:hint="eastAsia" w:ascii="宋体" w:hAnsi="宋体" w:eastAsia="宋体"/>
                <w:sz w:val="16"/>
                <w:szCs w:val="16"/>
              </w:rPr>
              <w:t>3.50</w:t>
            </w:r>
          </w:p>
        </w:tc>
        <w:tc>
          <w:tcPr>
            <w:tcW w:w="384" w:type="pct"/>
            <w:vAlign w:val="center"/>
          </w:tcPr>
          <w:p>
            <w:pPr>
              <w:rPr>
                <w:rFonts w:ascii="宋体" w:hAnsi="宋体" w:eastAsia="宋体"/>
                <w:sz w:val="16"/>
                <w:szCs w:val="16"/>
              </w:rPr>
            </w:pPr>
            <w:r>
              <w:rPr>
                <w:rFonts w:hint="eastAsia" w:ascii="宋体" w:hAnsi="宋体" w:eastAsia="宋体"/>
                <w:sz w:val="16"/>
                <w:szCs w:val="16"/>
              </w:rPr>
              <w:t>3.50</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r>
              <w:rPr>
                <w:rFonts w:hint="eastAsia" w:ascii="宋体" w:hAnsi="宋体" w:eastAsia="宋体"/>
                <w:sz w:val="16"/>
                <w:szCs w:val="16"/>
              </w:rPr>
              <w:t>专项统计业务</w:t>
            </w: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47.36</w:t>
            </w:r>
          </w:p>
        </w:tc>
        <w:tc>
          <w:tcPr>
            <w:tcW w:w="384" w:type="pct"/>
            <w:vAlign w:val="center"/>
          </w:tcPr>
          <w:p>
            <w:pPr>
              <w:rPr>
                <w:rFonts w:ascii="宋体" w:hAnsi="宋体" w:eastAsia="宋体"/>
                <w:sz w:val="16"/>
                <w:szCs w:val="16"/>
              </w:rPr>
            </w:pPr>
            <w:r>
              <w:rPr>
                <w:rFonts w:hint="eastAsia" w:ascii="宋体" w:hAnsi="宋体" w:eastAsia="宋体"/>
                <w:sz w:val="16"/>
                <w:szCs w:val="16"/>
              </w:rPr>
              <w:t>47.36</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r>
              <w:rPr>
                <w:rFonts w:hint="eastAsia" w:ascii="宋体" w:hAnsi="宋体" w:eastAsia="宋体"/>
                <w:sz w:val="16"/>
                <w:szCs w:val="16"/>
              </w:rPr>
              <w:t>统计调查经费</w:t>
            </w:r>
          </w:p>
        </w:tc>
        <w:tc>
          <w:tcPr>
            <w:tcW w:w="605" w:type="pct"/>
            <w:vAlign w:val="center"/>
          </w:tcPr>
          <w:p>
            <w:pPr>
              <w:jc w:val="left"/>
              <w:rPr>
                <w:rFonts w:ascii="宋体" w:hAnsi="宋体" w:eastAsia="宋体"/>
                <w:sz w:val="16"/>
                <w:szCs w:val="16"/>
              </w:rPr>
            </w:pPr>
            <w:r>
              <w:rPr>
                <w:rFonts w:hint="eastAsia" w:ascii="宋体" w:hAnsi="宋体" w:eastAsia="宋体"/>
                <w:sz w:val="16"/>
                <w:szCs w:val="16"/>
              </w:rPr>
              <w:t>白山市统计局（本级）</w:t>
            </w:r>
          </w:p>
        </w:tc>
        <w:tc>
          <w:tcPr>
            <w:tcW w:w="369" w:type="pct"/>
            <w:vAlign w:val="center"/>
          </w:tcPr>
          <w:p>
            <w:pPr>
              <w:rPr>
                <w:rFonts w:ascii="宋体" w:hAnsi="宋体" w:eastAsia="宋体"/>
                <w:sz w:val="16"/>
                <w:szCs w:val="16"/>
              </w:rPr>
            </w:pPr>
            <w:r>
              <w:rPr>
                <w:rFonts w:hint="eastAsia" w:ascii="宋体" w:hAnsi="宋体" w:eastAsia="宋体"/>
                <w:sz w:val="16"/>
                <w:szCs w:val="16"/>
              </w:rPr>
              <w:t>47.36</w:t>
            </w:r>
          </w:p>
        </w:tc>
        <w:tc>
          <w:tcPr>
            <w:tcW w:w="384" w:type="pct"/>
            <w:vAlign w:val="center"/>
          </w:tcPr>
          <w:p>
            <w:pPr>
              <w:rPr>
                <w:rFonts w:ascii="宋体" w:hAnsi="宋体" w:eastAsia="宋体"/>
                <w:sz w:val="16"/>
                <w:szCs w:val="16"/>
              </w:rPr>
            </w:pPr>
            <w:r>
              <w:rPr>
                <w:rFonts w:hint="eastAsia" w:ascii="宋体" w:hAnsi="宋体" w:eastAsia="宋体"/>
                <w:sz w:val="16"/>
                <w:szCs w:val="16"/>
              </w:rPr>
              <w:t>47.36</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74" w:type="pct"/>
            <w:vAlign w:val="center"/>
          </w:tcPr>
          <w:p>
            <w:pPr>
              <w:rPr>
                <w:rFonts w:ascii="宋体" w:hAnsi="宋体" w:eastAsia="宋体"/>
                <w:sz w:val="16"/>
                <w:szCs w:val="16"/>
              </w:rPr>
            </w:pPr>
            <w:r>
              <w:rPr>
                <w:rFonts w:hint="eastAsia" w:ascii="宋体" w:hAnsi="宋体" w:eastAsia="宋体"/>
                <w:sz w:val="16"/>
                <w:szCs w:val="16"/>
              </w:rPr>
              <w:t>合计</w:t>
            </w: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50.86</w:t>
            </w:r>
          </w:p>
        </w:tc>
        <w:tc>
          <w:tcPr>
            <w:tcW w:w="384" w:type="pct"/>
            <w:vAlign w:val="center"/>
          </w:tcPr>
          <w:p>
            <w:pPr>
              <w:rPr>
                <w:rFonts w:ascii="宋体" w:hAnsi="宋体" w:eastAsia="宋体"/>
                <w:sz w:val="16"/>
                <w:szCs w:val="16"/>
              </w:rPr>
            </w:pPr>
            <w:r>
              <w:rPr>
                <w:rFonts w:hint="eastAsia" w:ascii="宋体" w:hAnsi="宋体" w:eastAsia="宋体"/>
                <w:sz w:val="16"/>
                <w:szCs w:val="16"/>
              </w:rPr>
              <w:t>50.86</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bl>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617"/>
        <w:gridCol w:w="933"/>
        <w:gridCol w:w="1433"/>
        <w:gridCol w:w="634"/>
        <w:gridCol w:w="733"/>
        <w:gridCol w:w="1050"/>
        <w:gridCol w:w="1450"/>
        <w:gridCol w:w="850"/>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4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白山市统计局（本级）</w:t>
            </w:r>
          </w:p>
        </w:tc>
        <w:tc>
          <w:tcPr>
            <w:tcW w:w="617"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统计调查经费</w:t>
            </w:r>
          </w:p>
        </w:tc>
        <w:tc>
          <w:tcPr>
            <w:tcW w:w="933"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47.36</w:t>
            </w:r>
          </w:p>
        </w:tc>
        <w:tc>
          <w:tcPr>
            <w:tcW w:w="1433"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按照吉政发【2006】27号文件计划，全面完成国家大型普查和各级统计调查任务。通过组织开展工业、农业、贸易、投资、法规、综合核算等各项统计调查，高质量完成2024年各专业月报、季度及年报工作，确保统计数据的真实性、准确性及完整性，为编制《白山市统计资料》提供数据，发布《白山市2023年统计公报》及月报，及时编写统计经济信息及分析报告，为社会各界了解统计数据提供优质服务，为白山市人民政府决策提供依据.</w:t>
            </w:r>
          </w:p>
        </w:tc>
        <w:tc>
          <w:tcPr>
            <w:tcW w:w="634"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成本指标</w:t>
            </w:r>
          </w:p>
        </w:tc>
        <w:tc>
          <w:tcPr>
            <w:tcW w:w="733"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经济成本指标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培训人均成本</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反映培训成本控制情况</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350元</w:t>
            </w:r>
          </w:p>
        </w:tc>
        <w:tc>
          <w:tcPr>
            <w:tcW w:w="4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3" w:type="dxa"/>
            <w:vMerge w:val="continue"/>
            <w:tcBorders>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单册年鉴出版成本</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反映编制单册年鉴的成本情况。</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300元</w:t>
            </w:r>
          </w:p>
        </w:tc>
        <w:tc>
          <w:tcPr>
            <w:tcW w:w="4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733"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报送数据次数</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反映向国家和相关部门报送规模以下工业调查企业数据的次数情况。</w:t>
            </w:r>
          </w:p>
        </w:tc>
        <w:tc>
          <w:tcPr>
            <w:tcW w:w="85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4次</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continue"/>
            <w:noWrap/>
            <w:vAlign w:val="center"/>
          </w:tcPr>
          <w:p>
            <w:pPr>
              <w:jc w:val="center"/>
              <w:rPr>
                <w:rFonts w:ascii="华文细黑" w:hAnsi="华文细黑" w:eastAsia="华文细黑" w:cs="华文细黑"/>
                <w:kern w:val="0"/>
                <w:sz w:val="18"/>
                <w:szCs w:val="18"/>
              </w:rPr>
            </w:pPr>
          </w:p>
        </w:tc>
        <w:tc>
          <w:tcPr>
            <w:tcW w:w="733" w:type="dxa"/>
            <w:vMerge w:val="continue"/>
            <w:noWrap/>
            <w:vAlign w:val="center"/>
          </w:tcPr>
          <w:p>
            <w:pPr>
              <w:jc w:val="center"/>
              <w:rPr>
                <w:rFonts w:ascii="华文细黑" w:hAnsi="华文细黑" w:eastAsia="华文细黑" w:cs="华文细黑"/>
                <w:kern w:val="0"/>
                <w:sz w:val="18"/>
                <w:szCs w:val="18"/>
              </w:rPr>
            </w:pP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培训人次</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反映参加培训人员的数量情况。</w:t>
            </w:r>
          </w:p>
        </w:tc>
        <w:tc>
          <w:tcPr>
            <w:tcW w:w="85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300人</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continue"/>
            <w:noWrap/>
            <w:vAlign w:val="center"/>
          </w:tcPr>
          <w:p>
            <w:pPr>
              <w:jc w:val="center"/>
              <w:rPr>
                <w:rFonts w:ascii="华文细黑" w:hAnsi="华文细黑" w:eastAsia="华文细黑" w:cs="华文细黑"/>
                <w:kern w:val="0"/>
                <w:sz w:val="18"/>
                <w:szCs w:val="18"/>
              </w:rPr>
            </w:pPr>
          </w:p>
        </w:tc>
        <w:tc>
          <w:tcPr>
            <w:tcW w:w="733" w:type="dxa"/>
            <w:vMerge w:val="continue"/>
            <w:noWrap/>
            <w:vAlign w:val="center"/>
          </w:tcPr>
          <w:p>
            <w:pPr>
              <w:jc w:val="center"/>
              <w:rPr>
                <w:rFonts w:ascii="华文细黑" w:hAnsi="华文细黑" w:eastAsia="华文细黑" w:cs="华文细黑"/>
                <w:kern w:val="0"/>
                <w:sz w:val="18"/>
                <w:szCs w:val="18"/>
              </w:rPr>
            </w:pP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基本单位名录库更新报表数</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反映基本单位名录库更新维护报表数量情况。</w:t>
            </w:r>
          </w:p>
        </w:tc>
        <w:tc>
          <w:tcPr>
            <w:tcW w:w="85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100个</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continue"/>
            <w:noWrap/>
            <w:vAlign w:val="center"/>
          </w:tcPr>
          <w:p>
            <w:pPr>
              <w:jc w:val="center"/>
              <w:rPr>
                <w:rFonts w:ascii="华文细黑" w:hAnsi="华文细黑" w:eastAsia="华文细黑" w:cs="华文细黑"/>
                <w:kern w:val="0"/>
                <w:sz w:val="18"/>
                <w:szCs w:val="18"/>
              </w:rPr>
            </w:pPr>
          </w:p>
        </w:tc>
        <w:tc>
          <w:tcPr>
            <w:tcW w:w="733" w:type="dxa"/>
            <w:vMerge w:val="continue"/>
            <w:noWrap/>
            <w:vAlign w:val="center"/>
          </w:tcPr>
          <w:p>
            <w:pPr>
              <w:jc w:val="center"/>
              <w:rPr>
                <w:rFonts w:ascii="华文细黑" w:hAnsi="华文细黑" w:eastAsia="华文细黑" w:cs="华文细黑"/>
                <w:kern w:val="0"/>
                <w:sz w:val="18"/>
                <w:szCs w:val="18"/>
              </w:rPr>
            </w:pP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统计分析报告篇数</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反映统计分析报告篇数情况</w:t>
            </w:r>
          </w:p>
        </w:tc>
        <w:tc>
          <w:tcPr>
            <w:tcW w:w="85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6篇</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continue"/>
            <w:noWrap/>
            <w:vAlign w:val="center"/>
          </w:tcPr>
          <w:p>
            <w:pPr>
              <w:jc w:val="center"/>
              <w:rPr>
                <w:rFonts w:ascii="华文细黑" w:hAnsi="华文细黑" w:eastAsia="华文细黑" w:cs="华文细黑"/>
                <w:kern w:val="0"/>
                <w:sz w:val="18"/>
                <w:szCs w:val="18"/>
              </w:rPr>
            </w:pPr>
          </w:p>
        </w:tc>
        <w:tc>
          <w:tcPr>
            <w:tcW w:w="733" w:type="dxa"/>
            <w:vMerge w:val="continue"/>
            <w:noWrap/>
            <w:vAlign w:val="center"/>
          </w:tcPr>
          <w:p>
            <w:pPr>
              <w:jc w:val="center"/>
              <w:rPr>
                <w:rFonts w:ascii="华文细黑" w:hAnsi="华文细黑" w:eastAsia="华文细黑" w:cs="华文细黑"/>
                <w:kern w:val="0"/>
                <w:sz w:val="18"/>
                <w:szCs w:val="18"/>
              </w:rPr>
            </w:pP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年鉴出版印刷数量</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年鉴出版印刷数量</w:t>
            </w:r>
          </w:p>
        </w:tc>
        <w:tc>
          <w:tcPr>
            <w:tcW w:w="85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100册</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continue"/>
            <w:noWrap/>
            <w:vAlign w:val="center"/>
          </w:tcPr>
          <w:p>
            <w:pPr>
              <w:jc w:val="center"/>
              <w:rPr>
                <w:rFonts w:ascii="华文细黑" w:hAnsi="华文细黑" w:eastAsia="华文细黑" w:cs="华文细黑"/>
                <w:kern w:val="0"/>
                <w:sz w:val="18"/>
                <w:szCs w:val="18"/>
              </w:rPr>
            </w:pPr>
          </w:p>
        </w:tc>
        <w:tc>
          <w:tcPr>
            <w:tcW w:w="733"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质量指标</w:t>
            </w: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报表审核通过率</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反映省级及各市州地区生产总值报表审核通过的情况。</w:t>
            </w:r>
          </w:p>
        </w:tc>
        <w:tc>
          <w:tcPr>
            <w:tcW w:w="850" w:type="dxa"/>
            <w:noWrap/>
            <w:vAlign w:val="center"/>
          </w:tcPr>
          <w:p>
            <w:pPr>
              <w:jc w:val="center"/>
              <w:rPr>
                <w:rFonts w:hint="eastAsia" w:ascii="华文细黑" w:hAnsi="华文细黑" w:eastAsia="华文细黑" w:cs="华文细黑"/>
                <w:kern w:val="0"/>
                <w:sz w:val="18"/>
                <w:szCs w:val="18"/>
                <w:lang w:eastAsia="zh-CN"/>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90</w:t>
            </w:r>
            <w:r>
              <w:rPr>
                <w:rFonts w:hint="eastAsia" w:ascii="华文细黑" w:hAnsi="华文细黑" w:eastAsia="华文细黑" w:cs="华文细黑"/>
                <w:kern w:val="0"/>
                <w:sz w:val="18"/>
                <w:szCs w:val="18"/>
                <w:lang w:val="en-US" w:eastAsia="zh-CN"/>
              </w:rPr>
              <w:t>%</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continue"/>
            <w:noWrap/>
            <w:vAlign w:val="center"/>
          </w:tcPr>
          <w:p>
            <w:pPr>
              <w:jc w:val="center"/>
              <w:rPr>
                <w:rFonts w:ascii="华文细黑" w:hAnsi="华文细黑" w:eastAsia="华文细黑" w:cs="华文细黑"/>
                <w:kern w:val="0"/>
                <w:sz w:val="18"/>
                <w:szCs w:val="18"/>
              </w:rPr>
            </w:pPr>
          </w:p>
        </w:tc>
        <w:tc>
          <w:tcPr>
            <w:tcW w:w="733" w:type="dxa"/>
            <w:vMerge w:val="continue"/>
            <w:noWrap/>
            <w:vAlign w:val="center"/>
          </w:tcPr>
          <w:p>
            <w:pPr>
              <w:jc w:val="center"/>
              <w:rPr>
                <w:rFonts w:ascii="华文细黑" w:hAnsi="华文细黑" w:eastAsia="华文细黑" w:cs="华文细黑"/>
                <w:kern w:val="0"/>
                <w:sz w:val="18"/>
                <w:szCs w:val="18"/>
              </w:rPr>
            </w:pP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数据核查准确率</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反映企业数据核查的准确性情况。</w:t>
            </w:r>
          </w:p>
        </w:tc>
        <w:tc>
          <w:tcPr>
            <w:tcW w:w="850" w:type="dxa"/>
            <w:noWrap/>
            <w:vAlign w:val="center"/>
          </w:tcPr>
          <w:p>
            <w:pPr>
              <w:jc w:val="center"/>
              <w:rPr>
                <w:rFonts w:hint="eastAsia" w:ascii="华文细黑" w:hAnsi="华文细黑" w:eastAsia="华文细黑" w:cs="华文细黑"/>
                <w:kern w:val="0"/>
                <w:sz w:val="18"/>
                <w:szCs w:val="18"/>
                <w:lang w:eastAsia="zh-CN"/>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85</w:t>
            </w:r>
            <w:r>
              <w:rPr>
                <w:rFonts w:hint="eastAsia" w:ascii="华文细黑" w:hAnsi="华文细黑" w:eastAsia="华文细黑" w:cs="华文细黑"/>
                <w:kern w:val="0"/>
                <w:sz w:val="18"/>
                <w:szCs w:val="18"/>
                <w:lang w:val="en-US" w:eastAsia="zh-CN"/>
              </w:rPr>
              <w:t>%</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vMerge w:val="continue"/>
            <w:noWrap/>
            <w:vAlign w:val="center"/>
          </w:tcPr>
          <w:p>
            <w:pPr>
              <w:jc w:val="center"/>
              <w:rPr>
                <w:rFonts w:ascii="华文细黑" w:hAnsi="华文细黑" w:eastAsia="华文细黑" w:cs="华文细黑"/>
                <w:kern w:val="0"/>
                <w:sz w:val="18"/>
                <w:szCs w:val="18"/>
              </w:rPr>
            </w:pPr>
          </w:p>
        </w:tc>
        <w:tc>
          <w:tcPr>
            <w:tcW w:w="733"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时效指标</w:t>
            </w: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年鉴出版时间</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反映年鉴出版完成时间。</w:t>
            </w:r>
          </w:p>
        </w:tc>
        <w:tc>
          <w:tcPr>
            <w:tcW w:w="8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12月31日之前</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733"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向社会公众提供统计公报</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向社会公众提供统计公报篇数</w:t>
            </w:r>
          </w:p>
        </w:tc>
        <w:tc>
          <w:tcPr>
            <w:tcW w:w="850" w:type="dxa"/>
            <w:noWrap/>
            <w:vAlign w:val="center"/>
          </w:tcPr>
          <w:p>
            <w:pP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=1篇</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1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433"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满意度指标</w:t>
            </w:r>
          </w:p>
        </w:tc>
        <w:tc>
          <w:tcPr>
            <w:tcW w:w="733"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满意度指标</w:t>
            </w:r>
          </w:p>
        </w:tc>
        <w:tc>
          <w:tcPr>
            <w:tcW w:w="10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数据应用者满意度</w:t>
            </w:r>
          </w:p>
        </w:tc>
        <w:tc>
          <w:tcPr>
            <w:tcW w:w="14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反映数据使用者的满意度情况。</w:t>
            </w:r>
          </w:p>
        </w:tc>
        <w:tc>
          <w:tcPr>
            <w:tcW w:w="850" w:type="dxa"/>
            <w:noWrap/>
            <w:vAlign w:val="center"/>
          </w:tcPr>
          <w:p>
            <w:pPr>
              <w:jc w:val="center"/>
              <w:rPr>
                <w:rFonts w:hint="eastAsia" w:ascii="华文细黑" w:hAnsi="华文细黑" w:eastAsia="华文细黑" w:cs="华文细黑"/>
                <w:kern w:val="0"/>
                <w:sz w:val="18"/>
                <w:szCs w:val="18"/>
                <w:lang w:eastAsia="zh-CN"/>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90</w:t>
            </w:r>
            <w:r>
              <w:rPr>
                <w:rFonts w:hint="eastAsia" w:ascii="华文细黑" w:hAnsi="华文细黑" w:eastAsia="华文细黑" w:cs="华文细黑"/>
                <w:kern w:val="0"/>
                <w:sz w:val="18"/>
                <w:szCs w:val="18"/>
                <w:lang w:val="en-US" w:eastAsia="zh-CN"/>
              </w:rPr>
              <w:t>%</w:t>
            </w:r>
          </w:p>
        </w:tc>
        <w:tc>
          <w:tcPr>
            <w:tcW w:w="43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w:t>
            </w:r>
          </w:p>
        </w:tc>
      </w:tr>
    </w:tbl>
    <w:p>
      <w:pPr>
        <w:spacing w:line="700" w:lineRule="exact"/>
        <w:rPr>
          <w:rFonts w:eastAsia="楷体"/>
          <w:kern w:val="0"/>
          <w:sz w:val="18"/>
          <w:szCs w:val="18"/>
        </w:rPr>
      </w:pPr>
    </w:p>
    <w:p>
      <w:pPr>
        <w:spacing w:line="700" w:lineRule="exact"/>
        <w:ind w:firstLine="640" w:firstLineChars="200"/>
        <w:rPr>
          <w:rFonts w:eastAsia="楷体"/>
          <w:kern w:val="0"/>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969"/>
        <w:gridCol w:w="1038"/>
        <w:gridCol w:w="1038"/>
        <w:gridCol w:w="688"/>
        <w:gridCol w:w="700"/>
        <w:gridCol w:w="784"/>
        <w:gridCol w:w="1250"/>
        <w:gridCol w:w="900"/>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07"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107"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白山市统计局（本级）</w:t>
            </w:r>
          </w:p>
        </w:tc>
        <w:tc>
          <w:tcPr>
            <w:tcW w:w="969"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第五次全国经济普查经费</w:t>
            </w:r>
          </w:p>
        </w:tc>
        <w:tc>
          <w:tcPr>
            <w:tcW w:w="1038"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3.5</w:t>
            </w:r>
          </w:p>
        </w:tc>
        <w:tc>
          <w:tcPr>
            <w:tcW w:w="1038"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负责全市经济普查的组织实施，具体包括全市各级领导和办公机构组建、普查员选调及培训、普查区划分及电子地图绘制、PDA软件及地图加载、单位清查摸底并形成单位底册、入户登记、数据质量控制及抽查、数据处理、成果发布、普查年鉴编辑和印刷、资料开发应用。</w:t>
            </w:r>
          </w:p>
        </w:tc>
        <w:tc>
          <w:tcPr>
            <w:tcW w:w="688"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70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tc>
        <w:tc>
          <w:tcPr>
            <w:tcW w:w="78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统计信息发布条数</w:t>
            </w:r>
          </w:p>
        </w:tc>
        <w:tc>
          <w:tcPr>
            <w:tcW w:w="12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反映数据发布情况</w:t>
            </w:r>
          </w:p>
        </w:tc>
        <w:tc>
          <w:tcPr>
            <w:tcW w:w="90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2篇</w:t>
            </w:r>
          </w:p>
        </w:tc>
        <w:tc>
          <w:tcPr>
            <w:tcW w:w="46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1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69"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88" w:type="dxa"/>
            <w:vMerge w:val="continue"/>
            <w:noWrap/>
            <w:vAlign w:val="center"/>
          </w:tcPr>
          <w:p>
            <w:pPr>
              <w:jc w:val="center"/>
              <w:rPr>
                <w:rFonts w:ascii="华文细黑" w:hAnsi="华文细黑" w:eastAsia="华文细黑" w:cs="华文细黑"/>
                <w:kern w:val="0"/>
                <w:sz w:val="18"/>
                <w:szCs w:val="18"/>
              </w:rPr>
            </w:pPr>
          </w:p>
        </w:tc>
        <w:tc>
          <w:tcPr>
            <w:tcW w:w="70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时效指标</w:t>
            </w:r>
          </w:p>
        </w:tc>
        <w:tc>
          <w:tcPr>
            <w:tcW w:w="78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提供数据及时率</w:t>
            </w:r>
          </w:p>
        </w:tc>
        <w:tc>
          <w:tcPr>
            <w:tcW w:w="12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反映数据及时提供的情况</w:t>
            </w:r>
          </w:p>
        </w:tc>
        <w:tc>
          <w:tcPr>
            <w:tcW w:w="90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90%</w:t>
            </w:r>
          </w:p>
        </w:tc>
        <w:tc>
          <w:tcPr>
            <w:tcW w:w="46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7"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69"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88"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70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78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报告成果应用率</w:t>
            </w:r>
          </w:p>
        </w:tc>
        <w:tc>
          <w:tcPr>
            <w:tcW w:w="125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反映经济分析等各类研究报告成果应用情况。</w:t>
            </w:r>
          </w:p>
        </w:tc>
        <w:tc>
          <w:tcPr>
            <w:tcW w:w="900" w:type="dxa"/>
            <w:noWrap/>
            <w:vAlign w:val="center"/>
          </w:tcPr>
          <w:p>
            <w:pP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90%</w:t>
            </w:r>
          </w:p>
        </w:tc>
        <w:tc>
          <w:tcPr>
            <w:tcW w:w="46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40</w:t>
            </w:r>
          </w:p>
        </w:tc>
      </w:tr>
    </w:tbl>
    <w:p>
      <w:pPr>
        <w:spacing w:line="700" w:lineRule="exact"/>
        <w:ind w:firstLine="640" w:firstLineChars="200"/>
        <w:rPr>
          <w:rFonts w:ascii="楷体" w:hAnsi="楷体" w:eastAsia="楷体" w:cs="楷体"/>
          <w:kern w:val="0"/>
          <w:szCs w:val="32"/>
        </w:rPr>
      </w:pPr>
    </w:p>
    <w:p>
      <w:pPr>
        <w:spacing w:line="700" w:lineRule="exact"/>
        <w:ind w:firstLine="640" w:firstLineChars="200"/>
        <w:rPr>
          <w:rFonts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447.48</w:t>
      </w:r>
      <w:r>
        <w:rPr>
          <w:szCs w:val="32"/>
        </w:rPr>
        <w:t>万元</w:t>
      </w:r>
      <w:r>
        <w:rPr>
          <w:rFonts w:hint="eastAsia"/>
          <w:szCs w:val="32"/>
        </w:rPr>
        <w:t>，其中：本年预算425.17万元；上年结转22.31万元。2024年本年预算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24.81</w:t>
      </w:r>
      <w:r>
        <w:rPr>
          <w:szCs w:val="32"/>
        </w:rPr>
        <w:t>万元，主要原因是</w:t>
      </w:r>
      <w:r>
        <w:rPr>
          <w:rFonts w:hint="eastAsia"/>
          <w:szCs w:val="32"/>
        </w:rPr>
        <w:t>：社会保障缴费等基数调整及增加第五次全国经济普查经费，导致预算有所增加。</w:t>
      </w:r>
    </w:p>
    <w:p>
      <w:pPr>
        <w:rPr>
          <w:rFonts w:eastAsia="黑体"/>
          <w:szCs w:val="32"/>
        </w:rPr>
      </w:pPr>
      <w:r>
        <w:rPr>
          <w:rFonts w:hint="eastAsia" w:eastAsia="黑体"/>
          <w:szCs w:val="32"/>
        </w:rPr>
        <w:t>　　</w:t>
      </w: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447.48</w:t>
      </w:r>
      <w:r>
        <w:rPr>
          <w:szCs w:val="32"/>
        </w:rPr>
        <w:t>万元，其中：本年收入</w:t>
      </w:r>
      <w:r>
        <w:rPr>
          <w:rFonts w:hint="eastAsia"/>
          <w:szCs w:val="32"/>
        </w:rPr>
        <w:t>425.17</w:t>
      </w:r>
      <w:r>
        <w:rPr>
          <w:szCs w:val="32"/>
        </w:rPr>
        <w:t>万元，占</w:t>
      </w:r>
      <w:r>
        <w:rPr>
          <w:rFonts w:hint="eastAsia"/>
          <w:szCs w:val="32"/>
        </w:rPr>
        <w:t>95.01</w:t>
      </w:r>
      <w:r>
        <w:rPr>
          <w:szCs w:val="32"/>
        </w:rPr>
        <w:t>%；上年结转</w:t>
      </w:r>
      <w:r>
        <w:rPr>
          <w:rFonts w:hint="eastAsia"/>
          <w:szCs w:val="32"/>
        </w:rPr>
        <w:t>结余22.31</w:t>
      </w:r>
      <w:r>
        <w:rPr>
          <w:szCs w:val="32"/>
        </w:rPr>
        <w:t>万元，占</w:t>
      </w:r>
      <w:r>
        <w:rPr>
          <w:rFonts w:hint="eastAsia"/>
          <w:szCs w:val="32"/>
        </w:rPr>
        <w:t>4.99</w:t>
      </w:r>
      <w:r>
        <w:rPr>
          <w:szCs w:val="32"/>
        </w:rPr>
        <w:t>%。本年收入中，一般公共预算拨款收入</w:t>
      </w:r>
      <w:r>
        <w:rPr>
          <w:rFonts w:hint="eastAsia"/>
          <w:szCs w:val="32"/>
        </w:rPr>
        <w:t>425.17</w:t>
      </w:r>
      <w:r>
        <w:rPr>
          <w:szCs w:val="32"/>
        </w:rPr>
        <w:t>万元，占</w:t>
      </w:r>
      <w:r>
        <w:rPr>
          <w:rFonts w:hint="eastAsia"/>
          <w:szCs w:val="32"/>
        </w:rPr>
        <w:t>100</w:t>
      </w:r>
      <w:r>
        <w:rPr>
          <w:szCs w:val="32"/>
        </w:rPr>
        <w:t>%</w:t>
      </w:r>
      <w:r>
        <w:rPr>
          <w:rFonts w:hint="eastAsia"/>
          <w:szCs w:val="32"/>
        </w:rPr>
        <w:t>。</w:t>
      </w:r>
      <w:r>
        <w:rPr>
          <w:szCs w:val="32"/>
        </w:rPr>
        <w:t>上年结转</w:t>
      </w:r>
      <w:r>
        <w:rPr>
          <w:rFonts w:hint="eastAsia"/>
          <w:szCs w:val="32"/>
        </w:rPr>
        <w:t>中，一般公共预算拨款结转22.31</w:t>
      </w:r>
      <w:r>
        <w:rPr>
          <w:szCs w:val="32"/>
        </w:rPr>
        <w:t>万元，占</w:t>
      </w:r>
      <w:r>
        <w:rPr>
          <w:rFonts w:hint="eastAsia"/>
          <w:szCs w:val="32"/>
        </w:rPr>
        <w:t>100</w:t>
      </w:r>
      <w:r>
        <w:rPr>
          <w:szCs w:val="32"/>
        </w:rPr>
        <w:t>%</w:t>
      </w:r>
      <w:r>
        <w:rPr>
          <w:rFonts w:hint="eastAsia"/>
          <w:szCs w:val="32"/>
        </w:rPr>
        <w:t>。</w:t>
      </w:r>
    </w:p>
    <w:p>
      <w:pPr>
        <w:rPr>
          <w:rFonts w:eastAsia="黑体"/>
          <w:szCs w:val="32"/>
        </w:rPr>
      </w:pPr>
      <w:r>
        <w:rPr>
          <w:rFonts w:hint="eastAsia" w:eastAsia="黑体"/>
          <w:szCs w:val="32"/>
        </w:rPr>
        <w:t>　　</w:t>
      </w: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24</w:t>
      </w:r>
      <w:r>
        <w:rPr>
          <w:szCs w:val="32"/>
        </w:rPr>
        <w:t>年支出预算</w:t>
      </w:r>
      <w:r>
        <w:rPr>
          <w:rFonts w:hint="eastAsia"/>
          <w:szCs w:val="32"/>
        </w:rPr>
        <w:t>447.48</w:t>
      </w:r>
      <w:r>
        <w:rPr>
          <w:szCs w:val="32"/>
        </w:rPr>
        <w:t>万元，其中：基本支出</w:t>
      </w:r>
      <w:r>
        <w:rPr>
          <w:rFonts w:hint="eastAsia"/>
          <w:szCs w:val="32"/>
        </w:rPr>
        <w:t>396.62</w:t>
      </w:r>
      <w:r>
        <w:rPr>
          <w:szCs w:val="32"/>
        </w:rPr>
        <w:t>万元，占</w:t>
      </w:r>
      <w:r>
        <w:rPr>
          <w:rFonts w:hint="eastAsia"/>
          <w:szCs w:val="32"/>
        </w:rPr>
        <w:t>88.63</w:t>
      </w:r>
      <w:r>
        <w:rPr>
          <w:szCs w:val="32"/>
        </w:rPr>
        <w:t>%；项目支出</w:t>
      </w:r>
      <w:r>
        <w:rPr>
          <w:rFonts w:hint="eastAsia"/>
          <w:szCs w:val="32"/>
        </w:rPr>
        <w:t>50.86</w:t>
      </w:r>
      <w:r>
        <w:rPr>
          <w:szCs w:val="32"/>
        </w:rPr>
        <w:t>万元，占</w:t>
      </w:r>
      <w:r>
        <w:rPr>
          <w:rFonts w:hint="eastAsia"/>
          <w:szCs w:val="32"/>
        </w:rPr>
        <w:t>11.37</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447.48</w:t>
      </w:r>
      <w:r>
        <w:rPr>
          <w:szCs w:val="32"/>
        </w:rPr>
        <w:t>万元，其中：</w:t>
      </w:r>
      <w:r>
        <w:rPr>
          <w:rFonts w:hint="eastAsia"/>
          <w:szCs w:val="32"/>
        </w:rPr>
        <w:t>本年预算425.17</w:t>
      </w:r>
      <w:r>
        <w:rPr>
          <w:szCs w:val="32"/>
        </w:rPr>
        <w:t>万元</w:t>
      </w:r>
      <w:r>
        <w:rPr>
          <w:rFonts w:hint="eastAsia"/>
          <w:szCs w:val="32"/>
        </w:rPr>
        <w:t>，上年结转22.31</w:t>
      </w:r>
      <w:r>
        <w:rPr>
          <w:szCs w:val="32"/>
        </w:rPr>
        <w:t>万元</w:t>
      </w:r>
      <w:r>
        <w:rPr>
          <w:rFonts w:hint="eastAsia"/>
          <w:szCs w:val="32"/>
        </w:rPr>
        <w:t>。</w:t>
      </w:r>
      <w:r>
        <w:rPr>
          <w:szCs w:val="32"/>
        </w:rPr>
        <w:t>支出包括：</w:t>
      </w:r>
      <w:r>
        <w:rPr>
          <w:kern w:val="0"/>
          <w:szCs w:val="32"/>
        </w:rPr>
        <w:t>一般公共服务支出</w:t>
      </w:r>
      <w:r>
        <w:rPr>
          <w:rFonts w:hint="eastAsia"/>
          <w:szCs w:val="32"/>
        </w:rPr>
        <w:t>346.83</w:t>
      </w:r>
      <w:r>
        <w:rPr>
          <w:szCs w:val="32"/>
        </w:rPr>
        <w:t>万元，</w:t>
      </w:r>
      <w:r>
        <w:rPr>
          <w:kern w:val="0"/>
          <w:szCs w:val="32"/>
        </w:rPr>
        <w:t>社会保障和就业支出</w:t>
      </w:r>
      <w:r>
        <w:rPr>
          <w:rFonts w:hint="eastAsia"/>
          <w:szCs w:val="32"/>
        </w:rPr>
        <w:t>57.39</w:t>
      </w:r>
      <w:r>
        <w:rPr>
          <w:szCs w:val="32"/>
        </w:rPr>
        <w:t>万元，</w:t>
      </w:r>
      <w:r>
        <w:rPr>
          <w:kern w:val="0"/>
          <w:szCs w:val="32"/>
        </w:rPr>
        <w:t>卫生</w:t>
      </w:r>
      <w:r>
        <w:rPr>
          <w:rFonts w:hint="eastAsia"/>
          <w:kern w:val="0"/>
          <w:szCs w:val="32"/>
        </w:rPr>
        <w:t>健康</w:t>
      </w:r>
      <w:r>
        <w:rPr>
          <w:kern w:val="0"/>
          <w:szCs w:val="32"/>
        </w:rPr>
        <w:t>支出</w:t>
      </w:r>
      <w:r>
        <w:rPr>
          <w:rFonts w:hint="eastAsia"/>
          <w:szCs w:val="32"/>
        </w:rPr>
        <w:t>18.63</w:t>
      </w:r>
      <w:r>
        <w:rPr>
          <w:szCs w:val="32"/>
        </w:rPr>
        <w:t>万元，</w:t>
      </w:r>
      <w:r>
        <w:rPr>
          <w:kern w:val="0"/>
          <w:szCs w:val="32"/>
        </w:rPr>
        <w:t>住房保障支出</w:t>
      </w:r>
      <w:r>
        <w:rPr>
          <w:rFonts w:hint="eastAsia"/>
          <w:szCs w:val="32"/>
        </w:rPr>
        <w:t>24.63</w:t>
      </w:r>
      <w:r>
        <w:rPr>
          <w:szCs w:val="32"/>
        </w:rPr>
        <w:t>万元。</w:t>
      </w:r>
    </w:p>
    <w:p>
      <w:pPr>
        <w:rPr>
          <w:rFonts w:eastAsia="黑体"/>
          <w:szCs w:val="30"/>
        </w:rPr>
      </w:pPr>
      <w:r>
        <w:rPr>
          <w:rFonts w:hint="eastAsia" w:eastAsia="黑体"/>
          <w:szCs w:val="30"/>
        </w:rPr>
        <w:t>　　</w:t>
      </w: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447.48</w:t>
      </w:r>
      <w:r>
        <w:rPr>
          <w:szCs w:val="32"/>
        </w:rPr>
        <w:t>万元，其中：基本支出</w:t>
      </w:r>
      <w:r>
        <w:rPr>
          <w:rFonts w:hint="eastAsia"/>
          <w:szCs w:val="32"/>
        </w:rPr>
        <w:t>396.62</w:t>
      </w:r>
      <w:r>
        <w:rPr>
          <w:szCs w:val="32"/>
        </w:rPr>
        <w:t>万元，占</w:t>
      </w:r>
      <w:r>
        <w:rPr>
          <w:rFonts w:hint="eastAsia"/>
          <w:szCs w:val="32"/>
        </w:rPr>
        <w:t>88.63</w:t>
      </w:r>
      <w:r>
        <w:rPr>
          <w:szCs w:val="32"/>
        </w:rPr>
        <w:t>%；项目支出</w:t>
      </w:r>
      <w:r>
        <w:rPr>
          <w:rFonts w:hint="eastAsia"/>
          <w:szCs w:val="32"/>
        </w:rPr>
        <w:t>50.86</w:t>
      </w:r>
      <w:r>
        <w:rPr>
          <w:szCs w:val="32"/>
        </w:rPr>
        <w:t>万元，占</w:t>
      </w:r>
      <w:r>
        <w:rPr>
          <w:rFonts w:hint="eastAsia"/>
          <w:szCs w:val="32"/>
        </w:rPr>
        <w:t>11.37</w:t>
      </w:r>
      <w:r>
        <w:rPr>
          <w:szCs w:val="32"/>
        </w:rPr>
        <w:t>%。基本支出中，人员经费</w:t>
      </w:r>
      <w:r>
        <w:rPr>
          <w:rFonts w:hint="eastAsia"/>
          <w:szCs w:val="32"/>
        </w:rPr>
        <w:t>332.08</w:t>
      </w:r>
      <w:r>
        <w:rPr>
          <w:szCs w:val="32"/>
        </w:rPr>
        <w:t>万元，占</w:t>
      </w:r>
      <w:r>
        <w:rPr>
          <w:rFonts w:hint="eastAsia"/>
          <w:szCs w:val="32"/>
        </w:rPr>
        <w:t>83.73</w:t>
      </w:r>
      <w:r>
        <w:rPr>
          <w:szCs w:val="32"/>
        </w:rPr>
        <w:t>%；公用经费</w:t>
      </w:r>
      <w:r>
        <w:rPr>
          <w:rFonts w:hint="eastAsia"/>
          <w:szCs w:val="32"/>
        </w:rPr>
        <w:t>64.54</w:t>
      </w:r>
      <w:r>
        <w:rPr>
          <w:szCs w:val="32"/>
        </w:rPr>
        <w:t>万元，占</w:t>
      </w:r>
      <w:r>
        <w:rPr>
          <w:rFonts w:hint="eastAsia"/>
          <w:szCs w:val="32"/>
        </w:rPr>
        <w:t>16.27</w:t>
      </w:r>
      <w:r>
        <w:rPr>
          <w:szCs w:val="32"/>
        </w:rPr>
        <w:t>%。</w:t>
      </w:r>
    </w:p>
    <w:p>
      <w:pPr>
        <w:spacing w:line="520" w:lineRule="exact"/>
        <w:rPr>
          <w:szCs w:val="32"/>
        </w:rPr>
      </w:pPr>
      <w:r>
        <w:rPr>
          <w:rFonts w:hint="eastAsia"/>
          <w:szCs w:val="32"/>
        </w:rPr>
        <w:t>　　</w:t>
      </w:r>
      <w:r>
        <w:rPr>
          <w:szCs w:val="32"/>
        </w:rPr>
        <w:t>一般公共服务（类）支出</w:t>
      </w:r>
      <w:r>
        <w:rPr>
          <w:rFonts w:hint="eastAsia"/>
          <w:szCs w:val="32"/>
        </w:rPr>
        <w:t>346.83</w:t>
      </w:r>
      <w:r>
        <w:rPr>
          <w:szCs w:val="32"/>
        </w:rPr>
        <w:t>万元，占</w:t>
      </w:r>
      <w:r>
        <w:rPr>
          <w:rFonts w:hint="eastAsia"/>
          <w:szCs w:val="32"/>
        </w:rPr>
        <w:t>77.51</w:t>
      </w:r>
      <w:r>
        <w:rPr>
          <w:szCs w:val="32"/>
        </w:rPr>
        <w:t>%，主要用于</w:t>
      </w:r>
      <w:r>
        <w:rPr>
          <w:rFonts w:hint="eastAsia" w:ascii="仿宋_GB2312" w:hAnsi="仿宋"/>
          <w:szCs w:val="32"/>
        </w:rPr>
        <w:t>保障职工工资，维持机关正常运转，完成年度统计工作任务</w:t>
      </w:r>
      <w:r>
        <w:rPr>
          <w:szCs w:val="32"/>
        </w:rPr>
        <w:t>。</w:t>
      </w:r>
    </w:p>
    <w:p>
      <w:pPr>
        <w:spacing w:line="520" w:lineRule="exact"/>
        <w:rPr>
          <w:szCs w:val="32"/>
        </w:rPr>
      </w:pPr>
      <w:r>
        <w:rPr>
          <w:rFonts w:hint="eastAsia"/>
          <w:szCs w:val="32"/>
        </w:rPr>
        <w:t>　　</w:t>
      </w:r>
      <w:r>
        <w:rPr>
          <w:szCs w:val="32"/>
        </w:rPr>
        <w:t>社会保障和就业（类）支出</w:t>
      </w:r>
      <w:r>
        <w:rPr>
          <w:rFonts w:hint="eastAsia"/>
          <w:szCs w:val="32"/>
        </w:rPr>
        <w:t>57.39</w:t>
      </w:r>
      <w:r>
        <w:rPr>
          <w:szCs w:val="32"/>
        </w:rPr>
        <w:t>万元，占</w:t>
      </w:r>
      <w:r>
        <w:rPr>
          <w:rFonts w:hint="eastAsia"/>
          <w:szCs w:val="32"/>
        </w:rPr>
        <w:t>12.83</w:t>
      </w:r>
      <w:r>
        <w:rPr>
          <w:szCs w:val="32"/>
        </w:rPr>
        <w:t>%，主要用于</w:t>
      </w:r>
      <w:r>
        <w:rPr>
          <w:rFonts w:hint="eastAsia" w:ascii="仿宋_GB2312" w:hAnsi="仿宋"/>
          <w:szCs w:val="32"/>
        </w:rPr>
        <w:t>保障离退休职工工资及机关事业单位基本养老保险缴费支出</w:t>
      </w:r>
      <w:r>
        <w:rPr>
          <w:szCs w:val="32"/>
        </w:rPr>
        <w:t>。</w:t>
      </w:r>
    </w:p>
    <w:p>
      <w:pPr>
        <w:spacing w:line="520" w:lineRule="exact"/>
        <w:rPr>
          <w:szCs w:val="32"/>
        </w:rPr>
      </w:pPr>
      <w:r>
        <w:rPr>
          <w:rFonts w:hint="eastAsia"/>
          <w:szCs w:val="32"/>
        </w:rPr>
        <w:t>　　卫生健康</w:t>
      </w:r>
      <w:r>
        <w:rPr>
          <w:szCs w:val="32"/>
        </w:rPr>
        <w:t>（类）支出</w:t>
      </w:r>
      <w:r>
        <w:rPr>
          <w:rFonts w:hint="eastAsia"/>
          <w:szCs w:val="32"/>
        </w:rPr>
        <w:t>18.63</w:t>
      </w:r>
      <w:r>
        <w:rPr>
          <w:szCs w:val="32"/>
        </w:rPr>
        <w:t>万元，占</w:t>
      </w:r>
      <w:r>
        <w:rPr>
          <w:rFonts w:hint="eastAsia"/>
          <w:szCs w:val="32"/>
        </w:rPr>
        <w:t>4.16</w:t>
      </w:r>
      <w:r>
        <w:rPr>
          <w:szCs w:val="32"/>
        </w:rPr>
        <w:t>%，主要用于</w:t>
      </w:r>
      <w:r>
        <w:rPr>
          <w:rFonts w:hint="eastAsia" w:ascii="仿宋_GB2312"/>
          <w:szCs w:val="32"/>
        </w:rPr>
        <w:t>缴纳职工医疗保险</w:t>
      </w:r>
      <w:r>
        <w:rPr>
          <w:szCs w:val="32"/>
        </w:rPr>
        <w:t>。</w:t>
      </w:r>
    </w:p>
    <w:p>
      <w:pPr>
        <w:spacing w:line="520" w:lineRule="exact"/>
        <w:rPr>
          <w:szCs w:val="32"/>
        </w:rPr>
      </w:pPr>
      <w:r>
        <w:rPr>
          <w:rFonts w:hint="eastAsia"/>
          <w:szCs w:val="32"/>
        </w:rPr>
        <w:t>　　</w:t>
      </w:r>
      <w:r>
        <w:rPr>
          <w:szCs w:val="32"/>
        </w:rPr>
        <w:t>住房保障（类）支出</w:t>
      </w:r>
      <w:r>
        <w:rPr>
          <w:rFonts w:hint="eastAsia"/>
          <w:szCs w:val="32"/>
        </w:rPr>
        <w:t>24.63</w:t>
      </w:r>
      <w:r>
        <w:rPr>
          <w:szCs w:val="32"/>
        </w:rPr>
        <w:t>万元，占</w:t>
      </w:r>
      <w:r>
        <w:rPr>
          <w:rFonts w:hint="eastAsia"/>
          <w:szCs w:val="32"/>
        </w:rPr>
        <w:t>5.50</w:t>
      </w:r>
      <w:r>
        <w:rPr>
          <w:szCs w:val="32"/>
        </w:rPr>
        <w:t>%，主要用于</w:t>
      </w:r>
      <w:r>
        <w:rPr>
          <w:rFonts w:hint="eastAsia" w:ascii="仿宋_GB2312" w:hAnsi="仿宋"/>
          <w:szCs w:val="32"/>
        </w:rPr>
        <w:t>缴纳职工住房公积金</w:t>
      </w:r>
      <w:r>
        <w:rPr>
          <w:szCs w:val="32"/>
        </w:rPr>
        <w:t>。</w:t>
      </w:r>
    </w:p>
    <w:p>
      <w:pPr>
        <w:spacing w:line="520" w:lineRule="exact"/>
        <w:rPr>
          <w:rFonts w:eastAsia="黑体"/>
          <w:szCs w:val="32"/>
        </w:rPr>
      </w:pPr>
      <w:r>
        <w:rPr>
          <w:rFonts w:hint="eastAsia" w:eastAsia="黑体"/>
          <w:szCs w:val="32"/>
        </w:rPr>
        <w:t>　　</w:t>
      </w: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396.62</w:t>
      </w:r>
      <w:r>
        <w:rPr>
          <w:szCs w:val="32"/>
        </w:rPr>
        <w:t>万元，其中：</w:t>
      </w:r>
    </w:p>
    <w:p>
      <w:pPr>
        <w:ind w:firstLine="640" w:firstLineChars="200"/>
        <w:rPr>
          <w:kern w:val="0"/>
          <w:szCs w:val="32"/>
        </w:rPr>
      </w:pPr>
      <w:r>
        <w:rPr>
          <w:szCs w:val="32"/>
        </w:rPr>
        <w:t>人员经费</w:t>
      </w:r>
      <w:r>
        <w:rPr>
          <w:rFonts w:hint="eastAsia"/>
          <w:szCs w:val="32"/>
        </w:rPr>
        <w:t>332.08</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其他对个人和家庭的补助支出。</w:t>
      </w:r>
    </w:p>
    <w:p>
      <w:pPr>
        <w:ind w:firstLine="640" w:firstLineChars="200"/>
        <w:rPr>
          <w:kern w:val="0"/>
          <w:szCs w:val="32"/>
        </w:rPr>
      </w:pPr>
      <w:r>
        <w:rPr>
          <w:kern w:val="0"/>
          <w:szCs w:val="32"/>
        </w:rPr>
        <w:t>公用经费</w:t>
      </w:r>
      <w:r>
        <w:rPr>
          <w:rFonts w:hint="eastAsia"/>
          <w:szCs w:val="32"/>
        </w:rPr>
        <w:t>64.54</w:t>
      </w:r>
      <w:r>
        <w:rPr>
          <w:szCs w:val="32"/>
        </w:rPr>
        <w:t>万元，主要包括：</w:t>
      </w:r>
      <w:r>
        <w:rPr>
          <w:kern w:val="0"/>
          <w:szCs w:val="32"/>
        </w:rPr>
        <w:t>办公费</w:t>
      </w:r>
      <w:r>
        <w:rPr>
          <w:szCs w:val="32"/>
        </w:rPr>
        <w:t>、</w:t>
      </w:r>
      <w:r>
        <w:rPr>
          <w:kern w:val="0"/>
          <w:szCs w:val="32"/>
        </w:rPr>
        <w:t>印刷费</w:t>
      </w:r>
      <w:r>
        <w:rPr>
          <w:szCs w:val="32"/>
        </w:rPr>
        <w:t>、</w:t>
      </w:r>
      <w:r>
        <w:rPr>
          <w:rFonts w:hint="eastAsia"/>
          <w:kern w:val="0"/>
          <w:szCs w:val="32"/>
        </w:rPr>
        <w:t>咨询</w:t>
      </w:r>
      <w:r>
        <w:rPr>
          <w:kern w:val="0"/>
          <w:szCs w:val="32"/>
        </w:rPr>
        <w:t>费</w:t>
      </w:r>
      <w:r>
        <w:rPr>
          <w:szCs w:val="32"/>
        </w:rPr>
        <w:t>、</w:t>
      </w:r>
      <w:r>
        <w:rPr>
          <w:kern w:val="0"/>
          <w:szCs w:val="32"/>
        </w:rPr>
        <w:t>邮电费</w:t>
      </w:r>
      <w:r>
        <w:rPr>
          <w:szCs w:val="32"/>
        </w:rPr>
        <w:t>、</w:t>
      </w:r>
      <w:r>
        <w:rPr>
          <w:kern w:val="0"/>
          <w:szCs w:val="32"/>
        </w:rPr>
        <w:t>差旅费</w:t>
      </w:r>
      <w:r>
        <w:rPr>
          <w:szCs w:val="32"/>
        </w:rPr>
        <w:t>、</w:t>
      </w:r>
      <w:r>
        <w:rPr>
          <w:rFonts w:hint="eastAsia"/>
          <w:kern w:val="0"/>
          <w:szCs w:val="32"/>
        </w:rPr>
        <w:t>租赁</w:t>
      </w:r>
      <w:r>
        <w:rPr>
          <w:kern w:val="0"/>
          <w:szCs w:val="32"/>
        </w:rPr>
        <w:t>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rFonts w:hint="eastAsia"/>
          <w:szCs w:val="32"/>
        </w:rPr>
        <w:t>劳务费、</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3.79</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0.46</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3.公务用车购置及运行费</w:t>
      </w:r>
      <w:r>
        <w:rPr>
          <w:rFonts w:hint="eastAsia"/>
          <w:szCs w:val="32"/>
        </w:rPr>
        <w:t>3.33</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rFonts w:hint="eastAsia"/>
          <w:szCs w:val="32"/>
        </w:rPr>
        <w:t>3.33</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firstLineChars="200"/>
        <w:rPr>
          <w:rFonts w:ascii="仿宋" w:hAnsi="仿宋" w:eastAsia="仿宋" w:cs="仿宋"/>
          <w:szCs w:val="32"/>
        </w:rPr>
      </w:pPr>
      <w:r>
        <w:rPr>
          <w:rFonts w:hint="eastAsia" w:ascii="仿宋" w:hAnsi="仿宋" w:eastAsia="仿宋" w:cs="仿宋"/>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rFonts w:ascii="仿宋" w:hAnsi="仿宋" w:eastAsia="仿宋" w:cs="仿宋"/>
          <w:szCs w:val="32"/>
        </w:rPr>
      </w:pPr>
      <w:r>
        <w:rPr>
          <w:rFonts w:hint="eastAsia" w:ascii="仿宋" w:hAnsi="仿宋" w:eastAsia="仿宋" w:cs="仿宋"/>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白山市统计局（</w:t>
      </w:r>
      <w:r>
        <w:rPr>
          <w:szCs w:val="32"/>
        </w:rPr>
        <w:t>本级</w:t>
      </w:r>
      <w:r>
        <w:rPr>
          <w:rFonts w:hint="eastAsia"/>
          <w:szCs w:val="32"/>
        </w:rPr>
        <w:t>）</w:t>
      </w:r>
      <w:r>
        <w:rPr>
          <w:szCs w:val="32"/>
        </w:rPr>
        <w:t>机关运行经费财政拨款预算</w:t>
      </w:r>
      <w:r>
        <w:rPr>
          <w:rFonts w:hint="eastAsia"/>
          <w:szCs w:val="32"/>
        </w:rPr>
        <w:t>64.54</w:t>
      </w:r>
      <w:r>
        <w:rPr>
          <w:szCs w:val="32"/>
        </w:rPr>
        <w:t>万元，比20</w:t>
      </w:r>
      <w:r>
        <w:rPr>
          <w:rFonts w:hint="eastAsia"/>
          <w:szCs w:val="32"/>
        </w:rPr>
        <w:t>23</w:t>
      </w:r>
      <w:r>
        <w:rPr>
          <w:szCs w:val="32"/>
        </w:rPr>
        <w:t>年预算减少</w:t>
      </w:r>
      <w:r>
        <w:rPr>
          <w:rFonts w:hint="eastAsia"/>
          <w:szCs w:val="32"/>
        </w:rPr>
        <w:t>0.72</w:t>
      </w:r>
      <w:r>
        <w:rPr>
          <w:szCs w:val="32"/>
        </w:rPr>
        <w:t>万元，下降</w:t>
      </w:r>
      <w:r>
        <w:rPr>
          <w:rFonts w:hint="eastAsia"/>
          <w:szCs w:val="32"/>
        </w:rPr>
        <w:t>1.10</w:t>
      </w:r>
      <w:r>
        <w:rPr>
          <w:szCs w:val="32"/>
        </w:rPr>
        <w:t>%</w:t>
      </w:r>
      <w:r>
        <w:rPr>
          <w:rFonts w:hint="eastAsia"/>
          <w:szCs w:val="32"/>
        </w:rPr>
        <w:t>，2024年当年预算数与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基本持平。</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截至2023年8月底，本单位共有车辆1辆，土地0平方米，房屋0平方米，单价50万元以上设备0台/套。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t>202</w:t>
      </w:r>
      <w:r>
        <w:rPr>
          <w:rFonts w:hint="eastAsia"/>
        </w:rPr>
        <w:t>4</w:t>
      </w:r>
      <w:r>
        <w:t>年</w:t>
      </w:r>
      <w:r>
        <w:rPr>
          <w:rFonts w:hint="eastAsia"/>
        </w:rPr>
        <w:t>单位</w:t>
      </w:r>
      <w:r>
        <w:t>项目支出</w:t>
      </w:r>
      <w:r>
        <w:rPr>
          <w:rFonts w:hint="eastAsia"/>
          <w:szCs w:val="32"/>
        </w:rPr>
        <w:t>50.86</w:t>
      </w:r>
      <w:r>
        <w:rPr>
          <w:szCs w:val="32"/>
        </w:rPr>
        <w:t>万元，其中：一级项目</w:t>
      </w:r>
      <w:r>
        <w:rPr>
          <w:rFonts w:hint="eastAsia"/>
          <w:szCs w:val="32"/>
        </w:rPr>
        <w:t>2</w:t>
      </w:r>
      <w:r>
        <w:rPr>
          <w:szCs w:val="32"/>
        </w:rPr>
        <w:t>个，二级项目</w:t>
      </w:r>
      <w:r>
        <w:rPr>
          <w:rFonts w:hint="eastAsia"/>
          <w:szCs w:val="32"/>
        </w:rPr>
        <w:t>2</w:t>
      </w:r>
      <w:r>
        <w:rPr>
          <w:szCs w:val="32"/>
        </w:rPr>
        <w:t>个；使用</w:t>
      </w:r>
      <w:r>
        <w:rPr>
          <w:rFonts w:hint="eastAsia"/>
          <w:szCs w:val="32"/>
        </w:rPr>
        <w:t>本年拨款50.86</w:t>
      </w:r>
      <w:r>
        <w:rPr>
          <w:szCs w:val="32"/>
        </w:rPr>
        <w:t>万元，</w:t>
      </w:r>
      <w:r>
        <w:rPr>
          <w:rFonts w:hint="eastAsia"/>
          <w:szCs w:val="32"/>
        </w:rPr>
        <w:t>财政拨款结转0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w:t>
      </w:r>
      <w:r>
        <w:rPr>
          <w:rFonts w:hint="eastAsia"/>
        </w:rPr>
        <w:t>2024</w:t>
      </w:r>
      <w:r>
        <w:rPr>
          <w:rFonts w:hint="eastAsia" w:ascii="宋体" w:hAnsi="宋体"/>
        </w:rPr>
        <w:t>年将</w:t>
      </w:r>
      <w:r>
        <w:rPr>
          <w:rFonts w:hint="eastAsia"/>
          <w:szCs w:val="32"/>
        </w:rPr>
        <w:t>2</w:t>
      </w:r>
      <w:r>
        <w:rPr>
          <w:rFonts w:hint="eastAsia" w:ascii="宋体" w:hAnsi="宋体"/>
        </w:rPr>
        <w:t>个项目支出的绩效目标和指标向社会公开，涉及金</w:t>
      </w:r>
      <w:r>
        <w:rPr>
          <w:rFonts w:hint="eastAsia"/>
          <w:szCs w:val="32"/>
        </w:rPr>
        <w:t>50.86</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bookmarkStart w:id="1" w:name="_GoBack"/>
      <w:bookmarkEnd w:id="1"/>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ywpNeIBAADNAwAADgAA&#10;AAAAAAABACAAAAAeAQAAZHJzL2Uyb0RvYy54bWxQSwUGAAAAAAYABgBZAQAAcgU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GHTevzAEAAKcDAAAOAAAAAAAAAAEAIAAAAB4BAABkcnMvZTJv&#10;RG9jLnhtbFBLBQYAAAAABgAGAFkBAABc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kNDlhYjlkZDg1MDhhZGZiZTFjNGQyMzM3YjZjMTkifQ=="/>
  </w:docVars>
  <w:rsids>
    <w:rsidRoot w:val="48674ED2"/>
    <w:rsid w:val="000517EF"/>
    <w:rsid w:val="000C6D48"/>
    <w:rsid w:val="000D7FB8"/>
    <w:rsid w:val="000E46F6"/>
    <w:rsid w:val="000F7009"/>
    <w:rsid w:val="0010156C"/>
    <w:rsid w:val="00102492"/>
    <w:rsid w:val="00145456"/>
    <w:rsid w:val="00152725"/>
    <w:rsid w:val="002300BA"/>
    <w:rsid w:val="00292A39"/>
    <w:rsid w:val="002A0AF3"/>
    <w:rsid w:val="002A5441"/>
    <w:rsid w:val="002E7CD8"/>
    <w:rsid w:val="00367BC1"/>
    <w:rsid w:val="00396D8D"/>
    <w:rsid w:val="00426F96"/>
    <w:rsid w:val="00487479"/>
    <w:rsid w:val="00514321"/>
    <w:rsid w:val="00584D1B"/>
    <w:rsid w:val="00586A56"/>
    <w:rsid w:val="005B283E"/>
    <w:rsid w:val="005D5B16"/>
    <w:rsid w:val="005F314F"/>
    <w:rsid w:val="00622418"/>
    <w:rsid w:val="00623896"/>
    <w:rsid w:val="006358AE"/>
    <w:rsid w:val="006B3914"/>
    <w:rsid w:val="00733795"/>
    <w:rsid w:val="007638E0"/>
    <w:rsid w:val="00795D9E"/>
    <w:rsid w:val="007B20FB"/>
    <w:rsid w:val="00812796"/>
    <w:rsid w:val="00825722"/>
    <w:rsid w:val="0084107A"/>
    <w:rsid w:val="00841DA8"/>
    <w:rsid w:val="00851A6F"/>
    <w:rsid w:val="00870789"/>
    <w:rsid w:val="00876AFD"/>
    <w:rsid w:val="00896C22"/>
    <w:rsid w:val="008A1CF6"/>
    <w:rsid w:val="008C034B"/>
    <w:rsid w:val="0091631A"/>
    <w:rsid w:val="00932BEF"/>
    <w:rsid w:val="00983A8D"/>
    <w:rsid w:val="009B2F41"/>
    <w:rsid w:val="009C393E"/>
    <w:rsid w:val="009E093A"/>
    <w:rsid w:val="00A01B27"/>
    <w:rsid w:val="00A34894"/>
    <w:rsid w:val="00A73E5D"/>
    <w:rsid w:val="00A96058"/>
    <w:rsid w:val="00AD4E96"/>
    <w:rsid w:val="00B05DD3"/>
    <w:rsid w:val="00B60748"/>
    <w:rsid w:val="00B62F90"/>
    <w:rsid w:val="00B668F4"/>
    <w:rsid w:val="00BA7D5D"/>
    <w:rsid w:val="00BB2B53"/>
    <w:rsid w:val="00BB6FD3"/>
    <w:rsid w:val="00BC4977"/>
    <w:rsid w:val="00BE1CDD"/>
    <w:rsid w:val="00C36C22"/>
    <w:rsid w:val="00C55740"/>
    <w:rsid w:val="00CA1FFF"/>
    <w:rsid w:val="00CC6E11"/>
    <w:rsid w:val="00CC7209"/>
    <w:rsid w:val="00D33284"/>
    <w:rsid w:val="00D44841"/>
    <w:rsid w:val="00D53B52"/>
    <w:rsid w:val="00D55467"/>
    <w:rsid w:val="00D71247"/>
    <w:rsid w:val="00DC72BB"/>
    <w:rsid w:val="00DF0F79"/>
    <w:rsid w:val="00E00855"/>
    <w:rsid w:val="00E016DC"/>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597A8E"/>
    <w:rsid w:val="05681A7F"/>
    <w:rsid w:val="056F5A6D"/>
    <w:rsid w:val="059B3770"/>
    <w:rsid w:val="063949A0"/>
    <w:rsid w:val="06BD5BC7"/>
    <w:rsid w:val="06F008FF"/>
    <w:rsid w:val="079E5032"/>
    <w:rsid w:val="09015F14"/>
    <w:rsid w:val="091C5C63"/>
    <w:rsid w:val="09421190"/>
    <w:rsid w:val="09663A33"/>
    <w:rsid w:val="09A0082A"/>
    <w:rsid w:val="09C30839"/>
    <w:rsid w:val="0A00435B"/>
    <w:rsid w:val="0A067AB9"/>
    <w:rsid w:val="0AAA1697"/>
    <w:rsid w:val="0ABA06FE"/>
    <w:rsid w:val="0B49202F"/>
    <w:rsid w:val="0B5F5ADA"/>
    <w:rsid w:val="0C2A5C84"/>
    <w:rsid w:val="0C4F64D9"/>
    <w:rsid w:val="0C583939"/>
    <w:rsid w:val="0C6D1BAE"/>
    <w:rsid w:val="0D2446AF"/>
    <w:rsid w:val="0D2A2435"/>
    <w:rsid w:val="0DA001B0"/>
    <w:rsid w:val="0DDE4FD5"/>
    <w:rsid w:val="0DEB170B"/>
    <w:rsid w:val="0E4C7841"/>
    <w:rsid w:val="0E640604"/>
    <w:rsid w:val="0E97506F"/>
    <w:rsid w:val="0EBB70C4"/>
    <w:rsid w:val="0F3E0406"/>
    <w:rsid w:val="0F980230"/>
    <w:rsid w:val="0FD62F63"/>
    <w:rsid w:val="0FDE2A27"/>
    <w:rsid w:val="101541A5"/>
    <w:rsid w:val="10AE7F82"/>
    <w:rsid w:val="10C93B35"/>
    <w:rsid w:val="11177619"/>
    <w:rsid w:val="112605C8"/>
    <w:rsid w:val="11845E93"/>
    <w:rsid w:val="11A6707B"/>
    <w:rsid w:val="11B35B2F"/>
    <w:rsid w:val="12483364"/>
    <w:rsid w:val="12612A07"/>
    <w:rsid w:val="12E711B7"/>
    <w:rsid w:val="136D62BD"/>
    <w:rsid w:val="136E4388"/>
    <w:rsid w:val="13F21722"/>
    <w:rsid w:val="1441443C"/>
    <w:rsid w:val="14C12787"/>
    <w:rsid w:val="15593E10"/>
    <w:rsid w:val="159F7E25"/>
    <w:rsid w:val="15AB388B"/>
    <w:rsid w:val="15F848D0"/>
    <w:rsid w:val="160E1FA5"/>
    <w:rsid w:val="160F2600"/>
    <w:rsid w:val="165D5B32"/>
    <w:rsid w:val="16C829AB"/>
    <w:rsid w:val="16DD34F5"/>
    <w:rsid w:val="17765BCA"/>
    <w:rsid w:val="17A027D8"/>
    <w:rsid w:val="17CC2625"/>
    <w:rsid w:val="19132BE0"/>
    <w:rsid w:val="191F4716"/>
    <w:rsid w:val="1954649C"/>
    <w:rsid w:val="197607B7"/>
    <w:rsid w:val="1A817DF8"/>
    <w:rsid w:val="1A825AA4"/>
    <w:rsid w:val="1A8A6135"/>
    <w:rsid w:val="1ADC594E"/>
    <w:rsid w:val="1AEB5252"/>
    <w:rsid w:val="1B087530"/>
    <w:rsid w:val="1B4F7512"/>
    <w:rsid w:val="1B770817"/>
    <w:rsid w:val="1B8A03E4"/>
    <w:rsid w:val="1B9C1459"/>
    <w:rsid w:val="1BEC2FB3"/>
    <w:rsid w:val="1C852172"/>
    <w:rsid w:val="1CA40C0C"/>
    <w:rsid w:val="1CFF4A32"/>
    <w:rsid w:val="1D127758"/>
    <w:rsid w:val="1D833200"/>
    <w:rsid w:val="1DE957BD"/>
    <w:rsid w:val="1E3A3FD0"/>
    <w:rsid w:val="1E8F5DC2"/>
    <w:rsid w:val="1EB55C07"/>
    <w:rsid w:val="1F351A10"/>
    <w:rsid w:val="1F857EA5"/>
    <w:rsid w:val="1FED47E9"/>
    <w:rsid w:val="206816AC"/>
    <w:rsid w:val="20AE6A88"/>
    <w:rsid w:val="21134335"/>
    <w:rsid w:val="21156B08"/>
    <w:rsid w:val="22146DBF"/>
    <w:rsid w:val="226E581D"/>
    <w:rsid w:val="22A4003E"/>
    <w:rsid w:val="23135C25"/>
    <w:rsid w:val="23EC61F6"/>
    <w:rsid w:val="244C543C"/>
    <w:rsid w:val="24624768"/>
    <w:rsid w:val="247B3126"/>
    <w:rsid w:val="2503311B"/>
    <w:rsid w:val="259B5BC5"/>
    <w:rsid w:val="25A0096A"/>
    <w:rsid w:val="25F62C4E"/>
    <w:rsid w:val="26643D6C"/>
    <w:rsid w:val="26FE109D"/>
    <w:rsid w:val="27073E1E"/>
    <w:rsid w:val="27B04AB3"/>
    <w:rsid w:val="282C3BA1"/>
    <w:rsid w:val="286B525F"/>
    <w:rsid w:val="28A63332"/>
    <w:rsid w:val="28C96E8E"/>
    <w:rsid w:val="29064F88"/>
    <w:rsid w:val="29C45F24"/>
    <w:rsid w:val="2A2E0774"/>
    <w:rsid w:val="2BE661B9"/>
    <w:rsid w:val="2C043A01"/>
    <w:rsid w:val="2D6C5D01"/>
    <w:rsid w:val="2D9038E4"/>
    <w:rsid w:val="2DA24512"/>
    <w:rsid w:val="2DF8796C"/>
    <w:rsid w:val="2EB22F18"/>
    <w:rsid w:val="2EE12108"/>
    <w:rsid w:val="2EED35E3"/>
    <w:rsid w:val="2F0B5068"/>
    <w:rsid w:val="2F1A79DF"/>
    <w:rsid w:val="2F250383"/>
    <w:rsid w:val="2F63610B"/>
    <w:rsid w:val="2FA26989"/>
    <w:rsid w:val="2FBC646B"/>
    <w:rsid w:val="2FC11C09"/>
    <w:rsid w:val="300965A3"/>
    <w:rsid w:val="306E5FB4"/>
    <w:rsid w:val="30730D6E"/>
    <w:rsid w:val="308B20C9"/>
    <w:rsid w:val="30B91A70"/>
    <w:rsid w:val="30F84C22"/>
    <w:rsid w:val="310C6AA2"/>
    <w:rsid w:val="31793674"/>
    <w:rsid w:val="31880C30"/>
    <w:rsid w:val="31894469"/>
    <w:rsid w:val="31F65838"/>
    <w:rsid w:val="320209E2"/>
    <w:rsid w:val="32332703"/>
    <w:rsid w:val="32CF2C5D"/>
    <w:rsid w:val="32EE2C61"/>
    <w:rsid w:val="335402B5"/>
    <w:rsid w:val="339466B2"/>
    <w:rsid w:val="34555AF5"/>
    <w:rsid w:val="34FF687B"/>
    <w:rsid w:val="351B1DBB"/>
    <w:rsid w:val="354C4987"/>
    <w:rsid w:val="35616772"/>
    <w:rsid w:val="35EA1663"/>
    <w:rsid w:val="364C598E"/>
    <w:rsid w:val="368A3622"/>
    <w:rsid w:val="36B543E5"/>
    <w:rsid w:val="36CC2B0F"/>
    <w:rsid w:val="36FC762F"/>
    <w:rsid w:val="3838492F"/>
    <w:rsid w:val="383A009B"/>
    <w:rsid w:val="3887374F"/>
    <w:rsid w:val="38CB0ABC"/>
    <w:rsid w:val="38DD3877"/>
    <w:rsid w:val="38E01351"/>
    <w:rsid w:val="39041A07"/>
    <w:rsid w:val="39043B77"/>
    <w:rsid w:val="3909254B"/>
    <w:rsid w:val="39670895"/>
    <w:rsid w:val="397B4EE2"/>
    <w:rsid w:val="3A387943"/>
    <w:rsid w:val="3A657F9A"/>
    <w:rsid w:val="3A9113D4"/>
    <w:rsid w:val="3AC54F32"/>
    <w:rsid w:val="3B144A0A"/>
    <w:rsid w:val="3B254018"/>
    <w:rsid w:val="3B5257F8"/>
    <w:rsid w:val="3BC92948"/>
    <w:rsid w:val="3BE370D4"/>
    <w:rsid w:val="3C1A026D"/>
    <w:rsid w:val="3C236125"/>
    <w:rsid w:val="3C29381E"/>
    <w:rsid w:val="3C711E1D"/>
    <w:rsid w:val="3C7F463D"/>
    <w:rsid w:val="3C925059"/>
    <w:rsid w:val="3CAE3960"/>
    <w:rsid w:val="3CB013A1"/>
    <w:rsid w:val="3CB30AD4"/>
    <w:rsid w:val="3CEF6494"/>
    <w:rsid w:val="3D365BF6"/>
    <w:rsid w:val="3D4A76E1"/>
    <w:rsid w:val="3D7F7007"/>
    <w:rsid w:val="3DB008AA"/>
    <w:rsid w:val="3DF23324"/>
    <w:rsid w:val="3E3921E7"/>
    <w:rsid w:val="3EA14040"/>
    <w:rsid w:val="3EB92D70"/>
    <w:rsid w:val="3EE8108D"/>
    <w:rsid w:val="3F8201A3"/>
    <w:rsid w:val="3F956774"/>
    <w:rsid w:val="402675EA"/>
    <w:rsid w:val="40B80EFF"/>
    <w:rsid w:val="40F66FE9"/>
    <w:rsid w:val="41A35364"/>
    <w:rsid w:val="41C31686"/>
    <w:rsid w:val="41C837BC"/>
    <w:rsid w:val="421643AC"/>
    <w:rsid w:val="42393286"/>
    <w:rsid w:val="42982B4E"/>
    <w:rsid w:val="429F5D0C"/>
    <w:rsid w:val="42A90D7D"/>
    <w:rsid w:val="42D83665"/>
    <w:rsid w:val="434A6B47"/>
    <w:rsid w:val="436B1E42"/>
    <w:rsid w:val="456D114B"/>
    <w:rsid w:val="45EB670F"/>
    <w:rsid w:val="46AB7C0D"/>
    <w:rsid w:val="46B5206F"/>
    <w:rsid w:val="46CD560B"/>
    <w:rsid w:val="46D44808"/>
    <w:rsid w:val="46ED776B"/>
    <w:rsid w:val="479D2523"/>
    <w:rsid w:val="47CF49E6"/>
    <w:rsid w:val="48674ED2"/>
    <w:rsid w:val="487708E6"/>
    <w:rsid w:val="48B540F2"/>
    <w:rsid w:val="48FA7EC2"/>
    <w:rsid w:val="493F6F72"/>
    <w:rsid w:val="49645F71"/>
    <w:rsid w:val="499F5C68"/>
    <w:rsid w:val="49CE6AF5"/>
    <w:rsid w:val="4A52465C"/>
    <w:rsid w:val="4A5C4AC6"/>
    <w:rsid w:val="4A662FBF"/>
    <w:rsid w:val="4AF16062"/>
    <w:rsid w:val="4B0A57E5"/>
    <w:rsid w:val="4B646DDD"/>
    <w:rsid w:val="4B7F44F8"/>
    <w:rsid w:val="4B81329E"/>
    <w:rsid w:val="4BAC24C5"/>
    <w:rsid w:val="4BFA0656"/>
    <w:rsid w:val="4CE0596C"/>
    <w:rsid w:val="4D3439E8"/>
    <w:rsid w:val="4D4E2809"/>
    <w:rsid w:val="4D730507"/>
    <w:rsid w:val="4D741DD3"/>
    <w:rsid w:val="4DC93207"/>
    <w:rsid w:val="4E010C4C"/>
    <w:rsid w:val="4E0F2EB7"/>
    <w:rsid w:val="4E214B2B"/>
    <w:rsid w:val="4E8D5761"/>
    <w:rsid w:val="4EF54A85"/>
    <w:rsid w:val="4EF972C6"/>
    <w:rsid w:val="501B3C66"/>
    <w:rsid w:val="504B40C5"/>
    <w:rsid w:val="50987DC2"/>
    <w:rsid w:val="50A4703E"/>
    <w:rsid w:val="51282B99"/>
    <w:rsid w:val="5136104F"/>
    <w:rsid w:val="51465EDE"/>
    <w:rsid w:val="519E664A"/>
    <w:rsid w:val="51A258E6"/>
    <w:rsid w:val="52071113"/>
    <w:rsid w:val="52085509"/>
    <w:rsid w:val="522774C4"/>
    <w:rsid w:val="522A7431"/>
    <w:rsid w:val="525A440D"/>
    <w:rsid w:val="52626449"/>
    <w:rsid w:val="52B51BE9"/>
    <w:rsid w:val="53E144A4"/>
    <w:rsid w:val="544E511A"/>
    <w:rsid w:val="54741940"/>
    <w:rsid w:val="54810E66"/>
    <w:rsid w:val="54C063E4"/>
    <w:rsid w:val="54C2556E"/>
    <w:rsid w:val="54F870B5"/>
    <w:rsid w:val="55480EEF"/>
    <w:rsid w:val="55C2570C"/>
    <w:rsid w:val="569B7F91"/>
    <w:rsid w:val="56D21BED"/>
    <w:rsid w:val="56EB5639"/>
    <w:rsid w:val="572651B2"/>
    <w:rsid w:val="576A47B0"/>
    <w:rsid w:val="57AE5C26"/>
    <w:rsid w:val="57DD75A9"/>
    <w:rsid w:val="5801059F"/>
    <w:rsid w:val="58256ABD"/>
    <w:rsid w:val="58461ED7"/>
    <w:rsid w:val="58B077D0"/>
    <w:rsid w:val="58C27FDB"/>
    <w:rsid w:val="59472AC7"/>
    <w:rsid w:val="59486D73"/>
    <w:rsid w:val="59C9227A"/>
    <w:rsid w:val="59D514A6"/>
    <w:rsid w:val="59EC6E09"/>
    <w:rsid w:val="5A5D23AA"/>
    <w:rsid w:val="5AB343F7"/>
    <w:rsid w:val="5ABF50F2"/>
    <w:rsid w:val="5AF25D13"/>
    <w:rsid w:val="5AF76904"/>
    <w:rsid w:val="5B052E7A"/>
    <w:rsid w:val="5B3D7F7E"/>
    <w:rsid w:val="5B7C7777"/>
    <w:rsid w:val="5BEC6771"/>
    <w:rsid w:val="5BED73ED"/>
    <w:rsid w:val="5C2A72ED"/>
    <w:rsid w:val="5C2C6A62"/>
    <w:rsid w:val="5C533A65"/>
    <w:rsid w:val="5CA506B9"/>
    <w:rsid w:val="5CBD6AC2"/>
    <w:rsid w:val="5CF74CE4"/>
    <w:rsid w:val="5D5A7C63"/>
    <w:rsid w:val="5DE314D6"/>
    <w:rsid w:val="5DFB2606"/>
    <w:rsid w:val="5E256F6F"/>
    <w:rsid w:val="5E4647B1"/>
    <w:rsid w:val="5F6235A9"/>
    <w:rsid w:val="607248F0"/>
    <w:rsid w:val="60A07495"/>
    <w:rsid w:val="60DC439E"/>
    <w:rsid w:val="614125C2"/>
    <w:rsid w:val="619E1C26"/>
    <w:rsid w:val="61A966BE"/>
    <w:rsid w:val="61AA1D1F"/>
    <w:rsid w:val="624C5C52"/>
    <w:rsid w:val="628C1A7E"/>
    <w:rsid w:val="63844E4C"/>
    <w:rsid w:val="63DF08E4"/>
    <w:rsid w:val="64C04AFD"/>
    <w:rsid w:val="652A0972"/>
    <w:rsid w:val="655B219F"/>
    <w:rsid w:val="661A7B69"/>
    <w:rsid w:val="66455323"/>
    <w:rsid w:val="664909C1"/>
    <w:rsid w:val="66635AE4"/>
    <w:rsid w:val="66C63EB5"/>
    <w:rsid w:val="66FE3167"/>
    <w:rsid w:val="67592674"/>
    <w:rsid w:val="679461D3"/>
    <w:rsid w:val="682236E0"/>
    <w:rsid w:val="6858287E"/>
    <w:rsid w:val="68593A1E"/>
    <w:rsid w:val="68C04D52"/>
    <w:rsid w:val="68D33DE9"/>
    <w:rsid w:val="69157114"/>
    <w:rsid w:val="691A443E"/>
    <w:rsid w:val="69E203A0"/>
    <w:rsid w:val="6A5B6D7D"/>
    <w:rsid w:val="6A765FBC"/>
    <w:rsid w:val="6A80735F"/>
    <w:rsid w:val="6AC17181"/>
    <w:rsid w:val="6ACC5E47"/>
    <w:rsid w:val="6AD43ED1"/>
    <w:rsid w:val="6B11024D"/>
    <w:rsid w:val="6B4078AA"/>
    <w:rsid w:val="6B7D5B36"/>
    <w:rsid w:val="6B8F0831"/>
    <w:rsid w:val="6C834DAA"/>
    <w:rsid w:val="6C993CCE"/>
    <w:rsid w:val="6CB62049"/>
    <w:rsid w:val="6CF120A8"/>
    <w:rsid w:val="6D182CC8"/>
    <w:rsid w:val="6D72413D"/>
    <w:rsid w:val="6E7905AD"/>
    <w:rsid w:val="6E7C68E8"/>
    <w:rsid w:val="6FF50B81"/>
    <w:rsid w:val="70330B9C"/>
    <w:rsid w:val="714213DD"/>
    <w:rsid w:val="714510B8"/>
    <w:rsid w:val="71724EDE"/>
    <w:rsid w:val="717F272E"/>
    <w:rsid w:val="725718D4"/>
    <w:rsid w:val="72783A23"/>
    <w:rsid w:val="728027C6"/>
    <w:rsid w:val="73D62FA6"/>
    <w:rsid w:val="73FE7ACC"/>
    <w:rsid w:val="74556746"/>
    <w:rsid w:val="74743258"/>
    <w:rsid w:val="74D07EF1"/>
    <w:rsid w:val="74DB6895"/>
    <w:rsid w:val="74EE65C9"/>
    <w:rsid w:val="7564688B"/>
    <w:rsid w:val="757765BE"/>
    <w:rsid w:val="761B13C4"/>
    <w:rsid w:val="764B6A8A"/>
    <w:rsid w:val="76C17E06"/>
    <w:rsid w:val="76CA67BD"/>
    <w:rsid w:val="774E6400"/>
    <w:rsid w:val="775B0046"/>
    <w:rsid w:val="78A42656"/>
    <w:rsid w:val="79700BEF"/>
    <w:rsid w:val="79772997"/>
    <w:rsid w:val="798D552B"/>
    <w:rsid w:val="799040F2"/>
    <w:rsid w:val="7A090695"/>
    <w:rsid w:val="7A1D5951"/>
    <w:rsid w:val="7AE175F4"/>
    <w:rsid w:val="7B417685"/>
    <w:rsid w:val="7B5220F0"/>
    <w:rsid w:val="7BA169C0"/>
    <w:rsid w:val="7BC55243"/>
    <w:rsid w:val="7C110CD2"/>
    <w:rsid w:val="7C2F4A9A"/>
    <w:rsid w:val="7CAD595B"/>
    <w:rsid w:val="7CF65D07"/>
    <w:rsid w:val="7D2975D1"/>
    <w:rsid w:val="7D2F3083"/>
    <w:rsid w:val="7D906046"/>
    <w:rsid w:val="7DA92317"/>
    <w:rsid w:val="7DBD73C6"/>
    <w:rsid w:val="7DCC0CD6"/>
    <w:rsid w:val="7EDD7F26"/>
    <w:rsid w:val="7F6556D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Char"/>
    <w:link w:val="6"/>
    <w:qFormat/>
    <w:uiPriority w:val="0"/>
    <w:rPr>
      <w:rFonts w:eastAsia="仿宋_GB2312"/>
      <w:kern w:val="2"/>
      <w:sz w:val="18"/>
    </w:rPr>
  </w:style>
  <w:style w:type="character" w:customStyle="1" w:styleId="17">
    <w:name w:val="批注框文本 Char"/>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脚 New"/>
    <w:basedOn w:val="1"/>
    <w:qFormat/>
    <w:uiPriority w:val="0"/>
    <w:pPr>
      <w:tabs>
        <w:tab w:val="center" w:pos="4153"/>
        <w:tab w:val="right" w:pos="8306"/>
      </w:tabs>
      <w:snapToGrid w:val="0"/>
      <w:jc w:val="left"/>
    </w:pPr>
    <w:rPr>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sz w:val="18"/>
    </w:rPr>
  </w:style>
  <w:style w:type="paragraph" w:customStyle="1" w:styleId="33">
    <w:name w:val="页脚 New New New"/>
    <w:basedOn w:val="1"/>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0">
    <w:name w:val="页脚 New New New New New New"/>
    <w:basedOn w:val="1"/>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0">
    <w:name w:val="页脚 New New New New New New New New"/>
    <w:basedOn w:val="1"/>
    <w:qFormat/>
    <w:uiPriority w:val="0"/>
    <w:pPr>
      <w:tabs>
        <w:tab w:val="center" w:pos="4153"/>
        <w:tab w:val="right" w:pos="8306"/>
      </w:tabs>
      <w:snapToGrid w:val="0"/>
      <w:jc w:val="left"/>
    </w:pPr>
    <w:rPr>
      <w:sz w:val="18"/>
    </w:rPr>
  </w:style>
  <w:style w:type="paragraph" w:customStyle="1" w:styleId="51">
    <w:name w:val="页脚 New New New New New New New New New"/>
    <w:basedOn w:val="1"/>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3">
    <w:name w:val="页脚 New New New New New New New"/>
    <w:basedOn w:val="1"/>
    <w:qFormat/>
    <w:uiPriority w:val="0"/>
    <w:pPr>
      <w:tabs>
        <w:tab w:val="center" w:pos="4153"/>
        <w:tab w:val="right" w:pos="8306"/>
      </w:tabs>
      <w:snapToGrid w:val="0"/>
      <w:jc w:val="left"/>
    </w:pPr>
    <w:rPr>
      <w:sz w:val="18"/>
    </w:rPr>
  </w:style>
  <w:style w:type="paragraph" w:customStyle="1" w:styleId="54">
    <w:name w:val="页脚 New New New New"/>
    <w:basedOn w:val="1"/>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w:basedOn w:val="1"/>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Company>China</Company>
  <Pages>24</Pages>
  <Words>1479</Words>
  <Characters>8432</Characters>
  <Lines>70</Lines>
  <Paragraphs>19</Paragraphs>
  <TotalTime>2</TotalTime>
  <ScaleCrop>false</ScaleCrop>
  <LinksUpToDate>false</LinksUpToDate>
  <CharactersWithSpaces>9892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后来</cp:lastModifiedBy>
  <cp:lastPrinted>2024-01-23T03:39:00Z</cp:lastPrinted>
  <dcterms:modified xsi:type="dcterms:W3CDTF">2024-02-26T03:32:43Z</dcterms:modified>
  <dc:title>主  持  词</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81A62F3D0CA74A589094FDB86993B646_13</vt:lpwstr>
  </property>
</Properties>
</file>