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白山市统计局浑江区分局（本级）</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jc w:val="center"/>
        <w:rPr>
          <w:rFonts w:eastAsia="华文细黑"/>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eastAsia="仿宋_GB2312"/>
        </w:rPr>
      </w:pPr>
      <w:r>
        <w:rPr>
          <w:rFonts w:eastAsia="仿宋_GB2312"/>
        </w:rPr>
        <w:t>一、主要职能</w:t>
      </w:r>
    </w:p>
    <w:p>
      <w:pPr>
        <w:ind w:left="320" w:leftChars="100" w:firstLine="320" w:firstLineChars="100"/>
        <w:rPr>
          <w:rFonts w:eastAsia="仿宋_GB2312"/>
        </w:rPr>
      </w:pPr>
      <w:r>
        <w:rPr>
          <w:rFonts w:eastAsia="仿宋_GB2312"/>
        </w:rPr>
        <w:t>二、机构设置</w:t>
      </w:r>
    </w:p>
    <w:p>
      <w:pPr>
        <w:rPr>
          <w:rFonts w:eastAsia="黑体"/>
        </w:rPr>
      </w:pPr>
      <w:r>
        <w:rPr>
          <w:rFonts w:eastAsia="黑体"/>
        </w:rPr>
        <w:t>第二部分  预算表格</w:t>
      </w:r>
    </w:p>
    <w:p>
      <w:pPr>
        <w:ind w:left="320" w:leftChars="100" w:firstLine="320" w:firstLineChars="100"/>
        <w:rPr>
          <w:rFonts w:eastAsia="仿宋_GB2312"/>
        </w:rPr>
      </w:pPr>
      <w:r>
        <w:rPr>
          <w:rFonts w:eastAsia="仿宋_GB2312"/>
        </w:rPr>
        <w:t>一、收支</w:t>
      </w:r>
      <w:r>
        <w:rPr>
          <w:rFonts w:hint="eastAsia" w:eastAsia="仿宋_GB2312"/>
        </w:rPr>
        <w:t>预算总</w:t>
      </w:r>
      <w:r>
        <w:rPr>
          <w:rFonts w:eastAsia="仿宋_GB2312"/>
        </w:rPr>
        <w:t>表</w:t>
      </w:r>
    </w:p>
    <w:p>
      <w:pPr>
        <w:ind w:left="320" w:leftChars="100" w:firstLine="320" w:firstLineChars="100"/>
        <w:rPr>
          <w:rFonts w:eastAsia="仿宋_GB2312"/>
        </w:rPr>
      </w:pPr>
      <w:r>
        <w:rPr>
          <w:rFonts w:eastAsia="仿宋_GB2312"/>
        </w:rPr>
        <w:t>二、收入</w:t>
      </w:r>
      <w:r>
        <w:rPr>
          <w:rFonts w:hint="eastAsia" w:eastAsia="仿宋_GB2312"/>
        </w:rPr>
        <w:t>预算总</w:t>
      </w:r>
      <w:r>
        <w:rPr>
          <w:rFonts w:eastAsia="仿宋_GB2312"/>
        </w:rPr>
        <w:t>表</w:t>
      </w:r>
    </w:p>
    <w:p>
      <w:pPr>
        <w:ind w:left="320" w:leftChars="100" w:firstLine="320" w:firstLineChars="100"/>
        <w:rPr>
          <w:rFonts w:eastAsia="仿宋_GB2312"/>
        </w:rPr>
      </w:pPr>
      <w:r>
        <w:rPr>
          <w:rFonts w:eastAsia="仿宋_GB2312"/>
        </w:rPr>
        <w:t>三、支出</w:t>
      </w:r>
      <w:r>
        <w:rPr>
          <w:rFonts w:hint="eastAsia" w:eastAsia="仿宋_GB2312"/>
        </w:rPr>
        <w:t>预算总</w:t>
      </w:r>
      <w:r>
        <w:rPr>
          <w:rFonts w:eastAsia="仿宋_GB2312"/>
        </w:rPr>
        <w:t>表</w:t>
      </w:r>
    </w:p>
    <w:p>
      <w:pPr>
        <w:ind w:left="320" w:leftChars="100" w:firstLine="320" w:firstLineChars="100"/>
        <w:rPr>
          <w:rFonts w:eastAsia="仿宋_GB2312"/>
        </w:rPr>
      </w:pPr>
      <w:r>
        <w:rPr>
          <w:rFonts w:eastAsia="仿宋_GB2312"/>
        </w:rPr>
        <w:t>四、财政拨款收支</w:t>
      </w:r>
      <w:r>
        <w:rPr>
          <w:rFonts w:hint="eastAsia" w:eastAsia="仿宋_GB2312"/>
        </w:rPr>
        <w:t>预算总</w:t>
      </w:r>
      <w:r>
        <w:rPr>
          <w:rFonts w:eastAsia="仿宋_GB2312"/>
        </w:rPr>
        <w:t>表</w:t>
      </w:r>
    </w:p>
    <w:p>
      <w:pPr>
        <w:ind w:left="320" w:leftChars="100" w:firstLine="320" w:firstLineChars="100"/>
        <w:rPr>
          <w:rFonts w:eastAsia="仿宋_GB2312"/>
        </w:rPr>
      </w:pPr>
      <w:r>
        <w:rPr>
          <w:rFonts w:eastAsia="仿宋_GB2312"/>
        </w:rPr>
        <w:t>五、</w:t>
      </w:r>
      <w:r>
        <w:rPr>
          <w:rFonts w:hint="eastAsia" w:eastAsia="仿宋_GB2312"/>
        </w:rPr>
        <w:t>一般公共预算拨款支出预算表</w:t>
      </w:r>
    </w:p>
    <w:p>
      <w:pPr>
        <w:ind w:left="320" w:leftChars="100" w:firstLine="320" w:firstLineChars="100"/>
        <w:rPr>
          <w:rFonts w:eastAsia="仿宋_GB2312"/>
        </w:rPr>
      </w:pPr>
      <w:r>
        <w:rPr>
          <w:rFonts w:eastAsia="仿宋_GB2312"/>
        </w:rPr>
        <w:t>六、</w:t>
      </w:r>
      <w:r>
        <w:rPr>
          <w:rFonts w:hint="eastAsia" w:eastAsia="仿宋_GB2312"/>
        </w:rPr>
        <w:t>一般公共预算基本支出预算表</w:t>
      </w:r>
    </w:p>
    <w:p>
      <w:pPr>
        <w:ind w:left="320" w:leftChars="100" w:firstLine="320" w:firstLineChars="100"/>
        <w:rPr>
          <w:rFonts w:eastAsia="仿宋_GB2312"/>
        </w:rPr>
      </w:pPr>
      <w:r>
        <w:rPr>
          <w:rFonts w:eastAsia="仿宋_GB2312"/>
        </w:rPr>
        <w:t>七、一般公共预算“三公”经费支出</w:t>
      </w:r>
      <w:r>
        <w:rPr>
          <w:rFonts w:hint="eastAsia" w:eastAsia="仿宋_GB2312"/>
        </w:rPr>
        <w:t>预算</w:t>
      </w:r>
      <w:r>
        <w:rPr>
          <w:rFonts w:eastAsia="仿宋_GB2312"/>
        </w:rPr>
        <w:t>表</w:t>
      </w:r>
    </w:p>
    <w:p>
      <w:pPr>
        <w:ind w:left="320" w:leftChars="100" w:firstLine="320" w:firstLineChars="100"/>
        <w:rPr>
          <w:rFonts w:eastAsia="仿宋_GB2312"/>
        </w:rPr>
      </w:pPr>
      <w:r>
        <w:rPr>
          <w:rFonts w:eastAsia="仿宋_GB2312"/>
        </w:rPr>
        <w:t>八、政府性基金预算</w:t>
      </w:r>
      <w:r>
        <w:rPr>
          <w:rFonts w:hint="eastAsia" w:eastAsia="仿宋_GB2312"/>
        </w:rPr>
        <w:t>拨款</w:t>
      </w:r>
      <w:r>
        <w:rPr>
          <w:rFonts w:eastAsia="仿宋_GB2312"/>
        </w:rPr>
        <w:t>支出</w:t>
      </w:r>
      <w:r>
        <w:rPr>
          <w:rFonts w:hint="eastAsia" w:eastAsia="仿宋_GB2312"/>
        </w:rPr>
        <w:t>预算</w:t>
      </w:r>
      <w:r>
        <w:rPr>
          <w:rFonts w:eastAsia="仿宋_GB2312"/>
        </w:rPr>
        <w:t>表</w:t>
      </w:r>
    </w:p>
    <w:p>
      <w:pPr>
        <w:ind w:left="320" w:leftChars="100" w:firstLine="320" w:firstLineChars="100"/>
        <w:rPr>
          <w:rFonts w:eastAsia="仿宋_GB2312"/>
        </w:rPr>
      </w:pPr>
      <w:r>
        <w:rPr>
          <w:rFonts w:hint="eastAsia" w:eastAsia="仿宋_GB2312"/>
        </w:rPr>
        <w:t>九、国有资本经营</w:t>
      </w:r>
      <w:r>
        <w:rPr>
          <w:rFonts w:eastAsia="仿宋_GB2312"/>
        </w:rPr>
        <w:t>预算支出</w:t>
      </w:r>
      <w:r>
        <w:rPr>
          <w:rFonts w:hint="eastAsia" w:eastAsia="仿宋_GB2312"/>
        </w:rPr>
        <w:t>预算</w:t>
      </w:r>
      <w:r>
        <w:rPr>
          <w:rFonts w:eastAsia="仿宋_GB2312"/>
        </w:rPr>
        <w:t>表</w:t>
      </w:r>
    </w:p>
    <w:p>
      <w:pPr>
        <w:ind w:left="320" w:leftChars="100" w:firstLine="320" w:firstLineChars="100"/>
        <w:rPr>
          <w:rFonts w:eastAsia="仿宋_GB2312"/>
        </w:rPr>
      </w:pPr>
      <w:r>
        <w:rPr>
          <w:rFonts w:hint="eastAsia" w:eastAsia="仿宋_GB2312"/>
        </w:rPr>
        <w:t>十、项目支出预算表</w:t>
      </w:r>
    </w:p>
    <w:p>
      <w:pPr>
        <w:ind w:left="320" w:leftChars="100" w:firstLine="320" w:firstLineChars="100"/>
        <w:rPr>
          <w:rFonts w:eastAsia="仿宋_GB2312"/>
        </w:rPr>
      </w:pPr>
      <w:r>
        <w:rPr>
          <w:rFonts w:hint="eastAsia" w:eastAsia="仿宋_GB2312"/>
        </w:rPr>
        <w:t>十一、财政拨款委托业务费支出预算表</w:t>
      </w:r>
    </w:p>
    <w:p>
      <w:pPr>
        <w:ind w:left="320" w:leftChars="100" w:firstLine="320" w:firstLineChars="100"/>
        <w:rPr>
          <w:rFonts w:eastAsia="仿宋_GB2312"/>
        </w:rPr>
      </w:pPr>
      <w:r>
        <w:rPr>
          <w:rFonts w:hint="eastAsia" w:eastAsia="仿宋_GB2312"/>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KaiTi_GB2312"/>
        </w:rPr>
      </w:pPr>
    </w:p>
    <w:p>
      <w:pPr>
        <w:ind w:firstLine="640" w:firstLineChars="200"/>
        <w:rPr>
          <w:rFonts w:eastAsia="楷体_GB2312"/>
        </w:rPr>
      </w:pPr>
      <w:r>
        <w:rPr>
          <w:rFonts w:eastAsia="楷体_GB2312"/>
        </w:rPr>
        <w:t>一、主要职能</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1.贯彻执行国家统计方针、政策和法律、法规，制定全市统计规划以及统计调查计划；监督检查统计法律、法规的实施。组织领导全市统计工作，承担确保统计数据真实、准确、及时的责任。</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2.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3.组织实施重大省情省力普查计划；统一组织协调全市社会经济统计调查；汇总全市的统计资料；对国民经济各行业、科技、资源环境和社会发展等情况进行统计分析、统计预测预警和统计监督，向省局及市委、市政府和有关部门提供统计信息和咨询建议；收集、整理、提供国家及省和外市（州）的统计资料，并进行对比分析和研究。</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4.统一核定、管理、公布全市基本统计资料，定期向社会公布全市国民经济和社会发展情况的统计信息。</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5.建立、完善和管理全市统计信息化系统和统计数据体系；组织指导各县（市、区）统计信息化网络和数据库系统建设。</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6.依法管理全市统计调查项目和统计标准，指导专业统计基础工作、统计基层业务基础建设；建立健全统计数据质量审核、监控和评估制度，负责重要统计数据的审核、监控和评估，依法监督管理涉外调查活动。</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7.负责全市统计系统的干部人事、劳动工资、机构编制和财务经费、审计监督及资产设施管理。</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8.领导局属事业单位。</w:t>
      </w:r>
    </w:p>
    <w:p>
      <w:pPr>
        <w:spacing w:line="560" w:lineRule="exact"/>
        <w:ind w:firstLine="640" w:firstLineChars="200"/>
        <w:rPr>
          <w:rFonts w:ascii="仿宋_GB2312" w:hAnsi="仿宋" w:eastAsia="仿宋_GB2312" w:cs="宋体"/>
          <w:kern w:val="0"/>
          <w:szCs w:val="32"/>
          <w:lang w:bidi="en-US"/>
        </w:rPr>
      </w:pPr>
      <w:r>
        <w:rPr>
          <w:rFonts w:hint="eastAsia" w:ascii="仿宋_GB2312" w:hAnsi="仿宋" w:eastAsia="仿宋_GB2312" w:cs="宋体"/>
          <w:kern w:val="0"/>
          <w:szCs w:val="32"/>
          <w:lang w:bidi="en-US"/>
        </w:rPr>
        <w:t>9.承办省统计局和市政府交办的其他事项。</w:t>
      </w:r>
    </w:p>
    <w:p>
      <w:pPr>
        <w:ind w:firstLine="640" w:firstLineChars="200"/>
        <w:rPr>
          <w:rFonts w:eastAsia="楷体_GB2312"/>
        </w:rPr>
      </w:pPr>
      <w:r>
        <w:rPr>
          <w:rFonts w:eastAsia="楷体_GB2312"/>
        </w:rPr>
        <w:t>二、机构设置</w:t>
      </w:r>
    </w:p>
    <w:p>
      <w:pPr>
        <w:pStyle w:val="48"/>
        <w:ind w:firstLine="640" w:firstLineChars="200"/>
        <w:rPr>
          <w:rFonts w:eastAsia="仿宋_GB2312"/>
          <w:kern w:val="2"/>
          <w:szCs w:val="20"/>
        </w:rPr>
      </w:pPr>
      <w:r>
        <w:rPr>
          <w:rFonts w:eastAsia="仿宋_GB2312"/>
          <w:kern w:val="2"/>
          <w:szCs w:val="20"/>
        </w:rPr>
        <w:t>根据上述职责，</w:t>
      </w:r>
      <w:r>
        <w:rPr>
          <w:rFonts w:hint="eastAsia" w:eastAsia="仿宋_GB2312"/>
          <w:kern w:val="2"/>
          <w:szCs w:val="20"/>
        </w:rPr>
        <w:t>白山市统计局浑江区分局（本级）</w:t>
      </w:r>
      <w:r>
        <w:rPr>
          <w:rFonts w:eastAsia="仿宋_GB2312"/>
          <w:kern w:val="2"/>
          <w:szCs w:val="20"/>
        </w:rPr>
        <w:t>内设</w:t>
      </w:r>
      <w:r>
        <w:rPr>
          <w:rFonts w:hint="eastAsia" w:eastAsia="仿宋_GB2312"/>
          <w:kern w:val="2"/>
          <w:szCs w:val="20"/>
        </w:rPr>
        <w:t>1</w:t>
      </w:r>
      <w:r>
        <w:rPr>
          <w:rFonts w:eastAsia="仿宋_GB2312"/>
          <w:kern w:val="2"/>
          <w:szCs w:val="20"/>
        </w:rPr>
        <w:t>个机构</w:t>
      </w:r>
      <w:r>
        <w:rPr>
          <w:rFonts w:hint="eastAsia" w:eastAsia="仿宋_GB2312"/>
          <w:kern w:val="2"/>
          <w:szCs w:val="20"/>
        </w:rPr>
        <w:t>：综合科</w:t>
      </w:r>
      <w:r>
        <w:rPr>
          <w:rFonts w:eastAsia="仿宋_GB2312"/>
          <w:kern w:val="2"/>
          <w:szCs w:val="20"/>
        </w:rPr>
        <w:t>。</w:t>
      </w:r>
    </w:p>
    <w:p>
      <w:pPr>
        <w:spacing w:line="560" w:lineRule="exact"/>
        <w:ind w:firstLine="640" w:firstLineChars="200"/>
        <w:rPr>
          <w:rFonts w:eastAsia="仿宋_GB2312"/>
        </w:rPr>
      </w:pPr>
      <w:r>
        <w:rPr>
          <w:rFonts w:hint="eastAsia" w:eastAsia="仿宋_GB2312"/>
        </w:rPr>
        <w:t>本单位无下设预算单位。</w:t>
      </w:r>
    </w:p>
    <w:p>
      <w:pPr>
        <w:spacing w:line="560" w:lineRule="exact"/>
        <w:ind w:firstLine="640" w:firstLineChars="200"/>
        <w:rPr>
          <w:rFonts w:ascii="FangSong_GB2312" w:hAnsi="仿宋"/>
          <w:kern w:val="0"/>
          <w:szCs w:val="32"/>
          <w:lang w:bidi="en-US"/>
        </w:rPr>
      </w:pP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ign w:val="center"/>
          </w:tcPr>
          <w:p>
            <w:pPr>
              <w:widowControl/>
              <w:jc w:val="center"/>
              <w:rPr>
                <w:rFonts w:eastAsia="FZXiaoBiaoSong-B05S"/>
                <w:kern w:val="0"/>
                <w:sz w:val="44"/>
                <w:szCs w:val="44"/>
              </w:rPr>
            </w:pPr>
            <w:r>
              <w:rPr>
                <w:rFonts w:eastAsia="FZXiaoBiaoSong-B05S"/>
                <w:kern w:val="0"/>
                <w:sz w:val="44"/>
                <w:szCs w:val="44"/>
              </w:rPr>
              <w:t>收支</w:t>
            </w:r>
            <w:r>
              <w:rPr>
                <w:rFonts w:hint="eastAsia" w:eastAsia="FZXiaoBiaoSong-B05S"/>
                <w:kern w:val="0"/>
                <w:sz w:val="44"/>
                <w:szCs w:val="44"/>
              </w:rPr>
              <w:t>预算总</w:t>
            </w:r>
            <w:r>
              <w:rPr>
                <w:rFonts w:eastAsia="FZXiaoBiaoSong-B05S"/>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34"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73"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10.30</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一、一般公共服</w:t>
            </w:r>
            <w:r>
              <w:rPr>
                <w:rFonts w:eastAsia="宋体"/>
                <w:kern w:val="0"/>
                <w:sz w:val="20"/>
              </w:rPr>
              <w:t>务</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142.62</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136.44</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6.18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162.37</w:t>
            </w: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r>
              <w:rPr>
                <w:rFonts w:hint="eastAsia" w:eastAsia="宋体"/>
                <w:kern w:val="0"/>
                <w:sz w:val="20"/>
              </w:rPr>
              <w:t>10.30</w:t>
            </w: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17.08</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15.30</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1.78</w:t>
            </w:r>
          </w:p>
        </w:tc>
      </w:tr>
      <w:tr>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ascii="宋体" w:hAnsi="宋体" w:eastAsia="宋体" w:cs="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6.72</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5.11</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1.61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6.25</w:t>
            </w: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5.52</w:t>
            </w: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r>
              <w:rPr>
                <w:rFonts w:hint="eastAsia" w:eastAsia="宋体"/>
                <w:kern w:val="0"/>
                <w:sz w:val="20"/>
              </w:rPr>
              <w:t>0.73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ign w:val="center"/>
          </w:tcPr>
          <w:p>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noWrap/>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10.30</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eastAsia="宋体"/>
                <w:b/>
                <w:bCs/>
                <w:kern w:val="0"/>
                <w:sz w:val="20"/>
              </w:rPr>
              <w:t>本年支出合计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b/>
                <w:bCs/>
                <w:kern w:val="0"/>
                <w:sz w:val="20"/>
              </w:rPr>
            </w:pPr>
            <w:r>
              <w:rPr>
                <w:rFonts w:hint="eastAsia" w:eastAsia="宋体"/>
                <w:kern w:val="0"/>
                <w:sz w:val="20"/>
              </w:rPr>
              <w:t>172.67</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10.30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hint="eastAsia" w:eastAsia="宋体"/>
                <w:sz w:val="20"/>
              </w:rPr>
              <w:t>非财政拨款结转结余</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984"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34" w:type="dxa"/>
            <w:tcBorders>
              <w:top w:val="nil"/>
              <w:left w:val="single" w:color="auto" w:sz="4" w:space="0"/>
              <w:bottom w:val="single" w:color="auto" w:sz="4" w:space="0"/>
              <w:right w:val="nil"/>
            </w:tcBorders>
            <w:noWrap/>
            <w:vAlign w:val="center"/>
          </w:tcPr>
          <w:p>
            <w:pPr>
              <w:widowControl/>
              <w:jc w:val="center"/>
              <w:rPr>
                <w:rFonts w:eastAsia="宋体"/>
                <w:kern w:val="0"/>
                <w:sz w:val="20"/>
              </w:rPr>
            </w:pPr>
            <w:r>
              <w:rPr>
                <w:rFonts w:hint="eastAsia" w:eastAsia="宋体"/>
                <w:kern w:val="0"/>
                <w:sz w:val="20"/>
              </w:rPr>
              <w:t>10.30</w:t>
            </w:r>
          </w:p>
        </w:tc>
        <w:tc>
          <w:tcPr>
            <w:tcW w:w="1342"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1182" w:type="dxa"/>
            <w:gridSpan w:val="2"/>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58" w:type="dxa"/>
            <w:tcBorders>
              <w:top w:val="nil"/>
              <w:left w:val="nil"/>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10.30</w:t>
            </w:r>
          </w:p>
        </w:tc>
      </w:tr>
    </w:tbl>
    <w:p>
      <w:pPr>
        <w:ind w:firstLine="640" w:firstLineChars="200"/>
        <w:rPr>
          <w:rFonts w:eastAsia="KaiTi_GB2312"/>
          <w:strike/>
        </w:rPr>
      </w:pPr>
    </w:p>
    <w:p>
      <w:pPr>
        <w:ind w:firstLine="640" w:firstLineChars="200"/>
        <w:rPr>
          <w:rFonts w:eastAsia="KaiTi_GB2312"/>
        </w:rPr>
      </w:pPr>
    </w:p>
    <w:p>
      <w:pPr>
        <w:rPr>
          <w:rFonts w:hAnsi="楷体" w:eastAsia="楷体"/>
        </w:rPr>
      </w:pPr>
    </w:p>
    <w:p>
      <w:pPr>
        <w:jc w:val="center"/>
        <w:rPr>
          <w:rFonts w:eastAsia="FZXiaoBiaoSong-B05S"/>
          <w:sz w:val="44"/>
        </w:rPr>
      </w:pPr>
      <w:r>
        <w:rPr>
          <w:rFonts w:hAnsi="楷体" w:eastAsia="楷体"/>
        </w:rPr>
        <w:br w:type="page"/>
      </w:r>
      <w:r>
        <w:rPr>
          <w:rFonts w:eastAsia="FZXiaoBiaoSong-B05S"/>
          <w:sz w:val="44"/>
        </w:rPr>
        <w:t>收入</w:t>
      </w:r>
      <w:r>
        <w:rPr>
          <w:rFonts w:hint="eastAsia" w:eastAsia="FZXiaoBiaoSong-B05S"/>
          <w:sz w:val="44"/>
        </w:rPr>
        <w:t>预算总</w:t>
      </w:r>
      <w:r>
        <w:rPr>
          <w:rFonts w:eastAsia="FZXiaoBiaoSong-B05S"/>
          <w:sz w:val="44"/>
        </w:rPr>
        <w:t>表</w:t>
      </w:r>
    </w:p>
    <w:tbl>
      <w:tblPr>
        <w:tblStyle w:val="9"/>
        <w:tblW w:w="9841" w:type="dxa"/>
        <w:jc w:val="center"/>
        <w:tblLayout w:type="fixed"/>
        <w:tblCellMar>
          <w:top w:w="0" w:type="dxa"/>
          <w:left w:w="108" w:type="dxa"/>
          <w:bottom w:w="0" w:type="dxa"/>
          <w:right w:w="108" w:type="dxa"/>
        </w:tblCellMar>
      </w:tblPr>
      <w:tblGrid>
        <w:gridCol w:w="1382"/>
        <w:gridCol w:w="794"/>
        <w:gridCol w:w="810"/>
        <w:gridCol w:w="780"/>
        <w:gridCol w:w="360"/>
        <w:gridCol w:w="330"/>
        <w:gridCol w:w="360"/>
        <w:gridCol w:w="360"/>
        <w:gridCol w:w="375"/>
        <w:gridCol w:w="360"/>
        <w:gridCol w:w="336"/>
        <w:gridCol w:w="294"/>
        <w:gridCol w:w="204"/>
        <w:gridCol w:w="501"/>
        <w:gridCol w:w="687"/>
        <w:gridCol w:w="236"/>
        <w:gridCol w:w="153"/>
        <w:gridCol w:w="375"/>
        <w:gridCol w:w="375"/>
        <w:gridCol w:w="340"/>
        <w:gridCol w:w="429"/>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tcPr>
          <w:p>
            <w:pPr>
              <w:autoSpaceDN w:val="0"/>
              <w:jc w:val="left"/>
              <w:textAlignment w:val="center"/>
              <w:rPr>
                <w:rFonts w:eastAsia="华文细黑"/>
                <w:color w:val="000000"/>
                <w:sz w:val="20"/>
              </w:rPr>
            </w:pPr>
          </w:p>
        </w:tc>
        <w:tc>
          <w:tcPr>
            <w:tcW w:w="3794" w:type="dxa"/>
            <w:gridSpan w:val="7"/>
            <w:tcBorders>
              <w:bottom w:val="single" w:color="000000" w:sz="4" w:space="0"/>
            </w:tcBorders>
            <w:noWrap/>
            <w:vAlign w:val="center"/>
          </w:tcPr>
          <w:p>
            <w:pPr>
              <w:autoSpaceDN w:val="0"/>
              <w:jc w:val="left"/>
              <w:textAlignment w:val="center"/>
              <w:rPr>
                <w:rFonts w:eastAsia="华文细黑"/>
                <w:color w:val="000000"/>
                <w:sz w:val="20"/>
              </w:rPr>
            </w:pPr>
          </w:p>
        </w:tc>
        <w:tc>
          <w:tcPr>
            <w:tcW w:w="1071" w:type="dxa"/>
            <w:gridSpan w:val="3"/>
            <w:noWrap/>
            <w:vAlign w:val="center"/>
          </w:tcPr>
          <w:p>
            <w:pPr>
              <w:autoSpaceDN w:val="0"/>
              <w:jc w:val="left"/>
              <w:textAlignment w:val="center"/>
              <w:rPr>
                <w:rFonts w:eastAsia="华文细黑"/>
                <w:color w:val="000000"/>
                <w:sz w:val="20"/>
              </w:rPr>
            </w:pPr>
          </w:p>
        </w:tc>
        <w:tc>
          <w:tcPr>
            <w:tcW w:w="498" w:type="dxa"/>
            <w:gridSpan w:val="2"/>
            <w:noWrap/>
            <w:vAlign w:val="center"/>
          </w:tcPr>
          <w:p>
            <w:pPr>
              <w:autoSpaceDN w:val="0"/>
              <w:jc w:val="left"/>
              <w:textAlignment w:val="center"/>
              <w:rPr>
                <w:rFonts w:eastAsia="华文细黑"/>
                <w:color w:val="000000"/>
                <w:sz w:val="20"/>
              </w:rPr>
            </w:pPr>
          </w:p>
        </w:tc>
        <w:tc>
          <w:tcPr>
            <w:tcW w:w="1188" w:type="dxa"/>
            <w:gridSpan w:val="2"/>
            <w:noWrap/>
            <w:vAlign w:val="center"/>
          </w:tcPr>
          <w:p>
            <w:pPr>
              <w:autoSpaceDN w:val="0"/>
              <w:jc w:val="left"/>
              <w:textAlignment w:val="center"/>
              <w:rPr>
                <w:rFonts w:eastAsia="华文细黑"/>
                <w:color w:val="000000"/>
                <w:sz w:val="20"/>
              </w:rPr>
            </w:pPr>
          </w:p>
        </w:tc>
        <w:tc>
          <w:tcPr>
            <w:tcW w:w="236" w:type="dxa"/>
            <w:noWrap/>
            <w:vAlign w:val="bottom"/>
          </w:tcPr>
          <w:p>
            <w:pPr>
              <w:autoSpaceDN w:val="0"/>
              <w:jc w:val="right"/>
              <w:textAlignment w:val="bottom"/>
              <w:rPr>
                <w:rFonts w:eastAsia="宋体"/>
                <w:color w:val="000000"/>
                <w:sz w:val="20"/>
              </w:rPr>
            </w:pPr>
          </w:p>
        </w:tc>
        <w:tc>
          <w:tcPr>
            <w:tcW w:w="1672" w:type="dxa"/>
            <w:gridSpan w:val="5"/>
            <w:noWrap/>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restart"/>
            <w:tcBorders>
              <w:left w:val="single" w:color="000000" w:sz="4" w:space="0"/>
              <w:right w:val="single" w:color="000000" w:sz="4" w:space="0"/>
            </w:tcBorders>
            <w:noWrap/>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794" w:type="dxa"/>
            <w:vMerge w:val="restart"/>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1" w:type="dxa"/>
            <w:gridSpan w:val="8"/>
            <w:tcBorders>
              <w:top w:val="single" w:color="000000" w:sz="4" w:space="0"/>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vMerge w:val="continue"/>
            <w:tcBorders>
              <w:left w:val="single" w:color="000000" w:sz="4" w:space="0"/>
              <w:right w:val="single" w:color="000000" w:sz="4" w:space="0"/>
            </w:tcBorders>
            <w:noWrap/>
            <w:vAlign w:val="center"/>
          </w:tcPr>
          <w:p>
            <w:pPr>
              <w:widowControl/>
              <w:jc w:val="left"/>
              <w:rPr>
                <w:rFonts w:ascii="宋体" w:hAnsi="宋体" w:eastAsia="宋体" w:cs="宋体"/>
                <w:color w:val="000000"/>
                <w:sz w:val="20"/>
              </w:rPr>
            </w:pPr>
          </w:p>
        </w:tc>
        <w:tc>
          <w:tcPr>
            <w:tcW w:w="794" w:type="dxa"/>
            <w:vMerge w:val="continue"/>
            <w:tcBorders>
              <w:left w:val="single" w:color="000000" w:sz="4" w:space="0"/>
              <w:right w:val="single" w:color="000000" w:sz="4" w:space="0"/>
            </w:tcBorders>
            <w:noWrap/>
            <w:vAlign w:val="center"/>
          </w:tcPr>
          <w:p>
            <w:pPr>
              <w:autoSpaceDN w:val="0"/>
              <w:jc w:val="center"/>
              <w:textAlignment w:val="center"/>
              <w:rPr>
                <w:rFonts w:ascii="宋体" w:hAnsi="宋体" w:eastAsia="宋体" w:cs="宋体"/>
                <w:color w:val="000000"/>
                <w:sz w:val="20"/>
              </w:rPr>
            </w:pPr>
          </w:p>
        </w:tc>
        <w:tc>
          <w:tcPr>
            <w:tcW w:w="810" w:type="dxa"/>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70" w:type="dxa"/>
            <w:gridSpan w:val="3"/>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单位资金收入</w:t>
            </w:r>
          </w:p>
        </w:tc>
        <w:tc>
          <w:tcPr>
            <w:tcW w:w="705" w:type="dxa"/>
            <w:gridSpan w:val="2"/>
            <w:vMerge w:val="restart"/>
            <w:tcBorders>
              <w:top w:val="single" w:color="000000" w:sz="4" w:space="0"/>
              <w:left w:val="single" w:color="000000" w:sz="4" w:space="0"/>
              <w:right w:val="single" w:color="auto" w:sz="4" w:space="0"/>
            </w:tcBorders>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51" w:type="dxa"/>
            <w:gridSpan w:val="4"/>
            <w:tcBorders>
              <w:top w:val="single" w:color="000000" w:sz="4" w:space="0"/>
              <w:left w:val="single" w:color="auto" w:sz="4" w:space="0"/>
              <w:right w:val="single" w:color="auto"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715" w:type="dxa"/>
            <w:gridSpan w:val="2"/>
            <w:tcBorders>
              <w:top w:val="single" w:color="000000" w:sz="4" w:space="0"/>
              <w:left w:val="single" w:color="auto" w:sz="4" w:space="0"/>
              <w:right w:val="single" w:color="000000" w:sz="4" w:space="0"/>
            </w:tcBorders>
            <w:noWrap/>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429"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ign w:val="center"/>
          </w:tcPr>
          <w:p>
            <w:pPr>
              <w:widowControl/>
              <w:jc w:val="left"/>
              <w:rPr>
                <w:rFonts w:ascii="宋体" w:hAnsi="宋体" w:eastAsia="宋体" w:cs="宋体"/>
                <w:color w:val="000000"/>
                <w:sz w:val="20"/>
                <w:shd w:val="clear" w:color="auto" w:fill="FFFFFF"/>
              </w:rPr>
            </w:pPr>
          </w:p>
        </w:tc>
        <w:tc>
          <w:tcPr>
            <w:tcW w:w="794" w:type="dxa"/>
            <w:vMerge w:val="continue"/>
            <w:tcBorders>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10" w:type="dxa"/>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375" w:type="dxa"/>
            <w:tcBorders>
              <w:top w:val="single" w:color="000000" w:sz="4" w:space="0"/>
              <w:left w:val="single" w:color="000000" w:sz="4" w:space="0"/>
              <w:bottom w:val="single" w:color="000000" w:sz="4" w:space="0"/>
              <w:right w:val="single" w:color="auto"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375" w:type="dxa"/>
            <w:tcBorders>
              <w:top w:val="single" w:color="000000" w:sz="4" w:space="0"/>
              <w:left w:val="single" w:color="auto"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r>
              <w:rPr>
                <w:rFonts w:hint="eastAsia" w:eastAsia="宋体"/>
                <w:color w:val="000000"/>
                <w:sz w:val="20"/>
                <w:shd w:val="clear" w:color="auto" w:fill="FFFFFF"/>
              </w:rPr>
              <w:t>白山市统计局浑江区分局（本级）</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172.67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162.37</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162.37</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10.30</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10.30</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widowControl/>
              <w:jc w:val="left"/>
              <w:rPr>
                <w:rFonts w:eastAsia="宋体"/>
                <w:color w:val="000000"/>
                <w:sz w:val="20"/>
                <w:shd w:val="clear" w:color="auto" w:fill="FFFFFF"/>
              </w:rPr>
            </w:pP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429"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172.67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162.37</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162.37</w:t>
            </w:r>
          </w:p>
        </w:tc>
        <w:tc>
          <w:tcPr>
            <w:tcW w:w="360" w:type="dxa"/>
            <w:tcBorders>
              <w:top w:val="single" w:color="000000" w:sz="4" w:space="0"/>
              <w:left w:val="single" w:color="000000" w:sz="4" w:space="0"/>
              <w:bottom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10.30</w:t>
            </w:r>
          </w:p>
        </w:tc>
        <w:tc>
          <w:tcPr>
            <w:tcW w:w="687"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10.30</w:t>
            </w:r>
          </w:p>
        </w:tc>
        <w:tc>
          <w:tcPr>
            <w:tcW w:w="389" w:type="dxa"/>
            <w:gridSpan w:val="2"/>
            <w:tcBorders>
              <w:top w:val="single" w:color="000000" w:sz="4" w:space="0"/>
              <w:left w:val="single" w:color="000000" w:sz="4" w:space="0"/>
              <w:bottom w:val="single" w:color="000000" w:sz="4" w:space="0"/>
              <w:right w:val="single" w:color="000000" w:sz="4" w:space="0"/>
            </w:tcBorders>
            <w:shd w:val="solid" w:color="FFFFFF" w:fill="auto"/>
            <w:noWrap/>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40" w:type="dxa"/>
            <w:tcBorders>
              <w:top w:val="single" w:color="000000" w:sz="4" w:space="0"/>
              <w:left w:val="single" w:color="000000" w:sz="4" w:space="0"/>
              <w:bottom w:val="single" w:color="000000" w:sz="4" w:space="0"/>
              <w:right w:val="single" w:color="000000" w:sz="4" w:space="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ign w:val="bottom"/>
          </w:tcPr>
          <w:p>
            <w:pPr>
              <w:widowControl/>
              <w:jc w:val="center"/>
              <w:rPr>
                <w:rFonts w:eastAsia="FZXiaoBiaoSong-B05S"/>
                <w:kern w:val="0"/>
                <w:sz w:val="44"/>
                <w:szCs w:val="44"/>
              </w:rPr>
            </w:pPr>
            <w:r>
              <w:rPr>
                <w:rFonts w:eastAsia="FZXiaoBiaoSong-B05S"/>
                <w:kern w:val="0"/>
                <w:sz w:val="44"/>
                <w:szCs w:val="44"/>
              </w:rPr>
              <w:t>支出</w:t>
            </w:r>
            <w:r>
              <w:rPr>
                <w:rFonts w:hint="eastAsia" w:eastAsia="FZXiaoBiaoSong-B05S"/>
                <w:kern w:val="0"/>
                <w:sz w:val="44"/>
                <w:szCs w:val="44"/>
              </w:rPr>
              <w:t>预算总</w:t>
            </w:r>
            <w:r>
              <w:rPr>
                <w:rFonts w:eastAsia="FZXiaoBiaoSong-B05S"/>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ign w:val="center"/>
                </w:tcPr>
                <w:p>
                  <w:pPr>
                    <w:widowControl/>
                    <w:jc w:val="left"/>
                    <w:rPr>
                      <w:rFonts w:eastAsia="华文细黑"/>
                      <w:color w:val="000000"/>
                      <w:kern w:val="0"/>
                      <w:sz w:val="20"/>
                    </w:rPr>
                  </w:pPr>
                </w:p>
              </w:tc>
              <w:tc>
                <w:tcPr>
                  <w:tcW w:w="1297" w:type="dxa"/>
                  <w:tcBorders>
                    <w:bottom w:val="single" w:color="000000" w:sz="4" w:space="0"/>
                  </w:tcBorders>
                  <w:noWrap/>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ign w:val="center"/>
                </w:tcPr>
                <w:p>
                  <w:pPr>
                    <w:widowControl/>
                    <w:jc w:val="right"/>
                    <w:rPr>
                      <w:rFonts w:eastAsia="华文细黑"/>
                      <w:color w:val="000000"/>
                      <w:kern w:val="0"/>
                      <w:sz w:val="20"/>
                    </w:rPr>
                  </w:pPr>
                </w:p>
              </w:tc>
              <w:tc>
                <w:tcPr>
                  <w:tcW w:w="1297" w:type="dxa"/>
                  <w:tcBorders>
                    <w:bottom w:val="single" w:color="000000" w:sz="4" w:space="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noWrap/>
                  <w:vAlign w:val="bottom"/>
                </w:tcPr>
                <w:p>
                  <w:pPr>
                    <w:widowControl/>
                    <w:jc w:val="right"/>
                    <w:rPr>
                      <w:rFonts w:eastAsia="华文细黑"/>
                      <w:color w:val="000000"/>
                      <w:kern w:val="0"/>
                      <w:sz w:val="20"/>
                    </w:rPr>
                  </w:pPr>
                </w:p>
              </w:tc>
            </w:tr>
            <w:tr>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c>
                <w:tcPr>
                  <w:tcW w:w="12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9"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ind w:firstLine="400" w:firstLineChars="200"/>
                    <w:rPr>
                      <w:rFonts w:ascii="宋体" w:hAnsi="宋体" w:eastAsia="宋体" w:cs="宋体"/>
                      <w:kern w:val="0"/>
                      <w:sz w:val="20"/>
                    </w:rPr>
                  </w:pPr>
                  <w:r>
                    <w:rPr>
                      <w:rFonts w:hint="eastAsia" w:ascii="宋体" w:hAnsi="宋体" w:eastAsia="宋体" w:cs="宋体"/>
                      <w:kern w:val="0"/>
                      <w:sz w:val="20"/>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37.42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37.42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rPr>
                      <w:rFonts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noWrap/>
                  <w:vAlign w:val="center"/>
                </w:tcPr>
                <w:p>
                  <w:pPr>
                    <w:widowControl/>
                    <w:jc w:val="center"/>
                    <w:textAlignment w:val="center"/>
                    <w:rPr>
                      <w:rFonts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172.67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105.74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widowControl/>
              <w:jc w:val="center"/>
              <w:rPr>
                <w:rFonts w:eastAsia="FZXiaoBiaoSong-B05S"/>
                <w:kern w:val="0"/>
                <w:sz w:val="44"/>
                <w:szCs w:val="44"/>
              </w:rPr>
            </w:pPr>
          </w:p>
        </w:tc>
      </w:tr>
    </w:tbl>
    <w:p>
      <w:pPr>
        <w:ind w:firstLine="640" w:firstLineChars="200"/>
        <w:rPr>
          <w:rFonts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ign w:val="center"/>
                </w:tcPr>
                <w:p>
                  <w:pPr>
                    <w:ind w:firstLine="2640" w:firstLineChars="600"/>
                    <w:rPr>
                      <w:rFonts w:eastAsia="FZXiaoBiaoSong-B05S"/>
                      <w:kern w:val="0"/>
                      <w:sz w:val="44"/>
                      <w:szCs w:val="44"/>
                    </w:rPr>
                  </w:pPr>
                  <w:r>
                    <w:rPr>
                      <w:rFonts w:eastAsia="FZXiaoBiaoSong-B05S"/>
                      <w:kern w:val="0"/>
                      <w:sz w:val="44"/>
                      <w:szCs w:val="44"/>
                    </w:rPr>
                    <w:t>财政拨款收支</w:t>
                  </w:r>
                  <w:r>
                    <w:rPr>
                      <w:rFonts w:hint="eastAsia" w:eastAsia="FZXiaoBiaoSong-B05S"/>
                      <w:kern w:val="0"/>
                      <w:sz w:val="44"/>
                      <w:szCs w:val="44"/>
                    </w:rPr>
                    <w:t>预算总</w:t>
                  </w:r>
                  <w:r>
                    <w:rPr>
                      <w:rFonts w:eastAsia="FZXiaoBiaoSong-B05S"/>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4年预算数</w:t>
                  </w:r>
                </w:p>
              </w:tc>
              <w:tc>
                <w:tcPr>
                  <w:tcW w:w="1148" w:type="dxa"/>
                  <w:tcBorders>
                    <w:top w:val="single" w:color="auto" w:sz="4" w:space="0"/>
                    <w:left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10.30</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szCs w:val="22"/>
                    </w:rPr>
                  </w:pPr>
                  <w:r>
                    <w:rPr>
                      <w:rFonts w:hint="eastAsia" w:eastAsia="宋体"/>
                      <w:kern w:val="0"/>
                      <w:sz w:val="20"/>
                      <w:szCs w:val="22"/>
                    </w:rPr>
                    <w:t>10.30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10.30</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142.62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136.44</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6.18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17.08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15.30</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6.72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5.11</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6.25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5.52</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172.67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162.37</w:t>
                  </w:r>
                </w:p>
              </w:tc>
              <w:tc>
                <w:tcPr>
                  <w:tcW w:w="1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kern w:val="0"/>
                      <w:sz w:val="20"/>
                    </w:rPr>
                  </w:pPr>
                  <w:r>
                    <w:rPr>
                      <w:rFonts w:hint="eastAsia" w:eastAsia="黑体"/>
                      <w:kern w:val="0"/>
                      <w:sz w:val="20"/>
                    </w:rPr>
                    <w:t>10.30</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172.67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162.37</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10.30</w:t>
                  </w:r>
                </w:p>
              </w:tc>
            </w:tr>
          </w:tbl>
          <w:p>
            <w:pPr>
              <w:widowControl/>
              <w:rPr>
                <w:rFonts w:eastAsia="FZXiaoBiaoSong-B05S"/>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ign w:val="bottom"/>
          </w:tcPr>
          <w:p>
            <w:pPr>
              <w:widowControl/>
              <w:rPr>
                <w:rFonts w:eastAsia="FZXiaoBiaoSong-B05S"/>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ign w:val="center"/>
                </w:tcPr>
                <w:p>
                  <w:pPr>
                    <w:widowControl/>
                    <w:jc w:val="center"/>
                    <w:rPr>
                      <w:rFonts w:eastAsia="华文细黑"/>
                      <w:color w:val="000000"/>
                      <w:kern w:val="0"/>
                      <w:sz w:val="20"/>
                    </w:rPr>
                  </w:pPr>
                  <w:r>
                    <w:rPr>
                      <w:rFonts w:eastAsia="FZXiaoBiaoSong-B05S"/>
                      <w:kern w:val="0"/>
                      <w:sz w:val="44"/>
                      <w:szCs w:val="44"/>
                    </w:rPr>
                    <w:t>一般公共预算</w:t>
                  </w:r>
                  <w:r>
                    <w:rPr>
                      <w:rFonts w:hint="eastAsia" w:eastAsia="FZXiaoBiaoSong-B05S"/>
                      <w:kern w:val="0"/>
                      <w:sz w:val="44"/>
                      <w:szCs w:val="44"/>
                    </w:rPr>
                    <w:t>支出预算</w:t>
                  </w:r>
                  <w:r>
                    <w:rPr>
                      <w:rFonts w:eastAsia="FZXiaoBiaoSong-B05S"/>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59.12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142.62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59.12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66.93</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75.69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59.12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29.51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r>
                    <w:rPr>
                      <w:rFonts w:hint="eastAsia" w:eastAsia="宋体"/>
                      <w:color w:val="000000"/>
                      <w:kern w:val="0"/>
                      <w:sz w:val="20"/>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37.42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7.04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172.67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105.74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89.17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16.57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r>
                    <w:rPr>
                      <w:rFonts w:hint="eastAsia" w:eastAsia="宋体"/>
                      <w:color w:val="000000"/>
                      <w:kern w:val="0"/>
                      <w:sz w:val="20"/>
                    </w:rPr>
                    <w:t>66.93</w:t>
                  </w:r>
                </w:p>
              </w:tc>
            </w:tr>
          </w:tbl>
          <w:p>
            <w:pPr>
              <w:widowControl/>
              <w:jc w:val="center"/>
              <w:rPr>
                <w:rFonts w:eastAsia="FZXiaoBiaoSong-B05S"/>
                <w:kern w:val="0"/>
                <w:sz w:val="44"/>
                <w:szCs w:val="44"/>
              </w:rPr>
            </w:pPr>
          </w:p>
        </w:tc>
      </w:tr>
    </w:tbl>
    <w:p>
      <w:pPr>
        <w:rPr>
          <w:rFonts w:eastAsia="楷体"/>
          <w:sz w:val="10"/>
          <w:szCs w:val="10"/>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1044" w:hRule="atLeast"/>
          <w:jc w:val="center"/>
        </w:trPr>
        <w:tc>
          <w:tcPr>
            <w:tcW w:w="8931" w:type="dxa"/>
            <w:gridSpan w:val="4"/>
            <w:tcBorders>
              <w:top w:val="nil"/>
              <w:left w:val="nil"/>
              <w:bottom w:val="nil"/>
              <w:right w:val="nil"/>
            </w:tcBorders>
            <w:noWrap/>
            <w:vAlign w:val="bottom"/>
          </w:tcPr>
          <w:p>
            <w:pPr>
              <w:widowControl/>
              <w:jc w:val="center"/>
              <w:rPr>
                <w:rFonts w:eastAsia="FZXiaoBiaoSong-B05S"/>
                <w:kern w:val="0"/>
                <w:sz w:val="44"/>
                <w:szCs w:val="44"/>
              </w:rPr>
            </w:pPr>
            <w:r>
              <w:rPr>
                <w:rFonts w:eastAsia="FZXiaoBiaoSong-B05S"/>
                <w:kern w:val="0"/>
                <w:sz w:val="44"/>
                <w:szCs w:val="44"/>
              </w:rPr>
              <w:t>一般公共预算</w:t>
            </w:r>
            <w:r>
              <w:rPr>
                <w:rFonts w:hint="eastAsia" w:eastAsia="FZXiaoBiaoSong-B05S"/>
                <w:kern w:val="0"/>
                <w:sz w:val="44"/>
                <w:szCs w:val="44"/>
              </w:rPr>
              <w:t>基本</w:t>
            </w:r>
            <w:r>
              <w:rPr>
                <w:rFonts w:eastAsia="FZXiaoBiaoSong-B05S"/>
                <w:kern w:val="0"/>
                <w:sz w:val="44"/>
                <w:szCs w:val="44"/>
              </w:rPr>
              <w:t>支出</w:t>
            </w:r>
            <w:r>
              <w:rPr>
                <w:rFonts w:hint="eastAsia" w:eastAsia="FZXiaoBiaoSong-B05S"/>
                <w:kern w:val="0"/>
                <w:sz w:val="44"/>
                <w:szCs w:val="44"/>
              </w:rPr>
              <w:t>预算</w:t>
            </w:r>
            <w:r>
              <w:rPr>
                <w:rFonts w:eastAsia="FZXiaoBiaoSong-B05S"/>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ign w:val="center"/>
          </w:tcPr>
          <w:p>
            <w:pPr>
              <w:widowControl/>
              <w:jc w:val="left"/>
              <w:rPr>
                <w:rFonts w:eastAsia="宋体"/>
                <w:kern w:val="0"/>
                <w:sz w:val="20"/>
              </w:rPr>
            </w:pPr>
          </w:p>
        </w:tc>
        <w:tc>
          <w:tcPr>
            <w:tcW w:w="2220" w:type="dxa"/>
            <w:tcBorders>
              <w:top w:val="nil"/>
              <w:left w:val="nil"/>
              <w:bottom w:val="single" w:color="auto" w:sz="4" w:space="0"/>
              <w:right w:val="nil"/>
            </w:tcBorders>
            <w:noWrap/>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548" w:hRule="atLeast"/>
          <w:jc w:val="center"/>
        </w:trPr>
        <w:tc>
          <w:tcPr>
            <w:tcW w:w="3176" w:type="dxa"/>
            <w:tcBorders>
              <w:top w:val="single" w:color="auto" w:sz="4" w:space="0"/>
              <w:left w:val="single" w:color="auto" w:sz="4" w:space="0"/>
              <w:right w:val="single" w:color="auto" w:sz="4" w:space="0"/>
            </w:tcBorders>
            <w:noWrap/>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81.66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81.66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25.92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25.92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16.72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16.72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2.92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3.64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6.25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6.25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13.47</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eastAsia="宋体"/>
                <w:kern w:val="0"/>
                <w:sz w:val="20"/>
              </w:rPr>
            </w:pPr>
            <w:r>
              <w:rPr>
                <w:rFonts w:hint="eastAsia" w:eastAsia="宋体"/>
                <w:kern w:val="0"/>
                <w:sz w:val="20"/>
              </w:rPr>
              <w:t>0.88</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咨询费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0.40</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0.74</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0.74</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0.51</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0.51</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0.12</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0.12</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0.83</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0.83</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4.87</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4.87</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3.96</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3.96</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1.16</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1.16</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7.52</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7.52</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7.04</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7.04</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0.48</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0.48</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3.10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3.10</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3.10</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3.10</w:t>
            </w:r>
          </w:p>
        </w:tc>
      </w:tr>
      <w:tr>
        <w:tblPrEx>
          <w:tblCellMar>
            <w:top w:w="0" w:type="dxa"/>
            <w:left w:w="108" w:type="dxa"/>
            <w:bottom w:w="0" w:type="dxa"/>
            <w:right w:w="108" w:type="dxa"/>
          </w:tblCellMar>
        </w:tblPrEx>
        <w:trPr>
          <w:cantSplit/>
          <w:trHeight w:val="352" w:hRule="exact"/>
          <w:jc w:val="center"/>
        </w:trPr>
        <w:tc>
          <w:tcPr>
            <w:tcW w:w="3176" w:type="dxa"/>
            <w:tcBorders>
              <w:top w:val="single" w:color="auto" w:sz="4" w:space="0"/>
              <w:left w:val="single" w:color="auto" w:sz="4" w:space="0"/>
              <w:bottom w:val="single" w:color="auto" w:sz="4" w:space="0"/>
              <w:right w:val="single" w:color="auto" w:sz="4" w:space="0"/>
            </w:tcBorders>
            <w:noWrap/>
            <w:vAlign w:val="center"/>
          </w:tcPr>
          <w:p>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kern w:val="0"/>
                <w:sz w:val="20"/>
              </w:rPr>
            </w:pPr>
            <w:r>
              <w:rPr>
                <w:rFonts w:hint="eastAsia" w:eastAsia="宋体"/>
                <w:kern w:val="0"/>
                <w:sz w:val="20"/>
              </w:rPr>
              <w:t>105.75</w:t>
            </w:r>
          </w:p>
        </w:tc>
        <w:tc>
          <w:tcPr>
            <w:tcW w:w="1704"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89.18</w:t>
            </w:r>
          </w:p>
        </w:tc>
        <w:tc>
          <w:tcPr>
            <w:tcW w:w="183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0"/>
              </w:rPr>
            </w:pPr>
            <w:r>
              <w:rPr>
                <w:rFonts w:hint="eastAsia"/>
                <w:sz w:val="20"/>
              </w:rPr>
              <w:t>16.57</w:t>
            </w:r>
          </w:p>
        </w:tc>
      </w:tr>
    </w:tbl>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FZXiaoBiaoSong-B05S"/>
                <w:color w:val="000000"/>
                <w:kern w:val="0"/>
                <w:sz w:val="44"/>
                <w:szCs w:val="44"/>
              </w:rPr>
              <w:t>一般公共预算“三公”经费支出</w:t>
            </w:r>
            <w:r>
              <w:rPr>
                <w:rFonts w:hint="eastAsia" w:eastAsia="FZXiaoBiaoSong-B05S"/>
                <w:color w:val="000000"/>
                <w:kern w:val="0"/>
                <w:sz w:val="44"/>
                <w:szCs w:val="44"/>
              </w:rPr>
              <w:t>预算</w:t>
            </w:r>
            <w:r>
              <w:rPr>
                <w:rFonts w:eastAsia="FZXiaoBiaoSong-B05S"/>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noWrap/>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0.12</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r>
              <w:rPr>
                <w:rFonts w:hint="eastAsia" w:eastAsia="宋体"/>
                <w:color w:val="000000"/>
                <w:kern w:val="0"/>
                <w:sz w:val="20"/>
              </w:rPr>
              <w:t>0.12</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ign w:val="center"/>
          </w:tcPr>
          <w:p>
            <w:pPr>
              <w:widowControl/>
              <w:ind w:firstLine="560" w:firstLineChars="200"/>
              <w:jc w:val="left"/>
              <w:rPr>
                <w:rFonts w:hint="eastAsia" w:eastAsia="仿宋_GB2312"/>
                <w:color w:val="auto"/>
                <w:kern w:val="0"/>
                <w:sz w:val="28"/>
                <w:szCs w:val="28"/>
                <w:lang w:eastAsia="zh-CN"/>
              </w:rPr>
            </w:pPr>
            <w:r>
              <w:rPr>
                <w:color w:val="auto"/>
                <w:kern w:val="0"/>
                <w:sz w:val="28"/>
                <w:szCs w:val="28"/>
              </w:rPr>
              <w:t>说明：</w:t>
            </w:r>
          </w:p>
          <w:p>
            <w:pPr>
              <w:widowControl/>
              <w:jc w:val="left"/>
              <w:rPr>
                <w:rFonts w:hint="eastAsia" w:eastAsia="宋体"/>
                <w:color w:val="auto"/>
                <w:kern w:val="0"/>
                <w:sz w:val="28"/>
                <w:szCs w:val="28"/>
                <w:lang w:eastAsia="zh-CN"/>
              </w:rPr>
            </w:pPr>
            <w:r>
              <w:rPr>
                <w:rFonts w:eastAsia="宋体"/>
                <w:color w:val="auto"/>
                <w:kern w:val="0"/>
                <w:sz w:val="28"/>
                <w:szCs w:val="28"/>
              </w:rPr>
              <w:t xml:space="preserve">       1</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color w:val="auto"/>
                <w:kern w:val="0"/>
                <w:sz w:val="28"/>
                <w:szCs w:val="28"/>
              </w:rPr>
              <w:t>”的单位范围包括</w:t>
            </w:r>
            <w:r>
              <w:rPr>
                <w:rFonts w:hint="eastAsia"/>
                <w:color w:val="auto"/>
                <w:kern w:val="0"/>
                <w:sz w:val="28"/>
                <w:szCs w:val="28"/>
                <w:lang w:eastAsia="zh-CN"/>
              </w:rPr>
              <w:t>单位</w:t>
            </w:r>
            <w:r>
              <w:rPr>
                <w:color w:val="auto"/>
                <w:kern w:val="0"/>
                <w:sz w:val="28"/>
                <w:szCs w:val="28"/>
              </w:rPr>
              <w:t>本级</w:t>
            </w:r>
            <w:r>
              <w:rPr>
                <w:rFonts w:hint="eastAsia"/>
                <w:color w:val="auto"/>
                <w:kern w:val="0"/>
                <w:sz w:val="28"/>
                <w:szCs w:val="28"/>
                <w:lang w:val="en-US" w:eastAsia="zh-CN"/>
              </w:rPr>
              <w:t>1</w:t>
            </w:r>
            <w:r>
              <w:rPr>
                <w:color w:val="auto"/>
                <w:kern w:val="0"/>
                <w:sz w:val="28"/>
                <w:szCs w:val="28"/>
              </w:rPr>
              <w:t>个预算单位。</w:t>
            </w:r>
            <w:r>
              <w:rPr>
                <w:rFonts w:eastAsia="宋体"/>
                <w:color w:val="auto"/>
                <w:kern w:val="0"/>
                <w:sz w:val="28"/>
                <w:szCs w:val="28"/>
              </w:rPr>
              <w:t xml:space="preserve">   </w:t>
            </w:r>
          </w:p>
          <w:p>
            <w:pPr>
              <w:widowControl/>
              <w:rPr>
                <w:color w:val="000000"/>
                <w:kern w:val="0"/>
                <w:sz w:val="28"/>
                <w:szCs w:val="28"/>
              </w:rPr>
            </w:pPr>
            <w:r>
              <w:rPr>
                <w:rFonts w:eastAsia="宋体"/>
                <w:color w:val="auto"/>
                <w:kern w:val="0"/>
                <w:sz w:val="28"/>
                <w:szCs w:val="28"/>
              </w:rPr>
              <w:t xml:space="preserve">       2</w:t>
            </w:r>
            <w:r>
              <w:rPr>
                <w:color w:val="auto"/>
                <w:kern w:val="0"/>
                <w:sz w:val="28"/>
                <w:szCs w:val="28"/>
              </w:rPr>
              <w:t>、</w:t>
            </w:r>
            <w:r>
              <w:rPr>
                <w:rFonts w:eastAsia="宋体"/>
                <w:color w:val="auto"/>
                <w:kern w:val="0"/>
                <w:sz w:val="28"/>
                <w:szCs w:val="28"/>
              </w:rPr>
              <w:t>“</w:t>
            </w:r>
            <w:r>
              <w:rPr>
                <w:rFonts w:hint="eastAsia"/>
                <w:color w:val="auto"/>
                <w:kern w:val="0"/>
                <w:sz w:val="28"/>
                <w:szCs w:val="28"/>
                <w:lang w:eastAsia="zh-CN"/>
              </w:rPr>
              <w:t>202</w:t>
            </w:r>
            <w:r>
              <w:rPr>
                <w:rFonts w:hint="eastAsia"/>
                <w:color w:val="auto"/>
                <w:kern w:val="0"/>
                <w:sz w:val="28"/>
                <w:szCs w:val="28"/>
                <w:lang w:val="en-US" w:eastAsia="zh-CN"/>
              </w:rPr>
              <w:t>4</w:t>
            </w:r>
            <w:r>
              <w:rPr>
                <w:rFonts w:hint="eastAsia"/>
                <w:color w:val="auto"/>
                <w:kern w:val="0"/>
                <w:sz w:val="28"/>
                <w:szCs w:val="28"/>
                <w:lang w:eastAsia="zh-CN"/>
              </w:rPr>
              <w:t>年预算数</w:t>
            </w:r>
            <w:r>
              <w:rPr>
                <w:rFonts w:eastAsia="宋体"/>
                <w:color w:val="auto"/>
                <w:kern w:val="0"/>
                <w:sz w:val="28"/>
                <w:szCs w:val="28"/>
              </w:rPr>
              <w:t>”</w:t>
            </w:r>
            <w:r>
              <w:rPr>
                <w:color w:val="auto"/>
                <w:kern w:val="0"/>
                <w:sz w:val="28"/>
                <w:szCs w:val="28"/>
              </w:rPr>
              <w:t>的实有人员</w:t>
            </w:r>
            <w:r>
              <w:rPr>
                <w:rFonts w:hint="eastAsia"/>
                <w:color w:val="auto"/>
                <w:kern w:val="0"/>
                <w:sz w:val="28"/>
                <w:szCs w:val="28"/>
                <w:lang w:val="en-US" w:eastAsia="zh-CN"/>
              </w:rPr>
              <w:t>11</w:t>
            </w:r>
            <w:r>
              <w:rPr>
                <w:color w:val="auto"/>
                <w:kern w:val="0"/>
                <w:sz w:val="28"/>
                <w:szCs w:val="28"/>
              </w:rPr>
              <w:t>人，其中：在职人员</w:t>
            </w:r>
            <w:r>
              <w:rPr>
                <w:rFonts w:hint="eastAsia"/>
                <w:color w:val="auto"/>
                <w:kern w:val="0"/>
                <w:sz w:val="28"/>
                <w:szCs w:val="28"/>
                <w:lang w:val="en-US" w:eastAsia="zh-CN"/>
              </w:rPr>
              <w:t>5</w:t>
            </w:r>
            <w:r>
              <w:rPr>
                <w:color w:val="auto"/>
                <w:kern w:val="0"/>
                <w:sz w:val="28"/>
                <w:szCs w:val="28"/>
              </w:rPr>
              <w:t>人，离退休人员</w:t>
            </w:r>
            <w:r>
              <w:rPr>
                <w:rFonts w:hint="eastAsia"/>
                <w:color w:val="auto"/>
                <w:kern w:val="0"/>
                <w:sz w:val="28"/>
                <w:szCs w:val="28"/>
                <w:lang w:val="en-US" w:eastAsia="zh-CN"/>
              </w:rPr>
              <w:t>6</w:t>
            </w:r>
            <w:r>
              <w:rPr>
                <w:color w:val="auto"/>
                <w:kern w:val="0"/>
                <w:sz w:val="28"/>
                <w:szCs w:val="28"/>
              </w:rPr>
              <w:t>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FZXiaoBiaoSong-B05S"/>
                <w:kern w:val="0"/>
                <w:sz w:val="44"/>
                <w:szCs w:val="44"/>
              </w:rPr>
            </w:pPr>
            <w:r>
              <w:rPr>
                <w:rFonts w:eastAsia="FZXiaoBiaoSong-B05S"/>
                <w:kern w:val="0"/>
                <w:sz w:val="44"/>
                <w:szCs w:val="44"/>
              </w:rPr>
              <w:t>政府性基金预算</w:t>
            </w:r>
            <w:r>
              <w:rPr>
                <w:rFonts w:hint="eastAsia" w:eastAsia="FZXiaoBiaoSong-B05S"/>
                <w:kern w:val="0"/>
                <w:sz w:val="44"/>
                <w:szCs w:val="44"/>
              </w:rPr>
              <w:t>拨款</w:t>
            </w:r>
            <w:r>
              <w:rPr>
                <w:rFonts w:eastAsia="FZXiaoBiaoSong-B05S"/>
                <w:kern w:val="0"/>
                <w:sz w:val="44"/>
                <w:szCs w:val="44"/>
              </w:rPr>
              <w:t>支出</w:t>
            </w:r>
            <w:r>
              <w:rPr>
                <w:rFonts w:hint="eastAsia" w:eastAsia="FZXiaoBiaoSong-B05S"/>
                <w:kern w:val="0"/>
                <w:sz w:val="44"/>
                <w:szCs w:val="44"/>
              </w:rPr>
              <w:t>预算</w:t>
            </w:r>
            <w:r>
              <w:rPr>
                <w:rFonts w:eastAsia="FZXiaoBiaoSong-B05S"/>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KaiTi_GB2312"/>
          <w:kern w:val="0"/>
          <w:szCs w:val="32"/>
        </w:rPr>
      </w:pPr>
    </w:p>
    <w:p>
      <w:pPr>
        <w:spacing w:line="700" w:lineRule="exact"/>
        <w:rPr>
          <w:rFonts w:eastAsia="KaiTi_GB2312"/>
          <w:kern w:val="0"/>
          <w:szCs w:val="32"/>
        </w:rPr>
      </w:pPr>
    </w:p>
    <w:p>
      <w:pPr>
        <w:spacing w:line="700" w:lineRule="exact"/>
        <w:rPr>
          <w:rFonts w:eastAsia="KaiTi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ign w:val="center"/>
          </w:tcPr>
          <w:p>
            <w:pPr>
              <w:widowControl/>
              <w:jc w:val="center"/>
              <w:rPr>
                <w:rFonts w:eastAsia="FZXiaoBiaoSong-B05S"/>
                <w:kern w:val="0"/>
                <w:sz w:val="44"/>
                <w:szCs w:val="44"/>
              </w:rPr>
            </w:pPr>
            <w:r>
              <w:rPr>
                <w:rFonts w:hint="eastAsia" w:eastAsia="FZXiaoBiaoSong-B05S"/>
                <w:kern w:val="0"/>
                <w:sz w:val="44"/>
                <w:szCs w:val="44"/>
              </w:rPr>
              <w:t>国有资本经营</w:t>
            </w:r>
            <w:r>
              <w:rPr>
                <w:rFonts w:eastAsia="FZXiaoBiaoSong-B05S"/>
                <w:kern w:val="0"/>
                <w:sz w:val="44"/>
                <w:szCs w:val="44"/>
              </w:rPr>
              <w:t>预算支出</w:t>
            </w:r>
            <w:r>
              <w:rPr>
                <w:rFonts w:hint="eastAsia" w:eastAsia="FZXiaoBiaoSong-B05S"/>
                <w:kern w:val="0"/>
                <w:sz w:val="44"/>
                <w:szCs w:val="44"/>
              </w:rPr>
              <w:t>预算</w:t>
            </w:r>
            <w:r>
              <w:rPr>
                <w:rFonts w:eastAsia="FZXiaoBiaoSong-B05S"/>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tbl>
      <w:tblPr>
        <w:tblStyle w:val="9"/>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4"/>
        <w:gridCol w:w="1748"/>
        <w:gridCol w:w="1115"/>
        <w:gridCol w:w="680"/>
        <w:gridCol w:w="708"/>
        <w:gridCol w:w="284"/>
        <w:gridCol w:w="284"/>
        <w:gridCol w:w="284"/>
        <w:gridCol w:w="284"/>
        <w:gridCol w:w="288"/>
        <w:gridCol w:w="334"/>
        <w:gridCol w:w="442"/>
        <w:gridCol w:w="358"/>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000" w:type="pct"/>
            <w:gridSpan w:val="15"/>
            <w:tcBorders>
              <w:top w:val="nil"/>
              <w:left w:val="nil"/>
              <w:bottom w:val="nil"/>
              <w:right w:val="nil"/>
            </w:tcBorders>
            <w:vAlign w:val="center"/>
          </w:tcPr>
          <w:p>
            <w:pPr>
              <w:widowControl/>
              <w:jc w:val="center"/>
              <w:rPr>
                <w:rFonts w:ascii="Calibri" w:hAnsi="Calibri" w:eastAsia="FZXiaoBiaoSong-B05S"/>
                <w:kern w:val="0"/>
                <w:sz w:val="44"/>
                <w:szCs w:val="44"/>
              </w:rPr>
            </w:pPr>
            <w:r>
              <w:rPr>
                <w:rFonts w:hint="eastAsia" w:ascii="Calibri" w:hAnsi="Calibri" w:eastAsia="FZXiaoBiaoSong-B05S"/>
                <w:kern w:val="0"/>
                <w:sz w:val="44"/>
                <w:szCs w:val="44"/>
              </w:rPr>
              <w:t>项目支出预算</w:t>
            </w:r>
            <w:r>
              <w:rPr>
                <w:rFonts w:ascii="Calibri" w:hAnsi="Calibri" w:eastAsia="FZXiaoBiaoSong-B05S"/>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4" w:type="pct"/>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65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94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605"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369"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000" w:type="pct"/>
            <w:gridSpan w:val="5"/>
            <w:tcBorders>
              <w:top w:val="nil"/>
              <w:left w:val="nil"/>
              <w:right w:val="nil"/>
            </w:tcBorders>
            <w:vAlign w:val="center"/>
          </w:tcPr>
          <w:p>
            <w:pPr>
              <w:autoSpaceDN w:val="0"/>
              <w:textAlignment w:val="center"/>
              <w:rPr>
                <w:rFonts w:ascii="Calibri" w:hAnsi="Calibri" w:eastAsia="华文细黑"/>
                <w:color w:val="000000"/>
                <w:sz w:val="20"/>
                <w:szCs w:val="22"/>
              </w:rPr>
            </w:pPr>
          </w:p>
        </w:tc>
        <w:tc>
          <w:tcPr>
            <w:tcW w:w="941" w:type="pct"/>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4"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类型</w:t>
            </w:r>
          </w:p>
        </w:tc>
        <w:tc>
          <w:tcPr>
            <w:tcW w:w="1608" w:type="pct"/>
            <w:gridSpan w:val="2"/>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项目名称</w:t>
            </w:r>
          </w:p>
        </w:tc>
        <w:tc>
          <w:tcPr>
            <w:tcW w:w="605" w:type="pct"/>
            <w:vMerge w:val="restar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部门（单位）名称</w:t>
            </w:r>
          </w:p>
        </w:tc>
        <w:tc>
          <w:tcPr>
            <w:tcW w:w="36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合计</w:t>
            </w:r>
          </w:p>
        </w:tc>
        <w:tc>
          <w:tcPr>
            <w:tcW w:w="1000" w:type="pct"/>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本年预算</w:t>
            </w:r>
          </w:p>
        </w:tc>
        <w:tc>
          <w:tcPr>
            <w:tcW w:w="941" w:type="pct"/>
            <w:gridSpan w:val="5"/>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74" w:type="pct"/>
            <w:vMerge w:val="continue"/>
            <w:vAlign w:val="center"/>
          </w:tcPr>
          <w:p>
            <w:pPr>
              <w:autoSpaceDN w:val="0"/>
              <w:jc w:val="center"/>
              <w:textAlignment w:val="center"/>
              <w:rPr>
                <w:rFonts w:ascii="Calibri" w:hAnsi="Calibri" w:eastAsia="华文细黑"/>
                <w:color w:val="000000"/>
                <w:sz w:val="16"/>
                <w:szCs w:val="16"/>
              </w:rPr>
            </w:pPr>
          </w:p>
        </w:tc>
        <w:tc>
          <w:tcPr>
            <w:tcW w:w="65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949" w:type="pct"/>
            <w:vMerge w:val="restar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二级项目</w:t>
            </w:r>
          </w:p>
        </w:tc>
        <w:tc>
          <w:tcPr>
            <w:tcW w:w="605"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369" w:type="pct"/>
            <w:vMerge w:val="continue"/>
            <w:vAlign w:val="center"/>
          </w:tcPr>
          <w:p>
            <w:pPr>
              <w:autoSpaceDN w:val="0"/>
              <w:jc w:val="center"/>
              <w:textAlignment w:val="center"/>
              <w:rPr>
                <w:rFonts w:ascii="Calibri" w:hAnsi="Calibri" w:eastAsia="华文细黑"/>
                <w:color w:val="000000"/>
                <w:sz w:val="16"/>
                <w:szCs w:val="16"/>
              </w:rPr>
            </w:pPr>
          </w:p>
        </w:tc>
        <w:tc>
          <w:tcPr>
            <w:tcW w:w="692" w:type="pct"/>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154" w:type="pct"/>
            <w:vMerge w:val="restart"/>
            <w:textDirection w:val="tbLr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54" w:type="pct"/>
            <w:vMerge w:val="restart"/>
            <w:textDirection w:val="tbLrV"/>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c>
          <w:tcPr>
            <w:tcW w:w="577" w:type="pct"/>
            <w:gridSpan w:val="3"/>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364" w:type="pct"/>
            <w:gridSpan w:val="2"/>
            <w:vAlign w:val="center"/>
          </w:tcPr>
          <w:p>
            <w:pPr>
              <w:tabs>
                <w:tab w:val="left" w:pos="492"/>
              </w:tabs>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74" w:type="pct"/>
            <w:vMerge w:val="continue"/>
            <w:vAlign w:val="center"/>
          </w:tcPr>
          <w:p>
            <w:pPr>
              <w:autoSpaceDN w:val="0"/>
              <w:jc w:val="center"/>
              <w:textAlignment w:val="center"/>
              <w:rPr>
                <w:rFonts w:ascii="Calibri" w:hAnsi="Calibri" w:eastAsia="华文细黑"/>
                <w:color w:val="000000"/>
                <w:sz w:val="16"/>
                <w:szCs w:val="16"/>
              </w:rPr>
            </w:pPr>
          </w:p>
        </w:tc>
        <w:tc>
          <w:tcPr>
            <w:tcW w:w="659" w:type="pct"/>
            <w:vMerge w:val="continue"/>
            <w:vAlign w:val="center"/>
          </w:tcPr>
          <w:p>
            <w:pPr>
              <w:autoSpaceDN w:val="0"/>
              <w:jc w:val="center"/>
              <w:textAlignment w:val="center"/>
              <w:rPr>
                <w:rFonts w:ascii="Calibri" w:hAnsi="Calibri" w:eastAsia="华文细黑"/>
                <w:color w:val="000000"/>
                <w:sz w:val="16"/>
                <w:szCs w:val="16"/>
              </w:rPr>
            </w:pPr>
          </w:p>
        </w:tc>
        <w:tc>
          <w:tcPr>
            <w:tcW w:w="949" w:type="pct"/>
            <w:vMerge w:val="continue"/>
            <w:vAlign w:val="center"/>
          </w:tcPr>
          <w:p>
            <w:pPr>
              <w:autoSpaceDN w:val="0"/>
              <w:jc w:val="center"/>
              <w:textAlignment w:val="center"/>
              <w:rPr>
                <w:rFonts w:ascii="Calibri" w:hAnsi="Calibri" w:eastAsia="华文细黑"/>
                <w:color w:val="000000"/>
                <w:sz w:val="16"/>
                <w:szCs w:val="16"/>
              </w:rPr>
            </w:pPr>
          </w:p>
        </w:tc>
        <w:tc>
          <w:tcPr>
            <w:tcW w:w="605" w:type="pct"/>
            <w:vMerge w:val="continue"/>
            <w:vAlign w:val="center"/>
          </w:tcPr>
          <w:p>
            <w:pPr>
              <w:autoSpaceDN w:val="0"/>
              <w:jc w:val="center"/>
              <w:textAlignment w:val="center"/>
              <w:rPr>
                <w:rFonts w:ascii="Calibri" w:hAnsi="Calibri" w:eastAsia="华文细黑"/>
                <w:color w:val="000000"/>
                <w:sz w:val="16"/>
                <w:szCs w:val="16"/>
              </w:rPr>
            </w:pPr>
          </w:p>
        </w:tc>
        <w:tc>
          <w:tcPr>
            <w:tcW w:w="369" w:type="pct"/>
            <w:vMerge w:val="continue"/>
            <w:vAlign w:val="center"/>
          </w:tcPr>
          <w:p>
            <w:pPr>
              <w:autoSpaceDN w:val="0"/>
              <w:jc w:val="center"/>
              <w:textAlignment w:val="center"/>
              <w:rPr>
                <w:rFonts w:ascii="Calibri" w:hAnsi="Calibri" w:eastAsia="华文细黑"/>
                <w:color w:val="000000"/>
                <w:sz w:val="16"/>
                <w:szCs w:val="16"/>
              </w:rPr>
            </w:pPr>
          </w:p>
        </w:tc>
        <w:tc>
          <w:tcPr>
            <w:tcW w:w="38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 般 公 共 预 算</w:t>
            </w:r>
          </w:p>
        </w:tc>
        <w:tc>
          <w:tcPr>
            <w:tcW w:w="15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54"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国有资本经营预算</w:t>
            </w:r>
          </w:p>
        </w:tc>
        <w:tc>
          <w:tcPr>
            <w:tcW w:w="154"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154" w:type="pct"/>
            <w:vMerge w:val="continue"/>
            <w:textDirection w:val="tbLrV"/>
            <w:vAlign w:val="center"/>
          </w:tcPr>
          <w:p>
            <w:pPr>
              <w:autoSpaceDN w:val="0"/>
              <w:ind w:left="113" w:right="113"/>
              <w:jc w:val="center"/>
              <w:textAlignment w:val="center"/>
              <w:rPr>
                <w:rFonts w:ascii="Calibri" w:hAnsi="Calibri" w:eastAsia="华文细黑"/>
                <w:color w:val="000000"/>
                <w:sz w:val="16"/>
                <w:szCs w:val="16"/>
              </w:rPr>
            </w:pPr>
          </w:p>
        </w:tc>
        <w:tc>
          <w:tcPr>
            <w:tcW w:w="156"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公共</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81"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239" w:type="pct"/>
            <w:vAlign w:val="center"/>
          </w:tcPr>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w:t>
            </w:r>
          </w:p>
          <w:p>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94" w:type="pc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69" w:type="pct"/>
            <w:textDirection w:val="tbRlV"/>
            <w:vAlign w:val="center"/>
          </w:tcPr>
          <w:p>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4" w:type="pct"/>
            <w:vAlign w:val="center"/>
          </w:tcPr>
          <w:p>
            <w:pPr>
              <w:rPr>
                <w:rFonts w:ascii="宋体" w:hAnsi="宋体" w:eastAsia="宋体"/>
                <w:sz w:val="16"/>
                <w:szCs w:val="16"/>
              </w:rPr>
            </w:pPr>
            <w:r>
              <w:rPr>
                <w:rFonts w:hint="eastAsia" w:ascii="宋体" w:hAnsi="宋体" w:eastAsia="宋体"/>
                <w:sz w:val="16"/>
                <w:szCs w:val="16"/>
              </w:rPr>
              <w:t>专项业务支出</w:t>
            </w: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66.93</w:t>
            </w:r>
          </w:p>
        </w:tc>
        <w:tc>
          <w:tcPr>
            <w:tcW w:w="384" w:type="pct"/>
            <w:vAlign w:val="center"/>
          </w:tcPr>
          <w:p>
            <w:pPr>
              <w:rPr>
                <w:rFonts w:ascii="宋体" w:hAnsi="宋体" w:eastAsia="宋体"/>
                <w:sz w:val="16"/>
                <w:szCs w:val="16"/>
              </w:rPr>
            </w:pPr>
            <w:r>
              <w:rPr>
                <w:rFonts w:hint="eastAsia" w:ascii="宋体" w:hAnsi="宋体" w:eastAsia="宋体"/>
                <w:sz w:val="16"/>
                <w:szCs w:val="16"/>
              </w:rPr>
              <w:t>66.93</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4" w:type="pct"/>
            <w:vAlign w:val="center"/>
          </w:tcPr>
          <w:p>
            <w:pPr>
              <w:rPr>
                <w:rFonts w:ascii="宋体" w:hAnsi="宋体" w:eastAsia="宋体"/>
                <w:sz w:val="16"/>
                <w:szCs w:val="16"/>
              </w:rPr>
            </w:pPr>
            <w:bookmarkStart w:id="0" w:name="_Hlk159434871"/>
          </w:p>
        </w:tc>
        <w:tc>
          <w:tcPr>
            <w:tcW w:w="659" w:type="pct"/>
            <w:vAlign w:val="center"/>
          </w:tcPr>
          <w:p>
            <w:pPr>
              <w:rPr>
                <w:rFonts w:ascii="宋体" w:hAnsi="宋体" w:eastAsia="宋体"/>
                <w:sz w:val="16"/>
                <w:szCs w:val="16"/>
              </w:rPr>
            </w:pPr>
            <w:r>
              <w:rPr>
                <w:rFonts w:hint="eastAsia" w:ascii="宋体" w:hAnsi="宋体" w:eastAsia="宋体"/>
                <w:sz w:val="16"/>
                <w:szCs w:val="16"/>
              </w:rPr>
              <w:t>专项普查活动</w:t>
            </w: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37.42</w:t>
            </w:r>
          </w:p>
        </w:tc>
        <w:tc>
          <w:tcPr>
            <w:tcW w:w="384" w:type="pct"/>
            <w:vAlign w:val="center"/>
          </w:tcPr>
          <w:p>
            <w:pPr>
              <w:rPr>
                <w:rFonts w:ascii="宋体" w:hAnsi="宋体" w:eastAsia="宋体"/>
                <w:sz w:val="16"/>
                <w:szCs w:val="16"/>
              </w:rPr>
            </w:pPr>
            <w:r>
              <w:rPr>
                <w:rFonts w:hint="eastAsia" w:ascii="宋体" w:hAnsi="宋体" w:eastAsia="宋体"/>
                <w:sz w:val="16"/>
                <w:szCs w:val="16"/>
              </w:rPr>
              <w:t>37.42</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p>
        </w:tc>
        <w:tc>
          <w:tcPr>
            <w:tcW w:w="949" w:type="pct"/>
            <w:vAlign w:val="center"/>
          </w:tcPr>
          <w:p>
            <w:pPr>
              <w:jc w:val="left"/>
              <w:rPr>
                <w:rFonts w:ascii="宋体" w:hAnsi="宋体" w:eastAsia="宋体"/>
                <w:sz w:val="16"/>
                <w:szCs w:val="16"/>
              </w:rPr>
            </w:pPr>
            <w:r>
              <w:rPr>
                <w:rFonts w:hint="eastAsia" w:ascii="宋体" w:hAnsi="宋体" w:eastAsia="宋体"/>
                <w:sz w:val="16"/>
                <w:szCs w:val="16"/>
              </w:rPr>
              <w:t>第五次全国经济普查经费</w:t>
            </w:r>
          </w:p>
        </w:tc>
        <w:tc>
          <w:tcPr>
            <w:tcW w:w="605" w:type="pct"/>
            <w:vAlign w:val="center"/>
          </w:tcPr>
          <w:p>
            <w:pPr>
              <w:jc w:val="left"/>
              <w:rPr>
                <w:rFonts w:ascii="宋体" w:hAnsi="宋体" w:eastAsia="宋体"/>
                <w:sz w:val="16"/>
                <w:szCs w:val="16"/>
              </w:rPr>
            </w:pPr>
            <w:r>
              <w:rPr>
                <w:rFonts w:hint="eastAsia" w:ascii="宋体" w:hAnsi="宋体" w:eastAsia="宋体"/>
                <w:sz w:val="16"/>
                <w:szCs w:val="16"/>
              </w:rPr>
              <w:t>白山市统计局浑江区分局（本级）</w:t>
            </w:r>
          </w:p>
        </w:tc>
        <w:tc>
          <w:tcPr>
            <w:tcW w:w="681" w:type="dxa"/>
            <w:vAlign w:val="center"/>
          </w:tcPr>
          <w:p>
            <w:pPr>
              <w:rPr>
                <w:rFonts w:ascii="宋体" w:hAnsi="宋体" w:eastAsia="宋体"/>
                <w:sz w:val="16"/>
                <w:szCs w:val="16"/>
              </w:rPr>
            </w:pPr>
            <w:r>
              <w:rPr>
                <w:rFonts w:hint="eastAsia" w:ascii="宋体" w:hAnsi="宋体" w:eastAsia="宋体"/>
                <w:sz w:val="16"/>
                <w:szCs w:val="16"/>
              </w:rPr>
              <w:t>37.42</w:t>
            </w:r>
          </w:p>
        </w:tc>
        <w:tc>
          <w:tcPr>
            <w:tcW w:w="708" w:type="dxa"/>
            <w:vAlign w:val="center"/>
          </w:tcPr>
          <w:p>
            <w:pPr>
              <w:rPr>
                <w:rFonts w:ascii="宋体" w:hAnsi="宋体" w:eastAsia="宋体"/>
                <w:sz w:val="16"/>
                <w:szCs w:val="16"/>
              </w:rPr>
            </w:pPr>
            <w:r>
              <w:rPr>
                <w:rFonts w:hint="eastAsia" w:ascii="宋体" w:hAnsi="宋体" w:eastAsia="宋体"/>
                <w:sz w:val="16"/>
                <w:szCs w:val="16"/>
              </w:rPr>
              <w:t>37.42</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r>
              <w:rPr>
                <w:rFonts w:hint="eastAsia" w:ascii="宋体" w:hAnsi="宋体" w:eastAsia="宋体"/>
                <w:sz w:val="16"/>
                <w:szCs w:val="16"/>
              </w:rPr>
              <w:t>专项统计业务</w:t>
            </w: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369" w:type="pct"/>
            <w:vAlign w:val="center"/>
          </w:tcPr>
          <w:p>
            <w:pPr>
              <w:rPr>
                <w:rFonts w:ascii="宋体" w:hAnsi="宋体" w:eastAsia="宋体"/>
                <w:sz w:val="16"/>
                <w:szCs w:val="16"/>
              </w:rPr>
            </w:pPr>
            <w:r>
              <w:rPr>
                <w:rFonts w:hint="eastAsia" w:ascii="宋体" w:hAnsi="宋体" w:eastAsia="宋体"/>
                <w:sz w:val="16"/>
                <w:szCs w:val="16"/>
              </w:rPr>
              <w:t>29.51</w:t>
            </w:r>
          </w:p>
        </w:tc>
        <w:tc>
          <w:tcPr>
            <w:tcW w:w="384" w:type="pct"/>
            <w:vAlign w:val="center"/>
          </w:tcPr>
          <w:p>
            <w:pPr>
              <w:rPr>
                <w:rFonts w:ascii="宋体" w:hAnsi="宋体" w:eastAsia="宋体"/>
                <w:sz w:val="16"/>
                <w:szCs w:val="16"/>
              </w:rPr>
            </w:pPr>
            <w:r>
              <w:rPr>
                <w:rFonts w:hint="eastAsia" w:ascii="宋体" w:hAnsi="宋体" w:eastAsia="宋体"/>
                <w:sz w:val="16"/>
                <w:szCs w:val="16"/>
              </w:rPr>
              <w:t>29.51</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4" w:type="pct"/>
            <w:vAlign w:val="center"/>
          </w:tcPr>
          <w:p>
            <w:pPr>
              <w:rPr>
                <w:rFonts w:ascii="宋体" w:hAnsi="宋体" w:eastAsia="宋体"/>
                <w:sz w:val="16"/>
                <w:szCs w:val="16"/>
              </w:rPr>
            </w:pP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r>
              <w:rPr>
                <w:rFonts w:hint="eastAsia" w:ascii="宋体" w:hAnsi="宋体" w:eastAsia="宋体"/>
                <w:sz w:val="16"/>
                <w:szCs w:val="16"/>
              </w:rPr>
              <w:t>统计调查经费</w:t>
            </w:r>
          </w:p>
        </w:tc>
        <w:tc>
          <w:tcPr>
            <w:tcW w:w="605" w:type="pct"/>
            <w:vAlign w:val="center"/>
          </w:tcPr>
          <w:p>
            <w:pPr>
              <w:jc w:val="left"/>
              <w:rPr>
                <w:rFonts w:ascii="宋体" w:hAnsi="宋体" w:eastAsia="宋体"/>
                <w:sz w:val="16"/>
                <w:szCs w:val="16"/>
              </w:rPr>
            </w:pPr>
            <w:r>
              <w:rPr>
                <w:rFonts w:hint="eastAsia" w:ascii="宋体" w:hAnsi="宋体" w:eastAsia="宋体"/>
                <w:sz w:val="16"/>
                <w:szCs w:val="16"/>
              </w:rPr>
              <w:t>白山市统计局浑江区分局（本级）</w:t>
            </w:r>
          </w:p>
        </w:tc>
        <w:tc>
          <w:tcPr>
            <w:tcW w:w="681" w:type="dxa"/>
            <w:vAlign w:val="center"/>
          </w:tcPr>
          <w:p>
            <w:pPr>
              <w:rPr>
                <w:rFonts w:ascii="宋体" w:hAnsi="宋体" w:eastAsia="宋体"/>
                <w:sz w:val="16"/>
                <w:szCs w:val="16"/>
              </w:rPr>
            </w:pPr>
            <w:r>
              <w:rPr>
                <w:rFonts w:hint="eastAsia" w:ascii="宋体" w:hAnsi="宋体" w:eastAsia="宋体"/>
                <w:sz w:val="16"/>
                <w:szCs w:val="16"/>
              </w:rPr>
              <w:t>29.51</w:t>
            </w:r>
          </w:p>
        </w:tc>
        <w:tc>
          <w:tcPr>
            <w:tcW w:w="708" w:type="dxa"/>
            <w:vAlign w:val="center"/>
          </w:tcPr>
          <w:p>
            <w:pPr>
              <w:rPr>
                <w:rFonts w:ascii="宋体" w:hAnsi="宋体" w:eastAsia="宋体"/>
                <w:sz w:val="16"/>
                <w:szCs w:val="16"/>
              </w:rPr>
            </w:pPr>
            <w:r>
              <w:rPr>
                <w:rFonts w:hint="eastAsia" w:ascii="宋体" w:hAnsi="宋体" w:eastAsia="宋体"/>
                <w:sz w:val="16"/>
                <w:szCs w:val="16"/>
              </w:rPr>
              <w:t>29.51</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74" w:type="pct"/>
            <w:vAlign w:val="center"/>
          </w:tcPr>
          <w:p>
            <w:pPr>
              <w:rPr>
                <w:rFonts w:ascii="宋体" w:hAnsi="宋体" w:eastAsia="宋体"/>
                <w:sz w:val="16"/>
                <w:szCs w:val="16"/>
              </w:rPr>
            </w:pPr>
            <w:r>
              <w:rPr>
                <w:rFonts w:hint="eastAsia" w:ascii="宋体" w:hAnsi="宋体" w:eastAsia="宋体"/>
                <w:sz w:val="16"/>
                <w:szCs w:val="16"/>
              </w:rPr>
              <w:t>合计</w:t>
            </w:r>
          </w:p>
        </w:tc>
        <w:tc>
          <w:tcPr>
            <w:tcW w:w="659" w:type="pct"/>
            <w:vAlign w:val="center"/>
          </w:tcPr>
          <w:p>
            <w:pPr>
              <w:rPr>
                <w:rFonts w:ascii="宋体" w:hAnsi="宋体" w:eastAsia="宋体"/>
                <w:sz w:val="16"/>
                <w:szCs w:val="16"/>
              </w:rPr>
            </w:pPr>
          </w:p>
        </w:tc>
        <w:tc>
          <w:tcPr>
            <w:tcW w:w="949" w:type="pct"/>
            <w:vAlign w:val="center"/>
          </w:tcPr>
          <w:p>
            <w:pPr>
              <w:rPr>
                <w:rFonts w:ascii="宋体" w:hAnsi="宋体" w:eastAsia="宋体"/>
                <w:sz w:val="16"/>
                <w:szCs w:val="16"/>
              </w:rPr>
            </w:pPr>
          </w:p>
        </w:tc>
        <w:tc>
          <w:tcPr>
            <w:tcW w:w="605" w:type="pct"/>
            <w:vAlign w:val="center"/>
          </w:tcPr>
          <w:p>
            <w:pPr>
              <w:rPr>
                <w:rFonts w:ascii="宋体" w:hAnsi="宋体" w:eastAsia="宋体"/>
                <w:sz w:val="16"/>
                <w:szCs w:val="16"/>
              </w:rPr>
            </w:pPr>
          </w:p>
        </w:tc>
        <w:tc>
          <w:tcPr>
            <w:tcW w:w="681" w:type="dxa"/>
            <w:vAlign w:val="center"/>
          </w:tcPr>
          <w:p>
            <w:pPr>
              <w:rPr>
                <w:rFonts w:ascii="宋体" w:hAnsi="宋体" w:eastAsia="宋体"/>
                <w:sz w:val="16"/>
                <w:szCs w:val="16"/>
              </w:rPr>
            </w:pPr>
            <w:r>
              <w:rPr>
                <w:rFonts w:hint="eastAsia" w:ascii="宋体" w:hAnsi="宋体" w:eastAsia="宋体"/>
                <w:sz w:val="16"/>
                <w:szCs w:val="16"/>
              </w:rPr>
              <w:t>66.93</w:t>
            </w:r>
          </w:p>
        </w:tc>
        <w:tc>
          <w:tcPr>
            <w:tcW w:w="708" w:type="dxa"/>
            <w:vAlign w:val="center"/>
          </w:tcPr>
          <w:p>
            <w:pPr>
              <w:rPr>
                <w:rFonts w:ascii="宋体" w:hAnsi="宋体" w:eastAsia="宋体"/>
                <w:sz w:val="16"/>
                <w:szCs w:val="16"/>
              </w:rPr>
            </w:pPr>
            <w:r>
              <w:rPr>
                <w:rFonts w:hint="eastAsia" w:ascii="宋体" w:hAnsi="宋体" w:eastAsia="宋体"/>
                <w:sz w:val="16"/>
                <w:szCs w:val="16"/>
              </w:rPr>
              <w:t>66.93</w:t>
            </w: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4" w:type="pct"/>
            <w:vAlign w:val="center"/>
          </w:tcPr>
          <w:p>
            <w:pPr>
              <w:rPr>
                <w:rFonts w:ascii="宋体" w:hAnsi="宋体" w:eastAsia="宋体"/>
                <w:sz w:val="16"/>
                <w:szCs w:val="16"/>
              </w:rPr>
            </w:pPr>
          </w:p>
        </w:tc>
        <w:tc>
          <w:tcPr>
            <w:tcW w:w="156" w:type="pct"/>
            <w:vAlign w:val="center"/>
          </w:tcPr>
          <w:p>
            <w:pPr>
              <w:rPr>
                <w:rFonts w:ascii="宋体" w:hAnsi="宋体" w:eastAsia="宋体"/>
                <w:sz w:val="16"/>
                <w:szCs w:val="16"/>
              </w:rPr>
            </w:pPr>
          </w:p>
        </w:tc>
        <w:tc>
          <w:tcPr>
            <w:tcW w:w="181" w:type="pct"/>
            <w:vAlign w:val="center"/>
          </w:tcPr>
          <w:p>
            <w:pPr>
              <w:rPr>
                <w:rFonts w:ascii="宋体" w:hAnsi="宋体" w:eastAsia="宋体"/>
                <w:sz w:val="16"/>
                <w:szCs w:val="16"/>
              </w:rPr>
            </w:pPr>
          </w:p>
        </w:tc>
        <w:tc>
          <w:tcPr>
            <w:tcW w:w="239" w:type="pct"/>
            <w:vAlign w:val="center"/>
          </w:tcPr>
          <w:p>
            <w:pPr>
              <w:rPr>
                <w:rFonts w:ascii="宋体" w:hAnsi="宋体" w:eastAsia="宋体"/>
                <w:sz w:val="16"/>
                <w:szCs w:val="16"/>
              </w:rPr>
            </w:pPr>
          </w:p>
        </w:tc>
        <w:tc>
          <w:tcPr>
            <w:tcW w:w="194" w:type="pct"/>
            <w:vAlign w:val="center"/>
          </w:tcPr>
          <w:p>
            <w:pPr>
              <w:rPr>
                <w:rFonts w:ascii="宋体" w:hAnsi="宋体" w:eastAsia="宋体"/>
                <w:sz w:val="16"/>
                <w:szCs w:val="16"/>
              </w:rPr>
            </w:pPr>
          </w:p>
        </w:tc>
        <w:tc>
          <w:tcPr>
            <w:tcW w:w="169" w:type="pct"/>
            <w:vAlign w:val="center"/>
          </w:tcPr>
          <w:p>
            <w:pPr>
              <w:rPr>
                <w:rFonts w:ascii="宋体" w:hAnsi="宋体" w:eastAsia="宋体"/>
                <w:sz w:val="16"/>
                <w:szCs w:val="16"/>
              </w:rPr>
            </w:pPr>
          </w:p>
        </w:tc>
      </w:tr>
    </w:tbl>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ign w:val="center"/>
          </w:tcPr>
          <w:p>
            <w:pPr>
              <w:jc w:val="center"/>
              <w:rPr>
                <w:rFonts w:ascii="华文细黑" w:hAnsi="华文细黑" w:eastAsia="华文细黑" w:cs="华文细黑"/>
                <w:kern w:val="0"/>
                <w:sz w:val="20"/>
              </w:rPr>
            </w:pPr>
            <w:r>
              <w:rPr>
                <w:rFonts w:hint="eastAsia" w:ascii="Calibri" w:hAnsi="Calibri" w:eastAsia="FZXiaoBiaoSong-B05S"/>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ign w:val="bottom"/>
          </w:tcPr>
          <w:p>
            <w:pPr>
              <w:jc w:val="right"/>
              <w:rPr>
                <w:rFonts w:ascii="华文细黑" w:hAnsi="华文细黑" w:eastAsia="华文细黑" w:cs="华文细黑"/>
                <w:kern w:val="0"/>
                <w:sz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color w:val="000000"/>
                <w:sz w:val="20"/>
              </w:rPr>
            </w:pPr>
            <w:r>
              <w:rPr>
                <w:rFonts w:hint="eastAsia" w:ascii="华文细黑" w:hAnsi="华文细黑" w:eastAsia="华文细黑" w:cs="华文细黑"/>
                <w:color w:val="000000"/>
                <w:sz w:val="20"/>
              </w:rPr>
              <w:t>部门/单位/</w:t>
            </w:r>
          </w:p>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项目名称</w:t>
            </w:r>
          </w:p>
        </w:tc>
        <w:tc>
          <w:tcPr>
            <w:tcW w:w="1284"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color w:val="000000"/>
                <w:sz w:val="20"/>
              </w:rPr>
              <w:t>委托事项内容</w:t>
            </w:r>
          </w:p>
        </w:tc>
        <w:tc>
          <w:tcPr>
            <w:tcW w:w="2778" w:type="dxa"/>
            <w:gridSpan w:val="4"/>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财政拨款收入</w:t>
            </w:r>
          </w:p>
        </w:tc>
        <w:tc>
          <w:tcPr>
            <w:tcW w:w="106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是否政府购买服务（是/否）</w:t>
            </w:r>
          </w:p>
        </w:tc>
        <w:tc>
          <w:tcPr>
            <w:tcW w:w="1036"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是否政府采购（是/否）</w:t>
            </w:r>
          </w:p>
        </w:tc>
        <w:tc>
          <w:tcPr>
            <w:tcW w:w="803" w:type="dxa"/>
            <w:vMerge w:val="restart"/>
            <w:tcBorders>
              <w:top w:val="single" w:color="auto" w:sz="4" w:space="0"/>
              <w:bottom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284"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66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合计</w:t>
            </w:r>
          </w:p>
        </w:tc>
        <w:tc>
          <w:tcPr>
            <w:tcW w:w="666"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政府性基金预算拨款收入</w:t>
            </w:r>
          </w:p>
        </w:tc>
        <w:tc>
          <w:tcPr>
            <w:tcW w:w="728" w:type="dxa"/>
            <w:tcBorders>
              <w:top w:val="single" w:color="auto"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国有资本经营预算拨款收入</w:t>
            </w:r>
          </w:p>
        </w:tc>
        <w:tc>
          <w:tcPr>
            <w:tcW w:w="106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1036"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c>
          <w:tcPr>
            <w:tcW w:w="803" w:type="dxa"/>
            <w:vMerge w:val="continue"/>
            <w:tcBorders>
              <w:top w:val="single" w:color="auto" w:sz="4" w:space="0"/>
            </w:tcBorders>
            <w:noWrap/>
            <w:vAlign w:val="center"/>
          </w:tcPr>
          <w:p>
            <w:pPr>
              <w:jc w:val="cente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部门名称</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200" w:firstLineChars="100"/>
              <w:rPr>
                <w:rFonts w:ascii="华文细黑" w:hAnsi="华文细黑" w:eastAsia="华文细黑" w:cs="华文细黑"/>
                <w:kern w:val="0"/>
                <w:sz w:val="20"/>
              </w:rPr>
            </w:pPr>
            <w:r>
              <w:rPr>
                <w:rFonts w:hint="eastAsia" w:ascii="华文细黑" w:hAnsi="华文细黑" w:eastAsia="华文细黑" w:cs="华文细黑"/>
                <w:kern w:val="0"/>
                <w:sz w:val="20"/>
              </w:rPr>
              <w:t>单位名称2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项目名称1</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ign w:val="center"/>
          </w:tcPr>
          <w:p>
            <w:pPr>
              <w:ind w:firstLine="400" w:firstLineChars="200"/>
              <w:rPr>
                <w:rFonts w:ascii="华文细黑" w:hAnsi="华文细黑" w:eastAsia="华文细黑" w:cs="华文细黑"/>
                <w:kern w:val="0"/>
                <w:sz w:val="20"/>
              </w:rPr>
            </w:pPr>
            <w:r>
              <w:rPr>
                <w:rFonts w:hint="eastAsia" w:ascii="华文细黑" w:hAnsi="华文细黑" w:eastAsia="华文细黑" w:cs="华文细黑"/>
                <w:kern w:val="0"/>
                <w:sz w:val="20"/>
              </w:rPr>
              <w:t>项目名称2</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ign w:val="center"/>
          </w:tcPr>
          <w:p>
            <w:pPr>
              <w:rPr>
                <w:rFonts w:ascii="华文细黑" w:hAnsi="华文细黑" w:eastAsia="华文细黑" w:cs="华文细黑"/>
                <w:kern w:val="0"/>
                <w:sz w:val="20"/>
              </w:rPr>
            </w:pPr>
            <w:r>
              <w:rPr>
                <w:rFonts w:hint="eastAsia" w:ascii="华文细黑" w:hAnsi="华文细黑" w:eastAsia="华文细黑" w:cs="华文细黑"/>
                <w:kern w:val="0"/>
                <w:sz w:val="20"/>
              </w:rPr>
              <w:t>......</w:t>
            </w:r>
          </w:p>
        </w:tc>
        <w:tc>
          <w:tcPr>
            <w:tcW w:w="1284" w:type="dxa"/>
            <w:noWrap/>
            <w:vAlign w:val="center"/>
          </w:tcPr>
          <w:p>
            <w:pPr>
              <w:rPr>
                <w:rFonts w:ascii="华文细黑" w:hAnsi="华文细黑" w:eastAsia="华文细黑" w:cs="华文细黑"/>
                <w:kern w:val="0"/>
                <w:sz w:val="20"/>
              </w:rPr>
            </w:pPr>
          </w:p>
        </w:tc>
        <w:tc>
          <w:tcPr>
            <w:tcW w:w="667" w:type="dxa"/>
            <w:noWrap/>
            <w:vAlign w:val="center"/>
          </w:tcPr>
          <w:p>
            <w:pPr>
              <w:rPr>
                <w:rFonts w:ascii="华文细黑" w:hAnsi="华文细黑" w:eastAsia="华文细黑" w:cs="华文细黑"/>
                <w:kern w:val="0"/>
                <w:sz w:val="20"/>
              </w:rPr>
            </w:pPr>
          </w:p>
        </w:tc>
        <w:tc>
          <w:tcPr>
            <w:tcW w:w="666" w:type="dxa"/>
            <w:noWrap/>
            <w:vAlign w:val="center"/>
          </w:tcPr>
          <w:p>
            <w:pPr>
              <w:rPr>
                <w:rFonts w:ascii="华文细黑" w:hAnsi="华文细黑" w:eastAsia="华文细黑" w:cs="华文细黑"/>
                <w:kern w:val="0"/>
                <w:sz w:val="20"/>
              </w:rPr>
            </w:pPr>
          </w:p>
        </w:tc>
        <w:tc>
          <w:tcPr>
            <w:tcW w:w="717" w:type="dxa"/>
            <w:noWrap/>
            <w:vAlign w:val="center"/>
          </w:tcPr>
          <w:p>
            <w:pPr>
              <w:rPr>
                <w:rFonts w:ascii="华文细黑" w:hAnsi="华文细黑" w:eastAsia="华文细黑" w:cs="华文细黑"/>
                <w:kern w:val="0"/>
                <w:sz w:val="20"/>
              </w:rPr>
            </w:pPr>
          </w:p>
        </w:tc>
        <w:tc>
          <w:tcPr>
            <w:tcW w:w="728" w:type="dxa"/>
            <w:noWrap/>
            <w:vAlign w:val="center"/>
          </w:tcPr>
          <w:p>
            <w:pPr>
              <w:rPr>
                <w:rFonts w:ascii="华文细黑" w:hAnsi="华文细黑" w:eastAsia="华文细黑" w:cs="华文细黑"/>
                <w:kern w:val="0"/>
                <w:sz w:val="20"/>
              </w:rPr>
            </w:pPr>
          </w:p>
        </w:tc>
        <w:tc>
          <w:tcPr>
            <w:tcW w:w="1063" w:type="dxa"/>
            <w:noWrap/>
            <w:vAlign w:val="center"/>
          </w:tcPr>
          <w:p>
            <w:pPr>
              <w:rPr>
                <w:rFonts w:ascii="华文细黑" w:hAnsi="华文细黑" w:eastAsia="华文细黑" w:cs="华文细黑"/>
                <w:kern w:val="0"/>
                <w:sz w:val="20"/>
              </w:rPr>
            </w:pPr>
          </w:p>
        </w:tc>
        <w:tc>
          <w:tcPr>
            <w:tcW w:w="1036" w:type="dxa"/>
            <w:noWrap/>
            <w:vAlign w:val="center"/>
          </w:tcPr>
          <w:p>
            <w:pPr>
              <w:rPr>
                <w:rFonts w:ascii="华文细黑" w:hAnsi="华文细黑" w:eastAsia="华文细黑" w:cs="华文细黑"/>
                <w:kern w:val="0"/>
                <w:sz w:val="20"/>
              </w:rPr>
            </w:pPr>
          </w:p>
        </w:tc>
        <w:tc>
          <w:tcPr>
            <w:tcW w:w="803" w:type="dxa"/>
            <w:noWrap/>
            <w:vAlign w:val="center"/>
          </w:tcPr>
          <w:p>
            <w:pPr>
              <w:rPr>
                <w:rFonts w:ascii="华文细黑" w:hAnsi="华文细黑" w:eastAsia="华文细黑" w:cs="华文细黑"/>
                <w:kern w:val="0"/>
                <w:sz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9"/>
        <w:tblpPr w:leftFromText="180" w:rightFromText="180" w:vertAnchor="text" w:horzAnchor="page" w:tblpX="1581"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16"/>
        <w:gridCol w:w="912"/>
        <w:gridCol w:w="1524"/>
        <w:gridCol w:w="840"/>
        <w:gridCol w:w="1253"/>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FZXiaoBiaoSong-B05S"/>
                <w:kern w:val="0"/>
                <w:sz w:val="44"/>
                <w:szCs w:val="44"/>
              </w:rPr>
            </w:pPr>
            <w:r>
              <w:rPr>
                <w:rFonts w:hint="eastAsia" w:ascii="Calibri" w:hAnsi="Calibri" w:eastAsia="FZXiaoBiaoSong-B05S"/>
                <w:kern w:val="0"/>
                <w:sz w:val="44"/>
                <w:szCs w:val="44"/>
              </w:rPr>
              <w:t>项目支出绩效目标</w:t>
            </w:r>
            <w:r>
              <w:rPr>
                <w:rFonts w:ascii="Calibri" w:hAnsi="Calibri" w:eastAsia="FZXiaoBiaoSong-B05S"/>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32"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白山市统计局浑江区分局（本级）</w:t>
            </w:r>
          </w:p>
        </w:tc>
        <w:tc>
          <w:tcPr>
            <w:tcW w:w="1116"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第五次全国经济普查经费</w:t>
            </w:r>
          </w:p>
        </w:tc>
        <w:tc>
          <w:tcPr>
            <w:tcW w:w="912"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37.42</w:t>
            </w:r>
          </w:p>
        </w:tc>
        <w:tc>
          <w:tcPr>
            <w:tcW w:w="1524"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按照上级要求，部署并组织开展宣传动员工作、单位清查、划分普查区、绘制电子地图、组织实施普查登记、数据处理、普查表审核及数据处理，对普查登记阶段进行监督和执法检查。目的是摸清各类单位基本情况，掌握国民经济行业间经济联系。普查登记质量和数据处理质量进行抽查，汇总普查原始资料，审核汇总资料，数据发布、建立数据库、研究分析、编印普查资料。通过普查进一步夯实统计基础，为加强和改善宏观经济治理提供科学、准确的统计信息支持。</w:t>
            </w:r>
          </w:p>
        </w:tc>
        <w:tc>
          <w:tcPr>
            <w:tcW w:w="840"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统计信息发布条数</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反映数据发布情况</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2篇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73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11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1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52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840"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253"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时效指标</w:t>
            </w:r>
          </w:p>
        </w:tc>
        <w:tc>
          <w:tcPr>
            <w:tcW w:w="641"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普查员、普查指导员补助发放及时率</w:t>
            </w:r>
          </w:p>
        </w:tc>
        <w:tc>
          <w:tcPr>
            <w:tcW w:w="641"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普查员、普查指导员补助发放及时情况</w:t>
            </w:r>
          </w:p>
        </w:tc>
        <w:tc>
          <w:tcPr>
            <w:tcW w:w="641"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6月30日前完成</w:t>
            </w:r>
          </w:p>
        </w:tc>
        <w:tc>
          <w:tcPr>
            <w:tcW w:w="641" w:type="dxa"/>
            <w:tcBorders>
              <w:top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116"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912"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524"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840"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1253"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普查员、普查指导员补贴发放覆盖率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反映普查员、普查指导员补贴发放覆盖率情况。</w:t>
            </w:r>
          </w:p>
        </w:tc>
        <w:tc>
          <w:tcPr>
            <w:tcW w:w="641"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100%</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40</w:t>
            </w:r>
          </w:p>
        </w:tc>
      </w:tr>
    </w:tbl>
    <w:p>
      <w:pPr>
        <w:spacing w:line="700" w:lineRule="exact"/>
        <w:ind w:firstLine="640" w:firstLineChars="200"/>
        <w:rPr>
          <w:rFonts w:eastAsia="楷体"/>
          <w:kern w:val="0"/>
          <w:szCs w:val="32"/>
        </w:rPr>
      </w:pPr>
      <w:r>
        <w:rPr>
          <w:rFonts w:hint="eastAsia" w:eastAsia="楷体"/>
          <w:kern w:val="0"/>
          <w:szCs w:val="32"/>
        </w:rPr>
        <w:br w:type="page"/>
      </w:r>
    </w:p>
    <w:tbl>
      <w:tblPr>
        <w:tblStyle w:val="9"/>
        <w:tblpPr w:leftFromText="180" w:rightFromText="180" w:vertAnchor="text" w:horzAnchor="page" w:tblpX="1581"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tcPr>
          <w:p>
            <w:pPr>
              <w:widowControl/>
              <w:jc w:val="center"/>
              <w:rPr>
                <w:rFonts w:ascii="Calibri" w:hAnsi="Calibri" w:eastAsia="FZXiaoBiaoSong-B05S"/>
                <w:kern w:val="0"/>
                <w:sz w:val="44"/>
                <w:szCs w:val="44"/>
              </w:rPr>
            </w:pPr>
            <w:r>
              <w:rPr>
                <w:rFonts w:hint="eastAsia" w:ascii="Calibri" w:hAnsi="Calibri" w:eastAsia="FZXiaoBiaoSong-B05S"/>
                <w:kern w:val="0"/>
                <w:sz w:val="44"/>
                <w:szCs w:val="44"/>
              </w:rPr>
              <w:t>项目支出绩效目标</w:t>
            </w:r>
            <w:r>
              <w:rPr>
                <w:rFonts w:ascii="Calibri" w:hAnsi="Calibri" w:eastAsia="FZXiaoBiaoSong-B05S"/>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ign w:val="center"/>
          </w:tcPr>
          <w:p>
            <w:pPr>
              <w:ind w:left="400" w:hanging="400" w:hangingChars="200"/>
              <w:jc w:val="center"/>
              <w:rPr>
                <w:rFonts w:ascii="华文细黑" w:hAnsi="华文细黑" w:eastAsia="华文细黑" w:cs="华文细黑"/>
                <w:kern w:val="0"/>
                <w:sz w:val="20"/>
              </w:rPr>
            </w:pPr>
            <w:r>
              <w:rPr>
                <w:rFonts w:hint="eastAsia" w:ascii="华文细黑" w:hAnsi="华文细黑" w:eastAsia="华文细黑" w:cs="华文细黑"/>
                <w:kern w:val="0"/>
                <w:sz w:val="20"/>
              </w:rPr>
              <w:t>单位名称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项目名称</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年度资金总额（万元）</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年度绩效目标</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一级指标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二级指标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三级指标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指标解释</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指标值</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20"/>
              </w:rPr>
            </w:pPr>
            <w:r>
              <w:rPr>
                <w:rFonts w:hint="eastAsia" w:ascii="华文细黑" w:hAnsi="华文细黑" w:eastAsia="华文细黑" w:cs="华文细黑"/>
                <w:kern w:val="0"/>
                <w:sz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白山市统计局浑江区分局（本级）</w:t>
            </w: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统计调查经费</w:t>
            </w: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29.51</w:t>
            </w:r>
          </w:p>
        </w:tc>
        <w:tc>
          <w:tcPr>
            <w:tcW w:w="1038" w:type="dxa"/>
            <w:vMerge w:val="restart"/>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按照上级统计部门工作要求，组织实施月、季度、年度统计调查任务，全面、及时、准确地上报各专业统计报表，及时发布统计公报，为社会公众需要和政府决策提供详实统计数据。</w:t>
            </w:r>
          </w:p>
        </w:tc>
        <w:tc>
          <w:tcPr>
            <w:tcW w:w="778" w:type="dxa"/>
            <w:tcBorders>
              <w:top w:val="single" w:color="000000" w:sz="4" w:space="0"/>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成本指标</w:t>
            </w:r>
          </w:p>
        </w:tc>
        <w:tc>
          <w:tcPr>
            <w:tcW w:w="144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经济成本指标</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培训人均成本</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反映培训成本控制情况</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400元/人/天</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78" w:type="dxa"/>
            <w:vMerge w:val="restart"/>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产出指标</w:t>
            </w:r>
          </w:p>
        </w:tc>
        <w:tc>
          <w:tcPr>
            <w:tcW w:w="144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数量指标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统计分析报告篇数</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反映统计分析报告篇数情况</w:t>
            </w:r>
          </w:p>
        </w:tc>
        <w:tc>
          <w:tcPr>
            <w:tcW w:w="641"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4篇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78" w:type="dxa"/>
            <w:vMerge w:val="continue"/>
            <w:noWrap/>
            <w:vAlign w:val="center"/>
          </w:tcPr>
          <w:p>
            <w:pPr>
              <w:jc w:val="center"/>
              <w:rPr>
                <w:rFonts w:ascii="华文细黑" w:hAnsi="华文细黑" w:eastAsia="华文细黑" w:cs="华文细黑"/>
                <w:kern w:val="0"/>
                <w:sz w:val="18"/>
                <w:szCs w:val="18"/>
              </w:rPr>
            </w:pPr>
          </w:p>
        </w:tc>
        <w:tc>
          <w:tcPr>
            <w:tcW w:w="144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时效指标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统计公报撰写完成时间</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撰写2023年度统计公报完成时间</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6月30日前完成</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7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效益指标</w:t>
            </w:r>
          </w:p>
        </w:tc>
        <w:tc>
          <w:tcPr>
            <w:tcW w:w="144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社会效益指标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培训覆盖率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反映培训覆盖情况。</w:t>
            </w:r>
          </w:p>
        </w:tc>
        <w:tc>
          <w:tcPr>
            <w:tcW w:w="641"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80%</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1038" w:type="dxa"/>
            <w:vMerge w:val="continue"/>
            <w:tcBorders>
              <w:left w:val="single" w:color="000000" w:sz="4" w:space="0"/>
              <w:right w:val="single" w:color="000000" w:sz="4" w:space="0"/>
            </w:tcBorders>
            <w:noWrap/>
            <w:vAlign w:val="center"/>
          </w:tcPr>
          <w:p>
            <w:pPr>
              <w:jc w:val="center"/>
              <w:rPr>
                <w:rFonts w:ascii="华文细黑" w:hAnsi="华文细黑" w:eastAsia="华文细黑" w:cs="华文细黑"/>
                <w:kern w:val="0"/>
                <w:sz w:val="18"/>
                <w:szCs w:val="18"/>
              </w:rPr>
            </w:pPr>
          </w:p>
        </w:tc>
        <w:tc>
          <w:tcPr>
            <w:tcW w:w="778"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满意度指标</w:t>
            </w:r>
          </w:p>
        </w:tc>
        <w:tc>
          <w:tcPr>
            <w:tcW w:w="1447"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服务对象满意度指标</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培训人员满意度</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反映参加培训人员的满意度情况。</w:t>
            </w:r>
          </w:p>
        </w:tc>
        <w:tc>
          <w:tcPr>
            <w:tcW w:w="641" w:type="dxa"/>
            <w:noWrap/>
            <w:vAlign w:val="center"/>
          </w:tcPr>
          <w:p>
            <w:pPr>
              <w:jc w:val="center"/>
              <w:rPr>
                <w:rFonts w:ascii="华文细黑" w:hAnsi="华文细黑" w:eastAsia="华文细黑" w:cs="华文细黑"/>
                <w:kern w:val="0"/>
                <w:sz w:val="18"/>
                <w:szCs w:val="18"/>
              </w:rPr>
            </w:pPr>
            <w:r>
              <w:rPr>
                <w:rFonts w:hint="eastAsia" w:ascii="宋体" w:hAnsi="宋体" w:eastAsia="宋体" w:cs="宋体"/>
                <w:kern w:val="0"/>
                <w:sz w:val="15"/>
                <w:szCs w:val="15"/>
              </w:rPr>
              <w:t>≥</w:t>
            </w:r>
            <w:r>
              <w:rPr>
                <w:rFonts w:hint="eastAsia" w:ascii="华文细黑" w:hAnsi="华文细黑" w:eastAsia="华文细黑" w:cs="华文细黑"/>
                <w:kern w:val="0"/>
                <w:sz w:val="18"/>
                <w:szCs w:val="18"/>
              </w:rPr>
              <w:t>90%</w:t>
            </w:r>
          </w:p>
        </w:tc>
        <w:tc>
          <w:tcPr>
            <w:tcW w:w="641" w:type="dxa"/>
            <w:noWrap/>
            <w:vAlign w:val="center"/>
          </w:tcPr>
          <w:p>
            <w:pPr>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10</w:t>
            </w:r>
          </w:p>
        </w:tc>
      </w:tr>
    </w:tbl>
    <w:p>
      <w:pPr>
        <w:spacing w:line="700" w:lineRule="exact"/>
        <w:rPr>
          <w:rFonts w:eastAsia="楷体"/>
          <w:kern w:val="0"/>
          <w:szCs w:val="32"/>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rFonts w:eastAsia="仿宋_GB2312"/>
          <w:szCs w:val="32"/>
        </w:rPr>
      </w:pPr>
      <w:r>
        <w:rPr>
          <w:rFonts w:eastAsia="仿宋_GB2312"/>
          <w:szCs w:val="32"/>
        </w:rPr>
        <w:t>按照综合预算的原则，所有收入和支出全部纳入</w:t>
      </w:r>
      <w:r>
        <w:rPr>
          <w:rFonts w:hint="eastAsia" w:eastAsia="仿宋_GB2312"/>
          <w:szCs w:val="32"/>
        </w:rPr>
        <w:t>单位</w:t>
      </w:r>
      <w:r>
        <w:rPr>
          <w:rFonts w:eastAsia="仿宋_GB2312"/>
          <w:szCs w:val="32"/>
        </w:rPr>
        <w:t>预算管理。收入包括：一般公共预算拨款收入、上年结转</w:t>
      </w:r>
      <w:r>
        <w:rPr>
          <w:rFonts w:hint="eastAsia" w:eastAsia="仿宋_GB2312"/>
          <w:szCs w:val="32"/>
        </w:rPr>
        <w:t>结余</w:t>
      </w:r>
      <w:r>
        <w:rPr>
          <w:rFonts w:eastAsia="仿宋_GB2312"/>
          <w:szCs w:val="32"/>
        </w:rPr>
        <w:t>等；支出包括：一般公共服务支出、社会保障和就业支出、</w:t>
      </w:r>
      <w:r>
        <w:rPr>
          <w:rFonts w:hint="eastAsia" w:eastAsia="仿宋_GB2312"/>
          <w:szCs w:val="32"/>
        </w:rPr>
        <w:t>卫生健康</w:t>
      </w:r>
      <w:r>
        <w:rPr>
          <w:rFonts w:eastAsia="仿宋_GB2312"/>
          <w:szCs w:val="32"/>
        </w:rPr>
        <w:t>支出、住房保障支出等。20</w:t>
      </w:r>
      <w:r>
        <w:rPr>
          <w:rFonts w:hint="eastAsia" w:eastAsia="仿宋_GB2312"/>
          <w:szCs w:val="32"/>
        </w:rPr>
        <w:t>24</w:t>
      </w:r>
      <w:r>
        <w:rPr>
          <w:rFonts w:eastAsia="仿宋_GB2312"/>
          <w:szCs w:val="32"/>
        </w:rPr>
        <w:t>年收支总预算</w:t>
      </w:r>
      <w:r>
        <w:rPr>
          <w:rFonts w:hint="eastAsia" w:eastAsia="仿宋_GB2312"/>
          <w:szCs w:val="32"/>
        </w:rPr>
        <w:t>172.67</w:t>
      </w:r>
      <w:r>
        <w:rPr>
          <w:rFonts w:eastAsia="仿宋_GB2312"/>
          <w:szCs w:val="32"/>
        </w:rPr>
        <w:t>万元</w:t>
      </w:r>
      <w:r>
        <w:rPr>
          <w:rFonts w:hint="eastAsia" w:eastAsia="仿宋_GB2312"/>
          <w:szCs w:val="32"/>
        </w:rPr>
        <w:t>，其中：本年预算162.37万元；上年结转10.30万元。2024年本年预算</w:t>
      </w:r>
      <w:r>
        <w:rPr>
          <w:rFonts w:eastAsia="仿宋_GB2312"/>
          <w:szCs w:val="32"/>
        </w:rPr>
        <w:t>比20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预算增加</w:t>
      </w:r>
      <w:r>
        <w:rPr>
          <w:rFonts w:hint="eastAsia" w:eastAsia="仿宋_GB2312"/>
          <w:szCs w:val="32"/>
        </w:rPr>
        <w:t>47.57</w:t>
      </w:r>
      <w:r>
        <w:rPr>
          <w:rFonts w:eastAsia="仿宋_GB2312"/>
          <w:szCs w:val="32"/>
        </w:rPr>
        <w:t>万元，主要原因是</w:t>
      </w:r>
      <w:r>
        <w:rPr>
          <w:rFonts w:hint="eastAsia" w:eastAsia="仿宋_GB2312"/>
          <w:szCs w:val="32"/>
        </w:rPr>
        <w:t>：社会保障缴费等基数调整及增加第五次全国经济普查经费，导致预算有所增加。</w:t>
      </w:r>
    </w:p>
    <w:p>
      <w:pPr>
        <w:rPr>
          <w:rFonts w:eastAsia="黑体"/>
          <w:szCs w:val="32"/>
        </w:rPr>
      </w:pPr>
      <w:r>
        <w:rPr>
          <w:rFonts w:hint="eastAsia" w:eastAsia="黑体"/>
          <w:szCs w:val="32"/>
        </w:rPr>
        <w:t>　　</w:t>
      </w:r>
      <w:r>
        <w:rPr>
          <w:rFonts w:eastAsia="黑体"/>
          <w:szCs w:val="32"/>
        </w:rPr>
        <w:t>二、20</w:t>
      </w:r>
      <w:r>
        <w:rPr>
          <w:rFonts w:hint="eastAsia" w:eastAsia="黑体"/>
          <w:szCs w:val="32"/>
        </w:rPr>
        <w:t>24</w:t>
      </w:r>
      <w:r>
        <w:rPr>
          <w:rFonts w:eastAsia="黑体"/>
          <w:szCs w:val="32"/>
        </w:rPr>
        <w:t>年收入预算情况</w:t>
      </w:r>
    </w:p>
    <w:p>
      <w:pPr>
        <w:ind w:firstLine="640" w:firstLineChars="200"/>
        <w:rPr>
          <w:rFonts w:eastAsia="仿宋_GB2312"/>
          <w:szCs w:val="32"/>
        </w:rPr>
      </w:pPr>
      <w:r>
        <w:rPr>
          <w:rFonts w:eastAsia="仿宋_GB2312"/>
          <w:szCs w:val="32"/>
        </w:rPr>
        <w:t>20</w:t>
      </w:r>
      <w:r>
        <w:rPr>
          <w:rFonts w:hint="eastAsia" w:eastAsia="仿宋_GB2312"/>
          <w:szCs w:val="32"/>
        </w:rPr>
        <w:t>24</w:t>
      </w:r>
      <w:r>
        <w:rPr>
          <w:rFonts w:eastAsia="仿宋_GB2312"/>
          <w:szCs w:val="32"/>
        </w:rPr>
        <w:t>年收入预算</w:t>
      </w:r>
      <w:r>
        <w:rPr>
          <w:rFonts w:hint="eastAsia" w:eastAsia="仿宋_GB2312"/>
          <w:szCs w:val="32"/>
        </w:rPr>
        <w:t>172.67</w:t>
      </w:r>
      <w:r>
        <w:rPr>
          <w:rFonts w:eastAsia="仿宋_GB2312"/>
          <w:szCs w:val="32"/>
        </w:rPr>
        <w:t>万元，其中：本年收入</w:t>
      </w:r>
      <w:r>
        <w:rPr>
          <w:rFonts w:hint="eastAsia" w:eastAsia="仿宋_GB2312"/>
          <w:szCs w:val="32"/>
        </w:rPr>
        <w:t>162.37</w:t>
      </w:r>
      <w:r>
        <w:rPr>
          <w:rFonts w:eastAsia="仿宋_GB2312"/>
          <w:szCs w:val="32"/>
        </w:rPr>
        <w:t>万元，占</w:t>
      </w:r>
      <w:r>
        <w:rPr>
          <w:rFonts w:hint="eastAsia" w:eastAsia="仿宋_GB2312"/>
          <w:szCs w:val="32"/>
        </w:rPr>
        <w:t>94.03</w:t>
      </w:r>
      <w:r>
        <w:rPr>
          <w:rFonts w:eastAsia="仿宋_GB2312"/>
          <w:szCs w:val="32"/>
        </w:rPr>
        <w:t>%；上年结转</w:t>
      </w:r>
      <w:r>
        <w:rPr>
          <w:rFonts w:hint="eastAsia" w:eastAsia="仿宋_GB2312"/>
          <w:szCs w:val="32"/>
        </w:rPr>
        <w:t>结余10.30</w:t>
      </w:r>
      <w:r>
        <w:rPr>
          <w:rFonts w:eastAsia="仿宋_GB2312"/>
          <w:szCs w:val="32"/>
        </w:rPr>
        <w:t>万元，占</w:t>
      </w:r>
      <w:r>
        <w:rPr>
          <w:rFonts w:hint="eastAsia" w:eastAsia="仿宋_GB2312"/>
          <w:szCs w:val="32"/>
        </w:rPr>
        <w:t>5.97</w:t>
      </w:r>
      <w:r>
        <w:rPr>
          <w:rFonts w:eastAsia="仿宋_GB2312"/>
          <w:szCs w:val="32"/>
        </w:rPr>
        <w:t>%。本年收入中，一般公共预算拨款收入</w:t>
      </w:r>
      <w:r>
        <w:rPr>
          <w:rFonts w:hint="eastAsia" w:eastAsia="仿宋_GB2312"/>
          <w:szCs w:val="32"/>
        </w:rPr>
        <w:t>162.37</w:t>
      </w:r>
      <w:r>
        <w:rPr>
          <w:rFonts w:eastAsia="仿宋_GB2312"/>
          <w:szCs w:val="32"/>
        </w:rPr>
        <w:t>万元，占</w:t>
      </w:r>
      <w:r>
        <w:rPr>
          <w:rFonts w:hint="eastAsia" w:eastAsia="仿宋_GB2312"/>
          <w:szCs w:val="32"/>
        </w:rPr>
        <w:t>100</w:t>
      </w:r>
      <w:r>
        <w:rPr>
          <w:rFonts w:eastAsia="仿宋_GB2312"/>
          <w:szCs w:val="32"/>
        </w:rPr>
        <w:t>%</w:t>
      </w:r>
      <w:r>
        <w:rPr>
          <w:rFonts w:hint="eastAsia" w:eastAsia="仿宋_GB2312"/>
          <w:szCs w:val="32"/>
        </w:rPr>
        <w:t>。</w:t>
      </w:r>
      <w:r>
        <w:rPr>
          <w:rFonts w:eastAsia="仿宋_GB2312"/>
          <w:szCs w:val="32"/>
        </w:rPr>
        <w:t>上年结转</w:t>
      </w:r>
      <w:r>
        <w:rPr>
          <w:rFonts w:hint="eastAsia" w:eastAsia="仿宋_GB2312"/>
          <w:szCs w:val="32"/>
        </w:rPr>
        <w:t>中，一般公共预算拨款结转10.30</w:t>
      </w:r>
      <w:r>
        <w:rPr>
          <w:rFonts w:eastAsia="仿宋_GB2312"/>
          <w:szCs w:val="32"/>
        </w:rPr>
        <w:t>万元，占</w:t>
      </w:r>
      <w:r>
        <w:rPr>
          <w:rFonts w:hint="eastAsia" w:eastAsia="仿宋_GB2312"/>
          <w:szCs w:val="32"/>
        </w:rPr>
        <w:t>100</w:t>
      </w:r>
      <w:r>
        <w:rPr>
          <w:rFonts w:eastAsia="仿宋_GB2312"/>
          <w:szCs w:val="32"/>
        </w:rPr>
        <w:t>%</w:t>
      </w:r>
      <w:r>
        <w:rPr>
          <w:rFonts w:hint="eastAsia" w:eastAsia="仿宋_GB2312"/>
          <w:szCs w:val="32"/>
        </w:rPr>
        <w:t>。</w:t>
      </w:r>
    </w:p>
    <w:p>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rFonts w:eastAsia="仿宋_GB2312"/>
          <w:szCs w:val="32"/>
        </w:rPr>
      </w:pPr>
      <w:r>
        <w:rPr>
          <w:rFonts w:eastAsia="仿宋_GB2312"/>
          <w:szCs w:val="32"/>
        </w:rPr>
        <w:t>20</w:t>
      </w:r>
      <w:r>
        <w:rPr>
          <w:rFonts w:hint="eastAsia" w:eastAsia="仿宋_GB2312"/>
          <w:szCs w:val="32"/>
        </w:rPr>
        <w:t>24</w:t>
      </w:r>
      <w:r>
        <w:rPr>
          <w:rFonts w:eastAsia="仿宋_GB2312"/>
          <w:szCs w:val="32"/>
        </w:rPr>
        <w:t>年支出预算</w:t>
      </w:r>
      <w:r>
        <w:rPr>
          <w:rFonts w:hint="eastAsia" w:eastAsia="仿宋_GB2312"/>
          <w:szCs w:val="32"/>
        </w:rPr>
        <w:t>172.67</w:t>
      </w:r>
      <w:r>
        <w:rPr>
          <w:rFonts w:eastAsia="仿宋_GB2312"/>
          <w:szCs w:val="32"/>
        </w:rPr>
        <w:t>万元，其中：基本支出</w:t>
      </w:r>
      <w:r>
        <w:rPr>
          <w:rFonts w:hint="eastAsia" w:eastAsia="仿宋_GB2312"/>
          <w:szCs w:val="32"/>
        </w:rPr>
        <w:t>105.74</w:t>
      </w:r>
      <w:r>
        <w:rPr>
          <w:rFonts w:eastAsia="仿宋_GB2312"/>
          <w:szCs w:val="32"/>
        </w:rPr>
        <w:t>万元，占</w:t>
      </w:r>
      <w:r>
        <w:rPr>
          <w:rFonts w:hint="eastAsia" w:eastAsia="仿宋_GB2312"/>
          <w:szCs w:val="32"/>
        </w:rPr>
        <w:t>61.24</w:t>
      </w:r>
      <w:r>
        <w:rPr>
          <w:rFonts w:eastAsia="仿宋_GB2312"/>
          <w:szCs w:val="32"/>
        </w:rPr>
        <w:t>%；项目支出</w:t>
      </w:r>
      <w:r>
        <w:rPr>
          <w:rFonts w:hint="eastAsia" w:eastAsia="仿宋_GB2312"/>
          <w:szCs w:val="32"/>
        </w:rPr>
        <w:t>66.93</w:t>
      </w:r>
      <w:r>
        <w:rPr>
          <w:rFonts w:eastAsia="仿宋_GB2312"/>
          <w:szCs w:val="32"/>
        </w:rPr>
        <w:t>万元，占</w:t>
      </w:r>
      <w:r>
        <w:rPr>
          <w:rFonts w:hint="eastAsia" w:eastAsia="仿宋_GB2312"/>
          <w:szCs w:val="32"/>
        </w:rPr>
        <w:t>38.76</w:t>
      </w:r>
      <w:r>
        <w:rPr>
          <w:rFonts w:eastAsia="仿宋_GB2312"/>
          <w:szCs w:val="32"/>
        </w:rPr>
        <w:t>%。</w:t>
      </w:r>
    </w:p>
    <w:p>
      <w:pPr>
        <w:ind w:firstLine="640" w:firstLineChars="200"/>
        <w:rPr>
          <w:rFonts w:eastAsia="仿宋_GB2312"/>
          <w:szCs w:val="32"/>
        </w:rPr>
      </w:pPr>
      <w:r>
        <w:rPr>
          <w:rFonts w:eastAsia="仿宋_GB2312"/>
          <w:szCs w:val="32"/>
        </w:rPr>
        <w:t>四、20</w:t>
      </w:r>
      <w:r>
        <w:rPr>
          <w:rFonts w:hint="eastAsia" w:eastAsia="仿宋_GB2312"/>
          <w:szCs w:val="32"/>
        </w:rPr>
        <w:t>24</w:t>
      </w:r>
      <w:r>
        <w:rPr>
          <w:rFonts w:eastAsia="仿宋_GB2312"/>
          <w:szCs w:val="32"/>
        </w:rPr>
        <w:t>年财政拨款收支预算情况</w:t>
      </w:r>
    </w:p>
    <w:p>
      <w:pPr>
        <w:ind w:firstLine="640" w:firstLineChars="200"/>
        <w:rPr>
          <w:rFonts w:eastAsia="仿宋_GB2312"/>
          <w:szCs w:val="32"/>
        </w:rPr>
      </w:pPr>
      <w:r>
        <w:rPr>
          <w:rFonts w:eastAsia="仿宋_GB2312"/>
          <w:szCs w:val="32"/>
        </w:rPr>
        <w:t>20</w:t>
      </w:r>
      <w:r>
        <w:rPr>
          <w:rFonts w:hint="eastAsia" w:eastAsia="仿宋_GB2312"/>
          <w:szCs w:val="32"/>
        </w:rPr>
        <w:t>24</w:t>
      </w:r>
      <w:r>
        <w:rPr>
          <w:rFonts w:eastAsia="仿宋_GB2312"/>
          <w:szCs w:val="32"/>
        </w:rPr>
        <w:t>年财政拨款收支总预算</w:t>
      </w:r>
      <w:r>
        <w:rPr>
          <w:rFonts w:hint="eastAsia" w:eastAsia="仿宋_GB2312"/>
          <w:szCs w:val="32"/>
        </w:rPr>
        <w:t>172.67</w:t>
      </w:r>
      <w:r>
        <w:rPr>
          <w:rFonts w:eastAsia="仿宋_GB2312"/>
          <w:szCs w:val="32"/>
        </w:rPr>
        <w:t>万元，其中：</w:t>
      </w:r>
      <w:r>
        <w:rPr>
          <w:rFonts w:hint="eastAsia" w:eastAsia="仿宋_GB2312"/>
          <w:szCs w:val="32"/>
        </w:rPr>
        <w:t>本年预算162.37</w:t>
      </w:r>
      <w:r>
        <w:rPr>
          <w:rFonts w:eastAsia="仿宋_GB2312"/>
          <w:szCs w:val="32"/>
        </w:rPr>
        <w:t>万元</w:t>
      </w:r>
      <w:r>
        <w:rPr>
          <w:rFonts w:hint="eastAsia" w:eastAsia="仿宋_GB2312"/>
          <w:szCs w:val="32"/>
        </w:rPr>
        <w:t>，上年结转10.30</w:t>
      </w:r>
      <w:r>
        <w:rPr>
          <w:rFonts w:eastAsia="仿宋_GB2312"/>
          <w:szCs w:val="32"/>
        </w:rPr>
        <w:t>万元</w:t>
      </w:r>
      <w:r>
        <w:rPr>
          <w:rFonts w:hint="eastAsia" w:eastAsia="仿宋_GB2312"/>
          <w:szCs w:val="32"/>
        </w:rPr>
        <w:t>。</w:t>
      </w:r>
      <w:r>
        <w:rPr>
          <w:rFonts w:eastAsia="仿宋_GB2312"/>
          <w:szCs w:val="32"/>
        </w:rPr>
        <w:t>支出包括：一般公共服务支出</w:t>
      </w:r>
      <w:r>
        <w:rPr>
          <w:rFonts w:hint="eastAsia" w:eastAsia="仿宋_GB2312"/>
          <w:szCs w:val="32"/>
        </w:rPr>
        <w:t>142.62</w:t>
      </w:r>
      <w:r>
        <w:rPr>
          <w:rFonts w:eastAsia="仿宋_GB2312"/>
          <w:szCs w:val="32"/>
        </w:rPr>
        <w:t>万元，社会保障和就业支出</w:t>
      </w:r>
      <w:r>
        <w:rPr>
          <w:rFonts w:hint="eastAsia" w:eastAsia="仿宋_GB2312"/>
          <w:szCs w:val="32"/>
        </w:rPr>
        <w:t>17.08</w:t>
      </w:r>
      <w:r>
        <w:rPr>
          <w:rFonts w:eastAsia="仿宋_GB2312"/>
          <w:szCs w:val="32"/>
        </w:rPr>
        <w:t>万元，卫生</w:t>
      </w:r>
      <w:r>
        <w:rPr>
          <w:rFonts w:hint="eastAsia" w:eastAsia="仿宋_GB2312"/>
          <w:szCs w:val="32"/>
        </w:rPr>
        <w:t>健康</w:t>
      </w:r>
      <w:r>
        <w:rPr>
          <w:rFonts w:eastAsia="仿宋_GB2312"/>
          <w:szCs w:val="32"/>
        </w:rPr>
        <w:t>支出</w:t>
      </w:r>
      <w:r>
        <w:rPr>
          <w:rFonts w:hint="eastAsia" w:eastAsia="仿宋_GB2312"/>
          <w:szCs w:val="32"/>
        </w:rPr>
        <w:t>6.72</w:t>
      </w:r>
      <w:r>
        <w:rPr>
          <w:rFonts w:eastAsia="仿宋_GB2312"/>
          <w:szCs w:val="32"/>
        </w:rPr>
        <w:t>万元，住房保障支出</w:t>
      </w:r>
      <w:r>
        <w:rPr>
          <w:rFonts w:hint="eastAsia" w:eastAsia="仿宋_GB2312"/>
          <w:szCs w:val="32"/>
        </w:rPr>
        <w:t>6.25</w:t>
      </w:r>
      <w:r>
        <w:rPr>
          <w:rFonts w:eastAsia="仿宋_GB2312"/>
          <w:szCs w:val="32"/>
        </w:rPr>
        <w:t>万元。</w:t>
      </w:r>
    </w:p>
    <w:p>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rFonts w:eastAsia="仿宋_GB2312"/>
          <w:szCs w:val="32"/>
        </w:rPr>
      </w:pPr>
      <w:r>
        <w:rPr>
          <w:rFonts w:eastAsia="仿宋_GB2312"/>
          <w:szCs w:val="32"/>
        </w:rPr>
        <w:t>20</w:t>
      </w:r>
      <w:r>
        <w:rPr>
          <w:rFonts w:hint="eastAsia" w:eastAsia="仿宋_GB2312"/>
          <w:szCs w:val="32"/>
        </w:rPr>
        <w:t>24</w:t>
      </w:r>
      <w:r>
        <w:rPr>
          <w:rFonts w:eastAsia="仿宋_GB2312"/>
          <w:szCs w:val="32"/>
        </w:rPr>
        <w:t>年一般公共预算拨款</w:t>
      </w:r>
      <w:r>
        <w:rPr>
          <w:rFonts w:hint="eastAsia" w:eastAsia="仿宋_GB2312"/>
          <w:szCs w:val="32"/>
        </w:rPr>
        <w:t>172.67</w:t>
      </w:r>
      <w:r>
        <w:rPr>
          <w:rFonts w:eastAsia="仿宋_GB2312"/>
          <w:szCs w:val="32"/>
        </w:rPr>
        <w:t>万元，其中：基本支出</w:t>
      </w:r>
      <w:r>
        <w:rPr>
          <w:rFonts w:hint="eastAsia" w:eastAsia="仿宋_GB2312"/>
          <w:szCs w:val="32"/>
        </w:rPr>
        <w:t>105.74</w:t>
      </w:r>
      <w:r>
        <w:rPr>
          <w:rFonts w:eastAsia="仿宋_GB2312"/>
          <w:szCs w:val="32"/>
        </w:rPr>
        <w:t>万元，占</w:t>
      </w:r>
      <w:r>
        <w:rPr>
          <w:rFonts w:hint="eastAsia" w:eastAsia="仿宋_GB2312"/>
          <w:szCs w:val="32"/>
        </w:rPr>
        <w:t>61.24</w:t>
      </w:r>
      <w:r>
        <w:rPr>
          <w:rFonts w:eastAsia="仿宋_GB2312"/>
          <w:szCs w:val="32"/>
        </w:rPr>
        <w:t>%；项目支出</w:t>
      </w:r>
      <w:r>
        <w:rPr>
          <w:rFonts w:hint="eastAsia" w:eastAsia="仿宋_GB2312"/>
          <w:szCs w:val="32"/>
        </w:rPr>
        <w:t>66.93</w:t>
      </w:r>
      <w:r>
        <w:rPr>
          <w:rFonts w:eastAsia="仿宋_GB2312"/>
          <w:szCs w:val="32"/>
        </w:rPr>
        <w:t>万元，占</w:t>
      </w:r>
      <w:r>
        <w:rPr>
          <w:rFonts w:hint="eastAsia" w:eastAsia="仿宋_GB2312"/>
          <w:szCs w:val="32"/>
        </w:rPr>
        <w:t>38.76</w:t>
      </w:r>
      <w:r>
        <w:rPr>
          <w:rFonts w:eastAsia="仿宋_GB2312"/>
          <w:szCs w:val="32"/>
        </w:rPr>
        <w:t>%。基本支出中，人员经费</w:t>
      </w:r>
      <w:r>
        <w:rPr>
          <w:rFonts w:hint="eastAsia" w:eastAsia="仿宋_GB2312"/>
          <w:szCs w:val="32"/>
        </w:rPr>
        <w:t>89.17</w:t>
      </w:r>
      <w:r>
        <w:rPr>
          <w:rFonts w:eastAsia="仿宋_GB2312"/>
          <w:szCs w:val="32"/>
        </w:rPr>
        <w:t>万元，占</w:t>
      </w:r>
      <w:r>
        <w:rPr>
          <w:rFonts w:hint="eastAsia" w:eastAsia="仿宋_GB2312"/>
          <w:szCs w:val="32"/>
        </w:rPr>
        <w:t>84.33</w:t>
      </w:r>
      <w:r>
        <w:rPr>
          <w:rFonts w:eastAsia="仿宋_GB2312"/>
          <w:szCs w:val="32"/>
        </w:rPr>
        <w:t>%；公用经费</w:t>
      </w:r>
      <w:r>
        <w:rPr>
          <w:rFonts w:hint="eastAsia" w:eastAsia="仿宋_GB2312"/>
          <w:szCs w:val="32"/>
        </w:rPr>
        <w:t>16.57</w:t>
      </w:r>
      <w:r>
        <w:rPr>
          <w:rFonts w:eastAsia="仿宋_GB2312"/>
          <w:szCs w:val="32"/>
        </w:rPr>
        <w:t>万元，占</w:t>
      </w:r>
      <w:r>
        <w:rPr>
          <w:rFonts w:hint="eastAsia" w:eastAsia="仿宋_GB2312"/>
          <w:szCs w:val="32"/>
        </w:rPr>
        <w:t>15.67</w:t>
      </w:r>
      <w:r>
        <w:rPr>
          <w:rFonts w:eastAsia="仿宋_GB2312"/>
          <w:szCs w:val="32"/>
        </w:rPr>
        <w:t>%。</w:t>
      </w:r>
    </w:p>
    <w:p>
      <w:pPr>
        <w:spacing w:line="520" w:lineRule="exact"/>
        <w:ind w:firstLine="640" w:firstLineChars="200"/>
        <w:rPr>
          <w:rFonts w:eastAsia="仿宋_GB2312"/>
          <w:szCs w:val="32"/>
        </w:rPr>
      </w:pPr>
      <w:r>
        <w:rPr>
          <w:rFonts w:eastAsia="仿宋_GB2312"/>
          <w:szCs w:val="32"/>
        </w:rPr>
        <w:t>一般公共服务（类）支出</w:t>
      </w:r>
      <w:r>
        <w:rPr>
          <w:rFonts w:hint="eastAsia" w:eastAsia="仿宋_GB2312"/>
          <w:szCs w:val="32"/>
        </w:rPr>
        <w:t>142.62</w:t>
      </w:r>
      <w:r>
        <w:rPr>
          <w:rFonts w:eastAsia="仿宋_GB2312"/>
          <w:szCs w:val="32"/>
        </w:rPr>
        <w:t>万元，占</w:t>
      </w:r>
      <w:r>
        <w:rPr>
          <w:rFonts w:hint="eastAsia" w:eastAsia="仿宋_GB2312"/>
          <w:szCs w:val="32"/>
        </w:rPr>
        <w:t>82.60</w:t>
      </w:r>
      <w:r>
        <w:rPr>
          <w:rFonts w:eastAsia="仿宋_GB2312"/>
          <w:szCs w:val="32"/>
        </w:rPr>
        <w:t>%，主要用于</w:t>
      </w:r>
      <w:r>
        <w:rPr>
          <w:rFonts w:hint="eastAsia" w:eastAsia="仿宋_GB2312"/>
          <w:szCs w:val="32"/>
        </w:rPr>
        <w:t>保障职工工资，维持机关正常运转，完成年度统计工作任务</w:t>
      </w:r>
      <w:r>
        <w:rPr>
          <w:rFonts w:eastAsia="仿宋_GB2312"/>
          <w:szCs w:val="32"/>
        </w:rPr>
        <w:t>。</w:t>
      </w:r>
    </w:p>
    <w:p>
      <w:pPr>
        <w:spacing w:line="520" w:lineRule="exact"/>
        <w:ind w:firstLine="640" w:firstLineChars="200"/>
        <w:rPr>
          <w:rFonts w:eastAsia="仿宋_GB2312"/>
          <w:szCs w:val="32"/>
        </w:rPr>
      </w:pPr>
      <w:r>
        <w:rPr>
          <w:rFonts w:eastAsia="仿宋_GB2312"/>
          <w:szCs w:val="32"/>
        </w:rPr>
        <w:t>社会保障和就业（类）支出</w:t>
      </w:r>
      <w:r>
        <w:rPr>
          <w:rFonts w:hint="eastAsia" w:eastAsia="仿宋_GB2312"/>
          <w:szCs w:val="32"/>
        </w:rPr>
        <w:t>17.08</w:t>
      </w:r>
      <w:r>
        <w:rPr>
          <w:rFonts w:eastAsia="仿宋_GB2312"/>
          <w:szCs w:val="32"/>
        </w:rPr>
        <w:t>万元，占</w:t>
      </w:r>
      <w:r>
        <w:rPr>
          <w:rFonts w:hint="eastAsia" w:eastAsia="仿宋_GB2312"/>
          <w:szCs w:val="32"/>
        </w:rPr>
        <w:t>9.89</w:t>
      </w:r>
      <w:r>
        <w:rPr>
          <w:rFonts w:eastAsia="仿宋_GB2312"/>
          <w:szCs w:val="32"/>
        </w:rPr>
        <w:t>%，主要用于</w:t>
      </w:r>
      <w:r>
        <w:rPr>
          <w:rFonts w:hint="eastAsia" w:eastAsia="仿宋_GB2312"/>
          <w:szCs w:val="32"/>
        </w:rPr>
        <w:t>保障离退休职工工资及机关事业单位基本养老保险缴费支出</w:t>
      </w:r>
      <w:r>
        <w:rPr>
          <w:rFonts w:eastAsia="仿宋_GB2312"/>
          <w:szCs w:val="32"/>
        </w:rPr>
        <w:t>。</w:t>
      </w:r>
    </w:p>
    <w:p>
      <w:pPr>
        <w:spacing w:line="520" w:lineRule="exact"/>
        <w:ind w:firstLine="640" w:firstLineChars="200"/>
        <w:rPr>
          <w:rFonts w:eastAsia="仿宋_GB2312"/>
          <w:szCs w:val="32"/>
        </w:rPr>
      </w:pPr>
      <w:r>
        <w:rPr>
          <w:rFonts w:hint="eastAsia" w:eastAsia="仿宋_GB2312"/>
          <w:szCs w:val="32"/>
        </w:rPr>
        <w:t>卫生健康</w:t>
      </w:r>
      <w:r>
        <w:rPr>
          <w:rFonts w:eastAsia="仿宋_GB2312"/>
          <w:szCs w:val="32"/>
        </w:rPr>
        <w:t>（类）支出</w:t>
      </w:r>
      <w:r>
        <w:rPr>
          <w:rFonts w:hint="eastAsia" w:eastAsia="仿宋_GB2312"/>
          <w:szCs w:val="32"/>
        </w:rPr>
        <w:t>6.72</w:t>
      </w:r>
      <w:r>
        <w:rPr>
          <w:rFonts w:eastAsia="仿宋_GB2312"/>
          <w:szCs w:val="32"/>
        </w:rPr>
        <w:t>万元，占</w:t>
      </w:r>
      <w:r>
        <w:rPr>
          <w:rFonts w:hint="eastAsia" w:eastAsia="仿宋_GB2312"/>
          <w:szCs w:val="32"/>
        </w:rPr>
        <w:t>3.89</w:t>
      </w:r>
      <w:r>
        <w:rPr>
          <w:rFonts w:eastAsia="仿宋_GB2312"/>
          <w:szCs w:val="32"/>
        </w:rPr>
        <w:t>%，主要用于</w:t>
      </w:r>
      <w:r>
        <w:rPr>
          <w:rFonts w:hint="eastAsia" w:eastAsia="仿宋_GB2312"/>
          <w:szCs w:val="32"/>
        </w:rPr>
        <w:t>缴纳职工医疗保险</w:t>
      </w:r>
      <w:r>
        <w:rPr>
          <w:rFonts w:eastAsia="仿宋_GB2312"/>
          <w:szCs w:val="32"/>
        </w:rPr>
        <w:t>。</w:t>
      </w:r>
    </w:p>
    <w:p>
      <w:pPr>
        <w:spacing w:line="520" w:lineRule="exact"/>
        <w:ind w:firstLine="640" w:firstLineChars="200"/>
        <w:rPr>
          <w:rFonts w:eastAsia="仿宋_GB2312"/>
          <w:szCs w:val="32"/>
        </w:rPr>
      </w:pPr>
      <w:r>
        <w:rPr>
          <w:rFonts w:eastAsia="仿宋_GB2312"/>
          <w:szCs w:val="32"/>
        </w:rPr>
        <w:t>住房保障（类）支出</w:t>
      </w:r>
      <w:r>
        <w:rPr>
          <w:rFonts w:hint="eastAsia" w:eastAsia="仿宋_GB2312"/>
          <w:szCs w:val="32"/>
        </w:rPr>
        <w:t>6.25</w:t>
      </w:r>
      <w:r>
        <w:rPr>
          <w:rFonts w:eastAsia="仿宋_GB2312"/>
          <w:szCs w:val="32"/>
        </w:rPr>
        <w:t>万元，占</w:t>
      </w:r>
      <w:r>
        <w:rPr>
          <w:rFonts w:hint="eastAsia" w:eastAsia="仿宋_GB2312"/>
          <w:szCs w:val="32"/>
        </w:rPr>
        <w:t>3.62</w:t>
      </w:r>
      <w:r>
        <w:rPr>
          <w:rFonts w:eastAsia="仿宋_GB2312"/>
          <w:szCs w:val="32"/>
        </w:rPr>
        <w:t>%，主要用于</w:t>
      </w:r>
      <w:r>
        <w:rPr>
          <w:rFonts w:hint="eastAsia" w:eastAsia="仿宋_GB2312"/>
          <w:szCs w:val="32"/>
        </w:rPr>
        <w:t>缴纳职工住房公积金</w:t>
      </w:r>
      <w:r>
        <w:rPr>
          <w:rFonts w:eastAsia="仿宋_GB2312"/>
          <w:szCs w:val="32"/>
        </w:rPr>
        <w:t>。</w:t>
      </w:r>
    </w:p>
    <w:p>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rFonts w:eastAsia="仿宋_GB2312"/>
          <w:szCs w:val="32"/>
        </w:rPr>
      </w:pPr>
      <w:r>
        <w:rPr>
          <w:rFonts w:eastAsia="仿宋_GB2312"/>
          <w:szCs w:val="32"/>
        </w:rPr>
        <w:t>20</w:t>
      </w:r>
      <w:r>
        <w:rPr>
          <w:rFonts w:hint="eastAsia" w:eastAsia="仿宋_GB2312"/>
          <w:szCs w:val="32"/>
        </w:rPr>
        <w:t>24</w:t>
      </w:r>
      <w:r>
        <w:rPr>
          <w:rFonts w:eastAsia="仿宋_GB2312"/>
          <w:szCs w:val="32"/>
        </w:rPr>
        <w:t>年一般公共预算基本支出</w:t>
      </w:r>
      <w:r>
        <w:rPr>
          <w:rFonts w:hint="eastAsia" w:eastAsia="仿宋_GB2312"/>
          <w:szCs w:val="32"/>
        </w:rPr>
        <w:t>105.75</w:t>
      </w:r>
      <w:r>
        <w:rPr>
          <w:rFonts w:eastAsia="仿宋_GB2312"/>
          <w:szCs w:val="32"/>
        </w:rPr>
        <w:t>万元，其中：</w:t>
      </w:r>
    </w:p>
    <w:p>
      <w:pPr>
        <w:ind w:firstLine="640"/>
        <w:rPr>
          <w:rFonts w:eastAsia="仿宋_GB2312"/>
          <w:szCs w:val="32"/>
        </w:rPr>
      </w:pPr>
      <w:r>
        <w:rPr>
          <w:rFonts w:eastAsia="仿宋_GB2312"/>
          <w:szCs w:val="32"/>
        </w:rPr>
        <w:t>人员经费</w:t>
      </w:r>
      <w:r>
        <w:rPr>
          <w:rFonts w:hint="eastAsia" w:eastAsia="仿宋_GB2312"/>
          <w:szCs w:val="32"/>
        </w:rPr>
        <w:t>89.18</w:t>
      </w:r>
      <w:r>
        <w:rPr>
          <w:rFonts w:eastAsia="仿宋_GB2312"/>
          <w:szCs w:val="32"/>
        </w:rPr>
        <w:t>万元，主要包括：基本工资、津贴补贴、奖金、社会保障缴费、其他工资福利支出、退休费、住房公积金、</w:t>
      </w:r>
      <w:r>
        <w:rPr>
          <w:rFonts w:hint="eastAsia" w:eastAsia="仿宋_GB2312"/>
          <w:szCs w:val="32"/>
        </w:rPr>
        <w:t>医疗费、</w:t>
      </w:r>
      <w:r>
        <w:rPr>
          <w:rFonts w:eastAsia="仿宋_GB2312"/>
          <w:szCs w:val="32"/>
        </w:rPr>
        <w:t>其他对个人和家庭的补助支出。</w:t>
      </w:r>
    </w:p>
    <w:p>
      <w:pPr>
        <w:ind w:firstLine="640"/>
        <w:rPr>
          <w:rFonts w:eastAsia="仿宋_GB2312"/>
          <w:szCs w:val="32"/>
        </w:rPr>
      </w:pPr>
      <w:r>
        <w:rPr>
          <w:rFonts w:eastAsia="仿宋_GB2312"/>
          <w:szCs w:val="32"/>
        </w:rPr>
        <w:t>公用经费</w:t>
      </w:r>
      <w:r>
        <w:rPr>
          <w:rFonts w:hint="eastAsia" w:eastAsia="仿宋_GB2312"/>
          <w:szCs w:val="32"/>
        </w:rPr>
        <w:t>16.57</w:t>
      </w:r>
      <w:r>
        <w:rPr>
          <w:rFonts w:eastAsia="仿宋_GB2312"/>
          <w:szCs w:val="32"/>
        </w:rPr>
        <w:t>万元，主要包括：办公费、</w:t>
      </w:r>
      <w:r>
        <w:rPr>
          <w:rFonts w:hint="eastAsia" w:eastAsia="仿宋_GB2312"/>
          <w:szCs w:val="32"/>
        </w:rPr>
        <w:t>咨询</w:t>
      </w:r>
      <w:r>
        <w:rPr>
          <w:rFonts w:eastAsia="仿宋_GB2312"/>
          <w:szCs w:val="32"/>
        </w:rPr>
        <w:t>费、差旅费、培训费、公务接待费、工会经费、福利费、其他交通</w:t>
      </w:r>
      <w:r>
        <w:rPr>
          <w:rFonts w:hint="eastAsia" w:eastAsia="仿宋_GB2312"/>
          <w:szCs w:val="32"/>
        </w:rPr>
        <w:t>费用</w:t>
      </w:r>
      <w:r>
        <w:rPr>
          <w:rFonts w:eastAsia="仿宋_GB2312"/>
          <w:szCs w:val="32"/>
        </w:rPr>
        <w:t>、其他商品和服务支出</w:t>
      </w:r>
      <w:r>
        <w:rPr>
          <w:rFonts w:hint="eastAsia" w:eastAsia="仿宋_GB2312"/>
          <w:szCs w:val="32"/>
        </w:rPr>
        <w:t>、办公设备购置</w:t>
      </w:r>
      <w:r>
        <w:rPr>
          <w:rFonts w:eastAsia="仿宋_GB2312"/>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rPr>
          <w:rFonts w:eastAsia="仿宋_GB2312"/>
          <w:szCs w:val="32"/>
        </w:rPr>
      </w:pPr>
      <w:r>
        <w:rPr>
          <w:rFonts w:eastAsia="仿宋_GB2312"/>
          <w:szCs w:val="32"/>
        </w:rPr>
        <w:t>20</w:t>
      </w:r>
      <w:r>
        <w:rPr>
          <w:rFonts w:hint="eastAsia" w:eastAsia="仿宋_GB2312"/>
          <w:szCs w:val="32"/>
        </w:rPr>
        <w:t>24</w:t>
      </w:r>
      <w:r>
        <w:rPr>
          <w:rFonts w:eastAsia="仿宋_GB2312"/>
          <w:szCs w:val="32"/>
        </w:rPr>
        <w:t>年“三公”经费预算数为</w:t>
      </w:r>
      <w:r>
        <w:rPr>
          <w:rFonts w:hint="eastAsia" w:eastAsia="仿宋_GB2312"/>
          <w:szCs w:val="32"/>
        </w:rPr>
        <w:t>0.12</w:t>
      </w:r>
      <w:r>
        <w:rPr>
          <w:rFonts w:eastAsia="仿宋_GB2312"/>
          <w:szCs w:val="32"/>
        </w:rPr>
        <w:t>万元</w:t>
      </w:r>
      <w:r>
        <w:rPr>
          <w:rFonts w:hint="eastAsia" w:eastAsia="仿宋_GB2312"/>
          <w:szCs w:val="32"/>
        </w:rPr>
        <w:t>。2024年本年预算数与</w:t>
      </w:r>
      <w:r>
        <w:rPr>
          <w:rFonts w:eastAsia="仿宋_GB2312"/>
          <w:szCs w:val="32"/>
        </w:rPr>
        <w:t>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。其中：</w:t>
      </w:r>
    </w:p>
    <w:p>
      <w:pPr>
        <w:ind w:firstLine="640"/>
        <w:rPr>
          <w:rFonts w:eastAsia="仿宋_GB2312"/>
          <w:szCs w:val="32"/>
        </w:rPr>
      </w:pPr>
      <w:r>
        <w:rPr>
          <w:rFonts w:eastAsia="仿宋_GB2312"/>
          <w:szCs w:val="32"/>
        </w:rPr>
        <w:t>1.因公出国（境）费</w:t>
      </w:r>
      <w:r>
        <w:rPr>
          <w:rFonts w:hint="eastAsia" w:eastAsia="仿宋_GB2312"/>
          <w:szCs w:val="32"/>
        </w:rPr>
        <w:t>0</w:t>
      </w:r>
      <w:r>
        <w:rPr>
          <w:rFonts w:eastAsia="仿宋_GB2312"/>
          <w:szCs w:val="32"/>
        </w:rPr>
        <w:t>万元</w:t>
      </w:r>
      <w:r>
        <w:rPr>
          <w:rFonts w:hint="eastAsia" w:eastAsia="仿宋_GB2312"/>
          <w:szCs w:val="32"/>
        </w:rPr>
        <w:t>，2024年本年预算数与</w:t>
      </w:r>
      <w:r>
        <w:rPr>
          <w:rFonts w:eastAsia="仿宋_GB2312"/>
          <w:szCs w:val="32"/>
        </w:rPr>
        <w:t>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p>
    <w:p>
      <w:pPr>
        <w:ind w:firstLine="640"/>
        <w:rPr>
          <w:rFonts w:eastAsia="仿宋_GB2312"/>
          <w:szCs w:val="32"/>
        </w:rPr>
      </w:pPr>
      <w:r>
        <w:rPr>
          <w:rFonts w:eastAsia="仿宋_GB2312"/>
          <w:szCs w:val="32"/>
        </w:rPr>
        <w:t>2.公务接待费</w:t>
      </w:r>
      <w:r>
        <w:rPr>
          <w:rFonts w:hint="eastAsia" w:eastAsia="仿宋_GB2312"/>
          <w:szCs w:val="32"/>
        </w:rPr>
        <w:t>0.12</w:t>
      </w:r>
      <w:r>
        <w:rPr>
          <w:rFonts w:eastAsia="仿宋_GB2312"/>
          <w:szCs w:val="32"/>
        </w:rPr>
        <w:t>万元</w:t>
      </w:r>
      <w:r>
        <w:rPr>
          <w:rFonts w:hint="eastAsia" w:eastAsia="仿宋_GB2312"/>
          <w:szCs w:val="32"/>
        </w:rPr>
        <w:t>，2024年本年预算数与</w:t>
      </w:r>
      <w:r>
        <w:rPr>
          <w:rFonts w:eastAsia="仿宋_GB2312"/>
          <w:szCs w:val="32"/>
        </w:rPr>
        <w:t>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p>
    <w:p>
      <w:pPr>
        <w:ind w:firstLine="640"/>
        <w:rPr>
          <w:rFonts w:eastAsia="仿宋_GB2312"/>
          <w:szCs w:val="32"/>
        </w:rPr>
      </w:pPr>
      <w:r>
        <w:rPr>
          <w:rFonts w:eastAsia="仿宋_GB2312"/>
          <w:szCs w:val="32"/>
        </w:rPr>
        <w:t>3.公务用车购置及运行费</w:t>
      </w:r>
      <w:r>
        <w:rPr>
          <w:rFonts w:hint="eastAsia" w:eastAsia="仿宋_GB2312"/>
          <w:szCs w:val="32"/>
        </w:rPr>
        <w:t>0</w:t>
      </w:r>
      <w:r>
        <w:rPr>
          <w:rFonts w:eastAsia="仿宋_GB2312"/>
          <w:szCs w:val="32"/>
        </w:rPr>
        <w:t>万元</w:t>
      </w:r>
      <w:r>
        <w:rPr>
          <w:rFonts w:hint="eastAsia" w:eastAsia="仿宋_GB2312"/>
          <w:szCs w:val="32"/>
        </w:rPr>
        <w:t>。2024年本年预算数与</w:t>
      </w:r>
      <w:r>
        <w:rPr>
          <w:rFonts w:eastAsia="仿宋_GB2312"/>
          <w:szCs w:val="32"/>
        </w:rPr>
        <w:t>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。公务用车运行维护费</w:t>
      </w:r>
      <w:r>
        <w:rPr>
          <w:rFonts w:hint="eastAsia" w:eastAsia="仿宋_GB2312"/>
          <w:szCs w:val="32"/>
        </w:rPr>
        <w:t>0</w:t>
      </w:r>
      <w:r>
        <w:rPr>
          <w:rFonts w:eastAsia="仿宋_GB2312"/>
          <w:szCs w:val="32"/>
        </w:rPr>
        <w:t>万元</w:t>
      </w:r>
      <w:r>
        <w:rPr>
          <w:rFonts w:hint="eastAsia" w:eastAsia="仿宋_GB2312"/>
          <w:szCs w:val="32"/>
        </w:rPr>
        <w:t>，2024年本年预算数与</w:t>
      </w:r>
      <w:r>
        <w:rPr>
          <w:rFonts w:eastAsia="仿宋_GB2312"/>
          <w:szCs w:val="32"/>
        </w:rPr>
        <w:t>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；公务用车购置费</w:t>
      </w:r>
      <w:r>
        <w:rPr>
          <w:rFonts w:hint="eastAsia" w:eastAsia="仿宋_GB2312"/>
          <w:szCs w:val="32"/>
        </w:rPr>
        <w:t>0</w:t>
      </w:r>
      <w:r>
        <w:rPr>
          <w:rFonts w:eastAsia="仿宋_GB2312"/>
          <w:szCs w:val="32"/>
        </w:rPr>
        <w:t>万元</w:t>
      </w:r>
      <w:r>
        <w:rPr>
          <w:rFonts w:hint="eastAsia" w:eastAsia="仿宋_GB2312"/>
          <w:szCs w:val="32"/>
        </w:rPr>
        <w:t>，2024年当年预算数与</w:t>
      </w:r>
      <w:r>
        <w:rPr>
          <w:rFonts w:eastAsia="仿宋_GB2312"/>
          <w:szCs w:val="32"/>
        </w:rPr>
        <w:t>20</w:t>
      </w:r>
      <w:r>
        <w:rPr>
          <w:rFonts w:hint="eastAsia" w:eastAsia="仿宋_GB2312"/>
          <w:szCs w:val="32"/>
        </w:rPr>
        <w:t>23</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rPr>
          <w:rFonts w:eastAsia="仿宋_GB2312"/>
          <w:szCs w:val="32"/>
        </w:rPr>
      </w:pPr>
      <w:r>
        <w:rPr>
          <w:rFonts w:hint="eastAsia" w:eastAsia="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rFonts w:eastAsia="仿宋_GB2312"/>
          <w:szCs w:val="32"/>
        </w:rPr>
      </w:pPr>
      <w:r>
        <w:rPr>
          <w:rFonts w:hint="eastAsia" w:eastAsia="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ind w:firstLine="640"/>
        <w:rPr>
          <w:rFonts w:eastAsia="仿宋_GB2312"/>
          <w:szCs w:val="32"/>
        </w:rPr>
      </w:pPr>
      <w:r>
        <w:rPr>
          <w:rFonts w:eastAsia="仿宋_GB2312"/>
          <w:szCs w:val="32"/>
        </w:rPr>
        <w:t>（一）机关运行经费</w:t>
      </w:r>
    </w:p>
    <w:p>
      <w:pPr>
        <w:ind w:firstLine="640"/>
        <w:rPr>
          <w:rFonts w:eastAsia="仿宋_GB2312"/>
          <w:szCs w:val="32"/>
        </w:rPr>
      </w:pPr>
      <w:r>
        <w:rPr>
          <w:rFonts w:eastAsia="仿宋_GB2312"/>
          <w:szCs w:val="32"/>
        </w:rPr>
        <w:t>20</w:t>
      </w:r>
      <w:r>
        <w:rPr>
          <w:rFonts w:hint="eastAsia" w:eastAsia="仿宋_GB2312"/>
          <w:szCs w:val="32"/>
        </w:rPr>
        <w:t>24</w:t>
      </w:r>
      <w:r>
        <w:rPr>
          <w:rFonts w:eastAsia="仿宋_GB2312"/>
          <w:szCs w:val="32"/>
        </w:rPr>
        <w:t>年</w:t>
      </w:r>
      <w:r>
        <w:rPr>
          <w:rFonts w:hint="eastAsia" w:eastAsia="仿宋_GB2312"/>
          <w:szCs w:val="32"/>
        </w:rPr>
        <w:t>白山市统计局浑江区分局（</w:t>
      </w:r>
      <w:r>
        <w:rPr>
          <w:rFonts w:eastAsia="仿宋_GB2312"/>
          <w:szCs w:val="32"/>
        </w:rPr>
        <w:t>本级</w:t>
      </w:r>
      <w:r>
        <w:rPr>
          <w:rFonts w:hint="eastAsia" w:eastAsia="仿宋_GB2312"/>
          <w:szCs w:val="32"/>
        </w:rPr>
        <w:t>）</w:t>
      </w:r>
      <w:r>
        <w:rPr>
          <w:rFonts w:eastAsia="仿宋_GB2312"/>
          <w:szCs w:val="32"/>
        </w:rPr>
        <w:t>机关运行经费财政拨款预算</w:t>
      </w:r>
      <w:r>
        <w:rPr>
          <w:rFonts w:hint="eastAsia" w:eastAsia="仿宋_GB2312"/>
          <w:szCs w:val="32"/>
        </w:rPr>
        <w:t>16.57</w:t>
      </w:r>
      <w:r>
        <w:rPr>
          <w:rFonts w:eastAsia="仿宋_GB2312"/>
          <w:szCs w:val="32"/>
        </w:rPr>
        <w:t>万元，比20</w:t>
      </w:r>
      <w:r>
        <w:rPr>
          <w:rFonts w:hint="eastAsia" w:eastAsia="仿宋_GB2312"/>
          <w:szCs w:val="32"/>
        </w:rPr>
        <w:t>23</w:t>
      </w:r>
      <w:r>
        <w:rPr>
          <w:rFonts w:eastAsia="仿宋_GB2312"/>
          <w:szCs w:val="32"/>
        </w:rPr>
        <w:t>年预算</w:t>
      </w:r>
      <w:r>
        <w:rPr>
          <w:rFonts w:hint="eastAsia" w:eastAsia="仿宋_GB2312"/>
          <w:szCs w:val="32"/>
        </w:rPr>
        <w:t>增加1.73</w:t>
      </w:r>
      <w:r>
        <w:rPr>
          <w:rFonts w:eastAsia="仿宋_GB2312"/>
          <w:szCs w:val="32"/>
        </w:rPr>
        <w:t>万元，</w:t>
      </w:r>
      <w:r>
        <w:rPr>
          <w:rFonts w:hint="eastAsia" w:eastAsia="仿宋_GB2312"/>
          <w:szCs w:val="32"/>
        </w:rPr>
        <w:t>增长11.66</w:t>
      </w:r>
      <w:r>
        <w:rPr>
          <w:rFonts w:eastAsia="仿宋_GB2312"/>
          <w:szCs w:val="32"/>
        </w:rPr>
        <w:t>%</w:t>
      </w:r>
      <w:r>
        <w:rPr>
          <w:rFonts w:hint="eastAsia" w:eastAsia="仿宋_GB2312"/>
          <w:szCs w:val="32"/>
        </w:rPr>
        <w:t>，增长主要原因是本年预算中含上年结转公用经费。</w:t>
      </w:r>
    </w:p>
    <w:p>
      <w:pPr>
        <w:ind w:firstLine="640"/>
        <w:rPr>
          <w:rFonts w:eastAsia="仿宋_GB2312"/>
          <w:szCs w:val="32"/>
        </w:rPr>
      </w:pPr>
      <w:r>
        <w:rPr>
          <w:rFonts w:eastAsia="仿宋_GB2312"/>
          <w:szCs w:val="32"/>
        </w:rPr>
        <w:t>（二）政府采购情况</w:t>
      </w:r>
    </w:p>
    <w:p>
      <w:pPr>
        <w:ind w:firstLine="640"/>
        <w:rPr>
          <w:rFonts w:eastAsia="仿宋_GB2312"/>
          <w:szCs w:val="32"/>
        </w:rPr>
      </w:pPr>
      <w:r>
        <w:rPr>
          <w:rFonts w:eastAsia="仿宋_GB2312"/>
          <w:szCs w:val="32"/>
        </w:rPr>
        <w:t>本单位无</w:t>
      </w:r>
      <w:r>
        <w:rPr>
          <w:rFonts w:hint="eastAsia" w:eastAsia="仿宋_GB2312"/>
          <w:szCs w:val="32"/>
        </w:rPr>
        <w:t>政府</w:t>
      </w:r>
      <w:r>
        <w:rPr>
          <w:rFonts w:eastAsia="仿宋_GB2312"/>
          <w:szCs w:val="32"/>
        </w:rPr>
        <w:t>采</w:t>
      </w:r>
      <w:r>
        <w:rPr>
          <w:rFonts w:hint="eastAsia" w:eastAsia="仿宋_GB2312"/>
          <w:szCs w:val="32"/>
        </w:rPr>
        <w:t>购</w:t>
      </w:r>
      <w:r>
        <w:rPr>
          <w:rFonts w:eastAsia="仿宋_GB2312"/>
          <w:szCs w:val="32"/>
        </w:rPr>
        <w:t>预算拨款。</w:t>
      </w:r>
    </w:p>
    <w:p>
      <w:pPr>
        <w:ind w:firstLine="640"/>
        <w:rPr>
          <w:rFonts w:eastAsia="仿宋_GB2312"/>
          <w:szCs w:val="32"/>
        </w:rPr>
      </w:pPr>
      <w:r>
        <w:rPr>
          <w:rFonts w:eastAsia="仿宋_GB2312"/>
          <w:szCs w:val="32"/>
        </w:rPr>
        <w:t>（三）国有资产占有使用情况</w:t>
      </w:r>
    </w:p>
    <w:p>
      <w:pPr>
        <w:ind w:firstLine="640"/>
        <w:rPr>
          <w:rFonts w:eastAsia="仿宋_GB2312"/>
          <w:szCs w:val="32"/>
        </w:rPr>
      </w:pPr>
      <w:r>
        <w:rPr>
          <w:rFonts w:hint="eastAsia" w:eastAsia="仿宋_GB2312"/>
          <w:szCs w:val="32"/>
        </w:rPr>
        <w:t>截至2023年8月底，本单位共有车辆0辆，土地0平方米，房屋0平方米，单价50万元以上设备0台/套。</w:t>
      </w:r>
    </w:p>
    <w:p>
      <w:pPr>
        <w:ind w:firstLine="640"/>
        <w:rPr>
          <w:rFonts w:eastAsia="仿宋_GB2312"/>
          <w:szCs w:val="32"/>
        </w:rPr>
      </w:pPr>
      <w:r>
        <w:rPr>
          <w:rFonts w:hint="eastAsia" w:eastAsia="仿宋_GB2312"/>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ascii="仿宋" w:hAnsi="仿宋" w:eastAsia="仿宋"/>
          <w:szCs w:val="32"/>
        </w:rPr>
      </w:pPr>
      <w:r>
        <w:rPr>
          <w:rFonts w:hint="eastAsia" w:ascii="仿宋" w:hAnsi="仿宋" w:eastAsia="仿宋"/>
          <w:szCs w:val="32"/>
        </w:rPr>
        <w:t>项目支出情况说明</w:t>
      </w:r>
    </w:p>
    <w:p>
      <w:pPr>
        <w:ind w:firstLine="640"/>
        <w:rPr>
          <w:rFonts w:eastAsia="仿宋_GB2312"/>
          <w:szCs w:val="32"/>
        </w:rPr>
      </w:pPr>
      <w:r>
        <w:rPr>
          <w:rFonts w:eastAsia="仿宋_GB2312"/>
          <w:szCs w:val="32"/>
        </w:rPr>
        <w:t>202</w:t>
      </w:r>
      <w:r>
        <w:rPr>
          <w:rFonts w:hint="eastAsia" w:eastAsia="仿宋_GB2312"/>
          <w:szCs w:val="32"/>
        </w:rPr>
        <w:t>4</w:t>
      </w:r>
      <w:r>
        <w:rPr>
          <w:rFonts w:eastAsia="仿宋_GB2312"/>
          <w:szCs w:val="32"/>
        </w:rPr>
        <w:t>年</w:t>
      </w:r>
      <w:r>
        <w:rPr>
          <w:rFonts w:hint="eastAsia" w:eastAsia="仿宋_GB2312"/>
          <w:szCs w:val="32"/>
        </w:rPr>
        <w:t>单位</w:t>
      </w:r>
      <w:r>
        <w:rPr>
          <w:rFonts w:eastAsia="仿宋_GB2312"/>
          <w:szCs w:val="32"/>
        </w:rPr>
        <w:t>项目支出</w:t>
      </w:r>
      <w:r>
        <w:rPr>
          <w:rFonts w:hint="eastAsia" w:eastAsia="仿宋_GB2312"/>
          <w:szCs w:val="32"/>
        </w:rPr>
        <w:t>66.93</w:t>
      </w:r>
      <w:r>
        <w:rPr>
          <w:rFonts w:eastAsia="仿宋_GB2312"/>
          <w:szCs w:val="32"/>
        </w:rPr>
        <w:t>万元，其中：一级项目</w:t>
      </w:r>
      <w:r>
        <w:rPr>
          <w:rFonts w:hint="eastAsia" w:eastAsia="仿宋_GB2312"/>
          <w:szCs w:val="32"/>
        </w:rPr>
        <w:t>2</w:t>
      </w:r>
      <w:r>
        <w:rPr>
          <w:rFonts w:eastAsia="仿宋_GB2312"/>
          <w:szCs w:val="32"/>
        </w:rPr>
        <w:t>个，二级项目</w:t>
      </w:r>
      <w:r>
        <w:rPr>
          <w:rFonts w:hint="eastAsia" w:eastAsia="仿宋_GB2312"/>
          <w:szCs w:val="32"/>
        </w:rPr>
        <w:t>2</w:t>
      </w:r>
      <w:r>
        <w:rPr>
          <w:rFonts w:eastAsia="仿宋_GB2312"/>
          <w:szCs w:val="32"/>
        </w:rPr>
        <w:t>个；使用</w:t>
      </w:r>
      <w:r>
        <w:rPr>
          <w:rFonts w:hint="eastAsia" w:eastAsia="仿宋_GB2312"/>
          <w:szCs w:val="32"/>
        </w:rPr>
        <w:t>本年拨款66.93</w:t>
      </w:r>
      <w:r>
        <w:rPr>
          <w:rFonts w:eastAsia="仿宋_GB2312"/>
          <w:szCs w:val="32"/>
        </w:rPr>
        <w:t>万元，</w:t>
      </w:r>
      <w:r>
        <w:rPr>
          <w:rFonts w:hint="eastAsia" w:eastAsia="仿宋_GB2312"/>
          <w:szCs w:val="32"/>
        </w:rPr>
        <w:t>财政拨款结转0</w:t>
      </w:r>
      <w:r>
        <w:rPr>
          <w:rFonts w:eastAsia="仿宋_GB2312"/>
          <w:szCs w:val="32"/>
        </w:rPr>
        <w:t>万元。</w:t>
      </w:r>
    </w:p>
    <w:p>
      <w:pPr>
        <w:ind w:firstLine="640"/>
        <w:rPr>
          <w:rFonts w:eastAsia="仿宋_GB2312"/>
          <w:szCs w:val="32"/>
        </w:rPr>
      </w:pPr>
      <w:r>
        <w:rPr>
          <w:rFonts w:hint="eastAsia" w:eastAsia="仿宋_GB2312"/>
          <w:szCs w:val="32"/>
        </w:rPr>
        <w:t>（五）项目支出绩效目标情况说明</w:t>
      </w:r>
    </w:p>
    <w:p>
      <w:pPr>
        <w:ind w:firstLine="640"/>
        <w:rPr>
          <w:rFonts w:eastAsia="仿宋_GB2312"/>
          <w:szCs w:val="32"/>
        </w:rPr>
      </w:pPr>
      <w:r>
        <w:rPr>
          <w:rFonts w:hint="eastAsia" w:eastAsia="仿宋_GB2312"/>
          <w:szCs w:val="32"/>
        </w:rPr>
        <w:t>按照全面实施预算绩效管理的要求，结合本单位职能和重点工作，2024年将2个项目支出的绩效目标和指标向社会公开，涉及金66.93万元。</w:t>
      </w:r>
    </w:p>
    <w:p>
      <w:pPr>
        <w:ind w:firstLine="640"/>
        <w:rPr>
          <w:rFonts w:eastAsia="仿宋_GB2312"/>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r>
        <w:rPr>
          <w:rFonts w:eastAsia="楷体"/>
          <w:szCs w:val="32"/>
        </w:rPr>
        <w:br w:type="page"/>
      </w:r>
      <w:bookmarkStart w:id="1" w:name="_GoBack"/>
      <w:bookmarkEnd w:id="1"/>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rFonts w:eastAsia="楷体"/>
          <w:szCs w:val="32"/>
        </w:rPr>
      </w:pPr>
      <w:r>
        <w:rPr>
          <w:rFonts w:eastAsia="楷体"/>
          <w:szCs w:val="32"/>
        </w:rPr>
        <w:t>（一）一般公共预算拨款收入：指省级财政通过当年一般公共预算拨付的资金。</w:t>
      </w:r>
    </w:p>
    <w:p>
      <w:pPr>
        <w:ind w:firstLine="640" w:firstLineChars="200"/>
        <w:rPr>
          <w:rFonts w:eastAsia="楷体"/>
          <w:szCs w:val="32"/>
        </w:rPr>
      </w:pPr>
      <w:r>
        <w:rPr>
          <w:rFonts w:eastAsia="楷体"/>
          <w:szCs w:val="32"/>
        </w:rPr>
        <w:t>（二）</w:t>
      </w:r>
      <w:r>
        <w:rPr>
          <w:rFonts w:hint="eastAsia" w:eastAsia="楷体"/>
          <w:szCs w:val="32"/>
        </w:rPr>
        <w:t>政府性基金预算拨款收入：</w:t>
      </w:r>
      <w:r>
        <w:rPr>
          <w:rFonts w:eastAsia="楷体"/>
          <w:szCs w:val="32"/>
        </w:rPr>
        <w:t>指省级财政通过当年</w:t>
      </w:r>
      <w:r>
        <w:rPr>
          <w:rFonts w:hint="eastAsia" w:eastAsia="楷体"/>
          <w:szCs w:val="32"/>
        </w:rPr>
        <w:t>政府性基金</w:t>
      </w:r>
      <w:r>
        <w:rPr>
          <w:rFonts w:eastAsia="楷体"/>
          <w:szCs w:val="32"/>
        </w:rPr>
        <w:t>预算拨付的资金。</w:t>
      </w:r>
    </w:p>
    <w:p>
      <w:pPr>
        <w:ind w:firstLine="640" w:firstLineChars="200"/>
        <w:rPr>
          <w:rFonts w:eastAsia="楷体"/>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rFonts w:eastAsia="楷体"/>
          <w:szCs w:val="32"/>
        </w:rPr>
        <w:t>指省级财政通过当年</w:t>
      </w:r>
      <w:r>
        <w:rPr>
          <w:rFonts w:hint="eastAsia" w:eastAsia="楷体"/>
          <w:szCs w:val="32"/>
        </w:rPr>
        <w:t>国有资本经营</w:t>
      </w:r>
      <w:r>
        <w:rPr>
          <w:rFonts w:eastAsia="楷体"/>
          <w:szCs w:val="32"/>
        </w:rPr>
        <w:t>预算拨付的资金。</w:t>
      </w:r>
    </w:p>
    <w:p>
      <w:pPr>
        <w:ind w:firstLine="640" w:firstLineChars="200"/>
        <w:rPr>
          <w:rFonts w:eastAsia="楷体"/>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eastAsia="楷体"/>
          <w:szCs w:val="32"/>
        </w:rPr>
        <w:t>指缴入财政专户并实行财政专项管理的资金收入。</w:t>
      </w:r>
    </w:p>
    <w:p>
      <w:pPr>
        <w:ind w:firstLine="640" w:firstLineChars="200"/>
        <w:rPr>
          <w:rFonts w:eastAsia="楷体"/>
          <w:szCs w:val="32"/>
        </w:rPr>
      </w:pPr>
      <w:r>
        <w:rPr>
          <w:rFonts w:hint="eastAsia" w:eastAsia="楷体"/>
          <w:szCs w:val="32"/>
        </w:rPr>
        <w:t>（五）</w:t>
      </w:r>
      <w:r>
        <w:rPr>
          <w:rFonts w:eastAsia="楷体"/>
          <w:szCs w:val="32"/>
        </w:rPr>
        <w:t>事业收入：指事业单位开展专业业务活动及辅助活动所取得的收入。</w:t>
      </w:r>
    </w:p>
    <w:p>
      <w:pPr>
        <w:ind w:firstLine="640" w:firstLineChars="200"/>
        <w:rPr>
          <w:rFonts w:eastAsia="楷体"/>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上级补助收入：指预算单位从主管部门或上级单位取得的非财政拨款补助收入。</w:t>
      </w:r>
    </w:p>
    <w:p>
      <w:pPr>
        <w:ind w:firstLine="640" w:firstLineChars="200"/>
        <w:rPr>
          <w:rFonts w:eastAsia="楷体"/>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firstLineChars="200"/>
        <w:rPr>
          <w:rFonts w:eastAsia="楷体"/>
          <w:szCs w:val="32"/>
        </w:rPr>
      </w:pPr>
      <w:r>
        <w:rPr>
          <w:rFonts w:eastAsia="楷体"/>
          <w:szCs w:val="32"/>
        </w:rPr>
        <w:t>（</w:t>
      </w:r>
      <w:r>
        <w:rPr>
          <w:rFonts w:hint="eastAsia" w:eastAsia="楷体"/>
          <w:szCs w:val="32"/>
        </w:rPr>
        <w:t>八</w:t>
      </w:r>
      <w:r>
        <w:rPr>
          <w:rFonts w:eastAsia="楷体"/>
          <w:szCs w:val="32"/>
        </w:rPr>
        <w:t>）事业单位经营收入：指事业单位在专业业务活动及其辅助活动之外开展非独立核算经营活动取得的收入。</w:t>
      </w:r>
    </w:p>
    <w:p>
      <w:pPr>
        <w:ind w:firstLine="640" w:firstLineChars="200"/>
        <w:rPr>
          <w:rFonts w:eastAsia="楷体"/>
          <w:szCs w:val="32"/>
        </w:rPr>
      </w:pPr>
      <w:r>
        <w:rPr>
          <w:rFonts w:eastAsia="楷体"/>
          <w:szCs w:val="32"/>
        </w:rPr>
        <w:t>（</w:t>
      </w:r>
      <w:r>
        <w:rPr>
          <w:rFonts w:hint="eastAsia" w:eastAsia="楷体"/>
          <w:szCs w:val="32"/>
        </w:rPr>
        <w:t>九</w:t>
      </w:r>
      <w:r>
        <w:rPr>
          <w:rFonts w:eastAsia="楷体"/>
          <w:szCs w:val="32"/>
        </w:rPr>
        <w:t>）其他收入：指除上述</w:t>
      </w:r>
      <w:r>
        <w:rPr>
          <w:rFonts w:hint="eastAsia" w:eastAsia="楷体"/>
          <w:szCs w:val="32"/>
        </w:rPr>
        <w:t>收入</w:t>
      </w:r>
      <w:r>
        <w:rPr>
          <w:rFonts w:eastAsia="楷体"/>
          <w:szCs w:val="32"/>
        </w:rPr>
        <w:t>以外的</w:t>
      </w:r>
      <w:r>
        <w:rPr>
          <w:rFonts w:hint="eastAsia" w:eastAsia="楷体"/>
          <w:szCs w:val="32"/>
        </w:rPr>
        <w:t>各项</w:t>
      </w:r>
      <w:r>
        <w:rPr>
          <w:rFonts w:eastAsia="楷体"/>
          <w:szCs w:val="32"/>
        </w:rPr>
        <w:t>收入</w:t>
      </w:r>
      <w:r>
        <w:rPr>
          <w:rFonts w:hint="eastAsia" w:eastAsia="楷体"/>
          <w:szCs w:val="32"/>
        </w:rPr>
        <w:t>，主要包括非本级财政拨款、事业单位的投资收益等收入。</w:t>
      </w:r>
    </w:p>
    <w:p>
      <w:pPr>
        <w:ind w:firstLine="640" w:firstLineChars="200"/>
        <w:rPr>
          <w:rFonts w:eastAsia="楷体"/>
          <w:szCs w:val="32"/>
        </w:rPr>
      </w:pPr>
      <w:r>
        <w:rPr>
          <w:rFonts w:eastAsia="楷体"/>
          <w:szCs w:val="32"/>
        </w:rPr>
        <w:t>（十）上年结转：指以前年度尚未完成、结转到本年仍按原规定用途继续使用的资金。</w:t>
      </w:r>
    </w:p>
    <w:p>
      <w:pPr>
        <w:ind w:firstLine="640" w:firstLineChars="200"/>
        <w:rPr>
          <w:rFonts w:eastAsia="楷体"/>
          <w:szCs w:val="32"/>
        </w:rPr>
      </w:pPr>
      <w:r>
        <w:rPr>
          <w:rFonts w:eastAsia="楷体"/>
          <w:szCs w:val="32"/>
        </w:rPr>
        <w:t>（十</w:t>
      </w:r>
      <w:r>
        <w:rPr>
          <w:rFonts w:hint="eastAsia" w:eastAsia="楷体"/>
          <w:szCs w:val="32"/>
        </w:rPr>
        <w:t>一</w:t>
      </w:r>
      <w:r>
        <w:rPr>
          <w:rFonts w:eastAsia="楷体"/>
          <w:szCs w:val="32"/>
        </w:rPr>
        <w:t>）结转下年：指以前年度预算安排、因客观条件发生变化无法按原计划实施，需延迟到以后年度按原规定用途继续使用的资金。</w:t>
      </w:r>
    </w:p>
    <w:p>
      <w:pPr>
        <w:ind w:firstLine="640" w:firstLineChars="200"/>
        <w:rPr>
          <w:rFonts w:eastAsia="楷体"/>
          <w:szCs w:val="32"/>
        </w:rPr>
      </w:pPr>
      <w:r>
        <w:rPr>
          <w:rFonts w:eastAsia="楷体"/>
          <w:szCs w:val="32"/>
        </w:rPr>
        <w:t>（十</w:t>
      </w:r>
      <w:r>
        <w:rPr>
          <w:rFonts w:hint="eastAsia" w:eastAsia="楷体"/>
          <w:szCs w:val="32"/>
        </w:rPr>
        <w:t>二</w:t>
      </w:r>
      <w:r>
        <w:rPr>
          <w:rFonts w:eastAsia="楷体"/>
          <w:szCs w:val="32"/>
        </w:rPr>
        <w:t>）基本支出：指为保障机构正常运转、完成日常工作任务而发生的人员支出和公用支出。</w:t>
      </w:r>
    </w:p>
    <w:p>
      <w:pPr>
        <w:ind w:firstLine="640" w:firstLineChars="200"/>
        <w:rPr>
          <w:rFonts w:eastAsia="楷体"/>
          <w:szCs w:val="32"/>
        </w:rPr>
      </w:pPr>
      <w:r>
        <w:rPr>
          <w:rFonts w:eastAsia="楷体"/>
          <w:szCs w:val="32"/>
        </w:rPr>
        <w:t>（十</w:t>
      </w:r>
      <w:r>
        <w:rPr>
          <w:rFonts w:hint="eastAsia" w:eastAsia="楷体"/>
          <w:szCs w:val="32"/>
        </w:rPr>
        <w:t>三</w:t>
      </w:r>
      <w:r>
        <w:rPr>
          <w:rFonts w:eastAsia="楷体"/>
          <w:szCs w:val="32"/>
        </w:rPr>
        <w:t>）项目支出：指在基本支出之外为完成特定行政任务和事业发展目标所发生的支出。</w:t>
      </w:r>
    </w:p>
    <w:p>
      <w:pPr>
        <w:ind w:firstLine="640" w:firstLineChars="200"/>
        <w:rPr>
          <w:rFonts w:eastAsia="楷体"/>
          <w:szCs w:val="32"/>
        </w:rPr>
      </w:pPr>
      <w:r>
        <w:rPr>
          <w:rFonts w:eastAsia="楷体"/>
          <w:szCs w:val="32"/>
        </w:rPr>
        <w:t>（十</w:t>
      </w:r>
      <w:r>
        <w:rPr>
          <w:rFonts w:hint="eastAsia" w:eastAsia="楷体"/>
          <w:szCs w:val="32"/>
        </w:rPr>
        <w:t>四</w:t>
      </w:r>
      <w:r>
        <w:rPr>
          <w:rFonts w:eastAsia="楷体"/>
          <w:szCs w:val="32"/>
        </w:rPr>
        <w:t>）上缴上级支出：指附属单位上缴上级的支出。</w:t>
      </w:r>
    </w:p>
    <w:p>
      <w:pPr>
        <w:ind w:firstLine="640" w:firstLineChars="200"/>
        <w:rPr>
          <w:rFonts w:eastAsia="楷体"/>
          <w:szCs w:val="32"/>
        </w:rPr>
      </w:pPr>
      <w:r>
        <w:rPr>
          <w:rFonts w:eastAsia="楷体"/>
          <w:szCs w:val="32"/>
        </w:rPr>
        <w:t>（十</w:t>
      </w:r>
      <w:r>
        <w:rPr>
          <w:rFonts w:hint="eastAsia" w:eastAsia="楷体"/>
          <w:szCs w:val="32"/>
        </w:rPr>
        <w:t>五</w:t>
      </w:r>
      <w:r>
        <w:rPr>
          <w:rFonts w:eastAsia="楷体"/>
          <w:szCs w:val="32"/>
        </w:rPr>
        <w:t>）事业单位经营支出：指事业单位在专业业务活动及其辅助活动之外开展非独立核算经营活动发生的支出。</w:t>
      </w:r>
    </w:p>
    <w:p>
      <w:pPr>
        <w:ind w:firstLine="640" w:firstLineChars="200"/>
        <w:rPr>
          <w:rFonts w:eastAsia="楷体"/>
          <w:szCs w:val="32"/>
        </w:rPr>
      </w:pPr>
      <w:r>
        <w:rPr>
          <w:rFonts w:eastAsia="楷体"/>
          <w:szCs w:val="32"/>
        </w:rPr>
        <w:t>（十</w:t>
      </w:r>
      <w:r>
        <w:rPr>
          <w:rFonts w:hint="eastAsia" w:eastAsia="楷体"/>
          <w:szCs w:val="32"/>
        </w:rPr>
        <w:t>六</w:t>
      </w:r>
      <w:r>
        <w:rPr>
          <w:rFonts w:eastAsia="楷体"/>
          <w:szCs w:val="32"/>
        </w:rPr>
        <w:t>）对附属单位补助支出：指对附属单位补助发生的支出。</w:t>
      </w:r>
    </w:p>
    <w:p>
      <w:pPr>
        <w:ind w:firstLine="640" w:firstLineChars="200"/>
        <w:rPr>
          <w:rFonts w:eastAsia="楷体"/>
          <w:szCs w:val="32"/>
        </w:rPr>
      </w:pPr>
      <w:r>
        <w:rPr>
          <w:rFonts w:eastAsia="楷体"/>
          <w:szCs w:val="32"/>
        </w:rPr>
        <w:t>（十</w:t>
      </w:r>
      <w:r>
        <w:rPr>
          <w:rFonts w:hint="eastAsia" w:eastAsia="楷体"/>
          <w:szCs w:val="32"/>
        </w:rPr>
        <w:t>七</w:t>
      </w:r>
      <w:r>
        <w:rPr>
          <w:rFonts w:eastAsia="楷体"/>
          <w:szCs w:val="32"/>
        </w:rPr>
        <w:t>）“三公”经费：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eastAsia="楷体"/>
          <w:szCs w:val="32"/>
        </w:rPr>
      </w:pPr>
      <w:r>
        <w:rPr>
          <w:rFonts w:eastAsia="楷体"/>
          <w:szCs w:val="32"/>
        </w:rPr>
        <w:t>（十</w:t>
      </w:r>
      <w:r>
        <w:rPr>
          <w:rFonts w:hint="eastAsia" w:eastAsia="楷体"/>
          <w:szCs w:val="32"/>
        </w:rPr>
        <w:t>八</w:t>
      </w:r>
      <w:r>
        <w:rPr>
          <w:rFonts w:eastAsia="楷体"/>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eastAsia="楷体"/>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KaiTi_GB2312">
    <w:altName w:val="楷体"/>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XiaoBiaoSong-B05S">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pict>
        <v:shape id="文本框 2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path/>
          <v:fill on="f" focussize="0,0"/>
          <v:stroke on="f"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path/>
          <v:fill on="f" focussize="0,0"/>
          <v:stroke on="f" joinstyle="miter"/>
          <v:imagedata o:title=""/>
          <o:lock v:ext="edit"/>
          <v:textbox inset="0mm,0mm,0mm,0mm" style="mso-fit-shape-to-text:t;">
            <w:txbxContent>
              <w:p>
                <w:pPr>
                  <w:snapToGrid w:val="0"/>
                  <w:rPr>
                    <w:sz w:val="28"/>
                    <w:szCs w:val="2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ascii="宋体" w:hAnsi="宋体" w:eastAsia="宋体"/>
                    <w:sz w:val="28"/>
                    <w:szCs w:val="28"/>
                  </w:rPr>
                  <w:t>-</w:t>
                </w:r>
                <w:r>
                  <w:rPr>
                    <w:sz w:val="28"/>
                    <w:szCs w:val="28"/>
                  </w:rPr>
                  <w:t xml:space="preserve"> </w:t>
                </w:r>
                <w:r>
                  <w:rPr>
                    <w:rFonts w:ascii="宋体" w:hAnsi="宋体" w:eastAsia="宋体"/>
                    <w:sz w:val="28"/>
                    <w:szCs w:val="28"/>
                  </w:rPr>
                  <w:t>15 -</w:t>
                </w:r>
                <w:r>
                  <w:rPr>
                    <w:rFonts w:hint="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kNDlhYjlkZDg1MDhhZGZiZTFjNGQyMzM3YjZjMTkifQ=="/>
  </w:docVars>
  <w:rsids>
    <w:rsidRoot w:val="48674ED2"/>
    <w:rsid w:val="000C6D48"/>
    <w:rsid w:val="000D7FB8"/>
    <w:rsid w:val="000E46F6"/>
    <w:rsid w:val="00102492"/>
    <w:rsid w:val="00145456"/>
    <w:rsid w:val="002300BA"/>
    <w:rsid w:val="00292A39"/>
    <w:rsid w:val="002A5441"/>
    <w:rsid w:val="002B6E05"/>
    <w:rsid w:val="002E7CD8"/>
    <w:rsid w:val="00333678"/>
    <w:rsid w:val="00367BC1"/>
    <w:rsid w:val="00396D8D"/>
    <w:rsid w:val="00402D18"/>
    <w:rsid w:val="00426F96"/>
    <w:rsid w:val="00487479"/>
    <w:rsid w:val="00514321"/>
    <w:rsid w:val="00523C28"/>
    <w:rsid w:val="00524C0E"/>
    <w:rsid w:val="00542E72"/>
    <w:rsid w:val="00584D1B"/>
    <w:rsid w:val="00586A56"/>
    <w:rsid w:val="0059251A"/>
    <w:rsid w:val="005D5B16"/>
    <w:rsid w:val="005F314F"/>
    <w:rsid w:val="00623896"/>
    <w:rsid w:val="006358AE"/>
    <w:rsid w:val="006B3914"/>
    <w:rsid w:val="007638E0"/>
    <w:rsid w:val="0079364D"/>
    <w:rsid w:val="00812796"/>
    <w:rsid w:val="00825722"/>
    <w:rsid w:val="00841DA8"/>
    <w:rsid w:val="00851A6F"/>
    <w:rsid w:val="00870789"/>
    <w:rsid w:val="00876AFD"/>
    <w:rsid w:val="00885414"/>
    <w:rsid w:val="00896C22"/>
    <w:rsid w:val="008C034B"/>
    <w:rsid w:val="0091631A"/>
    <w:rsid w:val="00932BEF"/>
    <w:rsid w:val="00983A8D"/>
    <w:rsid w:val="009B2F41"/>
    <w:rsid w:val="009E093A"/>
    <w:rsid w:val="009E27D4"/>
    <w:rsid w:val="00A01B27"/>
    <w:rsid w:val="00A34894"/>
    <w:rsid w:val="00A73E5D"/>
    <w:rsid w:val="00A81B3D"/>
    <w:rsid w:val="00A96058"/>
    <w:rsid w:val="00AD4E96"/>
    <w:rsid w:val="00B05DD3"/>
    <w:rsid w:val="00B210CB"/>
    <w:rsid w:val="00B60748"/>
    <w:rsid w:val="00B62F90"/>
    <w:rsid w:val="00B668F4"/>
    <w:rsid w:val="00BA7D5D"/>
    <w:rsid w:val="00BB6FD3"/>
    <w:rsid w:val="00BE1CDD"/>
    <w:rsid w:val="00C07256"/>
    <w:rsid w:val="00C36C22"/>
    <w:rsid w:val="00C55740"/>
    <w:rsid w:val="00C970AF"/>
    <w:rsid w:val="00CA1FFF"/>
    <w:rsid w:val="00CB53B4"/>
    <w:rsid w:val="00CC6E11"/>
    <w:rsid w:val="00CC7209"/>
    <w:rsid w:val="00D33284"/>
    <w:rsid w:val="00D44841"/>
    <w:rsid w:val="00D55467"/>
    <w:rsid w:val="00D71247"/>
    <w:rsid w:val="00DF0F79"/>
    <w:rsid w:val="00E00855"/>
    <w:rsid w:val="00E016DC"/>
    <w:rsid w:val="00E22C47"/>
    <w:rsid w:val="00E56F79"/>
    <w:rsid w:val="00E67450"/>
    <w:rsid w:val="00E82D48"/>
    <w:rsid w:val="00EC73B7"/>
    <w:rsid w:val="00EE1F67"/>
    <w:rsid w:val="00F47B19"/>
    <w:rsid w:val="00F7193F"/>
    <w:rsid w:val="00F8523B"/>
    <w:rsid w:val="00F9265C"/>
    <w:rsid w:val="00FF7928"/>
    <w:rsid w:val="01265BCF"/>
    <w:rsid w:val="0189675E"/>
    <w:rsid w:val="019B69D8"/>
    <w:rsid w:val="01A506A5"/>
    <w:rsid w:val="01B7145A"/>
    <w:rsid w:val="02033000"/>
    <w:rsid w:val="020E6D2C"/>
    <w:rsid w:val="02314CFE"/>
    <w:rsid w:val="02334C36"/>
    <w:rsid w:val="025346CC"/>
    <w:rsid w:val="025408F0"/>
    <w:rsid w:val="0286238B"/>
    <w:rsid w:val="02965C67"/>
    <w:rsid w:val="02B64E2B"/>
    <w:rsid w:val="02C44267"/>
    <w:rsid w:val="03000E79"/>
    <w:rsid w:val="031D7D4B"/>
    <w:rsid w:val="03281FDA"/>
    <w:rsid w:val="037F2004"/>
    <w:rsid w:val="0486486A"/>
    <w:rsid w:val="04954460"/>
    <w:rsid w:val="04B4421A"/>
    <w:rsid w:val="04B818D1"/>
    <w:rsid w:val="04BB16FA"/>
    <w:rsid w:val="04E16224"/>
    <w:rsid w:val="050D06DA"/>
    <w:rsid w:val="05310B72"/>
    <w:rsid w:val="05316CAE"/>
    <w:rsid w:val="05513E94"/>
    <w:rsid w:val="05597A8E"/>
    <w:rsid w:val="05681A7F"/>
    <w:rsid w:val="056F5A6D"/>
    <w:rsid w:val="057D4FED"/>
    <w:rsid w:val="058943CD"/>
    <w:rsid w:val="059B3770"/>
    <w:rsid w:val="063949A0"/>
    <w:rsid w:val="063B332D"/>
    <w:rsid w:val="06BD5BC7"/>
    <w:rsid w:val="06F008FF"/>
    <w:rsid w:val="072F5728"/>
    <w:rsid w:val="079E5032"/>
    <w:rsid w:val="07ED0986"/>
    <w:rsid w:val="09015F14"/>
    <w:rsid w:val="091C5C63"/>
    <w:rsid w:val="09421190"/>
    <w:rsid w:val="09663A33"/>
    <w:rsid w:val="0985424F"/>
    <w:rsid w:val="09A0082A"/>
    <w:rsid w:val="0A00435B"/>
    <w:rsid w:val="0A4001C0"/>
    <w:rsid w:val="0AAA1697"/>
    <w:rsid w:val="0ABA06FE"/>
    <w:rsid w:val="0B49202F"/>
    <w:rsid w:val="0B5F5ADA"/>
    <w:rsid w:val="0C2A5C84"/>
    <w:rsid w:val="0C4520CB"/>
    <w:rsid w:val="0C4B5C55"/>
    <w:rsid w:val="0C4F64D9"/>
    <w:rsid w:val="0C583939"/>
    <w:rsid w:val="0C6D1BAE"/>
    <w:rsid w:val="0CCB0CA4"/>
    <w:rsid w:val="0D2446AF"/>
    <w:rsid w:val="0D2A2435"/>
    <w:rsid w:val="0D6A4E84"/>
    <w:rsid w:val="0DA001B0"/>
    <w:rsid w:val="0DDE4FD5"/>
    <w:rsid w:val="0DEB170B"/>
    <w:rsid w:val="0DFF6683"/>
    <w:rsid w:val="0E4C7841"/>
    <w:rsid w:val="0E640604"/>
    <w:rsid w:val="0E97506F"/>
    <w:rsid w:val="0F3E0406"/>
    <w:rsid w:val="0F980230"/>
    <w:rsid w:val="0FD62F63"/>
    <w:rsid w:val="0FDE2A27"/>
    <w:rsid w:val="10AE7F82"/>
    <w:rsid w:val="10C93B35"/>
    <w:rsid w:val="11177619"/>
    <w:rsid w:val="112605C8"/>
    <w:rsid w:val="11845E93"/>
    <w:rsid w:val="11A6707B"/>
    <w:rsid w:val="11B35B2F"/>
    <w:rsid w:val="1226468E"/>
    <w:rsid w:val="12483364"/>
    <w:rsid w:val="12612A07"/>
    <w:rsid w:val="12AA5C7D"/>
    <w:rsid w:val="12E711B7"/>
    <w:rsid w:val="136D62BD"/>
    <w:rsid w:val="136E4388"/>
    <w:rsid w:val="13F21722"/>
    <w:rsid w:val="1441443C"/>
    <w:rsid w:val="14C12787"/>
    <w:rsid w:val="15593E10"/>
    <w:rsid w:val="159F7E25"/>
    <w:rsid w:val="15AB388B"/>
    <w:rsid w:val="15EA47D8"/>
    <w:rsid w:val="15F848D0"/>
    <w:rsid w:val="160E1FA5"/>
    <w:rsid w:val="160F2600"/>
    <w:rsid w:val="16897930"/>
    <w:rsid w:val="16C829AB"/>
    <w:rsid w:val="16DD34F5"/>
    <w:rsid w:val="173F0273"/>
    <w:rsid w:val="17765BCA"/>
    <w:rsid w:val="17A027D8"/>
    <w:rsid w:val="17CC2625"/>
    <w:rsid w:val="18900E5C"/>
    <w:rsid w:val="19132BE0"/>
    <w:rsid w:val="191F4716"/>
    <w:rsid w:val="1954649C"/>
    <w:rsid w:val="197607B7"/>
    <w:rsid w:val="19D63720"/>
    <w:rsid w:val="1A0B7A90"/>
    <w:rsid w:val="1A2D3E13"/>
    <w:rsid w:val="1A2E6D57"/>
    <w:rsid w:val="1A817DF8"/>
    <w:rsid w:val="1A825AA4"/>
    <w:rsid w:val="1A8A6135"/>
    <w:rsid w:val="1AB55AE1"/>
    <w:rsid w:val="1ADC594E"/>
    <w:rsid w:val="1AEB5252"/>
    <w:rsid w:val="1B4F7512"/>
    <w:rsid w:val="1B731B28"/>
    <w:rsid w:val="1B770817"/>
    <w:rsid w:val="1B8A03E4"/>
    <w:rsid w:val="1B9C1459"/>
    <w:rsid w:val="1BA02E75"/>
    <w:rsid w:val="1BA955FD"/>
    <w:rsid w:val="1BEC2FB3"/>
    <w:rsid w:val="1C104EA9"/>
    <w:rsid w:val="1C852172"/>
    <w:rsid w:val="1CA40C0C"/>
    <w:rsid w:val="1CB937B9"/>
    <w:rsid w:val="1CFF4A32"/>
    <w:rsid w:val="1D127758"/>
    <w:rsid w:val="1D833200"/>
    <w:rsid w:val="1E3A3FD0"/>
    <w:rsid w:val="1EB16CEF"/>
    <w:rsid w:val="1EB55C07"/>
    <w:rsid w:val="1F2A39BC"/>
    <w:rsid w:val="1F351A10"/>
    <w:rsid w:val="1F857EA5"/>
    <w:rsid w:val="1FB07D77"/>
    <w:rsid w:val="1FED47E9"/>
    <w:rsid w:val="206816AC"/>
    <w:rsid w:val="20AB5C69"/>
    <w:rsid w:val="20AE6A88"/>
    <w:rsid w:val="21134335"/>
    <w:rsid w:val="21156B08"/>
    <w:rsid w:val="212E7B39"/>
    <w:rsid w:val="21357F67"/>
    <w:rsid w:val="21B05320"/>
    <w:rsid w:val="22146DBF"/>
    <w:rsid w:val="226E581D"/>
    <w:rsid w:val="22A4003E"/>
    <w:rsid w:val="22AD0423"/>
    <w:rsid w:val="23135C25"/>
    <w:rsid w:val="235103B1"/>
    <w:rsid w:val="237B3638"/>
    <w:rsid w:val="23EC61F6"/>
    <w:rsid w:val="244C543C"/>
    <w:rsid w:val="24624768"/>
    <w:rsid w:val="247B3126"/>
    <w:rsid w:val="24965201"/>
    <w:rsid w:val="2503311B"/>
    <w:rsid w:val="252B5920"/>
    <w:rsid w:val="256522B4"/>
    <w:rsid w:val="259B5BC5"/>
    <w:rsid w:val="25A0096A"/>
    <w:rsid w:val="25A6242C"/>
    <w:rsid w:val="25EA19D6"/>
    <w:rsid w:val="25F62C4E"/>
    <w:rsid w:val="260112DA"/>
    <w:rsid w:val="262E5564"/>
    <w:rsid w:val="26643D6C"/>
    <w:rsid w:val="267B17F9"/>
    <w:rsid w:val="26FE109D"/>
    <w:rsid w:val="27073E1E"/>
    <w:rsid w:val="27B04AB3"/>
    <w:rsid w:val="27F50819"/>
    <w:rsid w:val="282C3BA1"/>
    <w:rsid w:val="286B525F"/>
    <w:rsid w:val="28A63332"/>
    <w:rsid w:val="28C96E8E"/>
    <w:rsid w:val="28D95A62"/>
    <w:rsid w:val="29064F88"/>
    <w:rsid w:val="291B21CD"/>
    <w:rsid w:val="29671760"/>
    <w:rsid w:val="297F3E41"/>
    <w:rsid w:val="29C45F24"/>
    <w:rsid w:val="2A312E88"/>
    <w:rsid w:val="2A7A19A4"/>
    <w:rsid w:val="2B10364A"/>
    <w:rsid w:val="2BAD3C7D"/>
    <w:rsid w:val="2BE661B9"/>
    <w:rsid w:val="2C043A01"/>
    <w:rsid w:val="2CFC31E2"/>
    <w:rsid w:val="2D3E46AF"/>
    <w:rsid w:val="2D6C5D01"/>
    <w:rsid w:val="2D9038E4"/>
    <w:rsid w:val="2DA24512"/>
    <w:rsid w:val="2DB27923"/>
    <w:rsid w:val="2DED645D"/>
    <w:rsid w:val="2DF8796C"/>
    <w:rsid w:val="2E670ED2"/>
    <w:rsid w:val="2E905689"/>
    <w:rsid w:val="2EB22F18"/>
    <w:rsid w:val="2ED323E9"/>
    <w:rsid w:val="2EE12108"/>
    <w:rsid w:val="2EED35E3"/>
    <w:rsid w:val="2F0B5068"/>
    <w:rsid w:val="2F1A79DF"/>
    <w:rsid w:val="2F250383"/>
    <w:rsid w:val="2F3434A0"/>
    <w:rsid w:val="2F63610B"/>
    <w:rsid w:val="2FBC646B"/>
    <w:rsid w:val="2FC11C09"/>
    <w:rsid w:val="2FCB7150"/>
    <w:rsid w:val="2FD90F6C"/>
    <w:rsid w:val="300965A3"/>
    <w:rsid w:val="303861CB"/>
    <w:rsid w:val="30730D6E"/>
    <w:rsid w:val="308B20C9"/>
    <w:rsid w:val="30B91A70"/>
    <w:rsid w:val="30D82D3B"/>
    <w:rsid w:val="30F84C22"/>
    <w:rsid w:val="310C6AA2"/>
    <w:rsid w:val="31793674"/>
    <w:rsid w:val="31880C30"/>
    <w:rsid w:val="31894469"/>
    <w:rsid w:val="31A14822"/>
    <w:rsid w:val="31F65838"/>
    <w:rsid w:val="320E2F7A"/>
    <w:rsid w:val="32332703"/>
    <w:rsid w:val="324B6B0A"/>
    <w:rsid w:val="32534618"/>
    <w:rsid w:val="326E4688"/>
    <w:rsid w:val="32CF2C5D"/>
    <w:rsid w:val="32EE2C61"/>
    <w:rsid w:val="335402B5"/>
    <w:rsid w:val="339466B2"/>
    <w:rsid w:val="33DF0126"/>
    <w:rsid w:val="34555AF5"/>
    <w:rsid w:val="347E7378"/>
    <w:rsid w:val="34FF687B"/>
    <w:rsid w:val="351B1DBB"/>
    <w:rsid w:val="35466DAF"/>
    <w:rsid w:val="354C4987"/>
    <w:rsid w:val="354E0A6E"/>
    <w:rsid w:val="35616772"/>
    <w:rsid w:val="35EA1663"/>
    <w:rsid w:val="364C598E"/>
    <w:rsid w:val="3657007D"/>
    <w:rsid w:val="366809A8"/>
    <w:rsid w:val="368A3622"/>
    <w:rsid w:val="36B543E5"/>
    <w:rsid w:val="36CC2B0F"/>
    <w:rsid w:val="36FC762F"/>
    <w:rsid w:val="38043DA5"/>
    <w:rsid w:val="3838492F"/>
    <w:rsid w:val="383A009B"/>
    <w:rsid w:val="3887374F"/>
    <w:rsid w:val="38A6487D"/>
    <w:rsid w:val="38BF5EB7"/>
    <w:rsid w:val="38CB0ABC"/>
    <w:rsid w:val="38E01351"/>
    <w:rsid w:val="39041A07"/>
    <w:rsid w:val="39043B77"/>
    <w:rsid w:val="3909254B"/>
    <w:rsid w:val="39426419"/>
    <w:rsid w:val="39670895"/>
    <w:rsid w:val="396C4AEF"/>
    <w:rsid w:val="397B4EE2"/>
    <w:rsid w:val="39D42FBD"/>
    <w:rsid w:val="3A387943"/>
    <w:rsid w:val="3A657F9A"/>
    <w:rsid w:val="3A7348E9"/>
    <w:rsid w:val="3A9113D4"/>
    <w:rsid w:val="3A9B5432"/>
    <w:rsid w:val="3AC54F32"/>
    <w:rsid w:val="3B144A0A"/>
    <w:rsid w:val="3B254018"/>
    <w:rsid w:val="3B5257F8"/>
    <w:rsid w:val="3BC92948"/>
    <w:rsid w:val="3BE33C5C"/>
    <w:rsid w:val="3BE370D4"/>
    <w:rsid w:val="3C0D6BB8"/>
    <w:rsid w:val="3C1A026D"/>
    <w:rsid w:val="3C236125"/>
    <w:rsid w:val="3C29381E"/>
    <w:rsid w:val="3C711E1D"/>
    <w:rsid w:val="3C7F463D"/>
    <w:rsid w:val="3C925059"/>
    <w:rsid w:val="3CAE3960"/>
    <w:rsid w:val="3CD04E84"/>
    <w:rsid w:val="3CEF6494"/>
    <w:rsid w:val="3D1A38F8"/>
    <w:rsid w:val="3D365BF6"/>
    <w:rsid w:val="3D4A76E1"/>
    <w:rsid w:val="3D7F7007"/>
    <w:rsid w:val="3DAD0A15"/>
    <w:rsid w:val="3DB008AA"/>
    <w:rsid w:val="3DC72549"/>
    <w:rsid w:val="3DF23324"/>
    <w:rsid w:val="3DFD481D"/>
    <w:rsid w:val="3E0D6A55"/>
    <w:rsid w:val="3E456D4A"/>
    <w:rsid w:val="3E9B41AC"/>
    <w:rsid w:val="3EA14040"/>
    <w:rsid w:val="3EB92D70"/>
    <w:rsid w:val="3EE8108D"/>
    <w:rsid w:val="3F4953C6"/>
    <w:rsid w:val="3F8201A3"/>
    <w:rsid w:val="3FAA2265"/>
    <w:rsid w:val="401E32AD"/>
    <w:rsid w:val="402675EA"/>
    <w:rsid w:val="40430B37"/>
    <w:rsid w:val="40663FC2"/>
    <w:rsid w:val="406F185A"/>
    <w:rsid w:val="40A23C8A"/>
    <w:rsid w:val="40B80EFF"/>
    <w:rsid w:val="40F66FE9"/>
    <w:rsid w:val="416C627C"/>
    <w:rsid w:val="41A35364"/>
    <w:rsid w:val="41C31686"/>
    <w:rsid w:val="41C837BC"/>
    <w:rsid w:val="421643AC"/>
    <w:rsid w:val="42982B4E"/>
    <w:rsid w:val="429F5D0C"/>
    <w:rsid w:val="42A90D7D"/>
    <w:rsid w:val="42D83665"/>
    <w:rsid w:val="4319447E"/>
    <w:rsid w:val="434A6B47"/>
    <w:rsid w:val="435061F9"/>
    <w:rsid w:val="436B1E42"/>
    <w:rsid w:val="43AF25F3"/>
    <w:rsid w:val="4418577B"/>
    <w:rsid w:val="44B113A3"/>
    <w:rsid w:val="45173492"/>
    <w:rsid w:val="456D114B"/>
    <w:rsid w:val="45C5091E"/>
    <w:rsid w:val="45EB670F"/>
    <w:rsid w:val="46AB7C0D"/>
    <w:rsid w:val="46B5206F"/>
    <w:rsid w:val="46D44808"/>
    <w:rsid w:val="46ED776B"/>
    <w:rsid w:val="47832872"/>
    <w:rsid w:val="479D2523"/>
    <w:rsid w:val="47B835DB"/>
    <w:rsid w:val="47CF49E6"/>
    <w:rsid w:val="48674ED2"/>
    <w:rsid w:val="487708E6"/>
    <w:rsid w:val="48B540F2"/>
    <w:rsid w:val="48F84E0E"/>
    <w:rsid w:val="493F6F72"/>
    <w:rsid w:val="49645F71"/>
    <w:rsid w:val="499F5C68"/>
    <w:rsid w:val="49A1315E"/>
    <w:rsid w:val="49B21BB8"/>
    <w:rsid w:val="49CE6AF5"/>
    <w:rsid w:val="49EA1F91"/>
    <w:rsid w:val="4A286C9D"/>
    <w:rsid w:val="4A52465C"/>
    <w:rsid w:val="4A5C4AC6"/>
    <w:rsid w:val="4A662FBF"/>
    <w:rsid w:val="4AF16062"/>
    <w:rsid w:val="4B0A57E5"/>
    <w:rsid w:val="4B646DDD"/>
    <w:rsid w:val="4B7F44F8"/>
    <w:rsid w:val="4BAC24C5"/>
    <w:rsid w:val="4BCF6A02"/>
    <w:rsid w:val="4BFA0656"/>
    <w:rsid w:val="4C1335D6"/>
    <w:rsid w:val="4CE0596C"/>
    <w:rsid w:val="4D191D18"/>
    <w:rsid w:val="4D3439E8"/>
    <w:rsid w:val="4D4E2809"/>
    <w:rsid w:val="4D730507"/>
    <w:rsid w:val="4D741DD3"/>
    <w:rsid w:val="4D9A0180"/>
    <w:rsid w:val="4DC93207"/>
    <w:rsid w:val="4E010C4C"/>
    <w:rsid w:val="4E214B2B"/>
    <w:rsid w:val="4E60685C"/>
    <w:rsid w:val="4E8D5761"/>
    <w:rsid w:val="4EF54A85"/>
    <w:rsid w:val="4EF972C6"/>
    <w:rsid w:val="4F4A13A2"/>
    <w:rsid w:val="4F5451E9"/>
    <w:rsid w:val="501B3C66"/>
    <w:rsid w:val="504B40C5"/>
    <w:rsid w:val="50987DC2"/>
    <w:rsid w:val="50A4703E"/>
    <w:rsid w:val="51064024"/>
    <w:rsid w:val="5120244E"/>
    <w:rsid w:val="51282B99"/>
    <w:rsid w:val="5136104F"/>
    <w:rsid w:val="51465EDE"/>
    <w:rsid w:val="519E664A"/>
    <w:rsid w:val="51A258E6"/>
    <w:rsid w:val="52071113"/>
    <w:rsid w:val="52085509"/>
    <w:rsid w:val="522774C4"/>
    <w:rsid w:val="522A7431"/>
    <w:rsid w:val="525A440D"/>
    <w:rsid w:val="525F1EC0"/>
    <w:rsid w:val="52626449"/>
    <w:rsid w:val="52765DA5"/>
    <w:rsid w:val="52805670"/>
    <w:rsid w:val="53E144A4"/>
    <w:rsid w:val="5445013A"/>
    <w:rsid w:val="544E511A"/>
    <w:rsid w:val="54741940"/>
    <w:rsid w:val="54810E66"/>
    <w:rsid w:val="54C063E4"/>
    <w:rsid w:val="54C2556E"/>
    <w:rsid w:val="54F870B5"/>
    <w:rsid w:val="55480EEF"/>
    <w:rsid w:val="55C2570C"/>
    <w:rsid w:val="56631B32"/>
    <w:rsid w:val="569B7F91"/>
    <w:rsid w:val="569C414F"/>
    <w:rsid w:val="56D21BED"/>
    <w:rsid w:val="56EB5639"/>
    <w:rsid w:val="572651B2"/>
    <w:rsid w:val="57265F57"/>
    <w:rsid w:val="57AE5C26"/>
    <w:rsid w:val="57DD75A9"/>
    <w:rsid w:val="5801059F"/>
    <w:rsid w:val="58256ABD"/>
    <w:rsid w:val="58461ED7"/>
    <w:rsid w:val="58B077D0"/>
    <w:rsid w:val="58C27FDB"/>
    <w:rsid w:val="591975A7"/>
    <w:rsid w:val="59472AC7"/>
    <w:rsid w:val="59486D73"/>
    <w:rsid w:val="59D514A6"/>
    <w:rsid w:val="59D65CF6"/>
    <w:rsid w:val="59EC6E09"/>
    <w:rsid w:val="5A5D23AA"/>
    <w:rsid w:val="5AB343F7"/>
    <w:rsid w:val="5AB81BF2"/>
    <w:rsid w:val="5ABF50F2"/>
    <w:rsid w:val="5ADC628D"/>
    <w:rsid w:val="5AF25D13"/>
    <w:rsid w:val="5AF76904"/>
    <w:rsid w:val="5B052E7A"/>
    <w:rsid w:val="5B3D7F7E"/>
    <w:rsid w:val="5B4136B4"/>
    <w:rsid w:val="5B7C7777"/>
    <w:rsid w:val="5B8E672E"/>
    <w:rsid w:val="5BC223C2"/>
    <w:rsid w:val="5BEC6771"/>
    <w:rsid w:val="5BED73ED"/>
    <w:rsid w:val="5C2A72ED"/>
    <w:rsid w:val="5C2C6A62"/>
    <w:rsid w:val="5C785C08"/>
    <w:rsid w:val="5CA506B9"/>
    <w:rsid w:val="5CBD6AC2"/>
    <w:rsid w:val="5CF74CE4"/>
    <w:rsid w:val="5D5A7C63"/>
    <w:rsid w:val="5DE314D6"/>
    <w:rsid w:val="5DFB2606"/>
    <w:rsid w:val="5E256F6F"/>
    <w:rsid w:val="5E341E1A"/>
    <w:rsid w:val="5E4647B1"/>
    <w:rsid w:val="5F6235A9"/>
    <w:rsid w:val="5F760641"/>
    <w:rsid w:val="5FE77289"/>
    <w:rsid w:val="607248F0"/>
    <w:rsid w:val="60A07495"/>
    <w:rsid w:val="60DC439E"/>
    <w:rsid w:val="60DD3FB6"/>
    <w:rsid w:val="60E10FAA"/>
    <w:rsid w:val="614125C2"/>
    <w:rsid w:val="616036FF"/>
    <w:rsid w:val="619E1C26"/>
    <w:rsid w:val="61A966BE"/>
    <w:rsid w:val="61AA1D1F"/>
    <w:rsid w:val="61D06669"/>
    <w:rsid w:val="624C5C52"/>
    <w:rsid w:val="62B65750"/>
    <w:rsid w:val="62F8184E"/>
    <w:rsid w:val="63844E4C"/>
    <w:rsid w:val="63DF08E4"/>
    <w:rsid w:val="64C04AFD"/>
    <w:rsid w:val="64C05A36"/>
    <w:rsid w:val="652A0972"/>
    <w:rsid w:val="655B219F"/>
    <w:rsid w:val="661A7B69"/>
    <w:rsid w:val="66455323"/>
    <w:rsid w:val="664909C1"/>
    <w:rsid w:val="66635AE4"/>
    <w:rsid w:val="667A7628"/>
    <w:rsid w:val="66C63EB5"/>
    <w:rsid w:val="66FE3167"/>
    <w:rsid w:val="67006A1E"/>
    <w:rsid w:val="6713160D"/>
    <w:rsid w:val="67592674"/>
    <w:rsid w:val="679461D3"/>
    <w:rsid w:val="682236E0"/>
    <w:rsid w:val="6858287E"/>
    <w:rsid w:val="68593A1E"/>
    <w:rsid w:val="68C04D52"/>
    <w:rsid w:val="68D33DE9"/>
    <w:rsid w:val="69157114"/>
    <w:rsid w:val="691A443E"/>
    <w:rsid w:val="69763385"/>
    <w:rsid w:val="69792A92"/>
    <w:rsid w:val="69E203A0"/>
    <w:rsid w:val="6A5B6D7D"/>
    <w:rsid w:val="6A765FBC"/>
    <w:rsid w:val="6A80735F"/>
    <w:rsid w:val="6AC17181"/>
    <w:rsid w:val="6ACC5E47"/>
    <w:rsid w:val="6AD43ED1"/>
    <w:rsid w:val="6AE32A73"/>
    <w:rsid w:val="6B11024D"/>
    <w:rsid w:val="6B4078AA"/>
    <w:rsid w:val="6B7D5B36"/>
    <w:rsid w:val="6B8F0831"/>
    <w:rsid w:val="6BAF0443"/>
    <w:rsid w:val="6BD2255E"/>
    <w:rsid w:val="6C834DAA"/>
    <w:rsid w:val="6C993CCE"/>
    <w:rsid w:val="6CB62049"/>
    <w:rsid w:val="6CF120A8"/>
    <w:rsid w:val="6D182CC8"/>
    <w:rsid w:val="6D72413D"/>
    <w:rsid w:val="6D937C1E"/>
    <w:rsid w:val="6DF96148"/>
    <w:rsid w:val="6E683830"/>
    <w:rsid w:val="6E7905AD"/>
    <w:rsid w:val="6E7C68E8"/>
    <w:rsid w:val="6F4D2305"/>
    <w:rsid w:val="6FA61CE2"/>
    <w:rsid w:val="6FAB363E"/>
    <w:rsid w:val="6FF50B81"/>
    <w:rsid w:val="70330B9C"/>
    <w:rsid w:val="703675ED"/>
    <w:rsid w:val="70DB731D"/>
    <w:rsid w:val="714213DD"/>
    <w:rsid w:val="714510B8"/>
    <w:rsid w:val="717F272E"/>
    <w:rsid w:val="719B43C9"/>
    <w:rsid w:val="71E558A6"/>
    <w:rsid w:val="72544BB4"/>
    <w:rsid w:val="725718D4"/>
    <w:rsid w:val="72783A23"/>
    <w:rsid w:val="728027C6"/>
    <w:rsid w:val="73602E31"/>
    <w:rsid w:val="73D62FA6"/>
    <w:rsid w:val="73FE7ACC"/>
    <w:rsid w:val="74556746"/>
    <w:rsid w:val="745F3D8E"/>
    <w:rsid w:val="74743258"/>
    <w:rsid w:val="74D07EF1"/>
    <w:rsid w:val="74DB6895"/>
    <w:rsid w:val="74EE65C9"/>
    <w:rsid w:val="7564688B"/>
    <w:rsid w:val="757765BE"/>
    <w:rsid w:val="761B13C4"/>
    <w:rsid w:val="764B6A8A"/>
    <w:rsid w:val="76771041"/>
    <w:rsid w:val="76B70AC5"/>
    <w:rsid w:val="76C17E06"/>
    <w:rsid w:val="76CA67BD"/>
    <w:rsid w:val="774E6400"/>
    <w:rsid w:val="775B0046"/>
    <w:rsid w:val="77634BCC"/>
    <w:rsid w:val="78464BF3"/>
    <w:rsid w:val="79700BEF"/>
    <w:rsid w:val="79772997"/>
    <w:rsid w:val="798D552B"/>
    <w:rsid w:val="799040F2"/>
    <w:rsid w:val="79C8721B"/>
    <w:rsid w:val="7A090695"/>
    <w:rsid w:val="7A1D5951"/>
    <w:rsid w:val="7A2C31F5"/>
    <w:rsid w:val="7ACD2AA0"/>
    <w:rsid w:val="7AE175F4"/>
    <w:rsid w:val="7B417685"/>
    <w:rsid w:val="7B5220F0"/>
    <w:rsid w:val="7B631FDB"/>
    <w:rsid w:val="7BA169C0"/>
    <w:rsid w:val="7BC55243"/>
    <w:rsid w:val="7BF4450A"/>
    <w:rsid w:val="7C2F4A9A"/>
    <w:rsid w:val="7CAD595B"/>
    <w:rsid w:val="7CF65D07"/>
    <w:rsid w:val="7D2975D1"/>
    <w:rsid w:val="7D2F3083"/>
    <w:rsid w:val="7D906046"/>
    <w:rsid w:val="7DA92317"/>
    <w:rsid w:val="7DCC0CD6"/>
    <w:rsid w:val="7DEB614E"/>
    <w:rsid w:val="7E0C6DED"/>
    <w:rsid w:val="7F5504C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FangSong_GB2312"/>
      <w:kern w:val="2"/>
      <w:sz w:val="18"/>
    </w:rPr>
  </w:style>
  <w:style w:type="character" w:customStyle="1" w:styleId="17">
    <w:name w:val="批注框文本 Char"/>
    <w:link w:val="5"/>
    <w:autoRedefine/>
    <w:qFormat/>
    <w:uiPriority w:val="0"/>
    <w:rPr>
      <w:rFonts w:eastAsia="FangSong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脚 New"/>
    <w:basedOn w:val="1"/>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Company>China</Company>
  <Pages>24</Pages>
  <Words>1396</Words>
  <Characters>7962</Characters>
  <Lines>66</Lines>
  <Paragraphs>18</Paragraphs>
  <TotalTime>0</TotalTime>
  <ScaleCrop>false</ScaleCrop>
  <LinksUpToDate>false</LinksUpToDate>
  <CharactersWithSpaces>9340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后来</cp:lastModifiedBy>
  <cp:lastPrinted>2024-01-23T03:39:00Z</cp:lastPrinted>
  <dcterms:modified xsi:type="dcterms:W3CDTF">2024-02-26T03:34:55Z</dcterms:modified>
  <dc:title>主  持  词</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