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FZXiaoBiaoSong-B05S"/>
          <w:w w:val="90"/>
          <w:sz w:val="44"/>
          <w:szCs w:val="44"/>
        </w:rPr>
      </w:pPr>
      <w:r>
        <w:rPr>
          <w:rFonts w:hint="eastAsia" w:eastAsia="FZXiaoBiaoSong-B05S"/>
          <w:w w:val="90"/>
          <w:sz w:val="44"/>
          <w:szCs w:val="44"/>
        </w:rPr>
        <w:t>白山市统计局浑江区分局农村社会经济调查队</w:t>
      </w:r>
    </w:p>
    <w:p>
      <w:pPr>
        <w:jc w:val="center"/>
        <w:rPr>
          <w:rFonts w:eastAsia="FZXiaoBiaoSong-B05S"/>
          <w:sz w:val="44"/>
          <w:szCs w:val="44"/>
        </w:rPr>
      </w:pPr>
      <w:r>
        <w:rPr>
          <w:rFonts w:eastAsia="FZXiaoBiaoSong-B05S"/>
          <w:sz w:val="44"/>
          <w:szCs w:val="44"/>
        </w:rPr>
        <w:t>20</w:t>
      </w:r>
      <w:r>
        <w:rPr>
          <w:rFonts w:hint="eastAsia" w:eastAsia="FZXiaoBiaoSong-B05S"/>
          <w:sz w:val="44"/>
          <w:szCs w:val="44"/>
        </w:rPr>
        <w:t>24</w:t>
      </w:r>
      <w:r>
        <w:rPr>
          <w:rFonts w:eastAsia="FZXiaoBiaoSong-B05S"/>
          <w:sz w:val="44"/>
          <w:szCs w:val="44"/>
        </w:rPr>
        <w:t>年</w:t>
      </w:r>
      <w:r>
        <w:rPr>
          <w:rFonts w:hint="eastAsia" w:eastAsia="FZXiaoBiaoSong-B05S"/>
          <w:sz w:val="44"/>
          <w:szCs w:val="44"/>
        </w:rPr>
        <w:t>单位</w:t>
      </w:r>
      <w:r>
        <w:rPr>
          <w:rFonts w:eastAsia="FZXiaoBiaoSong-B05S"/>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FZXiaoBiaoSong-B05S"/>
          <w:sz w:val="44"/>
          <w:szCs w:val="44"/>
        </w:rPr>
      </w:pPr>
      <w:r>
        <w:rPr>
          <w:rFonts w:eastAsia="FZXiaoBiaoSong-B05S"/>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预算总</w:t>
      </w:r>
      <w:r>
        <w:t>表</w:t>
      </w:r>
    </w:p>
    <w:p>
      <w:pPr>
        <w:ind w:left="320" w:leftChars="100" w:firstLine="320" w:firstLineChars="100"/>
      </w:pPr>
      <w:r>
        <w:t>二、收入</w:t>
      </w:r>
      <w:r>
        <w:rPr>
          <w:rFonts w:hint="eastAsia"/>
        </w:rPr>
        <w:t>预算总</w:t>
      </w:r>
      <w:r>
        <w:t>表</w:t>
      </w:r>
    </w:p>
    <w:p>
      <w:pPr>
        <w:ind w:left="320" w:leftChars="100" w:firstLine="320" w:firstLineChars="100"/>
      </w:pPr>
      <w:r>
        <w:t>三、支出</w:t>
      </w:r>
      <w:r>
        <w:rPr>
          <w:rFonts w:hint="eastAsia"/>
        </w:rPr>
        <w:t>预算总</w:t>
      </w:r>
      <w:r>
        <w:t>表</w:t>
      </w:r>
    </w:p>
    <w:p>
      <w:pPr>
        <w:ind w:left="320" w:leftChars="100" w:firstLine="320" w:firstLineChars="100"/>
      </w:pPr>
      <w:r>
        <w:t>四、财政拨款收支</w:t>
      </w:r>
      <w:r>
        <w:rPr>
          <w:rFonts w:hint="eastAsia"/>
        </w:rPr>
        <w:t>预算总</w:t>
      </w:r>
      <w:r>
        <w:t>表</w:t>
      </w:r>
    </w:p>
    <w:p>
      <w:pPr>
        <w:ind w:left="320" w:leftChars="100" w:firstLine="320" w:firstLineChars="100"/>
      </w:pPr>
      <w:r>
        <w:t>五、</w:t>
      </w:r>
      <w:r>
        <w:rPr>
          <w:rFonts w:hint="eastAsia"/>
        </w:rPr>
        <w:t>一般公共预算拨款支出预算表</w:t>
      </w:r>
    </w:p>
    <w:p>
      <w:pPr>
        <w:ind w:left="320" w:leftChars="100" w:firstLine="320" w:firstLineChars="100"/>
      </w:pPr>
      <w:r>
        <w:t>六、</w:t>
      </w:r>
      <w:r>
        <w:rPr>
          <w:rFonts w:hint="eastAsia"/>
        </w:rPr>
        <w:t>一般公共预算基本支出预算表</w:t>
      </w:r>
    </w:p>
    <w:p>
      <w:pPr>
        <w:ind w:left="320" w:leftChars="100" w:firstLine="320" w:firstLineChars="100"/>
      </w:pPr>
      <w:r>
        <w:t>七、一般公共预算“三公”经费支出</w:t>
      </w:r>
      <w:r>
        <w:rPr>
          <w:rFonts w:hint="eastAsia"/>
        </w:rPr>
        <w:t>预算</w:t>
      </w:r>
      <w:r>
        <w:t>表</w:t>
      </w:r>
    </w:p>
    <w:p>
      <w:pPr>
        <w:ind w:left="320" w:leftChars="100" w:firstLine="320" w:firstLineChars="100"/>
      </w:pPr>
      <w:r>
        <w:t>八、政府性基金预算</w:t>
      </w:r>
      <w:r>
        <w:rPr>
          <w:rFonts w:hint="eastAsia"/>
        </w:rPr>
        <w:t>拨款</w:t>
      </w:r>
      <w:r>
        <w:t>支出</w:t>
      </w:r>
      <w:r>
        <w:rPr>
          <w:rFonts w:hint="eastAsia"/>
        </w:rPr>
        <w:t>预算</w:t>
      </w:r>
      <w:r>
        <w:t>表</w:t>
      </w:r>
    </w:p>
    <w:p>
      <w:pPr>
        <w:ind w:left="320" w:leftChars="100" w:firstLine="320" w:firstLineChars="100"/>
      </w:pPr>
      <w:r>
        <w:rPr>
          <w:rFonts w:hint="eastAsia"/>
        </w:rPr>
        <w:t>九、国有资本经营</w:t>
      </w:r>
      <w:r>
        <w:t>预算支出</w:t>
      </w:r>
      <w:r>
        <w:rPr>
          <w:rFonts w:hint="eastAsia"/>
        </w:rPr>
        <w:t>预算</w:t>
      </w:r>
      <w:r>
        <w:t>表</w:t>
      </w:r>
    </w:p>
    <w:p>
      <w:pPr>
        <w:ind w:left="320" w:leftChars="100" w:firstLine="320" w:firstLineChars="100"/>
      </w:pPr>
      <w:r>
        <w:rPr>
          <w:rFonts w:hint="eastAsia"/>
        </w:rPr>
        <w:t>十、项目支出预算表</w:t>
      </w:r>
    </w:p>
    <w:p>
      <w:pPr>
        <w:ind w:left="320" w:leftChars="100" w:firstLine="320" w:firstLineChars="100"/>
      </w:pPr>
      <w:r>
        <w:rPr>
          <w:rFonts w:hint="eastAsia"/>
        </w:rPr>
        <w:t>十一、财政拨款委托业务费支出预算表</w:t>
      </w:r>
    </w:p>
    <w:p>
      <w:pPr>
        <w:ind w:firstLine="640" w:firstLineChars="200"/>
      </w:pPr>
      <w:r>
        <w:rPr>
          <w:rFonts w:hint="eastAsia"/>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KaiTi_GB2312"/>
        </w:rPr>
      </w:pPr>
    </w:p>
    <w:p>
      <w:pPr>
        <w:ind w:firstLine="640" w:firstLineChars="200"/>
        <w:rPr>
          <w:rFonts w:eastAsia="KaiTi_GB2312"/>
        </w:rPr>
      </w:pPr>
      <w:r>
        <w:rPr>
          <w:rFonts w:eastAsia="KaiTi_GB2312"/>
        </w:rPr>
        <w:t>一、主要职能</w:t>
      </w:r>
    </w:p>
    <w:p>
      <w:pPr>
        <w:ind w:firstLine="640" w:firstLineChars="200"/>
        <w:rPr>
          <w:rFonts w:ascii="FangSong_GB2312" w:hAnsi="FangSong_GB2312" w:cs="FangSong_GB2312"/>
        </w:rPr>
      </w:pPr>
      <w:r>
        <w:rPr>
          <w:rFonts w:hint="eastAsia" w:ascii="FangSong_GB2312" w:hAnsi="FangSong_GB2312" w:cs="FangSong_GB2312"/>
        </w:rPr>
        <w:t>1.贯彻执行国家统计调查方法制度，组织实施农村住户、农产量、农村社会经济基本情况等有关调查。</w:t>
      </w:r>
    </w:p>
    <w:p>
      <w:pPr>
        <w:ind w:firstLine="640" w:firstLineChars="200"/>
        <w:rPr>
          <w:rFonts w:ascii="FangSong_GB2312" w:hAnsi="FangSong_GB2312" w:cs="FangSong_GB2312"/>
        </w:rPr>
      </w:pPr>
      <w:r>
        <w:rPr>
          <w:rFonts w:hint="eastAsia" w:ascii="FangSong_GB2312" w:hAnsi="FangSong_GB2312" w:cs="FangSong_GB2312"/>
        </w:rPr>
        <w:t>2.准确及时，系统地搜集、整理和上报农村社会经济调查资料。</w:t>
      </w:r>
    </w:p>
    <w:p>
      <w:pPr>
        <w:ind w:firstLine="640" w:firstLineChars="200"/>
        <w:rPr>
          <w:rFonts w:ascii="FangSong_GB2312" w:hAnsi="FangSong_GB2312" w:cs="FangSong_GB2312"/>
        </w:rPr>
      </w:pPr>
      <w:r>
        <w:rPr>
          <w:rFonts w:hint="eastAsia" w:ascii="FangSong_GB2312" w:hAnsi="FangSong_GB2312" w:cs="FangSong_GB2312"/>
        </w:rPr>
        <w:t>3、进行对小康社会建设进程的监测。</w:t>
      </w:r>
    </w:p>
    <w:p>
      <w:pPr>
        <w:ind w:firstLine="640" w:firstLineChars="200"/>
        <w:rPr>
          <w:rFonts w:ascii="FangSong_GB2312" w:hAnsi="FangSong_GB2312" w:cs="FangSong_GB2312"/>
        </w:rPr>
      </w:pPr>
      <w:r>
        <w:rPr>
          <w:rFonts w:hint="eastAsia" w:ascii="FangSong_GB2312" w:hAnsi="FangSong_GB2312" w:cs="FangSong_GB2312"/>
        </w:rPr>
        <w:t>4、农村贫困人口监测和粮食产量调查等工作。</w:t>
      </w:r>
    </w:p>
    <w:p>
      <w:pPr>
        <w:ind w:firstLine="640" w:firstLineChars="200"/>
        <w:rPr>
          <w:rFonts w:ascii="FangSong_GB2312" w:hAnsi="FangSong_GB2312" w:cs="FangSong_GB2312"/>
        </w:rPr>
      </w:pPr>
      <w:r>
        <w:rPr>
          <w:rFonts w:hint="eastAsia" w:ascii="FangSong_GB2312" w:hAnsi="FangSong_GB2312" w:cs="FangSong_GB2312"/>
        </w:rPr>
        <w:t>5、开展农村社会经济问题的分析研究，向各级党政领导和社会公众提供调查资料和信息。</w:t>
      </w:r>
    </w:p>
    <w:p>
      <w:pPr>
        <w:ind w:firstLine="640" w:firstLineChars="200"/>
      </w:pPr>
      <w:r>
        <w:rPr>
          <w:rFonts w:eastAsia="KaiTi_GB2312"/>
        </w:rPr>
        <w:t>二、机构设置</w:t>
      </w:r>
    </w:p>
    <w:p>
      <w:pPr>
        <w:pStyle w:val="48"/>
        <w:ind w:firstLine="640" w:firstLineChars="200"/>
        <w:rPr>
          <w:rFonts w:eastAsia="FangSong_GB2312"/>
        </w:rPr>
      </w:pPr>
      <w:r>
        <w:rPr>
          <w:rFonts w:eastAsia="FangSong_GB2312"/>
        </w:rPr>
        <w:t>根据</w:t>
      </w:r>
      <w:r>
        <w:rPr>
          <w:rFonts w:hint="eastAsia" w:eastAsia="FangSong_GB2312"/>
        </w:rPr>
        <w:t>机构编制管理有关规定，白山市统计局浑江区分局农村社会经济调查队不设置内设机构</w:t>
      </w:r>
      <w:r>
        <w:rPr>
          <w:rFonts w:eastAsia="FangSong_GB2312"/>
        </w:rPr>
        <w:t>。</w:t>
      </w:r>
    </w:p>
    <w:p>
      <w:pPr>
        <w:spacing w:line="560" w:lineRule="exact"/>
        <w:ind w:firstLine="640" w:firstLineChars="200"/>
        <w:rPr>
          <w:rFonts w:ascii="FangSong_GB2312" w:hAnsi="仿宋"/>
          <w:color w:val="FF0000"/>
          <w:kern w:val="0"/>
          <w:szCs w:val="32"/>
          <w:lang w:bidi="en-US"/>
        </w:rPr>
      </w:pPr>
      <w:r>
        <w:rPr>
          <w:rFonts w:hint="eastAsia" w:ascii="FangSong_GB2312" w:hAnsi="仿宋"/>
          <w:kern w:val="0"/>
          <w:szCs w:val="32"/>
          <w:lang w:bidi="en-US"/>
        </w:rPr>
        <w:t>本单位无下设预算单位。</w:t>
      </w:r>
    </w:p>
    <w:p>
      <w:pPr>
        <w:spacing w:line="560" w:lineRule="exact"/>
        <w:ind w:firstLine="640" w:firstLineChars="200"/>
        <w:rPr>
          <w:rFonts w:ascii="FangSong_GB2312" w:hAnsi="仿宋"/>
          <w:color w:val="FF0000"/>
          <w:kern w:val="0"/>
          <w:szCs w:val="32"/>
          <w:lang w:bidi="en-US"/>
        </w:rPr>
      </w:pPr>
    </w:p>
    <w:p>
      <w:pPr>
        <w:spacing w:line="560" w:lineRule="exact"/>
        <w:ind w:firstLine="640" w:firstLineChars="200"/>
        <w:rPr>
          <w:rFonts w:ascii="FangSong_GB2312" w:hAnsi="仿宋"/>
          <w:kern w:val="0"/>
          <w:szCs w:val="32"/>
          <w:lang w:bidi="en-US"/>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ign w:val="center"/>
          </w:tcPr>
          <w:p>
            <w:pPr>
              <w:widowControl/>
              <w:jc w:val="center"/>
              <w:rPr>
                <w:rFonts w:eastAsia="FZXiaoBiaoSong-B05S"/>
                <w:kern w:val="0"/>
                <w:sz w:val="44"/>
                <w:szCs w:val="44"/>
              </w:rPr>
            </w:pPr>
            <w:r>
              <w:rPr>
                <w:rFonts w:eastAsia="FZXiaoBiaoSong-B05S"/>
                <w:kern w:val="0"/>
                <w:sz w:val="44"/>
                <w:szCs w:val="44"/>
              </w:rPr>
              <w:t>收支</w:t>
            </w:r>
            <w:r>
              <w:rPr>
                <w:rFonts w:hint="eastAsia" w:eastAsia="FZXiaoBiaoSong-B05S"/>
                <w:kern w:val="0"/>
                <w:sz w:val="44"/>
                <w:szCs w:val="44"/>
              </w:rPr>
              <w:t>预算总</w:t>
            </w:r>
            <w:r>
              <w:rPr>
                <w:rFonts w:eastAsia="FZXiaoBiaoSong-B05S"/>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34"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73"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w:t>
            </w:r>
            <w:r>
              <w:rPr>
                <w:rFonts w:eastAsia="宋体"/>
                <w:kern w:val="0"/>
                <w:sz w:val="20"/>
              </w:rPr>
              <w:t>预算</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85.42</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77.62</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7.80</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65.39</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59.08</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6.31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一般公共预算拨款收入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85.42</w:t>
            </w: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77.62</w:t>
            </w: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r>
              <w:rPr>
                <w:rFonts w:hint="eastAsia" w:eastAsia="宋体"/>
                <w:kern w:val="0"/>
                <w:sz w:val="20"/>
              </w:rPr>
              <w:t>7.80</w:t>
            </w: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二、社会保障和就业支出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9.81</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8.95</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0.86</w:t>
            </w:r>
          </w:p>
        </w:tc>
      </w:tr>
      <w:tr>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政府性基金预算拨款收入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三、卫生健康支出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3.66</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3.61</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0.05</w:t>
            </w:r>
          </w:p>
        </w:tc>
      </w:tr>
      <w:tr>
        <w:tblPrEx>
          <w:tblCellMar>
            <w:top w:w="0" w:type="dxa"/>
            <w:left w:w="108" w:type="dxa"/>
            <w:bottom w:w="0" w:type="dxa"/>
            <w:right w:w="108" w:type="dxa"/>
          </w:tblCellMar>
        </w:tblPrEx>
        <w:trPr>
          <w:trHeight w:val="53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四、住房保障支出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6.56</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5.98</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0.58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ign w:val="center"/>
          </w:tcPr>
          <w:p>
            <w:pPr>
              <w:jc w:val="center"/>
              <w:rPr>
                <w:rFonts w:eastAsia="宋体"/>
                <w:sz w:val="20"/>
              </w:rPr>
            </w:pPr>
            <w:r>
              <w:rPr>
                <w:rFonts w:hint="eastAsia" w:eastAsia="宋体"/>
                <w:sz w:val="20"/>
              </w:rPr>
              <w:t>二、财政专户管理资金收入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ign w:val="center"/>
          </w:tcPr>
          <w:p>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ign w:val="center"/>
          </w:tcPr>
          <w:p>
            <w:pPr>
              <w:jc w:val="center"/>
              <w:rPr>
                <w:rFonts w:eastAsia="宋体"/>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sz w:val="20"/>
              </w:rPr>
            </w:pPr>
          </w:p>
        </w:tc>
        <w:tc>
          <w:tcPr>
            <w:tcW w:w="1342"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56"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本年收入合计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85.42</w:t>
            </w: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77.62</w:t>
            </w: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r>
              <w:rPr>
                <w:rFonts w:hint="eastAsia" w:eastAsia="宋体"/>
                <w:kern w:val="0"/>
                <w:sz w:val="20"/>
              </w:rPr>
              <w:t>7.80</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本年支出合计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85.42</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77.62</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7.80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非财政拨款结转结余</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85.42</w:t>
            </w: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77.62</w:t>
            </w: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r>
              <w:rPr>
                <w:rFonts w:hint="eastAsia" w:eastAsia="宋体"/>
                <w:kern w:val="0"/>
                <w:sz w:val="20"/>
              </w:rPr>
              <w:t>7.80</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85.42</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77.62</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7.80</w:t>
            </w:r>
          </w:p>
        </w:tc>
      </w:tr>
    </w:tbl>
    <w:p>
      <w:pPr>
        <w:ind w:firstLine="640" w:firstLineChars="200"/>
        <w:rPr>
          <w:rFonts w:eastAsia="KaiTi_GB2312"/>
          <w:strike/>
        </w:rPr>
      </w:pPr>
    </w:p>
    <w:p>
      <w:pPr>
        <w:ind w:firstLine="640" w:firstLineChars="200"/>
        <w:rPr>
          <w:rFonts w:eastAsia="KaiTi_GB2312"/>
        </w:rPr>
      </w:pPr>
    </w:p>
    <w:p>
      <w:pPr>
        <w:rPr>
          <w:rFonts w:hAnsi="楷体" w:eastAsia="楷体"/>
        </w:rPr>
      </w:pPr>
    </w:p>
    <w:p>
      <w:pPr>
        <w:jc w:val="center"/>
        <w:rPr>
          <w:rFonts w:eastAsia="FZXiaoBiaoSong-B05S"/>
          <w:sz w:val="44"/>
        </w:rPr>
      </w:pPr>
      <w:r>
        <w:rPr>
          <w:rFonts w:hAnsi="楷体" w:eastAsia="楷体"/>
        </w:rPr>
        <w:br w:type="page"/>
      </w:r>
      <w:r>
        <w:rPr>
          <w:rFonts w:eastAsia="FZXiaoBiaoSong-B05S"/>
          <w:sz w:val="44"/>
        </w:rPr>
        <w:t>收入</w:t>
      </w:r>
      <w:r>
        <w:rPr>
          <w:rFonts w:hint="eastAsia" w:eastAsia="FZXiaoBiaoSong-B05S"/>
          <w:sz w:val="44"/>
        </w:rPr>
        <w:t>预算总</w:t>
      </w:r>
      <w:r>
        <w:rPr>
          <w:rFonts w:eastAsia="FZXiaoBiaoSong-B05S"/>
          <w:sz w:val="44"/>
        </w:rPr>
        <w:t>表</w:t>
      </w:r>
    </w:p>
    <w:tbl>
      <w:tblPr>
        <w:tblStyle w:val="9"/>
        <w:tblW w:w="9841" w:type="dxa"/>
        <w:jc w:val="center"/>
        <w:tblLayout w:type="fixed"/>
        <w:tblCellMar>
          <w:top w:w="0" w:type="dxa"/>
          <w:left w:w="108" w:type="dxa"/>
          <w:bottom w:w="0" w:type="dxa"/>
          <w:right w:w="108" w:type="dxa"/>
        </w:tblCellMar>
      </w:tblPr>
      <w:tblGrid>
        <w:gridCol w:w="1382"/>
        <w:gridCol w:w="794"/>
        <w:gridCol w:w="810"/>
        <w:gridCol w:w="780"/>
        <w:gridCol w:w="360"/>
        <w:gridCol w:w="330"/>
        <w:gridCol w:w="360"/>
        <w:gridCol w:w="360"/>
        <w:gridCol w:w="375"/>
        <w:gridCol w:w="360"/>
        <w:gridCol w:w="336"/>
        <w:gridCol w:w="294"/>
        <w:gridCol w:w="204"/>
        <w:gridCol w:w="501"/>
        <w:gridCol w:w="687"/>
        <w:gridCol w:w="236"/>
        <w:gridCol w:w="153"/>
        <w:gridCol w:w="375"/>
        <w:gridCol w:w="375"/>
        <w:gridCol w:w="340"/>
        <w:gridCol w:w="429"/>
      </w:tblGrid>
      <w:tr>
        <w:tblPrEx>
          <w:tblCellMar>
            <w:top w:w="0" w:type="dxa"/>
            <w:left w:w="108" w:type="dxa"/>
            <w:bottom w:w="0" w:type="dxa"/>
            <w:right w:w="108" w:type="dxa"/>
          </w:tblCellMar>
        </w:tblPrEx>
        <w:trPr>
          <w:trHeight w:val="335" w:hRule="atLeast"/>
          <w:jc w:val="center"/>
        </w:trPr>
        <w:tc>
          <w:tcPr>
            <w:tcW w:w="1382" w:type="dxa"/>
            <w:tcBorders>
              <w:bottom w:val="single" w:color="000000" w:sz="4" w:space="0"/>
            </w:tcBorders>
            <w:noWrap/>
          </w:tcPr>
          <w:p>
            <w:pPr>
              <w:autoSpaceDN w:val="0"/>
              <w:jc w:val="left"/>
              <w:textAlignment w:val="center"/>
              <w:rPr>
                <w:rFonts w:eastAsia="华文细黑"/>
                <w:color w:val="000000"/>
                <w:sz w:val="20"/>
              </w:rPr>
            </w:pPr>
          </w:p>
        </w:tc>
        <w:tc>
          <w:tcPr>
            <w:tcW w:w="3794" w:type="dxa"/>
            <w:gridSpan w:val="7"/>
            <w:tcBorders>
              <w:bottom w:val="single" w:color="000000" w:sz="4" w:space="0"/>
            </w:tcBorders>
            <w:noWrap/>
            <w:vAlign w:val="center"/>
          </w:tcPr>
          <w:p>
            <w:pPr>
              <w:autoSpaceDN w:val="0"/>
              <w:jc w:val="left"/>
              <w:textAlignment w:val="center"/>
              <w:rPr>
                <w:rFonts w:eastAsia="华文细黑"/>
                <w:color w:val="000000"/>
                <w:sz w:val="20"/>
              </w:rPr>
            </w:pPr>
          </w:p>
        </w:tc>
        <w:tc>
          <w:tcPr>
            <w:tcW w:w="1071" w:type="dxa"/>
            <w:gridSpan w:val="3"/>
            <w:noWrap/>
            <w:vAlign w:val="center"/>
          </w:tcPr>
          <w:p>
            <w:pPr>
              <w:autoSpaceDN w:val="0"/>
              <w:jc w:val="left"/>
              <w:textAlignment w:val="center"/>
              <w:rPr>
                <w:rFonts w:eastAsia="华文细黑"/>
                <w:color w:val="000000"/>
                <w:sz w:val="20"/>
              </w:rPr>
            </w:pPr>
          </w:p>
        </w:tc>
        <w:tc>
          <w:tcPr>
            <w:tcW w:w="498" w:type="dxa"/>
            <w:gridSpan w:val="2"/>
            <w:noWrap/>
            <w:vAlign w:val="center"/>
          </w:tcPr>
          <w:p>
            <w:pPr>
              <w:autoSpaceDN w:val="0"/>
              <w:jc w:val="left"/>
              <w:textAlignment w:val="center"/>
              <w:rPr>
                <w:rFonts w:eastAsia="华文细黑"/>
                <w:color w:val="000000"/>
                <w:sz w:val="20"/>
              </w:rPr>
            </w:pPr>
          </w:p>
        </w:tc>
        <w:tc>
          <w:tcPr>
            <w:tcW w:w="1188" w:type="dxa"/>
            <w:gridSpan w:val="2"/>
            <w:noWrap/>
            <w:vAlign w:val="center"/>
          </w:tcPr>
          <w:p>
            <w:pPr>
              <w:autoSpaceDN w:val="0"/>
              <w:jc w:val="left"/>
              <w:textAlignment w:val="center"/>
              <w:rPr>
                <w:rFonts w:eastAsia="华文细黑"/>
                <w:color w:val="000000"/>
                <w:sz w:val="20"/>
              </w:rPr>
            </w:pPr>
          </w:p>
        </w:tc>
        <w:tc>
          <w:tcPr>
            <w:tcW w:w="236" w:type="dxa"/>
            <w:noWrap/>
            <w:vAlign w:val="bottom"/>
          </w:tcPr>
          <w:p>
            <w:pPr>
              <w:autoSpaceDN w:val="0"/>
              <w:jc w:val="right"/>
              <w:textAlignment w:val="bottom"/>
              <w:rPr>
                <w:rFonts w:eastAsia="宋体"/>
                <w:color w:val="000000"/>
                <w:sz w:val="20"/>
              </w:rPr>
            </w:pPr>
          </w:p>
        </w:tc>
        <w:tc>
          <w:tcPr>
            <w:tcW w:w="1672" w:type="dxa"/>
            <w:gridSpan w:val="5"/>
            <w:noWrap/>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429" w:type="dxa"/>
          <w:trHeight w:val="517" w:hRule="atLeast"/>
          <w:jc w:val="center"/>
        </w:trPr>
        <w:tc>
          <w:tcPr>
            <w:tcW w:w="1382" w:type="dxa"/>
            <w:vMerge w:val="restart"/>
            <w:tcBorders>
              <w:left w:val="single" w:color="000000" w:sz="4" w:space="0"/>
              <w:right w:val="single" w:color="000000" w:sz="4" w:space="0"/>
            </w:tcBorders>
            <w:noWrap/>
            <w:vAlign w:val="center"/>
          </w:tcPr>
          <w:p>
            <w:pPr>
              <w:widowControl/>
              <w:jc w:val="center"/>
              <w:rPr>
                <w:rFonts w:ascii="宋体" w:hAnsi="宋体" w:eastAsia="宋体" w:cs="宋体"/>
                <w:color w:val="000000"/>
                <w:sz w:val="20"/>
              </w:rPr>
            </w:pPr>
            <w:r>
              <w:rPr>
                <w:rFonts w:hint="eastAsia" w:ascii="宋体" w:hAnsi="宋体" w:eastAsia="宋体" w:cs="宋体"/>
                <w:color w:val="000000"/>
                <w:sz w:val="20"/>
              </w:rPr>
              <w:t>部门（单位）名称</w:t>
            </w:r>
          </w:p>
        </w:tc>
        <w:tc>
          <w:tcPr>
            <w:tcW w:w="794" w:type="dxa"/>
            <w:vMerge w:val="restart"/>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总计</w:t>
            </w:r>
          </w:p>
        </w:tc>
        <w:tc>
          <w:tcPr>
            <w:tcW w:w="4365" w:type="dxa"/>
            <w:gridSpan w:val="10"/>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本年预算</w:t>
            </w:r>
          </w:p>
        </w:tc>
        <w:tc>
          <w:tcPr>
            <w:tcW w:w="2871" w:type="dxa"/>
            <w:gridSpan w:val="8"/>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上年结转结余</w:t>
            </w:r>
          </w:p>
        </w:tc>
      </w:tr>
      <w:tr>
        <w:tblPrEx>
          <w:tblCellMar>
            <w:top w:w="0" w:type="dxa"/>
            <w:left w:w="108" w:type="dxa"/>
            <w:bottom w:w="0" w:type="dxa"/>
            <w:right w:w="108" w:type="dxa"/>
          </w:tblCellMar>
        </w:tblPrEx>
        <w:trPr>
          <w:gridAfter w:val="1"/>
          <w:wAfter w:w="429" w:type="dxa"/>
          <w:trHeight w:val="517" w:hRule="atLeast"/>
          <w:jc w:val="center"/>
        </w:trPr>
        <w:tc>
          <w:tcPr>
            <w:tcW w:w="1382" w:type="dxa"/>
            <w:vMerge w:val="continue"/>
            <w:tcBorders>
              <w:left w:val="single" w:color="000000" w:sz="4" w:space="0"/>
              <w:right w:val="single" w:color="000000" w:sz="4" w:space="0"/>
            </w:tcBorders>
            <w:noWrap/>
            <w:vAlign w:val="center"/>
          </w:tcPr>
          <w:p>
            <w:pPr>
              <w:widowControl/>
              <w:jc w:val="left"/>
              <w:rPr>
                <w:rFonts w:ascii="宋体" w:hAnsi="宋体" w:eastAsia="宋体" w:cs="宋体"/>
                <w:color w:val="000000"/>
                <w:sz w:val="20"/>
              </w:rPr>
            </w:pPr>
          </w:p>
        </w:tc>
        <w:tc>
          <w:tcPr>
            <w:tcW w:w="794" w:type="dxa"/>
            <w:vMerge w:val="continue"/>
            <w:tcBorders>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p>
        </w:tc>
        <w:tc>
          <w:tcPr>
            <w:tcW w:w="810" w:type="dxa"/>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70" w:type="dxa"/>
            <w:gridSpan w:val="3"/>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财政拨款收入</w:t>
            </w:r>
          </w:p>
        </w:tc>
        <w:tc>
          <w:tcPr>
            <w:tcW w:w="360" w:type="dxa"/>
            <w:vMerge w:val="restart"/>
            <w:tcBorders>
              <w:top w:val="single" w:color="000000" w:sz="4" w:space="0"/>
              <w:left w:val="single" w:color="auto"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1725" w:type="dxa"/>
            <w:gridSpan w:val="5"/>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单位资金收入</w:t>
            </w:r>
          </w:p>
        </w:tc>
        <w:tc>
          <w:tcPr>
            <w:tcW w:w="705" w:type="dxa"/>
            <w:gridSpan w:val="2"/>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51" w:type="dxa"/>
            <w:gridSpan w:val="4"/>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财政拨款结转</w:t>
            </w:r>
          </w:p>
        </w:tc>
        <w:tc>
          <w:tcPr>
            <w:tcW w:w="715" w:type="dxa"/>
            <w:gridSpan w:val="2"/>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非财政拨款结转结余</w:t>
            </w:r>
          </w:p>
        </w:tc>
      </w:tr>
      <w:tr>
        <w:tblPrEx>
          <w:tblCellMar>
            <w:top w:w="0" w:type="dxa"/>
            <w:left w:w="108" w:type="dxa"/>
            <w:bottom w:w="0" w:type="dxa"/>
            <w:right w:w="108" w:type="dxa"/>
          </w:tblCellMar>
        </w:tblPrEx>
        <w:trPr>
          <w:gridAfter w:val="1"/>
          <w:wAfter w:w="429" w:type="dxa"/>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ign w:val="center"/>
          </w:tcPr>
          <w:p>
            <w:pPr>
              <w:widowControl/>
              <w:jc w:val="left"/>
              <w:rPr>
                <w:rFonts w:ascii="宋体" w:hAnsi="宋体" w:eastAsia="宋体" w:cs="宋体"/>
                <w:color w:val="000000"/>
                <w:sz w:val="20"/>
                <w:shd w:val="clear" w:color="auto" w:fill="FFFFFF"/>
              </w:rPr>
            </w:pPr>
          </w:p>
        </w:tc>
        <w:tc>
          <w:tcPr>
            <w:tcW w:w="794" w:type="dxa"/>
            <w:vMerge w:val="continue"/>
            <w:tcBorders>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ascii="宋体" w:hAnsi="宋体" w:eastAsia="宋体" w:cs="宋体"/>
                <w:color w:val="000000"/>
                <w:sz w:val="20"/>
                <w:shd w:val="clear" w:color="auto" w:fill="FFFFFF"/>
              </w:rPr>
            </w:pPr>
          </w:p>
        </w:tc>
        <w:tc>
          <w:tcPr>
            <w:tcW w:w="810" w:type="dxa"/>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360" w:type="dxa"/>
            <w:tcBorders>
              <w:top w:val="single" w:color="000000" w:sz="4" w:space="0"/>
              <w:left w:val="single" w:color="000000" w:sz="4" w:space="0"/>
              <w:bottom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375" w:type="dxa"/>
            <w:tcBorders>
              <w:top w:val="single" w:color="000000" w:sz="4" w:space="0"/>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375"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白山市统计局浑江区分局农村社会经济调查队</w:t>
            </w: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85.42</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77.62</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77.62</w:t>
            </w: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7.80</w:t>
            </w: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7.80</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85.42</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77.62</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77.62</w:t>
            </w: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7.80</w:t>
            </w: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7.80</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ign w:val="bottom"/>
          </w:tcPr>
          <w:p>
            <w:pPr>
              <w:widowControl/>
              <w:jc w:val="center"/>
              <w:rPr>
                <w:rFonts w:eastAsia="FZXiaoBiaoSong-B05S"/>
                <w:kern w:val="0"/>
                <w:sz w:val="44"/>
                <w:szCs w:val="44"/>
              </w:rPr>
            </w:pPr>
            <w:r>
              <w:rPr>
                <w:rFonts w:eastAsia="FZXiaoBiaoSong-B05S"/>
                <w:kern w:val="0"/>
                <w:sz w:val="44"/>
                <w:szCs w:val="44"/>
              </w:rPr>
              <w:t>支出</w:t>
            </w:r>
            <w:r>
              <w:rPr>
                <w:rFonts w:hint="eastAsia" w:eastAsia="FZXiaoBiaoSong-B05S"/>
                <w:kern w:val="0"/>
                <w:sz w:val="44"/>
                <w:szCs w:val="44"/>
              </w:rPr>
              <w:t>预算总</w:t>
            </w:r>
            <w:r>
              <w:rPr>
                <w:rFonts w:eastAsia="FZXiaoBiaoSong-B05S"/>
                <w:kern w:val="0"/>
                <w:sz w:val="44"/>
                <w:szCs w:val="44"/>
              </w:rPr>
              <w:t>表</w:t>
            </w:r>
          </w:p>
          <w:tbl>
            <w:tblPr>
              <w:tblStyle w:val="9"/>
              <w:tblW w:w="11137"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gridCol w:w="1159"/>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ign w:val="center"/>
                </w:tcPr>
                <w:p>
                  <w:pPr>
                    <w:widowControl/>
                    <w:jc w:val="left"/>
                    <w:rPr>
                      <w:rFonts w:eastAsia="华文细黑"/>
                      <w:color w:val="000000"/>
                      <w:kern w:val="0"/>
                      <w:sz w:val="20"/>
                    </w:rPr>
                  </w:pPr>
                </w:p>
              </w:tc>
              <w:tc>
                <w:tcPr>
                  <w:tcW w:w="1297" w:type="dxa"/>
                  <w:tcBorders>
                    <w:bottom w:val="single" w:color="000000" w:sz="4" w:space="0"/>
                  </w:tcBorders>
                  <w:noWrap/>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ign w:val="center"/>
                </w:tcPr>
                <w:p>
                  <w:pPr>
                    <w:widowControl/>
                    <w:jc w:val="right"/>
                    <w:rPr>
                      <w:rFonts w:eastAsia="华文细黑"/>
                      <w:color w:val="000000"/>
                      <w:kern w:val="0"/>
                      <w:sz w:val="20"/>
                    </w:rPr>
                  </w:pPr>
                </w:p>
              </w:tc>
              <w:tc>
                <w:tcPr>
                  <w:tcW w:w="1297" w:type="dxa"/>
                  <w:tcBorders>
                    <w:bottom w:val="single" w:color="000000" w:sz="4" w:space="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c>
                <w:tcPr>
                  <w:tcW w:w="1297" w:type="dxa"/>
                  <w:gridSpan w:val="2"/>
                  <w:tcBorders>
                    <w:bottom w:val="single" w:color="000000" w:sz="4" w:space="0"/>
                  </w:tcBorders>
                  <w:noWrap/>
                  <w:vAlign w:val="bottom"/>
                </w:tcPr>
                <w:p>
                  <w:pPr>
                    <w:widowControl/>
                    <w:jc w:val="right"/>
                    <w:rPr>
                      <w:rFonts w:eastAsia="华文细黑"/>
                      <w:color w:val="000000"/>
                      <w:kern w:val="0"/>
                      <w:sz w:val="20"/>
                    </w:rPr>
                  </w:pPr>
                </w:p>
              </w:tc>
            </w:tr>
            <w:tr>
              <w:tblPrEx>
                <w:tblCellMar>
                  <w:top w:w="15" w:type="dxa"/>
                  <w:left w:w="15" w:type="dxa"/>
                  <w:bottom w:w="15" w:type="dxa"/>
                  <w:right w:w="15" w:type="dxa"/>
                </w:tblCellMar>
              </w:tblPrEx>
              <w:trPr>
                <w:trHeight w:val="2091" w:hRule="atLeast"/>
              </w:trPr>
              <w:tc>
                <w:tcPr>
                  <w:tcW w:w="2149"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事业单位</w:t>
                  </w:r>
                </w:p>
                <w:p>
                  <w:pPr>
                    <w:widowControl/>
                    <w:jc w:val="center"/>
                    <w:rPr>
                      <w:rFonts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c>
                <w:tcPr>
                  <w:tcW w:w="12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65.39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65.39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65.39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9.81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9.81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7.88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7.88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85.42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85.42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widowControl/>
              <w:jc w:val="center"/>
              <w:rPr>
                <w:rFonts w:eastAsia="FZXiaoBiaoSong-B05S"/>
                <w:kern w:val="0"/>
                <w:sz w:val="44"/>
                <w:szCs w:val="44"/>
              </w:rPr>
            </w:pPr>
          </w:p>
        </w:tc>
      </w:tr>
    </w:tbl>
    <w:p>
      <w:pPr>
        <w:ind w:firstLine="640" w:firstLineChars="200"/>
        <w:rPr>
          <w:rFonts w:hAnsi="楷体" w:eastAsia="楷体"/>
        </w:rPr>
      </w:pPr>
      <w:r>
        <w:rPr>
          <w:rFonts w:hint="eastAsia" w:hAnsi="楷体" w:eastAsia="楷体"/>
        </w:rPr>
        <w:t>　</w:t>
      </w: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ign w:val="center"/>
                </w:tcPr>
                <w:p>
                  <w:pPr>
                    <w:ind w:firstLine="2640" w:firstLineChars="600"/>
                    <w:rPr>
                      <w:rFonts w:eastAsia="FZXiaoBiaoSong-B05S"/>
                      <w:kern w:val="0"/>
                      <w:sz w:val="44"/>
                      <w:szCs w:val="44"/>
                    </w:rPr>
                  </w:pPr>
                  <w:r>
                    <w:rPr>
                      <w:rFonts w:eastAsia="FZXiaoBiaoSong-B05S"/>
                      <w:kern w:val="0"/>
                      <w:sz w:val="44"/>
                      <w:szCs w:val="44"/>
                    </w:rPr>
                    <w:t>财政拨款收支</w:t>
                  </w:r>
                  <w:r>
                    <w:rPr>
                      <w:rFonts w:hint="eastAsia" w:eastAsia="FZXiaoBiaoSong-B05S"/>
                      <w:kern w:val="0"/>
                      <w:sz w:val="44"/>
                      <w:szCs w:val="44"/>
                    </w:rPr>
                    <w:t>预算总</w:t>
                  </w:r>
                  <w:r>
                    <w:rPr>
                      <w:rFonts w:eastAsia="FZXiaoBiaoSong-B05S"/>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85.42</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77.62</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7.80</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85.42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77.62</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szCs w:val="22"/>
                    </w:rPr>
                  </w:pPr>
                  <w:r>
                    <w:rPr>
                      <w:rFonts w:hint="eastAsia" w:eastAsia="宋体"/>
                      <w:kern w:val="0"/>
                      <w:sz w:val="20"/>
                      <w:szCs w:val="22"/>
                    </w:rPr>
                    <w:t>7.80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85.42</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77.62</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7.80</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r>
                    <w:rPr>
                      <w:rFonts w:hint="eastAsia" w:eastAsia="宋体"/>
                      <w:kern w:val="0"/>
                      <w:sz w:val="20"/>
                    </w:rPr>
                    <w:t>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65.39</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59.08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6.31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（二）</w:t>
                  </w:r>
                  <w:r>
                    <w:rPr>
                      <w:rFonts w:hint="eastAsia" w:ascii="宋体" w:hAnsi="宋体" w:eastAsia="宋体" w:cs="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9.81</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8.95</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0.86</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（三）</w:t>
                  </w:r>
                  <w:r>
                    <w:rPr>
                      <w:rFonts w:hint="eastAsia" w:ascii="宋体" w:hAnsi="宋体" w:eastAsia="宋体" w:cs="宋体"/>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3.66</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3.61</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0.05</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（四）</w:t>
                  </w:r>
                  <w:r>
                    <w:rPr>
                      <w:rFonts w:hint="eastAsia" w:ascii="宋体" w:hAnsi="宋体" w:eastAsia="宋体" w:cs="宋体"/>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6.56</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5.98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0.58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jc w:val="left"/>
                    <w:rPr>
                      <w:rFonts w:eastAsia="宋体"/>
                      <w:sz w:val="20"/>
                    </w:rPr>
                  </w:pPr>
                  <w:r>
                    <w:rPr>
                      <w:rFonts w:hint="eastAsia" w:eastAsia="宋体"/>
                      <w:kern w:val="0"/>
                      <w:sz w:val="20"/>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黑体"/>
                      <w:kern w:val="0"/>
                      <w:sz w:val="20"/>
                    </w:rPr>
                    <w:t>85.42</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黑体"/>
                      <w:kern w:val="0"/>
                      <w:sz w:val="20"/>
                    </w:rPr>
                    <w:t>77.62</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黑体"/>
                      <w:kern w:val="0"/>
                      <w:sz w:val="20"/>
                    </w:rPr>
                    <w:t>7.80</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85.42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77.62</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7.80</w:t>
                  </w:r>
                </w:p>
              </w:tc>
            </w:tr>
          </w:tbl>
          <w:p>
            <w:pPr>
              <w:widowControl/>
              <w:rPr>
                <w:rFonts w:eastAsia="FZXiaoBiaoSong-B05S"/>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ign w:val="bottom"/>
          </w:tcPr>
          <w:p>
            <w:pPr>
              <w:widowControl/>
              <w:rPr>
                <w:rFonts w:eastAsia="FZXiaoBiaoSong-B05S"/>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ign w:val="center"/>
                </w:tcPr>
                <w:p>
                  <w:pPr>
                    <w:widowControl/>
                    <w:jc w:val="center"/>
                    <w:rPr>
                      <w:rFonts w:eastAsia="华文细黑"/>
                      <w:color w:val="000000"/>
                      <w:kern w:val="0"/>
                      <w:sz w:val="20"/>
                    </w:rPr>
                  </w:pPr>
                  <w:r>
                    <w:rPr>
                      <w:rFonts w:eastAsia="FZXiaoBiaoSong-B05S"/>
                      <w:kern w:val="0"/>
                      <w:sz w:val="44"/>
                      <w:szCs w:val="44"/>
                    </w:rPr>
                    <w:t>一般公共预算</w:t>
                  </w:r>
                  <w:r>
                    <w:rPr>
                      <w:rFonts w:hint="eastAsia" w:eastAsia="FZXiaoBiaoSong-B05S"/>
                      <w:kern w:val="0"/>
                      <w:sz w:val="44"/>
                      <w:szCs w:val="44"/>
                    </w:rPr>
                    <w:t>支出预算</w:t>
                  </w:r>
                  <w:r>
                    <w:rPr>
                      <w:rFonts w:eastAsia="FZXiaoBiaoSong-B05S"/>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宋体"/>
                      <w:color w:val="000000"/>
                      <w:kern w:val="0"/>
                      <w:sz w:val="20"/>
                    </w:rPr>
                  </w:pPr>
                  <w:r>
                    <w:rPr>
                      <w:rFonts w:eastAsia="宋体"/>
                      <w:color w:val="000000"/>
                      <w:kern w:val="0"/>
                      <w:sz w:val="20"/>
                    </w:rPr>
                    <w:t>一、一般公共服务</w:t>
                  </w:r>
                  <w:r>
                    <w:rPr>
                      <w:rFonts w:hint="eastAsia" w:eastAsia="宋体"/>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50.67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50.67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50.67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85.42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85.42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bl>
          <w:p>
            <w:pPr>
              <w:widowControl/>
              <w:jc w:val="center"/>
              <w:rPr>
                <w:rFonts w:eastAsia="FZXiaoBiaoSong-B05S"/>
                <w:kern w:val="0"/>
                <w:sz w:val="44"/>
                <w:szCs w:val="44"/>
              </w:rPr>
            </w:pPr>
          </w:p>
        </w:tc>
      </w:tr>
    </w:tbl>
    <w:p>
      <w:pPr>
        <w:ind w:firstLine="640" w:firstLineChars="200"/>
      </w:pPr>
    </w:p>
    <w:p>
      <w:pPr>
        <w:ind w:firstLine="640" w:firstLineChars="200"/>
        <w:rPr>
          <w:rFonts w:eastAsia="楷体"/>
        </w:rPr>
      </w:pPr>
    </w:p>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373"/>
        <w:gridCol w:w="1331"/>
        <w:gridCol w:w="1831"/>
        <w:gridCol w:w="209"/>
      </w:tblGrid>
      <w:tr>
        <w:tblPrEx>
          <w:tblCellMar>
            <w:top w:w="0" w:type="dxa"/>
            <w:left w:w="108" w:type="dxa"/>
            <w:bottom w:w="0" w:type="dxa"/>
            <w:right w:w="108" w:type="dxa"/>
          </w:tblCellMar>
        </w:tblPrEx>
        <w:trPr>
          <w:gridAfter w:val="1"/>
          <w:wAfter w:w="209" w:type="dxa"/>
          <w:trHeight w:val="615" w:hRule="atLeast"/>
          <w:jc w:val="center"/>
        </w:trPr>
        <w:tc>
          <w:tcPr>
            <w:tcW w:w="8931" w:type="dxa"/>
            <w:gridSpan w:val="5"/>
            <w:tcBorders>
              <w:top w:val="nil"/>
              <w:left w:val="nil"/>
              <w:bottom w:val="nil"/>
              <w:right w:val="nil"/>
            </w:tcBorders>
            <w:noWrap/>
            <w:vAlign w:val="bottom"/>
          </w:tcPr>
          <w:p>
            <w:pPr>
              <w:widowControl/>
              <w:jc w:val="center"/>
              <w:rPr>
                <w:rFonts w:eastAsia="FZXiaoBiaoSong-B05S"/>
                <w:kern w:val="0"/>
                <w:sz w:val="44"/>
                <w:szCs w:val="44"/>
              </w:rPr>
            </w:pPr>
            <w:r>
              <w:rPr>
                <w:rFonts w:eastAsia="FZXiaoBiaoSong-B05S"/>
                <w:kern w:val="0"/>
                <w:sz w:val="44"/>
                <w:szCs w:val="44"/>
              </w:rPr>
              <w:t>一般公共预算</w:t>
            </w:r>
            <w:r>
              <w:rPr>
                <w:rFonts w:hint="eastAsia" w:eastAsia="FZXiaoBiaoSong-B05S"/>
                <w:kern w:val="0"/>
                <w:sz w:val="44"/>
                <w:szCs w:val="44"/>
              </w:rPr>
              <w:t>基本</w:t>
            </w:r>
            <w:r>
              <w:rPr>
                <w:rFonts w:eastAsia="FZXiaoBiaoSong-B05S"/>
                <w:kern w:val="0"/>
                <w:sz w:val="44"/>
                <w:szCs w:val="44"/>
              </w:rPr>
              <w:t>支出</w:t>
            </w:r>
            <w:r>
              <w:rPr>
                <w:rFonts w:hint="eastAsia" w:eastAsia="FZXiaoBiaoSong-B05S"/>
                <w:kern w:val="0"/>
                <w:sz w:val="44"/>
                <w:szCs w:val="44"/>
              </w:rPr>
              <w:t>预算</w:t>
            </w:r>
            <w:r>
              <w:rPr>
                <w:rFonts w:eastAsia="FZXiaoBiaoSong-B05S"/>
                <w:kern w:val="0"/>
                <w:sz w:val="44"/>
                <w:szCs w:val="44"/>
              </w:rPr>
              <w:t>表</w:t>
            </w:r>
          </w:p>
        </w:tc>
      </w:tr>
      <w:tr>
        <w:tblPrEx>
          <w:tblCellMar>
            <w:top w:w="0" w:type="dxa"/>
            <w:left w:w="108" w:type="dxa"/>
            <w:bottom w:w="0" w:type="dxa"/>
            <w:right w:w="108" w:type="dxa"/>
          </w:tblCellMar>
        </w:tblPrEx>
        <w:trPr>
          <w:gridAfter w:val="1"/>
          <w:wAfter w:w="209" w:type="dxa"/>
          <w:trHeight w:val="390" w:hRule="atLeast"/>
          <w:jc w:val="center"/>
        </w:trPr>
        <w:tc>
          <w:tcPr>
            <w:tcW w:w="3176" w:type="dxa"/>
            <w:tcBorders>
              <w:top w:val="nil"/>
              <w:left w:val="nil"/>
              <w:bottom w:val="single" w:color="auto" w:sz="4" w:space="0"/>
              <w:right w:val="nil"/>
            </w:tcBorders>
            <w:noWrap/>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ign w:val="center"/>
          </w:tcPr>
          <w:p>
            <w:pPr>
              <w:widowControl/>
              <w:jc w:val="right"/>
              <w:rPr>
                <w:rFonts w:eastAsia="宋体"/>
                <w:kern w:val="0"/>
                <w:sz w:val="20"/>
              </w:rPr>
            </w:pPr>
            <w:r>
              <w:rPr>
                <w:rFonts w:eastAsia="宋体"/>
                <w:kern w:val="0"/>
                <w:sz w:val="20"/>
              </w:rPr>
              <w:t>　</w:t>
            </w:r>
          </w:p>
        </w:tc>
        <w:tc>
          <w:tcPr>
            <w:tcW w:w="3535" w:type="dxa"/>
            <w:gridSpan w:val="3"/>
            <w:tcBorders>
              <w:top w:val="nil"/>
              <w:left w:val="nil"/>
              <w:bottom w:val="single" w:color="auto" w:sz="4" w:space="0"/>
              <w:right w:val="nil"/>
            </w:tcBorders>
            <w:noWrap/>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gridAfter w:val="1"/>
          <w:wAfter w:w="209" w:type="dxa"/>
          <w:trHeight w:val="812" w:hRule="atLeast"/>
          <w:jc w:val="center"/>
        </w:trPr>
        <w:tc>
          <w:tcPr>
            <w:tcW w:w="3176" w:type="dxa"/>
            <w:tcBorders>
              <w:top w:val="single" w:color="auto" w:sz="4" w:space="0"/>
              <w:left w:val="single" w:color="auto" w:sz="4" w:space="0"/>
              <w:right w:val="single" w:color="auto" w:sz="4" w:space="0"/>
            </w:tcBorders>
            <w:noWrap/>
            <w:vAlign w:val="center"/>
          </w:tcPr>
          <w:p>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gridSpan w:val="2"/>
            <w:tcBorders>
              <w:top w:val="single" w:color="auto" w:sz="4" w:space="0"/>
              <w:left w:val="single" w:color="auto" w:sz="4" w:space="0"/>
              <w:right w:val="single" w:color="auto" w:sz="4" w:space="0"/>
            </w:tcBorders>
            <w:noWrap/>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68.36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68.36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19.41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19.41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15.50</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15.50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13.16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13.16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7.88</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7.88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2.17</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2.17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1.37</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1.37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0.66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6.56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6.56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0.56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1.09</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14.73</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14.73</w:t>
            </w: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1.00</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1.00</w:t>
            </w: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印刷费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0.70</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0.70</w:t>
            </w: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ind w:firstLine="400" w:firstLineChars="20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邮电费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1.01</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1.01</w:t>
            </w: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差旅费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1.91</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1.91</w:t>
            </w: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培训费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0.90</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0.90</w:t>
            </w: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公务接待费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0.13</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0.13</w:t>
            </w: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工会经费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0.68</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0.68</w:t>
            </w: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福利费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3.09</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3.09</w:t>
            </w: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其他交通费用</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3.45</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3.45</w:t>
            </w: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1.86</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1.86</w:t>
            </w: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color w:val="000000"/>
                <w:kern w:val="0"/>
                <w:sz w:val="20"/>
              </w:rPr>
            </w:pPr>
            <w:r>
              <w:rPr>
                <w:rFonts w:hint="eastAsia"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2.35</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2.35</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gridAfter w:val="1"/>
          <w:wAfter w:w="209" w:type="dxa"/>
          <w:trHeight w:val="347"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1.93</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1.93</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0.42</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0.42</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gridAfter w:val="1"/>
          <w:wAfter w:w="209" w:type="dxa"/>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85.44</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70.71</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14.73</w:t>
            </w:r>
          </w:p>
        </w:tc>
      </w:tr>
      <w:tr>
        <w:tblPrEx>
          <w:tblCellMar>
            <w:top w:w="0" w:type="dxa"/>
            <w:left w:w="108" w:type="dxa"/>
            <w:bottom w:w="0" w:type="dxa"/>
            <w:right w:w="108" w:type="dxa"/>
          </w:tblCellMar>
        </w:tblPrEx>
        <w:trPr>
          <w:trHeight w:val="1246" w:hRule="atLeast"/>
          <w:jc w:val="center"/>
        </w:trPr>
        <w:tc>
          <w:tcPr>
            <w:tcW w:w="9140" w:type="dxa"/>
            <w:gridSpan w:val="6"/>
            <w:tcBorders>
              <w:top w:val="nil"/>
              <w:left w:val="nil"/>
              <w:right w:val="nil"/>
            </w:tcBorders>
            <w:noWrap/>
            <w:vAlign w:val="center"/>
          </w:tcPr>
          <w:p>
            <w:pPr>
              <w:widowControl/>
              <w:jc w:val="center"/>
              <w:rPr>
                <w:rFonts w:eastAsia="宋体"/>
                <w:color w:val="000000"/>
                <w:kern w:val="0"/>
                <w:sz w:val="44"/>
                <w:szCs w:val="44"/>
              </w:rPr>
            </w:pPr>
            <w:r>
              <w:rPr>
                <w:rFonts w:hAnsi="楷体" w:eastAsia="楷体"/>
              </w:rPr>
              <w:br w:type="page"/>
            </w:r>
            <w:r>
              <w:rPr>
                <w:rFonts w:eastAsia="FZXiaoBiaoSong-B05S"/>
                <w:color w:val="000000"/>
                <w:kern w:val="0"/>
                <w:sz w:val="44"/>
                <w:szCs w:val="44"/>
              </w:rPr>
              <w:t>一般公共预算“三公”经费支出</w:t>
            </w:r>
            <w:r>
              <w:rPr>
                <w:rFonts w:hint="eastAsia" w:eastAsia="FZXiaoBiaoSong-B05S"/>
                <w:color w:val="000000"/>
                <w:kern w:val="0"/>
                <w:sz w:val="44"/>
                <w:szCs w:val="44"/>
              </w:rPr>
              <w:t>预算</w:t>
            </w:r>
            <w:r>
              <w:rPr>
                <w:rFonts w:eastAsia="FZXiaoBiaoSong-B05S"/>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6"/>
            <w:tcBorders>
              <w:bottom w:val="single" w:color="auto" w:sz="4" w:space="0"/>
            </w:tcBorders>
            <w:noWrap/>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华文细黑"/>
                <w:color w:val="000000"/>
                <w:kern w:val="0"/>
                <w:sz w:val="20"/>
              </w:rPr>
            </w:pPr>
            <w:r>
              <w:rPr>
                <w:rFonts w:hAnsi="华文细黑" w:eastAsia="华文细黑"/>
                <w:color w:val="000000"/>
                <w:kern w:val="0"/>
                <w:sz w:val="20"/>
              </w:rPr>
              <w:t>项目</w:t>
            </w:r>
          </w:p>
        </w:tc>
        <w:tc>
          <w:tcPr>
            <w:tcW w:w="3371" w:type="dxa"/>
            <w:gridSpan w:val="3"/>
            <w:tcBorders>
              <w:top w:val="single" w:color="auto" w:sz="4" w:space="0"/>
              <w:left w:val="nil"/>
              <w:bottom w:val="single" w:color="auto" w:sz="4" w:space="0"/>
              <w:right w:val="single" w:color="auto" w:sz="4" w:space="0"/>
            </w:tcBorders>
            <w:noWrap/>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0.13</w:t>
            </w: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0.13</w:t>
            </w: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6"/>
            <w:tcBorders>
              <w:top w:val="single" w:color="auto" w:sz="4" w:space="0"/>
              <w:left w:val="nil"/>
              <w:bottom w:val="nil"/>
              <w:right w:val="nil"/>
            </w:tcBorders>
            <w:noWrap/>
            <w:vAlign w:val="center"/>
          </w:tcPr>
          <w:p>
            <w:pPr>
              <w:widowControl/>
              <w:ind w:firstLine="560" w:firstLineChars="200"/>
              <w:jc w:val="left"/>
              <w:rPr>
                <w:rFonts w:hint="eastAsia" w:eastAsia="仿宋_GB2312"/>
                <w:color w:val="auto"/>
                <w:kern w:val="0"/>
                <w:sz w:val="28"/>
                <w:szCs w:val="28"/>
                <w:lang w:eastAsia="zh-CN"/>
              </w:rPr>
            </w:pPr>
            <w:r>
              <w:rPr>
                <w:color w:val="auto"/>
                <w:kern w:val="0"/>
                <w:sz w:val="28"/>
                <w:szCs w:val="28"/>
              </w:rPr>
              <w:t>说明：</w:t>
            </w:r>
          </w:p>
          <w:p>
            <w:pPr>
              <w:widowControl/>
              <w:jc w:val="left"/>
              <w:rPr>
                <w:rFonts w:hint="eastAsia" w:eastAsia="宋体"/>
                <w:color w:val="auto"/>
                <w:kern w:val="0"/>
                <w:sz w:val="28"/>
                <w:szCs w:val="28"/>
                <w:lang w:eastAsia="zh-CN"/>
              </w:rPr>
            </w:pPr>
            <w:r>
              <w:rPr>
                <w:rFonts w:eastAsia="宋体"/>
                <w:color w:val="auto"/>
                <w:kern w:val="0"/>
                <w:sz w:val="28"/>
                <w:szCs w:val="28"/>
              </w:rPr>
              <w:t xml:space="preserve">       1</w:t>
            </w:r>
            <w:r>
              <w:rPr>
                <w:color w:val="auto"/>
                <w:kern w:val="0"/>
                <w:sz w:val="28"/>
                <w:szCs w:val="28"/>
              </w:rPr>
              <w:t>、</w:t>
            </w:r>
            <w:r>
              <w:rPr>
                <w:rFonts w:eastAsia="宋体"/>
                <w:color w:val="auto"/>
                <w:kern w:val="0"/>
                <w:sz w:val="28"/>
                <w:szCs w:val="28"/>
              </w:rPr>
              <w:t>“</w:t>
            </w:r>
            <w:r>
              <w:rPr>
                <w:rFonts w:hint="eastAsia"/>
                <w:color w:val="auto"/>
                <w:kern w:val="0"/>
                <w:sz w:val="28"/>
                <w:szCs w:val="28"/>
                <w:lang w:eastAsia="zh-CN"/>
              </w:rPr>
              <w:t>202</w:t>
            </w:r>
            <w:r>
              <w:rPr>
                <w:rFonts w:hint="eastAsia"/>
                <w:color w:val="auto"/>
                <w:kern w:val="0"/>
                <w:sz w:val="28"/>
                <w:szCs w:val="28"/>
                <w:lang w:val="en-US" w:eastAsia="zh-CN"/>
              </w:rPr>
              <w:t>4</w:t>
            </w:r>
            <w:r>
              <w:rPr>
                <w:rFonts w:hint="eastAsia"/>
                <w:color w:val="auto"/>
                <w:kern w:val="0"/>
                <w:sz w:val="28"/>
                <w:szCs w:val="28"/>
                <w:lang w:eastAsia="zh-CN"/>
              </w:rPr>
              <w:t>年预算数</w:t>
            </w:r>
            <w:r>
              <w:rPr>
                <w:color w:val="auto"/>
                <w:kern w:val="0"/>
                <w:sz w:val="28"/>
                <w:szCs w:val="28"/>
              </w:rPr>
              <w:t>”的单位范围包括</w:t>
            </w:r>
            <w:r>
              <w:rPr>
                <w:rFonts w:hint="eastAsia"/>
                <w:color w:val="auto"/>
                <w:kern w:val="0"/>
                <w:sz w:val="28"/>
                <w:szCs w:val="28"/>
                <w:lang w:eastAsia="zh-CN"/>
              </w:rPr>
              <w:t>单位</w:t>
            </w:r>
            <w:r>
              <w:rPr>
                <w:color w:val="auto"/>
                <w:kern w:val="0"/>
                <w:sz w:val="28"/>
                <w:szCs w:val="28"/>
              </w:rPr>
              <w:t>本级</w:t>
            </w:r>
            <w:r>
              <w:rPr>
                <w:rFonts w:hint="eastAsia"/>
                <w:color w:val="auto"/>
                <w:kern w:val="0"/>
                <w:sz w:val="28"/>
                <w:szCs w:val="28"/>
                <w:lang w:val="en-US" w:eastAsia="zh-CN"/>
              </w:rPr>
              <w:t>1</w:t>
            </w:r>
            <w:r>
              <w:rPr>
                <w:color w:val="auto"/>
                <w:kern w:val="0"/>
                <w:sz w:val="28"/>
                <w:szCs w:val="28"/>
              </w:rPr>
              <w:t>个预算单位。</w:t>
            </w:r>
            <w:r>
              <w:rPr>
                <w:rFonts w:eastAsia="宋体"/>
                <w:color w:val="auto"/>
                <w:kern w:val="0"/>
                <w:sz w:val="28"/>
                <w:szCs w:val="28"/>
              </w:rPr>
              <w:t xml:space="preserve">   </w:t>
            </w:r>
          </w:p>
          <w:p>
            <w:pPr>
              <w:widowControl/>
              <w:rPr>
                <w:color w:val="000000"/>
                <w:kern w:val="0"/>
                <w:sz w:val="28"/>
                <w:szCs w:val="28"/>
              </w:rPr>
            </w:pPr>
            <w:r>
              <w:rPr>
                <w:rFonts w:eastAsia="宋体"/>
                <w:color w:val="auto"/>
                <w:kern w:val="0"/>
                <w:sz w:val="28"/>
                <w:szCs w:val="28"/>
              </w:rPr>
              <w:t xml:space="preserve">       2</w:t>
            </w:r>
            <w:r>
              <w:rPr>
                <w:color w:val="auto"/>
                <w:kern w:val="0"/>
                <w:sz w:val="28"/>
                <w:szCs w:val="28"/>
              </w:rPr>
              <w:t>、</w:t>
            </w:r>
            <w:r>
              <w:rPr>
                <w:rFonts w:eastAsia="宋体"/>
                <w:color w:val="auto"/>
                <w:kern w:val="0"/>
                <w:sz w:val="28"/>
                <w:szCs w:val="28"/>
              </w:rPr>
              <w:t>“</w:t>
            </w:r>
            <w:r>
              <w:rPr>
                <w:rFonts w:hint="eastAsia"/>
                <w:color w:val="auto"/>
                <w:kern w:val="0"/>
                <w:sz w:val="28"/>
                <w:szCs w:val="28"/>
                <w:lang w:eastAsia="zh-CN"/>
              </w:rPr>
              <w:t>202</w:t>
            </w:r>
            <w:r>
              <w:rPr>
                <w:rFonts w:hint="eastAsia"/>
                <w:color w:val="auto"/>
                <w:kern w:val="0"/>
                <w:sz w:val="28"/>
                <w:szCs w:val="28"/>
                <w:lang w:val="en-US" w:eastAsia="zh-CN"/>
              </w:rPr>
              <w:t>4</w:t>
            </w:r>
            <w:r>
              <w:rPr>
                <w:rFonts w:hint="eastAsia"/>
                <w:color w:val="auto"/>
                <w:kern w:val="0"/>
                <w:sz w:val="28"/>
                <w:szCs w:val="28"/>
                <w:lang w:eastAsia="zh-CN"/>
              </w:rPr>
              <w:t>年预算数</w:t>
            </w:r>
            <w:r>
              <w:rPr>
                <w:rFonts w:eastAsia="宋体"/>
                <w:color w:val="auto"/>
                <w:kern w:val="0"/>
                <w:sz w:val="28"/>
                <w:szCs w:val="28"/>
              </w:rPr>
              <w:t>”</w:t>
            </w:r>
            <w:r>
              <w:rPr>
                <w:color w:val="auto"/>
                <w:kern w:val="0"/>
                <w:sz w:val="28"/>
                <w:szCs w:val="28"/>
              </w:rPr>
              <w:t>的实有人员</w:t>
            </w:r>
            <w:r>
              <w:rPr>
                <w:rFonts w:hint="eastAsia"/>
                <w:color w:val="auto"/>
                <w:kern w:val="0"/>
                <w:sz w:val="28"/>
                <w:szCs w:val="28"/>
                <w:lang w:val="en-US" w:eastAsia="zh-CN"/>
              </w:rPr>
              <w:t>7</w:t>
            </w:r>
            <w:r>
              <w:rPr>
                <w:color w:val="auto"/>
                <w:kern w:val="0"/>
                <w:sz w:val="28"/>
                <w:szCs w:val="28"/>
              </w:rPr>
              <w:t>人，其中：在职人员</w:t>
            </w:r>
            <w:r>
              <w:rPr>
                <w:rFonts w:hint="eastAsia"/>
                <w:color w:val="auto"/>
                <w:kern w:val="0"/>
                <w:sz w:val="28"/>
                <w:szCs w:val="28"/>
                <w:lang w:val="en-US" w:eastAsia="zh-CN"/>
              </w:rPr>
              <w:t>5</w:t>
            </w:r>
            <w:r>
              <w:rPr>
                <w:color w:val="auto"/>
                <w:kern w:val="0"/>
                <w:sz w:val="28"/>
                <w:szCs w:val="28"/>
              </w:rPr>
              <w:t>人，离退休人员</w:t>
            </w:r>
            <w:r>
              <w:rPr>
                <w:rFonts w:hint="eastAsia"/>
                <w:color w:val="auto"/>
                <w:kern w:val="0"/>
                <w:sz w:val="28"/>
                <w:szCs w:val="28"/>
                <w:lang w:val="en-US" w:eastAsia="zh-CN"/>
              </w:rPr>
              <w:t>2</w:t>
            </w:r>
            <w:r>
              <w:rPr>
                <w:color w:val="auto"/>
                <w:kern w:val="0"/>
                <w:sz w:val="28"/>
                <w:szCs w:val="28"/>
              </w:rPr>
              <w:t>人。</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FZXiaoBiaoSong-B05S"/>
                <w:kern w:val="0"/>
                <w:sz w:val="44"/>
                <w:szCs w:val="44"/>
              </w:rPr>
            </w:pPr>
            <w:r>
              <w:rPr>
                <w:rFonts w:eastAsia="FZXiaoBiaoSong-B05S"/>
                <w:kern w:val="0"/>
                <w:sz w:val="44"/>
                <w:szCs w:val="44"/>
              </w:rPr>
              <w:t>政府性基金预算</w:t>
            </w:r>
            <w:r>
              <w:rPr>
                <w:rFonts w:hint="eastAsia" w:eastAsia="FZXiaoBiaoSong-B05S"/>
                <w:kern w:val="0"/>
                <w:sz w:val="44"/>
                <w:szCs w:val="44"/>
              </w:rPr>
              <w:t>拨款</w:t>
            </w:r>
            <w:r>
              <w:rPr>
                <w:rFonts w:eastAsia="FZXiaoBiaoSong-B05S"/>
                <w:kern w:val="0"/>
                <w:sz w:val="44"/>
                <w:szCs w:val="44"/>
              </w:rPr>
              <w:t>支出</w:t>
            </w:r>
            <w:r>
              <w:rPr>
                <w:rFonts w:hint="eastAsia" w:eastAsia="FZXiaoBiaoSong-B05S"/>
                <w:kern w:val="0"/>
                <w:sz w:val="44"/>
                <w:szCs w:val="44"/>
              </w:rPr>
              <w:t>预算</w:t>
            </w:r>
            <w:r>
              <w:rPr>
                <w:rFonts w:eastAsia="FZXiaoBiaoSong-B05S"/>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KaiTi_GB2312"/>
          <w:kern w:val="0"/>
          <w:szCs w:val="32"/>
        </w:rPr>
      </w:pPr>
    </w:p>
    <w:p>
      <w:pPr>
        <w:spacing w:line="700" w:lineRule="exact"/>
        <w:rPr>
          <w:rFonts w:eastAsia="KaiTi_GB2312"/>
          <w:kern w:val="0"/>
          <w:szCs w:val="32"/>
        </w:rPr>
      </w:pPr>
    </w:p>
    <w:p>
      <w:pPr>
        <w:spacing w:line="700" w:lineRule="exact"/>
        <w:rPr>
          <w:rFonts w:eastAsia="KaiTi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sectPr>
          <w:footerReference r:id="rId9" w:type="first"/>
          <w:footerReference r:id="rId8" w:type="default"/>
          <w:pgSz w:w="11907" w:h="16840"/>
          <w:pgMar w:top="2041" w:right="1474" w:bottom="2041" w:left="1474" w:header="851" w:footer="1587" w:gutter="0"/>
          <w:pgNumType w:fmt="numberInDash" w:start="1"/>
          <w:cols w:space="720" w:num="1"/>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FZXiaoBiaoSong-B05S"/>
                <w:kern w:val="0"/>
                <w:sz w:val="44"/>
                <w:szCs w:val="44"/>
              </w:rPr>
            </w:pPr>
            <w:r>
              <w:rPr>
                <w:rFonts w:hint="eastAsia" w:eastAsia="FZXiaoBiaoSong-B05S"/>
                <w:kern w:val="0"/>
                <w:sz w:val="44"/>
                <w:szCs w:val="44"/>
              </w:rPr>
              <w:t>国有资本经营</w:t>
            </w:r>
            <w:r>
              <w:rPr>
                <w:rFonts w:eastAsia="FZXiaoBiaoSong-B05S"/>
                <w:kern w:val="0"/>
                <w:sz w:val="44"/>
                <w:szCs w:val="44"/>
              </w:rPr>
              <w:t>预算支出</w:t>
            </w:r>
            <w:r>
              <w:rPr>
                <w:rFonts w:hint="eastAsia" w:eastAsia="FZXiaoBiaoSong-B05S"/>
                <w:kern w:val="0"/>
                <w:sz w:val="44"/>
                <w:szCs w:val="44"/>
              </w:rPr>
              <w:t>预算</w:t>
            </w:r>
            <w:r>
              <w:rPr>
                <w:rFonts w:eastAsia="FZXiaoBiaoSong-B05S"/>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tbl>
      <w:tblPr>
        <w:tblStyle w:val="9"/>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244"/>
        <w:gridCol w:w="1230"/>
        <w:gridCol w:w="1170"/>
        <w:gridCol w:w="559"/>
        <w:gridCol w:w="559"/>
        <w:gridCol w:w="461"/>
        <w:gridCol w:w="407"/>
        <w:gridCol w:w="385"/>
        <w:gridCol w:w="411"/>
        <w:gridCol w:w="418"/>
        <w:gridCol w:w="446"/>
        <w:gridCol w:w="439"/>
        <w:gridCol w:w="359"/>
        <w:gridCol w:w="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000" w:type="pct"/>
            <w:gridSpan w:val="15"/>
            <w:tcBorders>
              <w:top w:val="nil"/>
              <w:left w:val="nil"/>
              <w:bottom w:val="nil"/>
              <w:right w:val="nil"/>
            </w:tcBorders>
            <w:noWrap/>
            <w:vAlign w:val="center"/>
          </w:tcPr>
          <w:p>
            <w:pPr>
              <w:widowControl/>
              <w:jc w:val="center"/>
              <w:rPr>
                <w:rFonts w:ascii="Calibri" w:hAnsi="Calibri" w:eastAsia="FZXiaoBiaoSong-B05S"/>
                <w:kern w:val="0"/>
                <w:sz w:val="44"/>
                <w:szCs w:val="44"/>
              </w:rPr>
            </w:pPr>
            <w:r>
              <w:rPr>
                <w:rFonts w:hint="eastAsia" w:ascii="Calibri" w:hAnsi="Calibri" w:eastAsia="FZXiaoBiaoSong-B05S"/>
                <w:kern w:val="0"/>
                <w:sz w:val="44"/>
                <w:szCs w:val="44"/>
              </w:rPr>
              <w:t>项目支出预算</w:t>
            </w:r>
            <w:r>
              <w:rPr>
                <w:rFonts w:ascii="Calibri" w:hAnsi="Calibri" w:eastAsia="FZXiaoBiaoSong-B05S"/>
                <w:kern w:val="0"/>
                <w:sz w:val="44"/>
                <w:szCs w:val="44"/>
              </w:rPr>
              <w:t>表</w:t>
            </w:r>
          </w:p>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3"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675"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667"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634"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303"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1206" w:type="pct"/>
            <w:gridSpan w:val="5"/>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1089" w:type="pct"/>
            <w:gridSpan w:val="5"/>
            <w:tcBorders>
              <w:top w:val="nil"/>
              <w:left w:val="nil"/>
              <w:right w:val="nil"/>
            </w:tcBorders>
            <w:noWrap/>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23" w:type="pct"/>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类型</w:t>
            </w:r>
          </w:p>
        </w:tc>
        <w:tc>
          <w:tcPr>
            <w:tcW w:w="1342" w:type="pct"/>
            <w:gridSpan w:val="2"/>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项目名称</w:t>
            </w:r>
          </w:p>
        </w:tc>
        <w:tc>
          <w:tcPr>
            <w:tcW w:w="634" w:type="pct"/>
            <w:vMerge w:val="restart"/>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部门（单位）名称</w:t>
            </w:r>
          </w:p>
        </w:tc>
        <w:tc>
          <w:tcPr>
            <w:tcW w:w="303" w:type="pct"/>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1206" w:type="pct"/>
            <w:gridSpan w:val="5"/>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本年预算</w:t>
            </w:r>
          </w:p>
        </w:tc>
        <w:tc>
          <w:tcPr>
            <w:tcW w:w="1089" w:type="pct"/>
            <w:gridSpan w:val="5"/>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23" w:type="pct"/>
            <w:vMerge w:val="continue"/>
            <w:noWrap/>
            <w:vAlign w:val="center"/>
          </w:tcPr>
          <w:p>
            <w:pPr>
              <w:autoSpaceDN w:val="0"/>
              <w:jc w:val="center"/>
              <w:textAlignment w:val="center"/>
              <w:rPr>
                <w:rFonts w:ascii="Calibri" w:hAnsi="Calibri" w:eastAsia="华文细黑"/>
                <w:color w:val="000000"/>
                <w:sz w:val="20"/>
                <w:szCs w:val="22"/>
              </w:rPr>
            </w:pPr>
          </w:p>
        </w:tc>
        <w:tc>
          <w:tcPr>
            <w:tcW w:w="675" w:type="pct"/>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667" w:type="pct"/>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二级项目</w:t>
            </w:r>
          </w:p>
        </w:tc>
        <w:tc>
          <w:tcPr>
            <w:tcW w:w="634" w:type="pct"/>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303" w:type="pct"/>
            <w:vMerge w:val="continue"/>
            <w:noWrap/>
            <w:vAlign w:val="center"/>
          </w:tcPr>
          <w:p>
            <w:pPr>
              <w:autoSpaceDN w:val="0"/>
              <w:jc w:val="center"/>
              <w:textAlignment w:val="center"/>
              <w:rPr>
                <w:rFonts w:ascii="Calibri" w:hAnsi="Calibri" w:eastAsia="华文细黑"/>
                <w:color w:val="000000"/>
                <w:sz w:val="20"/>
                <w:szCs w:val="22"/>
              </w:rPr>
            </w:pPr>
          </w:p>
        </w:tc>
        <w:tc>
          <w:tcPr>
            <w:tcW w:w="774" w:type="pct"/>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209" w:type="pct"/>
            <w:vMerge w:val="restart"/>
            <w:noWrap/>
            <w:textDirection w:val="tbLr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222" w:type="pct"/>
            <w:vMerge w:val="restart"/>
            <w:noWrap/>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c>
          <w:tcPr>
            <w:tcW w:w="707" w:type="pct"/>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382" w:type="pct"/>
            <w:gridSpan w:val="2"/>
            <w:noWrap/>
            <w:vAlign w:val="center"/>
          </w:tcPr>
          <w:p>
            <w:pPr>
              <w:tabs>
                <w:tab w:val="left" w:pos="492"/>
              </w:tabs>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423" w:type="pct"/>
            <w:vMerge w:val="continue"/>
            <w:noWrap/>
            <w:vAlign w:val="center"/>
          </w:tcPr>
          <w:p>
            <w:pPr>
              <w:autoSpaceDN w:val="0"/>
              <w:jc w:val="center"/>
              <w:textAlignment w:val="center"/>
              <w:rPr>
                <w:rFonts w:ascii="Calibri" w:hAnsi="Calibri" w:eastAsia="华文细黑"/>
                <w:color w:val="000000"/>
                <w:sz w:val="20"/>
                <w:szCs w:val="22"/>
              </w:rPr>
            </w:pPr>
          </w:p>
        </w:tc>
        <w:tc>
          <w:tcPr>
            <w:tcW w:w="675" w:type="pct"/>
            <w:vMerge w:val="continue"/>
            <w:noWrap/>
            <w:vAlign w:val="center"/>
          </w:tcPr>
          <w:p>
            <w:pPr>
              <w:autoSpaceDN w:val="0"/>
              <w:jc w:val="center"/>
              <w:textAlignment w:val="center"/>
              <w:rPr>
                <w:rFonts w:ascii="Calibri" w:hAnsi="Calibri" w:eastAsia="华文细黑"/>
                <w:color w:val="000000"/>
                <w:sz w:val="20"/>
                <w:szCs w:val="22"/>
              </w:rPr>
            </w:pPr>
          </w:p>
        </w:tc>
        <w:tc>
          <w:tcPr>
            <w:tcW w:w="667" w:type="pct"/>
            <w:vMerge w:val="continue"/>
            <w:noWrap/>
            <w:vAlign w:val="center"/>
          </w:tcPr>
          <w:p>
            <w:pPr>
              <w:autoSpaceDN w:val="0"/>
              <w:jc w:val="center"/>
              <w:textAlignment w:val="center"/>
              <w:rPr>
                <w:rFonts w:ascii="Calibri" w:hAnsi="Calibri" w:eastAsia="华文细黑"/>
                <w:color w:val="000000"/>
                <w:sz w:val="20"/>
                <w:szCs w:val="22"/>
              </w:rPr>
            </w:pPr>
          </w:p>
        </w:tc>
        <w:tc>
          <w:tcPr>
            <w:tcW w:w="634" w:type="pct"/>
            <w:vMerge w:val="continue"/>
            <w:noWrap/>
            <w:vAlign w:val="center"/>
          </w:tcPr>
          <w:p>
            <w:pPr>
              <w:autoSpaceDN w:val="0"/>
              <w:jc w:val="center"/>
              <w:textAlignment w:val="center"/>
              <w:rPr>
                <w:rFonts w:ascii="Calibri" w:hAnsi="Calibri" w:eastAsia="华文细黑"/>
                <w:color w:val="000000"/>
                <w:sz w:val="20"/>
                <w:szCs w:val="22"/>
              </w:rPr>
            </w:pPr>
          </w:p>
        </w:tc>
        <w:tc>
          <w:tcPr>
            <w:tcW w:w="303" w:type="pct"/>
            <w:vMerge w:val="continue"/>
            <w:noWrap/>
            <w:vAlign w:val="center"/>
          </w:tcPr>
          <w:p>
            <w:pPr>
              <w:autoSpaceDN w:val="0"/>
              <w:jc w:val="center"/>
              <w:textAlignment w:val="center"/>
              <w:rPr>
                <w:rFonts w:ascii="Calibri" w:hAnsi="Calibri" w:eastAsia="华文细黑"/>
                <w:color w:val="000000"/>
                <w:sz w:val="20"/>
                <w:szCs w:val="22"/>
              </w:rPr>
            </w:pPr>
          </w:p>
        </w:tc>
        <w:tc>
          <w:tcPr>
            <w:tcW w:w="303"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250"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220"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国有资本经营预算</w:t>
            </w:r>
          </w:p>
        </w:tc>
        <w:tc>
          <w:tcPr>
            <w:tcW w:w="209" w:type="pct"/>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222" w:type="pct"/>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227"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242"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237"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195" w:type="pct"/>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187" w:type="pct"/>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23" w:type="pct"/>
            <w:noWrap/>
            <w:vAlign w:val="center"/>
          </w:tcPr>
          <w:p>
            <w:pPr>
              <w:spacing w:line="480" w:lineRule="auto"/>
              <w:jc w:val="center"/>
              <w:rPr>
                <w:rFonts w:ascii="宋体" w:hAnsi="宋体" w:eastAsia="宋体" w:cs="宋体"/>
                <w:kern w:val="0"/>
                <w:sz w:val="16"/>
                <w:szCs w:val="16"/>
              </w:rPr>
            </w:pPr>
          </w:p>
        </w:tc>
        <w:tc>
          <w:tcPr>
            <w:tcW w:w="675" w:type="pct"/>
            <w:noWrap/>
            <w:vAlign w:val="center"/>
          </w:tcPr>
          <w:p>
            <w:pPr>
              <w:spacing w:line="700" w:lineRule="exact"/>
              <w:jc w:val="center"/>
              <w:rPr>
                <w:rFonts w:ascii="宋体" w:hAnsi="宋体" w:eastAsia="宋体" w:cs="宋体"/>
                <w:kern w:val="0"/>
                <w:sz w:val="16"/>
                <w:szCs w:val="16"/>
              </w:rPr>
            </w:pPr>
          </w:p>
        </w:tc>
        <w:tc>
          <w:tcPr>
            <w:tcW w:w="667" w:type="pct"/>
            <w:noWrap/>
            <w:vAlign w:val="center"/>
          </w:tcPr>
          <w:p>
            <w:pPr>
              <w:spacing w:line="700" w:lineRule="exact"/>
              <w:jc w:val="center"/>
              <w:rPr>
                <w:rFonts w:ascii="宋体" w:hAnsi="宋体" w:eastAsia="宋体" w:cs="宋体"/>
                <w:kern w:val="0"/>
                <w:sz w:val="16"/>
                <w:szCs w:val="16"/>
              </w:rPr>
            </w:pPr>
          </w:p>
        </w:tc>
        <w:tc>
          <w:tcPr>
            <w:tcW w:w="634" w:type="pct"/>
            <w:noWrap/>
            <w:vAlign w:val="center"/>
          </w:tcPr>
          <w:p>
            <w:pPr>
              <w:spacing w:line="700" w:lineRule="exact"/>
              <w:jc w:val="center"/>
              <w:rPr>
                <w:rFonts w:ascii="宋体" w:hAnsi="宋体" w:eastAsia="宋体" w:cs="宋体"/>
                <w:kern w:val="0"/>
                <w:sz w:val="16"/>
                <w:szCs w:val="16"/>
              </w:rPr>
            </w:pPr>
          </w:p>
        </w:tc>
        <w:tc>
          <w:tcPr>
            <w:tcW w:w="303" w:type="pct"/>
            <w:noWrap/>
            <w:vAlign w:val="center"/>
          </w:tcPr>
          <w:p>
            <w:pPr>
              <w:spacing w:line="700" w:lineRule="exact"/>
              <w:jc w:val="center"/>
              <w:rPr>
                <w:rFonts w:ascii="Calibri" w:hAnsi="Calibri" w:eastAsia="楷体"/>
                <w:kern w:val="0"/>
                <w:sz w:val="13"/>
                <w:szCs w:val="13"/>
              </w:rPr>
            </w:pPr>
          </w:p>
        </w:tc>
        <w:tc>
          <w:tcPr>
            <w:tcW w:w="303" w:type="pct"/>
            <w:noWrap/>
            <w:vAlign w:val="center"/>
          </w:tcPr>
          <w:p>
            <w:pPr>
              <w:spacing w:line="700" w:lineRule="exact"/>
              <w:jc w:val="center"/>
              <w:rPr>
                <w:rFonts w:ascii="Calibri" w:hAnsi="Calibri" w:eastAsia="楷体"/>
                <w:kern w:val="0"/>
                <w:sz w:val="13"/>
                <w:szCs w:val="13"/>
              </w:rPr>
            </w:pPr>
          </w:p>
        </w:tc>
        <w:tc>
          <w:tcPr>
            <w:tcW w:w="250" w:type="pct"/>
            <w:noWrap/>
            <w:vAlign w:val="center"/>
          </w:tcPr>
          <w:p>
            <w:pPr>
              <w:spacing w:line="700" w:lineRule="exact"/>
              <w:jc w:val="center"/>
              <w:rPr>
                <w:rFonts w:ascii="Calibri" w:hAnsi="Calibri" w:eastAsia="楷体"/>
                <w:kern w:val="0"/>
                <w:sz w:val="13"/>
                <w:szCs w:val="13"/>
              </w:rPr>
            </w:pPr>
          </w:p>
        </w:tc>
        <w:tc>
          <w:tcPr>
            <w:tcW w:w="220" w:type="pct"/>
            <w:noWrap/>
            <w:vAlign w:val="center"/>
          </w:tcPr>
          <w:p>
            <w:pPr>
              <w:spacing w:line="700" w:lineRule="exact"/>
              <w:jc w:val="center"/>
              <w:rPr>
                <w:rFonts w:ascii="Calibri" w:hAnsi="Calibri" w:eastAsia="楷体"/>
                <w:kern w:val="0"/>
                <w:sz w:val="13"/>
                <w:szCs w:val="13"/>
              </w:rPr>
            </w:pPr>
          </w:p>
        </w:tc>
        <w:tc>
          <w:tcPr>
            <w:tcW w:w="209" w:type="pct"/>
            <w:noWrap/>
            <w:vAlign w:val="center"/>
          </w:tcPr>
          <w:p>
            <w:pPr>
              <w:spacing w:line="700" w:lineRule="exact"/>
              <w:jc w:val="center"/>
              <w:rPr>
                <w:rFonts w:ascii="Calibri" w:hAnsi="Calibri" w:eastAsia="楷体"/>
                <w:kern w:val="0"/>
                <w:sz w:val="13"/>
                <w:szCs w:val="13"/>
              </w:rPr>
            </w:pPr>
          </w:p>
        </w:tc>
        <w:tc>
          <w:tcPr>
            <w:tcW w:w="222"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23" w:type="pct"/>
            <w:noWrap/>
            <w:vAlign w:val="center"/>
          </w:tcPr>
          <w:p>
            <w:pPr>
              <w:spacing w:line="700" w:lineRule="exact"/>
              <w:jc w:val="center"/>
              <w:rPr>
                <w:rFonts w:ascii="宋体" w:hAnsi="宋体" w:eastAsia="宋体" w:cs="宋体"/>
                <w:kern w:val="0"/>
                <w:sz w:val="16"/>
                <w:szCs w:val="16"/>
              </w:rPr>
            </w:pPr>
          </w:p>
        </w:tc>
        <w:tc>
          <w:tcPr>
            <w:tcW w:w="675" w:type="pct"/>
            <w:noWrap/>
            <w:vAlign w:val="center"/>
          </w:tcPr>
          <w:p>
            <w:pPr>
              <w:spacing w:line="700" w:lineRule="exact"/>
              <w:jc w:val="center"/>
              <w:rPr>
                <w:rFonts w:ascii="宋体" w:hAnsi="宋体" w:eastAsia="宋体" w:cs="宋体"/>
                <w:kern w:val="0"/>
                <w:sz w:val="16"/>
                <w:szCs w:val="16"/>
              </w:rPr>
            </w:pPr>
          </w:p>
        </w:tc>
        <w:tc>
          <w:tcPr>
            <w:tcW w:w="667" w:type="pct"/>
            <w:noWrap/>
            <w:vAlign w:val="center"/>
          </w:tcPr>
          <w:p>
            <w:pPr>
              <w:spacing w:line="700" w:lineRule="exact"/>
              <w:jc w:val="center"/>
              <w:rPr>
                <w:rFonts w:ascii="宋体" w:hAnsi="宋体" w:eastAsia="宋体" w:cs="宋体"/>
                <w:kern w:val="0"/>
                <w:sz w:val="16"/>
                <w:szCs w:val="16"/>
              </w:rPr>
            </w:pPr>
          </w:p>
        </w:tc>
        <w:tc>
          <w:tcPr>
            <w:tcW w:w="634" w:type="pct"/>
            <w:noWrap/>
            <w:vAlign w:val="center"/>
          </w:tcPr>
          <w:p>
            <w:pPr>
              <w:spacing w:line="700" w:lineRule="exact"/>
              <w:jc w:val="center"/>
              <w:rPr>
                <w:rFonts w:ascii="宋体" w:hAnsi="宋体" w:eastAsia="宋体" w:cs="宋体"/>
                <w:kern w:val="0"/>
                <w:sz w:val="16"/>
                <w:szCs w:val="16"/>
              </w:rPr>
            </w:pPr>
          </w:p>
        </w:tc>
        <w:tc>
          <w:tcPr>
            <w:tcW w:w="303" w:type="pct"/>
            <w:noWrap/>
            <w:vAlign w:val="center"/>
          </w:tcPr>
          <w:p>
            <w:pPr>
              <w:spacing w:line="700" w:lineRule="exact"/>
              <w:jc w:val="center"/>
              <w:rPr>
                <w:rFonts w:ascii="Calibri" w:hAnsi="Calibri" w:eastAsia="楷体"/>
                <w:kern w:val="0"/>
                <w:sz w:val="13"/>
                <w:szCs w:val="13"/>
              </w:rPr>
            </w:pPr>
          </w:p>
        </w:tc>
        <w:tc>
          <w:tcPr>
            <w:tcW w:w="303" w:type="pct"/>
            <w:noWrap/>
            <w:vAlign w:val="center"/>
          </w:tcPr>
          <w:p>
            <w:pPr>
              <w:spacing w:line="700" w:lineRule="exact"/>
              <w:jc w:val="center"/>
              <w:rPr>
                <w:rFonts w:ascii="Calibri" w:hAnsi="Calibri" w:eastAsia="楷体"/>
                <w:kern w:val="0"/>
                <w:sz w:val="13"/>
                <w:szCs w:val="13"/>
              </w:rPr>
            </w:pPr>
          </w:p>
        </w:tc>
        <w:tc>
          <w:tcPr>
            <w:tcW w:w="250" w:type="pct"/>
            <w:noWrap/>
            <w:vAlign w:val="center"/>
          </w:tcPr>
          <w:p>
            <w:pPr>
              <w:spacing w:line="700" w:lineRule="exact"/>
              <w:jc w:val="center"/>
              <w:rPr>
                <w:rFonts w:ascii="Calibri" w:hAnsi="Calibri" w:eastAsia="楷体"/>
                <w:kern w:val="0"/>
                <w:sz w:val="13"/>
                <w:szCs w:val="13"/>
              </w:rPr>
            </w:pPr>
          </w:p>
        </w:tc>
        <w:tc>
          <w:tcPr>
            <w:tcW w:w="220" w:type="pct"/>
            <w:noWrap/>
            <w:vAlign w:val="center"/>
          </w:tcPr>
          <w:p>
            <w:pPr>
              <w:spacing w:line="700" w:lineRule="exact"/>
              <w:jc w:val="center"/>
              <w:rPr>
                <w:rFonts w:ascii="Calibri" w:hAnsi="Calibri" w:eastAsia="楷体"/>
                <w:kern w:val="0"/>
                <w:sz w:val="13"/>
                <w:szCs w:val="13"/>
              </w:rPr>
            </w:pPr>
          </w:p>
        </w:tc>
        <w:tc>
          <w:tcPr>
            <w:tcW w:w="209" w:type="pct"/>
            <w:noWrap/>
            <w:vAlign w:val="center"/>
          </w:tcPr>
          <w:p>
            <w:pPr>
              <w:spacing w:line="700" w:lineRule="exact"/>
              <w:jc w:val="center"/>
              <w:rPr>
                <w:rFonts w:ascii="Calibri" w:hAnsi="Calibri" w:eastAsia="楷体"/>
                <w:kern w:val="0"/>
                <w:sz w:val="13"/>
                <w:szCs w:val="13"/>
              </w:rPr>
            </w:pPr>
          </w:p>
        </w:tc>
        <w:tc>
          <w:tcPr>
            <w:tcW w:w="222"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23" w:type="pct"/>
            <w:noWrap/>
            <w:vAlign w:val="center"/>
          </w:tcPr>
          <w:p>
            <w:pPr>
              <w:spacing w:line="700" w:lineRule="exact"/>
              <w:jc w:val="center"/>
              <w:rPr>
                <w:rFonts w:ascii="宋体" w:hAnsi="宋体" w:eastAsia="宋体" w:cs="宋体"/>
                <w:kern w:val="0"/>
                <w:sz w:val="16"/>
                <w:szCs w:val="16"/>
              </w:rPr>
            </w:pPr>
          </w:p>
        </w:tc>
        <w:tc>
          <w:tcPr>
            <w:tcW w:w="675" w:type="pct"/>
            <w:noWrap/>
            <w:vAlign w:val="center"/>
          </w:tcPr>
          <w:p>
            <w:pPr>
              <w:spacing w:line="700" w:lineRule="exact"/>
              <w:jc w:val="center"/>
              <w:rPr>
                <w:rFonts w:ascii="宋体" w:hAnsi="宋体" w:eastAsia="宋体" w:cs="宋体"/>
                <w:kern w:val="0"/>
                <w:sz w:val="16"/>
                <w:szCs w:val="16"/>
              </w:rPr>
            </w:pPr>
          </w:p>
        </w:tc>
        <w:tc>
          <w:tcPr>
            <w:tcW w:w="667" w:type="pct"/>
            <w:noWrap/>
            <w:tcFitText/>
            <w:vAlign w:val="center"/>
          </w:tcPr>
          <w:p>
            <w:pPr>
              <w:spacing w:line="700" w:lineRule="exact"/>
              <w:jc w:val="center"/>
              <w:rPr>
                <w:rFonts w:ascii="宋体" w:hAnsi="宋体" w:eastAsia="宋体" w:cs="宋体"/>
                <w:kern w:val="0"/>
                <w:sz w:val="16"/>
                <w:szCs w:val="16"/>
              </w:rPr>
            </w:pPr>
          </w:p>
        </w:tc>
        <w:tc>
          <w:tcPr>
            <w:tcW w:w="634" w:type="pct"/>
            <w:noWrap/>
            <w:tcFitText/>
            <w:vAlign w:val="center"/>
          </w:tcPr>
          <w:p>
            <w:pPr>
              <w:spacing w:line="700" w:lineRule="exact"/>
              <w:jc w:val="center"/>
              <w:rPr>
                <w:rFonts w:ascii="宋体" w:hAnsi="宋体" w:eastAsia="宋体" w:cs="宋体"/>
                <w:kern w:val="0"/>
                <w:sz w:val="16"/>
                <w:szCs w:val="16"/>
              </w:rPr>
            </w:pPr>
          </w:p>
        </w:tc>
        <w:tc>
          <w:tcPr>
            <w:tcW w:w="303" w:type="pct"/>
            <w:noWrap/>
            <w:vAlign w:val="center"/>
          </w:tcPr>
          <w:p>
            <w:pPr>
              <w:spacing w:line="700" w:lineRule="exact"/>
              <w:jc w:val="center"/>
              <w:rPr>
                <w:rFonts w:ascii="Calibri" w:hAnsi="Calibri" w:eastAsia="楷体"/>
                <w:kern w:val="0"/>
                <w:sz w:val="13"/>
                <w:szCs w:val="13"/>
              </w:rPr>
            </w:pPr>
          </w:p>
        </w:tc>
        <w:tc>
          <w:tcPr>
            <w:tcW w:w="303" w:type="pct"/>
            <w:noWrap/>
            <w:vAlign w:val="center"/>
          </w:tcPr>
          <w:p>
            <w:pPr>
              <w:spacing w:line="700" w:lineRule="exact"/>
              <w:jc w:val="center"/>
              <w:rPr>
                <w:rFonts w:ascii="Calibri" w:hAnsi="Calibri" w:eastAsia="楷体"/>
                <w:kern w:val="0"/>
                <w:sz w:val="13"/>
                <w:szCs w:val="13"/>
              </w:rPr>
            </w:pPr>
          </w:p>
        </w:tc>
        <w:tc>
          <w:tcPr>
            <w:tcW w:w="250" w:type="pct"/>
            <w:noWrap/>
            <w:vAlign w:val="center"/>
          </w:tcPr>
          <w:p>
            <w:pPr>
              <w:spacing w:line="700" w:lineRule="exact"/>
              <w:jc w:val="center"/>
              <w:rPr>
                <w:rFonts w:ascii="Calibri" w:hAnsi="Calibri" w:eastAsia="楷体"/>
                <w:kern w:val="0"/>
                <w:sz w:val="13"/>
                <w:szCs w:val="13"/>
              </w:rPr>
            </w:pPr>
          </w:p>
        </w:tc>
        <w:tc>
          <w:tcPr>
            <w:tcW w:w="220" w:type="pct"/>
            <w:noWrap/>
            <w:vAlign w:val="center"/>
          </w:tcPr>
          <w:p>
            <w:pPr>
              <w:spacing w:line="700" w:lineRule="exact"/>
              <w:jc w:val="center"/>
              <w:rPr>
                <w:rFonts w:ascii="Calibri" w:hAnsi="Calibri" w:eastAsia="楷体"/>
                <w:kern w:val="0"/>
                <w:sz w:val="13"/>
                <w:szCs w:val="13"/>
              </w:rPr>
            </w:pPr>
          </w:p>
        </w:tc>
        <w:tc>
          <w:tcPr>
            <w:tcW w:w="209" w:type="pct"/>
            <w:noWrap/>
            <w:vAlign w:val="center"/>
          </w:tcPr>
          <w:p>
            <w:pPr>
              <w:spacing w:line="700" w:lineRule="exact"/>
              <w:jc w:val="center"/>
              <w:rPr>
                <w:rFonts w:ascii="Calibri" w:hAnsi="Calibri" w:eastAsia="楷体"/>
                <w:kern w:val="0"/>
                <w:sz w:val="13"/>
                <w:szCs w:val="13"/>
              </w:rPr>
            </w:pPr>
          </w:p>
        </w:tc>
        <w:tc>
          <w:tcPr>
            <w:tcW w:w="222"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23" w:type="pct"/>
            <w:noWrap/>
            <w:vAlign w:val="center"/>
          </w:tcPr>
          <w:p>
            <w:pPr>
              <w:spacing w:line="700" w:lineRule="exact"/>
              <w:jc w:val="center"/>
              <w:rPr>
                <w:rFonts w:ascii="宋体" w:hAnsi="宋体" w:eastAsia="宋体" w:cs="宋体"/>
                <w:kern w:val="0"/>
                <w:sz w:val="16"/>
                <w:szCs w:val="16"/>
              </w:rPr>
            </w:pPr>
          </w:p>
        </w:tc>
        <w:tc>
          <w:tcPr>
            <w:tcW w:w="675" w:type="pct"/>
            <w:noWrap/>
            <w:vAlign w:val="center"/>
          </w:tcPr>
          <w:p>
            <w:pPr>
              <w:spacing w:line="700" w:lineRule="exact"/>
              <w:jc w:val="center"/>
              <w:rPr>
                <w:rFonts w:ascii="宋体" w:hAnsi="宋体" w:eastAsia="宋体" w:cs="宋体"/>
                <w:kern w:val="0"/>
                <w:sz w:val="16"/>
                <w:szCs w:val="16"/>
              </w:rPr>
            </w:pPr>
          </w:p>
        </w:tc>
        <w:tc>
          <w:tcPr>
            <w:tcW w:w="667" w:type="pct"/>
            <w:noWrap/>
            <w:vAlign w:val="center"/>
          </w:tcPr>
          <w:p>
            <w:pPr>
              <w:spacing w:line="700" w:lineRule="exact"/>
              <w:jc w:val="center"/>
              <w:rPr>
                <w:rFonts w:ascii="宋体" w:hAnsi="宋体" w:eastAsia="宋体" w:cs="宋体"/>
                <w:kern w:val="0"/>
                <w:sz w:val="16"/>
                <w:szCs w:val="16"/>
              </w:rPr>
            </w:pPr>
          </w:p>
        </w:tc>
        <w:tc>
          <w:tcPr>
            <w:tcW w:w="634" w:type="pct"/>
            <w:noWrap/>
            <w:vAlign w:val="center"/>
          </w:tcPr>
          <w:p>
            <w:pPr>
              <w:spacing w:line="700" w:lineRule="exact"/>
              <w:jc w:val="center"/>
              <w:rPr>
                <w:rFonts w:ascii="宋体" w:hAnsi="宋体" w:eastAsia="宋体" w:cs="宋体"/>
                <w:kern w:val="0"/>
                <w:sz w:val="16"/>
                <w:szCs w:val="16"/>
              </w:rPr>
            </w:pPr>
          </w:p>
        </w:tc>
        <w:tc>
          <w:tcPr>
            <w:tcW w:w="303" w:type="pct"/>
            <w:noWrap/>
            <w:vAlign w:val="center"/>
          </w:tcPr>
          <w:p>
            <w:pPr>
              <w:spacing w:line="700" w:lineRule="exact"/>
              <w:jc w:val="center"/>
              <w:rPr>
                <w:rFonts w:ascii="Calibri" w:hAnsi="Calibri" w:eastAsia="楷体"/>
                <w:kern w:val="0"/>
                <w:sz w:val="13"/>
                <w:szCs w:val="13"/>
              </w:rPr>
            </w:pPr>
          </w:p>
        </w:tc>
        <w:tc>
          <w:tcPr>
            <w:tcW w:w="303" w:type="pct"/>
            <w:noWrap/>
            <w:vAlign w:val="center"/>
          </w:tcPr>
          <w:p>
            <w:pPr>
              <w:spacing w:line="700" w:lineRule="exact"/>
              <w:jc w:val="center"/>
              <w:rPr>
                <w:rFonts w:ascii="Calibri" w:hAnsi="Calibri" w:eastAsia="楷体"/>
                <w:kern w:val="0"/>
                <w:sz w:val="13"/>
                <w:szCs w:val="13"/>
              </w:rPr>
            </w:pPr>
          </w:p>
        </w:tc>
        <w:tc>
          <w:tcPr>
            <w:tcW w:w="250" w:type="pct"/>
            <w:noWrap/>
            <w:vAlign w:val="center"/>
          </w:tcPr>
          <w:p>
            <w:pPr>
              <w:spacing w:line="700" w:lineRule="exact"/>
              <w:jc w:val="center"/>
              <w:rPr>
                <w:rFonts w:ascii="Calibri" w:hAnsi="Calibri" w:eastAsia="楷体"/>
                <w:kern w:val="0"/>
                <w:sz w:val="13"/>
                <w:szCs w:val="13"/>
              </w:rPr>
            </w:pPr>
          </w:p>
        </w:tc>
        <w:tc>
          <w:tcPr>
            <w:tcW w:w="220" w:type="pct"/>
            <w:noWrap/>
            <w:vAlign w:val="center"/>
          </w:tcPr>
          <w:p>
            <w:pPr>
              <w:spacing w:line="700" w:lineRule="exact"/>
              <w:jc w:val="center"/>
              <w:rPr>
                <w:rFonts w:ascii="Calibri" w:hAnsi="Calibri" w:eastAsia="楷体"/>
                <w:kern w:val="0"/>
                <w:sz w:val="13"/>
                <w:szCs w:val="13"/>
              </w:rPr>
            </w:pPr>
          </w:p>
        </w:tc>
        <w:tc>
          <w:tcPr>
            <w:tcW w:w="209" w:type="pct"/>
            <w:noWrap/>
            <w:vAlign w:val="center"/>
          </w:tcPr>
          <w:p>
            <w:pPr>
              <w:spacing w:line="700" w:lineRule="exact"/>
              <w:jc w:val="center"/>
              <w:rPr>
                <w:rFonts w:ascii="Calibri" w:hAnsi="Calibri" w:eastAsia="楷体"/>
                <w:kern w:val="0"/>
                <w:sz w:val="13"/>
                <w:szCs w:val="13"/>
              </w:rPr>
            </w:pPr>
          </w:p>
        </w:tc>
        <w:tc>
          <w:tcPr>
            <w:tcW w:w="222"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23" w:type="pct"/>
            <w:noWrap/>
            <w:vAlign w:val="center"/>
          </w:tcPr>
          <w:p>
            <w:pPr>
              <w:spacing w:line="700" w:lineRule="exact"/>
              <w:jc w:val="center"/>
              <w:rPr>
                <w:rFonts w:ascii="宋体" w:hAnsi="宋体" w:eastAsia="宋体" w:cs="宋体"/>
                <w:kern w:val="0"/>
                <w:sz w:val="16"/>
                <w:szCs w:val="16"/>
              </w:rPr>
            </w:pPr>
          </w:p>
        </w:tc>
        <w:tc>
          <w:tcPr>
            <w:tcW w:w="675" w:type="pct"/>
            <w:noWrap/>
            <w:vAlign w:val="center"/>
          </w:tcPr>
          <w:p>
            <w:pPr>
              <w:spacing w:line="700" w:lineRule="exact"/>
              <w:jc w:val="center"/>
              <w:rPr>
                <w:rFonts w:ascii="宋体" w:hAnsi="宋体" w:eastAsia="宋体" w:cs="宋体"/>
                <w:kern w:val="0"/>
                <w:sz w:val="16"/>
                <w:szCs w:val="16"/>
              </w:rPr>
            </w:pPr>
          </w:p>
        </w:tc>
        <w:tc>
          <w:tcPr>
            <w:tcW w:w="667" w:type="pct"/>
            <w:noWrap/>
            <w:vAlign w:val="center"/>
          </w:tcPr>
          <w:p>
            <w:pPr>
              <w:spacing w:line="700" w:lineRule="exact"/>
              <w:jc w:val="center"/>
              <w:rPr>
                <w:rFonts w:ascii="宋体" w:hAnsi="宋体" w:eastAsia="宋体" w:cs="宋体"/>
                <w:kern w:val="0"/>
                <w:sz w:val="16"/>
                <w:szCs w:val="16"/>
              </w:rPr>
            </w:pPr>
          </w:p>
        </w:tc>
        <w:tc>
          <w:tcPr>
            <w:tcW w:w="634" w:type="pct"/>
            <w:noWrap/>
            <w:vAlign w:val="center"/>
          </w:tcPr>
          <w:p>
            <w:pPr>
              <w:spacing w:line="700" w:lineRule="exact"/>
              <w:jc w:val="center"/>
              <w:rPr>
                <w:rFonts w:ascii="宋体" w:hAnsi="宋体" w:eastAsia="宋体" w:cs="宋体"/>
                <w:w w:val="39"/>
                <w:kern w:val="0"/>
                <w:sz w:val="16"/>
                <w:szCs w:val="16"/>
              </w:rPr>
            </w:pPr>
          </w:p>
        </w:tc>
        <w:tc>
          <w:tcPr>
            <w:tcW w:w="303" w:type="pct"/>
            <w:noWrap/>
            <w:vAlign w:val="center"/>
          </w:tcPr>
          <w:p>
            <w:pPr>
              <w:spacing w:line="700" w:lineRule="exact"/>
              <w:jc w:val="center"/>
              <w:rPr>
                <w:rFonts w:ascii="Calibri" w:hAnsi="Calibri" w:eastAsia="楷体"/>
                <w:kern w:val="0"/>
                <w:sz w:val="13"/>
                <w:szCs w:val="13"/>
              </w:rPr>
            </w:pPr>
          </w:p>
        </w:tc>
        <w:tc>
          <w:tcPr>
            <w:tcW w:w="303" w:type="pct"/>
            <w:noWrap/>
            <w:vAlign w:val="center"/>
          </w:tcPr>
          <w:p>
            <w:pPr>
              <w:spacing w:line="700" w:lineRule="exact"/>
              <w:jc w:val="center"/>
              <w:rPr>
                <w:rFonts w:ascii="Calibri" w:hAnsi="Calibri" w:eastAsia="楷体"/>
                <w:kern w:val="0"/>
                <w:sz w:val="13"/>
                <w:szCs w:val="13"/>
              </w:rPr>
            </w:pPr>
          </w:p>
        </w:tc>
        <w:tc>
          <w:tcPr>
            <w:tcW w:w="250" w:type="pct"/>
            <w:noWrap/>
            <w:vAlign w:val="center"/>
          </w:tcPr>
          <w:p>
            <w:pPr>
              <w:spacing w:line="700" w:lineRule="exact"/>
              <w:jc w:val="center"/>
              <w:rPr>
                <w:rFonts w:ascii="Calibri" w:hAnsi="Calibri" w:eastAsia="楷体"/>
                <w:kern w:val="0"/>
                <w:sz w:val="13"/>
                <w:szCs w:val="13"/>
              </w:rPr>
            </w:pPr>
          </w:p>
        </w:tc>
        <w:tc>
          <w:tcPr>
            <w:tcW w:w="220" w:type="pct"/>
            <w:noWrap/>
            <w:vAlign w:val="center"/>
          </w:tcPr>
          <w:p>
            <w:pPr>
              <w:spacing w:line="700" w:lineRule="exact"/>
              <w:jc w:val="center"/>
              <w:rPr>
                <w:rFonts w:ascii="Calibri" w:hAnsi="Calibri" w:eastAsia="楷体"/>
                <w:kern w:val="0"/>
                <w:sz w:val="13"/>
                <w:szCs w:val="13"/>
              </w:rPr>
            </w:pPr>
          </w:p>
        </w:tc>
        <w:tc>
          <w:tcPr>
            <w:tcW w:w="209" w:type="pct"/>
            <w:noWrap/>
            <w:vAlign w:val="center"/>
          </w:tcPr>
          <w:p>
            <w:pPr>
              <w:spacing w:line="700" w:lineRule="exact"/>
              <w:jc w:val="center"/>
              <w:rPr>
                <w:rFonts w:ascii="Calibri" w:hAnsi="Calibri" w:eastAsia="楷体"/>
                <w:kern w:val="0"/>
                <w:sz w:val="13"/>
                <w:szCs w:val="13"/>
              </w:rPr>
            </w:pPr>
          </w:p>
        </w:tc>
        <w:tc>
          <w:tcPr>
            <w:tcW w:w="222"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23" w:type="pct"/>
            <w:noWrap/>
            <w:vAlign w:val="center"/>
          </w:tcPr>
          <w:p>
            <w:pPr>
              <w:autoSpaceDN w:val="0"/>
              <w:jc w:val="center"/>
              <w:textAlignment w:val="center"/>
              <w:rPr>
                <w:rFonts w:ascii="宋体" w:hAnsi="宋体" w:eastAsia="宋体" w:cs="宋体"/>
                <w:color w:val="000000"/>
                <w:sz w:val="20"/>
                <w:szCs w:val="22"/>
              </w:rPr>
            </w:pPr>
          </w:p>
        </w:tc>
        <w:tc>
          <w:tcPr>
            <w:tcW w:w="675" w:type="pct"/>
            <w:noWrap/>
            <w:vAlign w:val="center"/>
          </w:tcPr>
          <w:p>
            <w:pPr>
              <w:autoSpaceDN w:val="0"/>
              <w:jc w:val="center"/>
              <w:textAlignment w:val="center"/>
              <w:rPr>
                <w:rFonts w:ascii="宋体" w:hAnsi="宋体" w:eastAsia="宋体" w:cs="宋体"/>
                <w:color w:val="000000"/>
                <w:sz w:val="20"/>
                <w:szCs w:val="22"/>
              </w:rPr>
            </w:pPr>
          </w:p>
        </w:tc>
        <w:tc>
          <w:tcPr>
            <w:tcW w:w="667" w:type="pct"/>
            <w:noWrap/>
            <w:vAlign w:val="center"/>
          </w:tcPr>
          <w:p>
            <w:pPr>
              <w:spacing w:line="700" w:lineRule="exact"/>
              <w:jc w:val="center"/>
              <w:rPr>
                <w:rFonts w:ascii="宋体" w:hAnsi="宋体" w:eastAsia="宋体" w:cs="宋体"/>
                <w:kern w:val="0"/>
                <w:szCs w:val="32"/>
              </w:rPr>
            </w:pPr>
          </w:p>
        </w:tc>
        <w:tc>
          <w:tcPr>
            <w:tcW w:w="634" w:type="pct"/>
            <w:noWrap/>
            <w:vAlign w:val="center"/>
          </w:tcPr>
          <w:p>
            <w:pPr>
              <w:spacing w:line="700" w:lineRule="exact"/>
              <w:jc w:val="center"/>
              <w:rPr>
                <w:rFonts w:ascii="宋体" w:hAnsi="宋体" w:eastAsia="宋体" w:cs="宋体"/>
                <w:kern w:val="0"/>
                <w:szCs w:val="32"/>
              </w:rPr>
            </w:pPr>
          </w:p>
        </w:tc>
        <w:tc>
          <w:tcPr>
            <w:tcW w:w="303" w:type="pct"/>
            <w:noWrap/>
            <w:vAlign w:val="center"/>
          </w:tcPr>
          <w:p>
            <w:pPr>
              <w:spacing w:line="700" w:lineRule="exact"/>
              <w:jc w:val="center"/>
              <w:rPr>
                <w:rFonts w:ascii="Calibri" w:hAnsi="Calibri" w:eastAsia="楷体"/>
                <w:kern w:val="0"/>
                <w:sz w:val="13"/>
                <w:szCs w:val="13"/>
              </w:rPr>
            </w:pPr>
          </w:p>
        </w:tc>
        <w:tc>
          <w:tcPr>
            <w:tcW w:w="303" w:type="pct"/>
            <w:noWrap/>
            <w:vAlign w:val="center"/>
          </w:tcPr>
          <w:p>
            <w:pPr>
              <w:spacing w:line="700" w:lineRule="exact"/>
              <w:jc w:val="center"/>
              <w:rPr>
                <w:rFonts w:ascii="Calibri" w:hAnsi="Calibri" w:eastAsia="楷体"/>
                <w:kern w:val="0"/>
                <w:sz w:val="13"/>
                <w:szCs w:val="13"/>
              </w:rPr>
            </w:pPr>
          </w:p>
        </w:tc>
        <w:tc>
          <w:tcPr>
            <w:tcW w:w="250" w:type="pct"/>
            <w:noWrap/>
            <w:vAlign w:val="center"/>
          </w:tcPr>
          <w:p>
            <w:pPr>
              <w:spacing w:line="700" w:lineRule="exact"/>
              <w:jc w:val="center"/>
              <w:rPr>
                <w:rFonts w:ascii="Calibri" w:hAnsi="Calibri" w:eastAsia="楷体"/>
                <w:kern w:val="0"/>
                <w:szCs w:val="32"/>
              </w:rPr>
            </w:pPr>
          </w:p>
        </w:tc>
        <w:tc>
          <w:tcPr>
            <w:tcW w:w="220" w:type="pct"/>
            <w:noWrap/>
            <w:vAlign w:val="center"/>
          </w:tcPr>
          <w:p>
            <w:pPr>
              <w:spacing w:line="700" w:lineRule="exact"/>
              <w:jc w:val="center"/>
              <w:rPr>
                <w:rFonts w:ascii="Calibri" w:hAnsi="Calibri" w:eastAsia="楷体"/>
                <w:kern w:val="0"/>
                <w:szCs w:val="32"/>
              </w:rPr>
            </w:pPr>
          </w:p>
        </w:tc>
        <w:tc>
          <w:tcPr>
            <w:tcW w:w="209" w:type="pct"/>
            <w:noWrap/>
            <w:vAlign w:val="center"/>
          </w:tcPr>
          <w:p>
            <w:pPr>
              <w:spacing w:line="700" w:lineRule="exact"/>
              <w:jc w:val="center"/>
              <w:rPr>
                <w:rFonts w:ascii="Calibri" w:hAnsi="Calibri" w:eastAsia="楷体"/>
                <w:kern w:val="0"/>
                <w:szCs w:val="32"/>
              </w:rPr>
            </w:pPr>
          </w:p>
        </w:tc>
        <w:tc>
          <w:tcPr>
            <w:tcW w:w="222" w:type="pct"/>
            <w:noWrap/>
            <w:vAlign w:val="center"/>
          </w:tcPr>
          <w:p>
            <w:pPr>
              <w:spacing w:line="700" w:lineRule="exact"/>
              <w:jc w:val="center"/>
              <w:rPr>
                <w:rFonts w:ascii="Calibri" w:hAnsi="Calibri" w:eastAsia="楷体"/>
                <w:kern w:val="0"/>
                <w:szCs w:val="32"/>
              </w:rPr>
            </w:pPr>
          </w:p>
        </w:tc>
        <w:tc>
          <w:tcPr>
            <w:tcW w:w="227" w:type="pct"/>
            <w:noWrap/>
            <w:vAlign w:val="center"/>
          </w:tcPr>
          <w:p>
            <w:pPr>
              <w:spacing w:line="700" w:lineRule="exact"/>
              <w:jc w:val="center"/>
              <w:rPr>
                <w:rFonts w:ascii="Calibri" w:hAnsi="Calibri" w:eastAsia="楷体"/>
                <w:kern w:val="0"/>
                <w:szCs w:val="32"/>
              </w:rPr>
            </w:pPr>
          </w:p>
        </w:tc>
        <w:tc>
          <w:tcPr>
            <w:tcW w:w="242" w:type="pct"/>
            <w:noWrap/>
            <w:vAlign w:val="center"/>
          </w:tcPr>
          <w:p>
            <w:pPr>
              <w:spacing w:line="700" w:lineRule="exact"/>
              <w:jc w:val="center"/>
              <w:rPr>
                <w:rFonts w:ascii="Calibri" w:hAnsi="Calibri" w:eastAsia="楷体"/>
                <w:kern w:val="0"/>
                <w:szCs w:val="32"/>
              </w:rPr>
            </w:pPr>
          </w:p>
        </w:tc>
        <w:tc>
          <w:tcPr>
            <w:tcW w:w="237" w:type="pct"/>
            <w:noWrap/>
            <w:vAlign w:val="center"/>
          </w:tcPr>
          <w:p>
            <w:pPr>
              <w:spacing w:line="700" w:lineRule="exact"/>
              <w:jc w:val="center"/>
              <w:rPr>
                <w:rFonts w:ascii="Calibri" w:hAnsi="Calibri" w:eastAsia="楷体"/>
                <w:kern w:val="0"/>
                <w:szCs w:val="32"/>
              </w:rPr>
            </w:pPr>
          </w:p>
        </w:tc>
        <w:tc>
          <w:tcPr>
            <w:tcW w:w="195" w:type="pct"/>
            <w:noWrap/>
            <w:vAlign w:val="center"/>
          </w:tcPr>
          <w:p>
            <w:pPr>
              <w:spacing w:line="700" w:lineRule="exact"/>
              <w:jc w:val="center"/>
              <w:rPr>
                <w:rFonts w:ascii="Calibri" w:hAnsi="Calibri" w:eastAsia="楷体"/>
                <w:kern w:val="0"/>
                <w:szCs w:val="32"/>
              </w:rPr>
            </w:pPr>
          </w:p>
        </w:tc>
        <w:tc>
          <w:tcPr>
            <w:tcW w:w="187" w:type="pct"/>
            <w:noWrap/>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pPr>
    </w:p>
    <w:p>
      <w:pPr>
        <w:ind w:firstLine="640" w:firstLineChars="200"/>
        <w:rPr>
          <w:rFonts w:hAnsi="楷体" w:eastAsia="楷体"/>
        </w:rPr>
        <w:sectPr>
          <w:pgSz w:w="11907" w:h="16840"/>
          <w:pgMar w:top="2041" w:right="1588" w:bottom="2041" w:left="1588" w:header="851" w:footer="1588" w:gutter="0"/>
          <w:pgNumType w:fmt="numberInDash"/>
          <w:cols w:space="720" w:num="1"/>
          <w:titlePg/>
          <w:docGrid w:type="lines" w:linePitch="574" w:charSpace="-1675"/>
        </w:sectPr>
      </w:pPr>
    </w:p>
    <w:tbl>
      <w:tblPr>
        <w:tblStyle w:val="9"/>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ign w:val="center"/>
          </w:tcPr>
          <w:p>
            <w:pPr>
              <w:jc w:val="center"/>
              <w:rPr>
                <w:rFonts w:ascii="华文细黑" w:hAnsi="华文细黑" w:eastAsia="华文细黑" w:cs="华文细黑"/>
                <w:kern w:val="0"/>
                <w:sz w:val="20"/>
              </w:rPr>
            </w:pPr>
            <w:r>
              <w:rPr>
                <w:rFonts w:hint="eastAsia" w:ascii="Calibri" w:hAnsi="Calibri" w:eastAsia="FZXiaoBiaoSong-B05S"/>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ign w:val="bottom"/>
          </w:tcPr>
          <w:p>
            <w:pPr>
              <w:jc w:val="right"/>
              <w:rPr>
                <w:rFonts w:ascii="华文细黑" w:hAnsi="华文细黑" w:eastAsia="华文细黑" w:cs="华文细黑"/>
                <w:kern w:val="0"/>
                <w:sz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部门/单位/</w:t>
            </w:r>
          </w:p>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项目名称</w:t>
            </w:r>
          </w:p>
        </w:tc>
        <w:tc>
          <w:tcPr>
            <w:tcW w:w="1284"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委托事项内容</w:t>
            </w:r>
          </w:p>
        </w:tc>
        <w:tc>
          <w:tcPr>
            <w:tcW w:w="2778" w:type="dxa"/>
            <w:gridSpan w:val="4"/>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财政拨款收入</w:t>
            </w:r>
          </w:p>
        </w:tc>
        <w:tc>
          <w:tcPr>
            <w:tcW w:w="106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是否政府购买服务（是/否）</w:t>
            </w:r>
          </w:p>
        </w:tc>
        <w:tc>
          <w:tcPr>
            <w:tcW w:w="103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是否政府采购（是/否）</w:t>
            </w:r>
          </w:p>
        </w:tc>
        <w:tc>
          <w:tcPr>
            <w:tcW w:w="80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284"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66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合计</w:t>
            </w:r>
          </w:p>
        </w:tc>
        <w:tc>
          <w:tcPr>
            <w:tcW w:w="666"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政府性基金预算拨款收入</w:t>
            </w:r>
          </w:p>
        </w:tc>
        <w:tc>
          <w:tcPr>
            <w:tcW w:w="728"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国有资本经营预算拨款收入</w:t>
            </w:r>
          </w:p>
        </w:tc>
        <w:tc>
          <w:tcPr>
            <w:tcW w:w="106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03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80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部门名称</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p>
      <w:pPr>
        <w:ind w:firstLine="640" w:firstLineChars="200"/>
        <w:rPr>
          <w:rFonts w:hAnsi="楷体" w:eastAsia="楷体"/>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tcPr>
          <w:p>
            <w:pPr>
              <w:widowControl/>
              <w:jc w:val="center"/>
              <w:rPr>
                <w:rFonts w:ascii="Calibri" w:hAnsi="Calibri" w:eastAsia="FZXiaoBiaoSong-B05S"/>
                <w:kern w:val="0"/>
                <w:sz w:val="44"/>
                <w:szCs w:val="44"/>
              </w:rPr>
            </w:pPr>
            <w:r>
              <w:rPr>
                <w:rFonts w:hint="eastAsia" w:ascii="Calibri" w:hAnsi="Calibri" w:eastAsia="FZXiaoBiaoSong-B05S"/>
                <w:kern w:val="0"/>
                <w:sz w:val="44"/>
                <w:szCs w:val="44"/>
              </w:rPr>
              <w:t>项目支出绩效目标</w:t>
            </w:r>
            <w:r>
              <w:rPr>
                <w:rFonts w:ascii="Calibri" w:hAnsi="Calibri" w:eastAsia="FZXiaoBiaoSong-B05S"/>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ign w:val="center"/>
          </w:tcPr>
          <w:p>
            <w:pPr>
              <w:ind w:left="400" w:hanging="400" w:hangingChars="200"/>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144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成本指标</w:t>
            </w:r>
          </w:p>
        </w:tc>
        <w:tc>
          <w:tcPr>
            <w:tcW w:w="144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经济成本指标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447" w:type="dxa"/>
            <w:tcBorders>
              <w:top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社会成本指标</w:t>
            </w:r>
          </w:p>
        </w:tc>
        <w:tc>
          <w:tcPr>
            <w:tcW w:w="641" w:type="dxa"/>
            <w:tcBorders>
              <w:top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生态环境成本指标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restart"/>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产出指标</w:t>
            </w: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数量指标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质量指标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时效指标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restart"/>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效益指标</w:t>
            </w: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经济效益指标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社会效益指标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生态效益指标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满意度指标</w:t>
            </w: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服务对象满意度指标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ascii="楷体" w:hAnsi="楷体" w:eastAsia="楷体" w:cs="楷体"/>
          <w:kern w:val="0"/>
          <w:szCs w:val="32"/>
        </w:rPr>
      </w:pPr>
    </w:p>
    <w:p>
      <w:pPr>
        <w:spacing w:line="700" w:lineRule="exact"/>
        <w:ind w:firstLine="640" w:firstLineChars="200"/>
        <w:rPr>
          <w:rFonts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w:t>
      </w:r>
      <w:r>
        <w:rPr>
          <w:szCs w:val="32"/>
        </w:rPr>
        <w:t>支出、住房保障支出等。20</w:t>
      </w:r>
      <w:r>
        <w:rPr>
          <w:rFonts w:hint="eastAsia"/>
          <w:szCs w:val="32"/>
        </w:rPr>
        <w:t>24</w:t>
      </w:r>
      <w:r>
        <w:rPr>
          <w:szCs w:val="32"/>
        </w:rPr>
        <w:t>年收支总预算</w:t>
      </w:r>
      <w:r>
        <w:rPr>
          <w:rFonts w:hint="eastAsia"/>
          <w:szCs w:val="32"/>
        </w:rPr>
        <w:t>85.42</w:t>
      </w:r>
      <w:r>
        <w:rPr>
          <w:szCs w:val="32"/>
        </w:rPr>
        <w:t>万元</w:t>
      </w:r>
      <w:r>
        <w:rPr>
          <w:rFonts w:hint="eastAsia"/>
          <w:szCs w:val="32"/>
        </w:rPr>
        <w:t>，其中：本年预算77.62万元；上年结转7.80万元。2024年本年预算</w:t>
      </w:r>
      <w:r>
        <w:rPr>
          <w:szCs w:val="32"/>
        </w:rPr>
        <w:t>比20</w:t>
      </w:r>
      <w:r>
        <w:rPr>
          <w:rFonts w:hint="eastAsia"/>
          <w:szCs w:val="32"/>
        </w:rPr>
        <w:t>23</w:t>
      </w:r>
      <w:r>
        <w:rPr>
          <w:szCs w:val="32"/>
        </w:rPr>
        <w:t>年</w:t>
      </w:r>
      <w:r>
        <w:rPr>
          <w:rFonts w:hint="eastAsia"/>
          <w:szCs w:val="32"/>
        </w:rPr>
        <w:t>当年</w:t>
      </w:r>
      <w:r>
        <w:rPr>
          <w:szCs w:val="32"/>
        </w:rPr>
        <w:t>预算增加</w:t>
      </w:r>
      <w:r>
        <w:rPr>
          <w:rFonts w:hint="eastAsia"/>
          <w:szCs w:val="32"/>
        </w:rPr>
        <w:t>4.16</w:t>
      </w:r>
      <w:r>
        <w:rPr>
          <w:szCs w:val="32"/>
        </w:rPr>
        <w:t>万元，主要原因是</w:t>
      </w:r>
      <w:r>
        <w:rPr>
          <w:rFonts w:hint="eastAsia"/>
          <w:szCs w:val="32"/>
        </w:rPr>
        <w:t>：社会保障缴费等基数调整，导致预算有所增加。</w:t>
      </w:r>
    </w:p>
    <w:p>
      <w:pPr>
        <w:rPr>
          <w:rFonts w:eastAsia="黑体"/>
          <w:szCs w:val="32"/>
        </w:rPr>
      </w:pPr>
      <w:r>
        <w:rPr>
          <w:rFonts w:hint="eastAsia" w:eastAsia="黑体"/>
          <w:szCs w:val="32"/>
        </w:rPr>
        <w:t>　　</w:t>
      </w:r>
      <w:r>
        <w:rPr>
          <w:rFonts w:eastAsia="黑体"/>
          <w:szCs w:val="32"/>
        </w:rPr>
        <w:t>二、20</w:t>
      </w:r>
      <w:r>
        <w:rPr>
          <w:rFonts w:hint="eastAsia" w:eastAsia="黑体"/>
          <w:szCs w:val="32"/>
        </w:rPr>
        <w:t>24</w:t>
      </w:r>
      <w:r>
        <w:rPr>
          <w:rFonts w:eastAsia="黑体"/>
          <w:szCs w:val="32"/>
        </w:rPr>
        <w:t>年收入预算情况</w:t>
      </w:r>
    </w:p>
    <w:p>
      <w:pPr>
        <w:ind w:firstLine="640" w:firstLineChars="200"/>
        <w:rPr>
          <w:szCs w:val="32"/>
        </w:rPr>
      </w:pPr>
      <w:r>
        <w:rPr>
          <w:szCs w:val="32"/>
        </w:rPr>
        <w:t>20</w:t>
      </w:r>
      <w:r>
        <w:rPr>
          <w:rFonts w:hint="eastAsia"/>
          <w:szCs w:val="32"/>
        </w:rPr>
        <w:t>24</w:t>
      </w:r>
      <w:r>
        <w:rPr>
          <w:szCs w:val="32"/>
        </w:rPr>
        <w:t>年收入预算</w:t>
      </w:r>
      <w:r>
        <w:rPr>
          <w:rFonts w:hint="eastAsia"/>
          <w:szCs w:val="32"/>
        </w:rPr>
        <w:t>85.42</w:t>
      </w:r>
      <w:r>
        <w:rPr>
          <w:szCs w:val="32"/>
        </w:rPr>
        <w:t>万元，其中：本年收入</w:t>
      </w:r>
      <w:r>
        <w:rPr>
          <w:rFonts w:hint="eastAsia"/>
          <w:szCs w:val="32"/>
        </w:rPr>
        <w:t>77.62</w:t>
      </w:r>
      <w:r>
        <w:rPr>
          <w:szCs w:val="32"/>
        </w:rPr>
        <w:t>万元，占</w:t>
      </w:r>
      <w:r>
        <w:rPr>
          <w:rFonts w:hint="eastAsia"/>
          <w:szCs w:val="32"/>
        </w:rPr>
        <w:t>90.87</w:t>
      </w:r>
      <w:r>
        <w:rPr>
          <w:szCs w:val="32"/>
        </w:rPr>
        <w:t>%；上年结转</w:t>
      </w:r>
      <w:r>
        <w:rPr>
          <w:rFonts w:hint="eastAsia"/>
          <w:szCs w:val="32"/>
        </w:rPr>
        <w:t>结余7.80</w:t>
      </w:r>
      <w:r>
        <w:rPr>
          <w:szCs w:val="32"/>
        </w:rPr>
        <w:t>万元，占</w:t>
      </w:r>
      <w:r>
        <w:rPr>
          <w:rFonts w:hint="eastAsia"/>
          <w:szCs w:val="32"/>
        </w:rPr>
        <w:t>9.13</w:t>
      </w:r>
      <w:r>
        <w:rPr>
          <w:szCs w:val="32"/>
        </w:rPr>
        <w:t>%。本年收入中，一般公共预算拨款收入</w:t>
      </w:r>
      <w:r>
        <w:rPr>
          <w:rFonts w:hint="eastAsia"/>
          <w:szCs w:val="32"/>
        </w:rPr>
        <w:t>77.62</w:t>
      </w:r>
      <w:r>
        <w:rPr>
          <w:szCs w:val="32"/>
        </w:rPr>
        <w:t>万元，占</w:t>
      </w:r>
      <w:r>
        <w:rPr>
          <w:rFonts w:hint="eastAsia"/>
          <w:szCs w:val="32"/>
        </w:rPr>
        <w:t>100</w:t>
      </w:r>
      <w:r>
        <w:rPr>
          <w:szCs w:val="32"/>
        </w:rPr>
        <w:t>%</w:t>
      </w:r>
      <w:r>
        <w:rPr>
          <w:rFonts w:hint="eastAsia"/>
          <w:szCs w:val="32"/>
        </w:rPr>
        <w:t>。</w:t>
      </w:r>
      <w:r>
        <w:rPr>
          <w:szCs w:val="32"/>
        </w:rPr>
        <w:t>上年结转</w:t>
      </w:r>
      <w:r>
        <w:rPr>
          <w:rFonts w:hint="eastAsia"/>
          <w:szCs w:val="32"/>
        </w:rPr>
        <w:t>中，一般公共预算拨款结转7.80</w:t>
      </w:r>
      <w:r>
        <w:rPr>
          <w:szCs w:val="32"/>
        </w:rPr>
        <w:t>万元，占</w:t>
      </w:r>
      <w:r>
        <w:rPr>
          <w:rFonts w:hint="eastAsia"/>
          <w:szCs w:val="32"/>
        </w:rPr>
        <w:t>100</w:t>
      </w:r>
      <w:r>
        <w:rPr>
          <w:szCs w:val="32"/>
        </w:rPr>
        <w:t>%</w:t>
      </w:r>
      <w:r>
        <w:rPr>
          <w:rFonts w:hint="eastAsia"/>
          <w:szCs w:val="32"/>
        </w:rPr>
        <w:t>。</w:t>
      </w:r>
    </w:p>
    <w:p>
      <w:pPr>
        <w:rPr>
          <w:rFonts w:eastAsia="黑体"/>
          <w:szCs w:val="32"/>
        </w:rPr>
      </w:pPr>
      <w:r>
        <w:rPr>
          <w:rFonts w:hint="eastAsia" w:eastAsia="黑体"/>
          <w:szCs w:val="32"/>
        </w:rPr>
        <w:t>　　</w:t>
      </w: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rFonts w:eastAsia="楷体"/>
          <w:szCs w:val="32"/>
        </w:rPr>
      </w:pPr>
      <w:r>
        <w:rPr>
          <w:szCs w:val="32"/>
        </w:rPr>
        <w:t>20</w:t>
      </w:r>
      <w:r>
        <w:rPr>
          <w:rFonts w:hint="eastAsia"/>
          <w:szCs w:val="32"/>
        </w:rPr>
        <w:t>24</w:t>
      </w:r>
      <w:r>
        <w:rPr>
          <w:szCs w:val="32"/>
        </w:rPr>
        <w:t>年支出预算</w:t>
      </w:r>
      <w:r>
        <w:rPr>
          <w:rFonts w:hint="eastAsia"/>
          <w:szCs w:val="32"/>
        </w:rPr>
        <w:t>85.42</w:t>
      </w:r>
      <w:r>
        <w:rPr>
          <w:szCs w:val="32"/>
        </w:rPr>
        <w:t>万元，其中：基本支出</w:t>
      </w:r>
      <w:r>
        <w:rPr>
          <w:rFonts w:hint="eastAsia"/>
          <w:szCs w:val="32"/>
        </w:rPr>
        <w:t>85.42</w:t>
      </w:r>
      <w:r>
        <w:rPr>
          <w:szCs w:val="32"/>
        </w:rPr>
        <w:t>万元，占</w:t>
      </w:r>
      <w:r>
        <w:rPr>
          <w:rFonts w:hint="eastAsia"/>
          <w:szCs w:val="32"/>
        </w:rPr>
        <w:t>100</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rPr>
        <w:t>4</w:t>
      </w:r>
      <w:r>
        <w:rPr>
          <w:rFonts w:eastAsia="黑体"/>
          <w:szCs w:val="32"/>
        </w:rPr>
        <w:t>年财政拨款收支预算情况</w:t>
      </w:r>
    </w:p>
    <w:p>
      <w:pPr>
        <w:ind w:firstLine="600"/>
        <w:rPr>
          <w:szCs w:val="32"/>
        </w:rPr>
      </w:pPr>
      <w:r>
        <w:rPr>
          <w:szCs w:val="32"/>
        </w:rPr>
        <w:t>20</w:t>
      </w:r>
      <w:r>
        <w:rPr>
          <w:rFonts w:hint="eastAsia"/>
          <w:szCs w:val="32"/>
        </w:rPr>
        <w:t>24</w:t>
      </w:r>
      <w:r>
        <w:rPr>
          <w:szCs w:val="32"/>
        </w:rPr>
        <w:t>年财政拨款收支总预算</w:t>
      </w:r>
      <w:r>
        <w:rPr>
          <w:rFonts w:hint="eastAsia"/>
          <w:szCs w:val="32"/>
        </w:rPr>
        <w:t>85.42</w:t>
      </w:r>
      <w:r>
        <w:rPr>
          <w:szCs w:val="32"/>
        </w:rPr>
        <w:t>万元，其中：</w:t>
      </w:r>
      <w:r>
        <w:rPr>
          <w:rFonts w:hint="eastAsia"/>
          <w:szCs w:val="32"/>
        </w:rPr>
        <w:t>本年预算77.62</w:t>
      </w:r>
      <w:r>
        <w:rPr>
          <w:szCs w:val="32"/>
        </w:rPr>
        <w:t>万元</w:t>
      </w:r>
      <w:r>
        <w:rPr>
          <w:rFonts w:hint="eastAsia"/>
          <w:szCs w:val="32"/>
        </w:rPr>
        <w:t>，上年结转7.80</w:t>
      </w:r>
      <w:r>
        <w:rPr>
          <w:szCs w:val="32"/>
        </w:rPr>
        <w:t>万元</w:t>
      </w:r>
      <w:r>
        <w:rPr>
          <w:rFonts w:hint="eastAsia"/>
          <w:szCs w:val="32"/>
        </w:rPr>
        <w:t>。</w:t>
      </w:r>
      <w:r>
        <w:rPr>
          <w:szCs w:val="32"/>
        </w:rPr>
        <w:t>支出包括：</w:t>
      </w:r>
      <w:r>
        <w:rPr>
          <w:kern w:val="0"/>
          <w:szCs w:val="32"/>
        </w:rPr>
        <w:t>一般公共服务支出</w:t>
      </w:r>
      <w:r>
        <w:rPr>
          <w:rFonts w:hint="eastAsia"/>
          <w:szCs w:val="32"/>
        </w:rPr>
        <w:t>65.39</w:t>
      </w:r>
      <w:r>
        <w:rPr>
          <w:szCs w:val="32"/>
        </w:rPr>
        <w:t>万元，</w:t>
      </w:r>
      <w:r>
        <w:rPr>
          <w:kern w:val="0"/>
          <w:szCs w:val="32"/>
        </w:rPr>
        <w:t>社会保障和就业支出</w:t>
      </w:r>
      <w:r>
        <w:rPr>
          <w:rFonts w:hint="eastAsia"/>
          <w:kern w:val="0"/>
          <w:szCs w:val="32"/>
        </w:rPr>
        <w:t>9.81</w:t>
      </w:r>
      <w:r>
        <w:rPr>
          <w:szCs w:val="32"/>
        </w:rPr>
        <w:t>万元，</w:t>
      </w:r>
      <w:r>
        <w:rPr>
          <w:kern w:val="0"/>
          <w:szCs w:val="32"/>
        </w:rPr>
        <w:t>卫生</w:t>
      </w:r>
      <w:r>
        <w:rPr>
          <w:rFonts w:hint="eastAsia"/>
          <w:kern w:val="0"/>
          <w:szCs w:val="32"/>
        </w:rPr>
        <w:t>健康</w:t>
      </w:r>
      <w:r>
        <w:rPr>
          <w:kern w:val="0"/>
          <w:szCs w:val="32"/>
        </w:rPr>
        <w:t>支出</w:t>
      </w:r>
      <w:r>
        <w:rPr>
          <w:rFonts w:hint="eastAsia"/>
          <w:szCs w:val="32"/>
        </w:rPr>
        <w:t>3.66</w:t>
      </w:r>
      <w:r>
        <w:rPr>
          <w:szCs w:val="32"/>
        </w:rPr>
        <w:t>万元，</w:t>
      </w:r>
      <w:r>
        <w:rPr>
          <w:kern w:val="0"/>
          <w:szCs w:val="32"/>
        </w:rPr>
        <w:t>住房保障支出</w:t>
      </w:r>
      <w:r>
        <w:rPr>
          <w:rFonts w:hint="eastAsia"/>
          <w:szCs w:val="32"/>
        </w:rPr>
        <w:t>6.56</w:t>
      </w:r>
      <w:r>
        <w:rPr>
          <w:szCs w:val="32"/>
        </w:rPr>
        <w:t>万元。</w:t>
      </w:r>
    </w:p>
    <w:p>
      <w:pPr>
        <w:rPr>
          <w:rFonts w:eastAsia="黑体"/>
          <w:szCs w:val="30"/>
        </w:rPr>
      </w:pPr>
      <w:r>
        <w:rPr>
          <w:rFonts w:hint="eastAsia" w:eastAsia="黑体"/>
          <w:szCs w:val="30"/>
        </w:rPr>
        <w:t>　　</w:t>
      </w: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24</w:t>
      </w:r>
      <w:r>
        <w:rPr>
          <w:szCs w:val="32"/>
        </w:rPr>
        <w:t>年一般公共预算拨款</w:t>
      </w:r>
      <w:r>
        <w:rPr>
          <w:rFonts w:hint="eastAsia"/>
          <w:szCs w:val="32"/>
        </w:rPr>
        <w:t>85.42</w:t>
      </w:r>
      <w:r>
        <w:rPr>
          <w:szCs w:val="32"/>
        </w:rPr>
        <w:t>万元，其中：基本支出</w:t>
      </w:r>
      <w:r>
        <w:rPr>
          <w:rFonts w:hint="eastAsia"/>
          <w:szCs w:val="32"/>
        </w:rPr>
        <w:t>85.42</w:t>
      </w:r>
      <w:r>
        <w:rPr>
          <w:szCs w:val="32"/>
        </w:rPr>
        <w:t>万元，占</w:t>
      </w:r>
      <w:r>
        <w:rPr>
          <w:rFonts w:hint="eastAsia"/>
          <w:szCs w:val="32"/>
        </w:rPr>
        <w:t>100</w:t>
      </w:r>
      <w:r>
        <w:rPr>
          <w:szCs w:val="32"/>
        </w:rPr>
        <w:t>%。基本支出中，人员经费</w:t>
      </w:r>
      <w:r>
        <w:rPr>
          <w:rFonts w:hint="eastAsia"/>
          <w:szCs w:val="32"/>
        </w:rPr>
        <w:t>70.70</w:t>
      </w:r>
      <w:r>
        <w:rPr>
          <w:szCs w:val="32"/>
        </w:rPr>
        <w:t>万元，占</w:t>
      </w:r>
      <w:r>
        <w:rPr>
          <w:rFonts w:hint="eastAsia"/>
          <w:szCs w:val="32"/>
        </w:rPr>
        <w:t>82.77</w:t>
      </w:r>
      <w:r>
        <w:rPr>
          <w:szCs w:val="32"/>
        </w:rPr>
        <w:t>%；公用经费</w:t>
      </w:r>
      <w:r>
        <w:rPr>
          <w:rFonts w:hint="eastAsia"/>
          <w:szCs w:val="32"/>
        </w:rPr>
        <w:t>14.72</w:t>
      </w:r>
      <w:r>
        <w:rPr>
          <w:szCs w:val="32"/>
        </w:rPr>
        <w:t>万元，占</w:t>
      </w:r>
      <w:r>
        <w:rPr>
          <w:rFonts w:hint="eastAsia"/>
          <w:szCs w:val="32"/>
        </w:rPr>
        <w:t>17.23</w:t>
      </w:r>
      <w:r>
        <w:rPr>
          <w:szCs w:val="32"/>
        </w:rPr>
        <w:t>%。</w:t>
      </w:r>
    </w:p>
    <w:p>
      <w:pPr>
        <w:spacing w:line="520" w:lineRule="exact"/>
        <w:rPr>
          <w:szCs w:val="32"/>
        </w:rPr>
      </w:pPr>
      <w:r>
        <w:rPr>
          <w:rFonts w:hint="eastAsia"/>
          <w:szCs w:val="32"/>
        </w:rPr>
        <w:t>　　</w:t>
      </w:r>
      <w:r>
        <w:rPr>
          <w:szCs w:val="32"/>
        </w:rPr>
        <w:t>一般公共服务（类）支出</w:t>
      </w:r>
      <w:r>
        <w:rPr>
          <w:rFonts w:hint="eastAsia"/>
          <w:szCs w:val="32"/>
        </w:rPr>
        <w:t>65.39</w:t>
      </w:r>
      <w:r>
        <w:rPr>
          <w:szCs w:val="32"/>
        </w:rPr>
        <w:t>万元，占</w:t>
      </w:r>
      <w:r>
        <w:rPr>
          <w:rFonts w:hint="eastAsia"/>
          <w:szCs w:val="32"/>
        </w:rPr>
        <w:t>76.55</w:t>
      </w:r>
      <w:r>
        <w:rPr>
          <w:szCs w:val="32"/>
        </w:rPr>
        <w:t>%，主要用于</w:t>
      </w:r>
      <w:r>
        <w:rPr>
          <w:rFonts w:hint="eastAsia" w:ascii="FangSong_GB2312" w:hAnsi="仿宋"/>
          <w:szCs w:val="32"/>
        </w:rPr>
        <w:t>保障职工工资，维持机关正常运转，完成年度统计工作任务</w:t>
      </w:r>
      <w:r>
        <w:rPr>
          <w:szCs w:val="32"/>
        </w:rPr>
        <w:t>。</w:t>
      </w:r>
    </w:p>
    <w:p>
      <w:pPr>
        <w:spacing w:line="520" w:lineRule="exact"/>
        <w:rPr>
          <w:szCs w:val="32"/>
        </w:rPr>
      </w:pPr>
      <w:r>
        <w:rPr>
          <w:rFonts w:hint="eastAsia"/>
          <w:szCs w:val="32"/>
        </w:rPr>
        <w:t>　　</w:t>
      </w:r>
      <w:r>
        <w:rPr>
          <w:szCs w:val="32"/>
        </w:rPr>
        <w:t>社会保障和就业（类）支出</w:t>
      </w:r>
      <w:r>
        <w:rPr>
          <w:rFonts w:hint="eastAsia"/>
          <w:szCs w:val="32"/>
        </w:rPr>
        <w:t>9.81</w:t>
      </w:r>
      <w:r>
        <w:rPr>
          <w:szCs w:val="32"/>
        </w:rPr>
        <w:t>万元，占</w:t>
      </w:r>
      <w:r>
        <w:rPr>
          <w:rFonts w:hint="eastAsia"/>
          <w:szCs w:val="32"/>
        </w:rPr>
        <w:t>11.48</w:t>
      </w:r>
      <w:r>
        <w:rPr>
          <w:szCs w:val="32"/>
        </w:rPr>
        <w:t>%，主要用于</w:t>
      </w:r>
      <w:r>
        <w:rPr>
          <w:rFonts w:hint="eastAsia" w:ascii="FangSong_GB2312" w:hAnsi="仿宋"/>
          <w:szCs w:val="32"/>
        </w:rPr>
        <w:t>保障离退休职工工资及机关事业单位基本养老保险缴费支出</w:t>
      </w:r>
      <w:r>
        <w:rPr>
          <w:szCs w:val="32"/>
        </w:rPr>
        <w:t>。</w:t>
      </w:r>
    </w:p>
    <w:p>
      <w:pPr>
        <w:spacing w:line="520" w:lineRule="exact"/>
        <w:rPr>
          <w:szCs w:val="32"/>
        </w:rPr>
      </w:pPr>
      <w:r>
        <w:rPr>
          <w:rFonts w:hint="eastAsia"/>
          <w:szCs w:val="32"/>
        </w:rPr>
        <w:t>　　卫生健康</w:t>
      </w:r>
      <w:r>
        <w:rPr>
          <w:szCs w:val="32"/>
        </w:rPr>
        <w:t>（类）支出</w:t>
      </w:r>
      <w:r>
        <w:rPr>
          <w:rFonts w:hint="eastAsia"/>
          <w:szCs w:val="32"/>
        </w:rPr>
        <w:t>3.66</w:t>
      </w:r>
      <w:r>
        <w:rPr>
          <w:szCs w:val="32"/>
        </w:rPr>
        <w:t>万元，占</w:t>
      </w:r>
      <w:r>
        <w:rPr>
          <w:rFonts w:hint="eastAsia"/>
          <w:szCs w:val="32"/>
        </w:rPr>
        <w:t>4.29</w:t>
      </w:r>
      <w:r>
        <w:rPr>
          <w:szCs w:val="32"/>
        </w:rPr>
        <w:t>%，主要用于</w:t>
      </w:r>
      <w:r>
        <w:rPr>
          <w:rFonts w:hint="eastAsia" w:ascii="FangSong_GB2312"/>
          <w:szCs w:val="32"/>
        </w:rPr>
        <w:t>缴纳职工医疗保险</w:t>
      </w:r>
      <w:r>
        <w:rPr>
          <w:szCs w:val="32"/>
        </w:rPr>
        <w:t>。</w:t>
      </w:r>
    </w:p>
    <w:p>
      <w:pPr>
        <w:spacing w:line="520" w:lineRule="exact"/>
        <w:rPr>
          <w:szCs w:val="32"/>
        </w:rPr>
      </w:pPr>
      <w:r>
        <w:rPr>
          <w:rFonts w:hint="eastAsia"/>
          <w:szCs w:val="32"/>
        </w:rPr>
        <w:t>　　</w:t>
      </w:r>
      <w:r>
        <w:rPr>
          <w:szCs w:val="32"/>
        </w:rPr>
        <w:t>住房保障（类）支出</w:t>
      </w:r>
      <w:r>
        <w:rPr>
          <w:rFonts w:hint="eastAsia"/>
          <w:szCs w:val="32"/>
        </w:rPr>
        <w:t>6.56</w:t>
      </w:r>
      <w:r>
        <w:rPr>
          <w:szCs w:val="32"/>
        </w:rPr>
        <w:t>万元，占</w:t>
      </w:r>
      <w:r>
        <w:rPr>
          <w:rFonts w:hint="eastAsia"/>
          <w:szCs w:val="32"/>
        </w:rPr>
        <w:t>7.68</w:t>
      </w:r>
      <w:r>
        <w:rPr>
          <w:szCs w:val="32"/>
        </w:rPr>
        <w:t>%，主要用于</w:t>
      </w:r>
      <w:r>
        <w:rPr>
          <w:rFonts w:hint="eastAsia" w:ascii="FangSong_GB2312" w:hAnsi="仿宋"/>
          <w:szCs w:val="32"/>
        </w:rPr>
        <w:t>缴纳职工住房公积金</w:t>
      </w:r>
      <w:r>
        <w:rPr>
          <w:szCs w:val="32"/>
        </w:rPr>
        <w:t>。</w:t>
      </w:r>
    </w:p>
    <w:p>
      <w:pPr>
        <w:spacing w:line="520" w:lineRule="exact"/>
        <w:rPr>
          <w:rFonts w:eastAsia="黑体"/>
          <w:szCs w:val="32"/>
        </w:rPr>
      </w:pPr>
      <w:r>
        <w:rPr>
          <w:rFonts w:hint="eastAsia" w:eastAsia="黑体"/>
          <w:szCs w:val="32"/>
        </w:rPr>
        <w:t>　　</w:t>
      </w: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w:t>
      </w:r>
      <w:r>
        <w:rPr>
          <w:rFonts w:hint="eastAsia"/>
          <w:szCs w:val="32"/>
        </w:rPr>
        <w:t>85.44</w:t>
      </w:r>
      <w:r>
        <w:rPr>
          <w:szCs w:val="32"/>
        </w:rPr>
        <w:t>万元，其中：</w:t>
      </w:r>
    </w:p>
    <w:p>
      <w:pPr>
        <w:ind w:firstLine="640" w:firstLineChars="200"/>
        <w:rPr>
          <w:kern w:val="0"/>
          <w:szCs w:val="32"/>
        </w:rPr>
      </w:pPr>
      <w:r>
        <w:rPr>
          <w:szCs w:val="32"/>
        </w:rPr>
        <w:t>人员经费</w:t>
      </w:r>
      <w:r>
        <w:rPr>
          <w:rFonts w:hint="eastAsia"/>
          <w:szCs w:val="32"/>
        </w:rPr>
        <w:t>70.71</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rFonts w:hint="eastAsia"/>
          <w:szCs w:val="32"/>
        </w:rPr>
        <w:t>医疗费、</w:t>
      </w:r>
      <w:r>
        <w:rPr>
          <w:kern w:val="0"/>
          <w:szCs w:val="32"/>
        </w:rPr>
        <w:t>其他对个人和家庭的补助支出。</w:t>
      </w:r>
    </w:p>
    <w:p>
      <w:pPr>
        <w:ind w:firstLine="640" w:firstLineChars="200"/>
        <w:rPr>
          <w:kern w:val="0"/>
          <w:szCs w:val="32"/>
        </w:rPr>
      </w:pPr>
      <w:r>
        <w:rPr>
          <w:kern w:val="0"/>
          <w:szCs w:val="32"/>
        </w:rPr>
        <w:t>公用经费</w:t>
      </w:r>
      <w:r>
        <w:rPr>
          <w:rFonts w:hint="eastAsia"/>
          <w:kern w:val="0"/>
          <w:szCs w:val="32"/>
        </w:rPr>
        <w:t>14.73</w:t>
      </w:r>
      <w:r>
        <w:rPr>
          <w:szCs w:val="32"/>
        </w:rPr>
        <w:t>万元，主要包括：</w:t>
      </w:r>
      <w:r>
        <w:rPr>
          <w:kern w:val="0"/>
          <w:szCs w:val="32"/>
        </w:rPr>
        <w:t>办公费</w:t>
      </w:r>
      <w:r>
        <w:rPr>
          <w:szCs w:val="32"/>
        </w:rPr>
        <w:t>、</w:t>
      </w:r>
      <w:r>
        <w:rPr>
          <w:rFonts w:hint="eastAsia"/>
          <w:szCs w:val="32"/>
        </w:rPr>
        <w:t>印刷费、邮电费、</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rPr>
        <w:t>费用</w:t>
      </w:r>
      <w:r>
        <w:rPr>
          <w:szCs w:val="32"/>
        </w:rPr>
        <w:t>、</w:t>
      </w:r>
      <w:r>
        <w:rPr>
          <w:kern w:val="0"/>
          <w:szCs w:val="32"/>
        </w:rPr>
        <w:t>其他商品和服务支出。</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24</w:t>
      </w:r>
      <w:r>
        <w:rPr>
          <w:szCs w:val="32"/>
        </w:rPr>
        <w:t>年“三公”经费预算数为</w:t>
      </w:r>
      <w:r>
        <w:rPr>
          <w:rFonts w:hint="eastAsia"/>
          <w:szCs w:val="32"/>
        </w:rPr>
        <w:t>0.13</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。其中：</w:t>
      </w:r>
    </w:p>
    <w:p>
      <w:pPr>
        <w:ind w:firstLine="640" w:firstLineChars="200"/>
        <w:rPr>
          <w:szCs w:val="32"/>
        </w:rPr>
      </w:pPr>
      <w:r>
        <w:rPr>
          <w:szCs w:val="32"/>
        </w:rPr>
        <w:t>1.因公出国（境）费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2.公务接待费</w:t>
      </w:r>
      <w:r>
        <w:rPr>
          <w:rFonts w:hint="eastAsia"/>
          <w:szCs w:val="32"/>
        </w:rPr>
        <w:t>0.13</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3.公务用车购置及运行费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。公务用车运行维护费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；公务用车购置费</w:t>
      </w:r>
      <w:r>
        <w:rPr>
          <w:rFonts w:hint="eastAsia"/>
          <w:szCs w:val="32"/>
        </w:rPr>
        <w:t>0</w:t>
      </w:r>
      <w:r>
        <w:rPr>
          <w:szCs w:val="32"/>
        </w:rPr>
        <w:t>万元</w:t>
      </w:r>
      <w:r>
        <w:rPr>
          <w:rFonts w:hint="eastAsia"/>
          <w:szCs w:val="32"/>
        </w:rPr>
        <w:t>，2024年当年预算数与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24</w:t>
      </w:r>
      <w:r>
        <w:rPr>
          <w:rFonts w:eastAsia="黑体"/>
          <w:szCs w:val="32"/>
        </w:rPr>
        <w:t>年政府性基金预算支出情况</w:t>
      </w:r>
    </w:p>
    <w:p>
      <w:pPr>
        <w:ind w:firstLine="640" w:firstLineChars="200"/>
        <w:rPr>
          <w:szCs w:val="32"/>
        </w:rPr>
      </w:pPr>
      <w:r>
        <w:rPr>
          <w:rFonts w:hint="eastAsia"/>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szCs w:val="32"/>
        </w:rPr>
      </w:pPr>
      <w:r>
        <w:rPr>
          <w:rFonts w:hint="eastAsia"/>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24</w:t>
      </w:r>
      <w:r>
        <w:rPr>
          <w:szCs w:val="32"/>
        </w:rPr>
        <w:t>年</w:t>
      </w:r>
      <w:r>
        <w:rPr>
          <w:rFonts w:hint="eastAsia"/>
          <w:szCs w:val="32"/>
        </w:rPr>
        <w:t>白山市统计局浑江区分局农村社会经济调查队</w:t>
      </w:r>
      <w:r>
        <w:rPr>
          <w:szCs w:val="32"/>
        </w:rPr>
        <w:t>机关运行经费财政拨款预算</w:t>
      </w:r>
      <w:r>
        <w:rPr>
          <w:rFonts w:hint="eastAsia"/>
          <w:szCs w:val="32"/>
        </w:rPr>
        <w:t>14.72</w:t>
      </w:r>
      <w:r>
        <w:rPr>
          <w:szCs w:val="32"/>
        </w:rPr>
        <w:t>万元，比20</w:t>
      </w:r>
      <w:r>
        <w:rPr>
          <w:rFonts w:hint="eastAsia"/>
          <w:szCs w:val="32"/>
        </w:rPr>
        <w:t>23</w:t>
      </w:r>
      <w:r>
        <w:rPr>
          <w:szCs w:val="32"/>
        </w:rPr>
        <w:t>年预算</w:t>
      </w:r>
      <w:r>
        <w:rPr>
          <w:rFonts w:hint="eastAsia"/>
          <w:szCs w:val="32"/>
        </w:rPr>
        <w:t>增加0.54</w:t>
      </w:r>
      <w:r>
        <w:rPr>
          <w:szCs w:val="32"/>
        </w:rPr>
        <w:t>万元，</w:t>
      </w:r>
      <w:r>
        <w:rPr>
          <w:rFonts w:hint="eastAsia"/>
          <w:szCs w:val="32"/>
        </w:rPr>
        <w:t>增长3.81</w:t>
      </w:r>
      <w:r>
        <w:rPr>
          <w:szCs w:val="32"/>
        </w:rPr>
        <w:t>%</w:t>
      </w:r>
      <w:r>
        <w:rPr>
          <w:rFonts w:hint="eastAsia"/>
          <w:szCs w:val="32"/>
        </w:rPr>
        <w:t>，增长主要原因是本年预算中含上年结转公用经费。</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ascii="FangSong_GB2312" w:hAnsi="仿宋"/>
          <w:szCs w:val="32"/>
        </w:rPr>
        <w:t>本单位无</w:t>
      </w:r>
      <w:r>
        <w:rPr>
          <w:rFonts w:hint="eastAsia" w:ascii="FangSong_GB2312" w:hAnsi="仿宋"/>
          <w:szCs w:val="32"/>
        </w:rPr>
        <w:t>政府</w:t>
      </w:r>
      <w:r>
        <w:rPr>
          <w:rFonts w:eastAsia="楷体"/>
          <w:szCs w:val="32"/>
        </w:rPr>
        <w:t>采</w:t>
      </w:r>
      <w:r>
        <w:rPr>
          <w:rFonts w:hint="eastAsia" w:ascii="FangSong_GB2312" w:hAnsi="仿宋"/>
          <w:szCs w:val="32"/>
        </w:rPr>
        <w:t>购</w:t>
      </w:r>
      <w:r>
        <w:rPr>
          <w:rFonts w:ascii="FangSong_GB2312" w:hAnsi="仿宋"/>
          <w:szCs w:val="32"/>
        </w:rPr>
        <w:t>预算拨款</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截至2023年8月底，本单位共有车辆0辆，土地0平方米，房屋0平方米，单价50万元以上设备0台/套。</w:t>
      </w:r>
    </w:p>
    <w:p>
      <w:pPr>
        <w:spacing w:line="540" w:lineRule="exact"/>
        <w:ind w:firstLine="640" w:firstLineChars="200"/>
        <w:rPr>
          <w:szCs w:val="32"/>
        </w:rPr>
      </w:pPr>
      <w:r>
        <w:rPr>
          <w:rFonts w:hint="eastAsia"/>
          <w:szCs w:val="32"/>
        </w:rPr>
        <w:t>2024年单位预算安排购置车辆0辆，安排购置土地0平方米，安排购置房屋0平方米，计划新增单价50万元以上设备0台/套。</w:t>
      </w:r>
    </w:p>
    <w:p>
      <w:pPr>
        <w:numPr>
          <w:ilvl w:val="0"/>
          <w:numId w:val="1"/>
        </w:numPr>
        <w:spacing w:line="540" w:lineRule="exact"/>
        <w:ind w:firstLine="640" w:firstLineChars="200"/>
        <w:rPr>
          <w:rFonts w:eastAsia="楷体"/>
          <w:szCs w:val="32"/>
        </w:rPr>
      </w:pPr>
      <w:r>
        <w:rPr>
          <w:rFonts w:hint="eastAsia" w:eastAsia="楷体"/>
          <w:szCs w:val="32"/>
        </w:rPr>
        <w:t>项目支出情况说明</w:t>
      </w:r>
    </w:p>
    <w:p>
      <w:pPr>
        <w:ind w:firstLine="645"/>
        <w:rPr>
          <w:rFonts w:ascii="宋体" w:hAnsi="宋体"/>
          <w:szCs w:val="22"/>
        </w:rPr>
      </w:pPr>
      <w:r>
        <w:rPr>
          <w:rFonts w:hint="eastAsia" w:ascii="宋体" w:hAnsi="宋体"/>
          <w:szCs w:val="22"/>
        </w:rPr>
        <w:t>本单位无项目支出预算。</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按照全面实施预算绩效管理的要求，结合本单位职能和重点工作，</w:t>
      </w:r>
      <w:r>
        <w:rPr>
          <w:rFonts w:hint="eastAsia"/>
          <w:szCs w:val="32"/>
        </w:rPr>
        <w:t>2024</w:t>
      </w:r>
      <w:r>
        <w:rPr>
          <w:rFonts w:hint="eastAsia" w:ascii="宋体" w:hAnsi="宋体"/>
        </w:rPr>
        <w:t>年将</w:t>
      </w:r>
      <w:r>
        <w:rPr>
          <w:rFonts w:hint="eastAsia"/>
          <w:szCs w:val="32"/>
        </w:rPr>
        <w:t>0</w:t>
      </w:r>
      <w:r>
        <w:rPr>
          <w:rFonts w:hint="eastAsia" w:ascii="宋体" w:hAnsi="宋体"/>
        </w:rPr>
        <w:t>个项目支出的绩效目标和指标向社会公开，涉及金</w:t>
      </w:r>
      <w:r>
        <w:rPr>
          <w:rFonts w:hint="eastAsia"/>
          <w:szCs w:val="32"/>
        </w:rPr>
        <w:t>0</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szCs w:val="32"/>
        </w:rPr>
      </w:pPr>
      <w:r>
        <w:rPr>
          <w:rFonts w:eastAsia="楷体"/>
          <w:szCs w:val="32"/>
        </w:rPr>
        <w:br w:type="page"/>
      </w:r>
      <w:bookmarkStart w:id="0" w:name="_GoBack"/>
      <w:bookmarkEnd w:id="0"/>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0000000000000000000"/>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FZXiaoBiaoSong-B05S">
    <w:altName w:val="宋体"/>
    <w:panose1 w:val="00000000000000000000"/>
    <w:charset w:val="86"/>
    <w:family w:val="auto"/>
    <w:pitch w:val="default"/>
    <w:sig w:usb0="00000000" w:usb1="00000000" w:usb2="00000000" w:usb3="00000000" w:csb0="00040000" w:csb1="00000000"/>
  </w:font>
  <w:font w:name="KaiTi_GB2312">
    <w:altName w:val="楷体"/>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path/>
          <v:fill on="f" focussize="0,0"/>
          <v:stroke on="f" joinstyle="miter"/>
          <v:imagedata o:title=""/>
          <o:lock v:ext="edit"/>
          <v:textbox inset="0mm,0mm,0mm,0mm" style="mso-fit-shape-to-text:t;">
            <w:txbxContent>
              <w:p>
                <w:pPr>
                  <w:snapToGrid w:val="0"/>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- 13 -</w:t>
                </w:r>
                <w:r>
                  <w:rPr>
                    <w:rFonts w:hint="eastAsia" w:ascii="宋体" w:hAnsi="宋体" w:eastAsia="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kNDlhYjlkZDg1MDhhZGZiZTFjNGQyMzM3YjZjMTkifQ=="/>
  </w:docVars>
  <w:rsids>
    <w:rsidRoot w:val="48674ED2"/>
    <w:rsid w:val="000465A3"/>
    <w:rsid w:val="000C4D6E"/>
    <w:rsid w:val="000C6D48"/>
    <w:rsid w:val="000D7FB8"/>
    <w:rsid w:val="000E46F6"/>
    <w:rsid w:val="00102492"/>
    <w:rsid w:val="00145456"/>
    <w:rsid w:val="002300BA"/>
    <w:rsid w:val="002711C7"/>
    <w:rsid w:val="00292A39"/>
    <w:rsid w:val="002A5441"/>
    <w:rsid w:val="002E7CD8"/>
    <w:rsid w:val="00367BC1"/>
    <w:rsid w:val="00396D8D"/>
    <w:rsid w:val="00426F96"/>
    <w:rsid w:val="00487479"/>
    <w:rsid w:val="00514321"/>
    <w:rsid w:val="00582B1A"/>
    <w:rsid w:val="00584D1B"/>
    <w:rsid w:val="00586A56"/>
    <w:rsid w:val="005D5B16"/>
    <w:rsid w:val="005F314F"/>
    <w:rsid w:val="00623896"/>
    <w:rsid w:val="006358AE"/>
    <w:rsid w:val="006B3914"/>
    <w:rsid w:val="007638E0"/>
    <w:rsid w:val="00812796"/>
    <w:rsid w:val="0082557A"/>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04439"/>
    <w:rsid w:val="00D33284"/>
    <w:rsid w:val="00D44841"/>
    <w:rsid w:val="00D55467"/>
    <w:rsid w:val="00D71247"/>
    <w:rsid w:val="00DF0F79"/>
    <w:rsid w:val="00E00855"/>
    <w:rsid w:val="00E016DC"/>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334C36"/>
    <w:rsid w:val="025346CC"/>
    <w:rsid w:val="025408F0"/>
    <w:rsid w:val="02827834"/>
    <w:rsid w:val="02965C67"/>
    <w:rsid w:val="02B64E2B"/>
    <w:rsid w:val="02C44267"/>
    <w:rsid w:val="031D7D4B"/>
    <w:rsid w:val="037F2004"/>
    <w:rsid w:val="03CB5279"/>
    <w:rsid w:val="0486486A"/>
    <w:rsid w:val="04954460"/>
    <w:rsid w:val="04B818D1"/>
    <w:rsid w:val="04BB16FA"/>
    <w:rsid w:val="050D06DA"/>
    <w:rsid w:val="05310B72"/>
    <w:rsid w:val="05316CAE"/>
    <w:rsid w:val="05513E94"/>
    <w:rsid w:val="05597A8E"/>
    <w:rsid w:val="055D4BEF"/>
    <w:rsid w:val="05681A7F"/>
    <w:rsid w:val="056F5A6D"/>
    <w:rsid w:val="058943CD"/>
    <w:rsid w:val="059B3770"/>
    <w:rsid w:val="062F3D71"/>
    <w:rsid w:val="063949A0"/>
    <w:rsid w:val="063B332D"/>
    <w:rsid w:val="06BD5BC7"/>
    <w:rsid w:val="06DF459F"/>
    <w:rsid w:val="06F008FF"/>
    <w:rsid w:val="072F5728"/>
    <w:rsid w:val="079E5032"/>
    <w:rsid w:val="08071575"/>
    <w:rsid w:val="09015F14"/>
    <w:rsid w:val="091C5C63"/>
    <w:rsid w:val="09421190"/>
    <w:rsid w:val="09663A33"/>
    <w:rsid w:val="09A0082A"/>
    <w:rsid w:val="0A00435B"/>
    <w:rsid w:val="0A8222E1"/>
    <w:rsid w:val="0AAA1697"/>
    <w:rsid w:val="0ABA06FE"/>
    <w:rsid w:val="0B491062"/>
    <w:rsid w:val="0B49202F"/>
    <w:rsid w:val="0B5F5ADA"/>
    <w:rsid w:val="0C2A5C84"/>
    <w:rsid w:val="0C4F64D9"/>
    <w:rsid w:val="0C583939"/>
    <w:rsid w:val="0C6D1BAE"/>
    <w:rsid w:val="0CCB0CA4"/>
    <w:rsid w:val="0D2446AF"/>
    <w:rsid w:val="0D2A2435"/>
    <w:rsid w:val="0D6A4E84"/>
    <w:rsid w:val="0DA001B0"/>
    <w:rsid w:val="0DDE4FD5"/>
    <w:rsid w:val="0DEB170B"/>
    <w:rsid w:val="0DFF6683"/>
    <w:rsid w:val="0E4C7841"/>
    <w:rsid w:val="0E640604"/>
    <w:rsid w:val="0E97506F"/>
    <w:rsid w:val="0F3E0406"/>
    <w:rsid w:val="0F980230"/>
    <w:rsid w:val="0FD62F63"/>
    <w:rsid w:val="0FDE2A27"/>
    <w:rsid w:val="104E7119"/>
    <w:rsid w:val="10AE7F82"/>
    <w:rsid w:val="10C93B35"/>
    <w:rsid w:val="11177619"/>
    <w:rsid w:val="112605C8"/>
    <w:rsid w:val="11845E93"/>
    <w:rsid w:val="11A6707B"/>
    <w:rsid w:val="11B35B2F"/>
    <w:rsid w:val="12483364"/>
    <w:rsid w:val="12612A07"/>
    <w:rsid w:val="12E711B7"/>
    <w:rsid w:val="136D62BD"/>
    <w:rsid w:val="136E4388"/>
    <w:rsid w:val="13F21722"/>
    <w:rsid w:val="13FF26CD"/>
    <w:rsid w:val="1441443C"/>
    <w:rsid w:val="14C12787"/>
    <w:rsid w:val="15593E10"/>
    <w:rsid w:val="155A061E"/>
    <w:rsid w:val="159F7E25"/>
    <w:rsid w:val="15AB388B"/>
    <w:rsid w:val="15EA47D8"/>
    <w:rsid w:val="15F848D0"/>
    <w:rsid w:val="160E1FA5"/>
    <w:rsid w:val="160F2600"/>
    <w:rsid w:val="16897930"/>
    <w:rsid w:val="16C829AB"/>
    <w:rsid w:val="16DD34F5"/>
    <w:rsid w:val="1726283E"/>
    <w:rsid w:val="173F0273"/>
    <w:rsid w:val="17765BCA"/>
    <w:rsid w:val="17A027D8"/>
    <w:rsid w:val="17CC2625"/>
    <w:rsid w:val="18900E5C"/>
    <w:rsid w:val="19132BE0"/>
    <w:rsid w:val="191F4716"/>
    <w:rsid w:val="1954649C"/>
    <w:rsid w:val="197607B7"/>
    <w:rsid w:val="1A0B7A90"/>
    <w:rsid w:val="1A2E6D57"/>
    <w:rsid w:val="1A817DF8"/>
    <w:rsid w:val="1A825AA4"/>
    <w:rsid w:val="1A8A6135"/>
    <w:rsid w:val="1ADC594E"/>
    <w:rsid w:val="1AEB5252"/>
    <w:rsid w:val="1B4F7512"/>
    <w:rsid w:val="1B770817"/>
    <w:rsid w:val="1B8A03E4"/>
    <w:rsid w:val="1B9C1459"/>
    <w:rsid w:val="1BA02E75"/>
    <w:rsid w:val="1BA955FD"/>
    <w:rsid w:val="1BEC2FB3"/>
    <w:rsid w:val="1C104EA9"/>
    <w:rsid w:val="1C2A332D"/>
    <w:rsid w:val="1C852172"/>
    <w:rsid w:val="1CA40C0C"/>
    <w:rsid w:val="1CB937B9"/>
    <w:rsid w:val="1CFF4A32"/>
    <w:rsid w:val="1D127758"/>
    <w:rsid w:val="1D833200"/>
    <w:rsid w:val="1D8B0F27"/>
    <w:rsid w:val="1E3A3FD0"/>
    <w:rsid w:val="1E5625CF"/>
    <w:rsid w:val="1EB55C07"/>
    <w:rsid w:val="1F351A10"/>
    <w:rsid w:val="1F857EA5"/>
    <w:rsid w:val="1FED47E9"/>
    <w:rsid w:val="206816AC"/>
    <w:rsid w:val="20AE6A88"/>
    <w:rsid w:val="20C135A7"/>
    <w:rsid w:val="21134335"/>
    <w:rsid w:val="21156B08"/>
    <w:rsid w:val="212E7B39"/>
    <w:rsid w:val="22146DBF"/>
    <w:rsid w:val="226E581D"/>
    <w:rsid w:val="22A4003E"/>
    <w:rsid w:val="22AD0423"/>
    <w:rsid w:val="22AD67D7"/>
    <w:rsid w:val="22F8236B"/>
    <w:rsid w:val="2303691B"/>
    <w:rsid w:val="23135C25"/>
    <w:rsid w:val="23EC61F6"/>
    <w:rsid w:val="244C543C"/>
    <w:rsid w:val="24592B95"/>
    <w:rsid w:val="24624768"/>
    <w:rsid w:val="247B3126"/>
    <w:rsid w:val="2503311B"/>
    <w:rsid w:val="252B5920"/>
    <w:rsid w:val="259B5BC5"/>
    <w:rsid w:val="25A0096A"/>
    <w:rsid w:val="25F62C4E"/>
    <w:rsid w:val="262E5564"/>
    <w:rsid w:val="26643D6C"/>
    <w:rsid w:val="267B17F9"/>
    <w:rsid w:val="26BC1385"/>
    <w:rsid w:val="26EB4C5B"/>
    <w:rsid w:val="26FE109D"/>
    <w:rsid w:val="27073E1E"/>
    <w:rsid w:val="275525F0"/>
    <w:rsid w:val="27B04AB3"/>
    <w:rsid w:val="282C3BA1"/>
    <w:rsid w:val="286B525F"/>
    <w:rsid w:val="28A4647F"/>
    <w:rsid w:val="28A63332"/>
    <w:rsid w:val="28C96E8E"/>
    <w:rsid w:val="28D95A62"/>
    <w:rsid w:val="29064F88"/>
    <w:rsid w:val="297F3E41"/>
    <w:rsid w:val="29C45F24"/>
    <w:rsid w:val="2A465C9B"/>
    <w:rsid w:val="2AFA367C"/>
    <w:rsid w:val="2BE661B9"/>
    <w:rsid w:val="2C043A01"/>
    <w:rsid w:val="2D6C5D01"/>
    <w:rsid w:val="2D9038E4"/>
    <w:rsid w:val="2DA24512"/>
    <w:rsid w:val="2DB27923"/>
    <w:rsid w:val="2DF8796C"/>
    <w:rsid w:val="2E905689"/>
    <w:rsid w:val="2EB22F18"/>
    <w:rsid w:val="2EE12108"/>
    <w:rsid w:val="2EED35E3"/>
    <w:rsid w:val="2F0B5068"/>
    <w:rsid w:val="2F1A79DF"/>
    <w:rsid w:val="2F250383"/>
    <w:rsid w:val="2F63610B"/>
    <w:rsid w:val="2FBC646B"/>
    <w:rsid w:val="2FC11C09"/>
    <w:rsid w:val="2FD90F6C"/>
    <w:rsid w:val="300965A3"/>
    <w:rsid w:val="30730D6E"/>
    <w:rsid w:val="308B20C9"/>
    <w:rsid w:val="30B91A70"/>
    <w:rsid w:val="30F84C22"/>
    <w:rsid w:val="310C6AA2"/>
    <w:rsid w:val="31793674"/>
    <w:rsid w:val="31880C30"/>
    <w:rsid w:val="31894469"/>
    <w:rsid w:val="31AF33CD"/>
    <w:rsid w:val="31F65838"/>
    <w:rsid w:val="320E2F7A"/>
    <w:rsid w:val="32332703"/>
    <w:rsid w:val="326E4688"/>
    <w:rsid w:val="32964866"/>
    <w:rsid w:val="32CF2C5D"/>
    <w:rsid w:val="32EE2C61"/>
    <w:rsid w:val="335402B5"/>
    <w:rsid w:val="339466B2"/>
    <w:rsid w:val="33A92A20"/>
    <w:rsid w:val="34555AF5"/>
    <w:rsid w:val="34FF687B"/>
    <w:rsid w:val="351B1DBB"/>
    <w:rsid w:val="354C4987"/>
    <w:rsid w:val="35616772"/>
    <w:rsid w:val="35DD3F93"/>
    <w:rsid w:val="35EA1663"/>
    <w:rsid w:val="364C598E"/>
    <w:rsid w:val="368A3622"/>
    <w:rsid w:val="36B543E5"/>
    <w:rsid w:val="36CC2B0F"/>
    <w:rsid w:val="36FC762F"/>
    <w:rsid w:val="3838492F"/>
    <w:rsid w:val="383A009B"/>
    <w:rsid w:val="3887374F"/>
    <w:rsid w:val="38CB0ABC"/>
    <w:rsid w:val="38E01351"/>
    <w:rsid w:val="39041A07"/>
    <w:rsid w:val="39043B77"/>
    <w:rsid w:val="3909254B"/>
    <w:rsid w:val="39670895"/>
    <w:rsid w:val="396C4AEF"/>
    <w:rsid w:val="397B4EE2"/>
    <w:rsid w:val="39D42FBD"/>
    <w:rsid w:val="3A387943"/>
    <w:rsid w:val="3A657F9A"/>
    <w:rsid w:val="3A7348E9"/>
    <w:rsid w:val="3A8D0600"/>
    <w:rsid w:val="3A9113D4"/>
    <w:rsid w:val="3AC54F32"/>
    <w:rsid w:val="3B144A0A"/>
    <w:rsid w:val="3B254018"/>
    <w:rsid w:val="3B5257F8"/>
    <w:rsid w:val="3B8D1A1E"/>
    <w:rsid w:val="3BB15C34"/>
    <w:rsid w:val="3BC92948"/>
    <w:rsid w:val="3BE33C5C"/>
    <w:rsid w:val="3BE370D4"/>
    <w:rsid w:val="3C0D6BB8"/>
    <w:rsid w:val="3C1A026D"/>
    <w:rsid w:val="3C236125"/>
    <w:rsid w:val="3C29381E"/>
    <w:rsid w:val="3C2C58ED"/>
    <w:rsid w:val="3C711E1D"/>
    <w:rsid w:val="3C7F463D"/>
    <w:rsid w:val="3C925059"/>
    <w:rsid w:val="3CAE3960"/>
    <w:rsid w:val="3CD04E84"/>
    <w:rsid w:val="3CEF6494"/>
    <w:rsid w:val="3D1A38F8"/>
    <w:rsid w:val="3D365BF6"/>
    <w:rsid w:val="3D4A76E1"/>
    <w:rsid w:val="3D7F7007"/>
    <w:rsid w:val="3D9A6CA0"/>
    <w:rsid w:val="3DAD0A15"/>
    <w:rsid w:val="3DB008AA"/>
    <w:rsid w:val="3DF23324"/>
    <w:rsid w:val="3DFD481D"/>
    <w:rsid w:val="3E0D6A55"/>
    <w:rsid w:val="3E456D4A"/>
    <w:rsid w:val="3EA14040"/>
    <w:rsid w:val="3EB92D70"/>
    <w:rsid w:val="3EE8108D"/>
    <w:rsid w:val="3F8201A3"/>
    <w:rsid w:val="402675EA"/>
    <w:rsid w:val="406F185A"/>
    <w:rsid w:val="40B80EFF"/>
    <w:rsid w:val="40F66FE9"/>
    <w:rsid w:val="416C627C"/>
    <w:rsid w:val="41A35364"/>
    <w:rsid w:val="41B712F0"/>
    <w:rsid w:val="41C31686"/>
    <w:rsid w:val="41C837BC"/>
    <w:rsid w:val="421643AC"/>
    <w:rsid w:val="42982B4E"/>
    <w:rsid w:val="429F5D0C"/>
    <w:rsid w:val="42A90D7D"/>
    <w:rsid w:val="42D83665"/>
    <w:rsid w:val="42F649BD"/>
    <w:rsid w:val="434A6B47"/>
    <w:rsid w:val="435061F9"/>
    <w:rsid w:val="436B1E42"/>
    <w:rsid w:val="439325A7"/>
    <w:rsid w:val="45486B43"/>
    <w:rsid w:val="456D114B"/>
    <w:rsid w:val="45C5091E"/>
    <w:rsid w:val="45EB670F"/>
    <w:rsid w:val="46AB7C0D"/>
    <w:rsid w:val="46B5206F"/>
    <w:rsid w:val="46D44808"/>
    <w:rsid w:val="46ED776B"/>
    <w:rsid w:val="46F830F0"/>
    <w:rsid w:val="479D2523"/>
    <w:rsid w:val="47B835DB"/>
    <w:rsid w:val="47CF49E6"/>
    <w:rsid w:val="48674ED2"/>
    <w:rsid w:val="487708E6"/>
    <w:rsid w:val="4879120D"/>
    <w:rsid w:val="48B540F2"/>
    <w:rsid w:val="492E724C"/>
    <w:rsid w:val="493F6F72"/>
    <w:rsid w:val="49645F71"/>
    <w:rsid w:val="499F5C68"/>
    <w:rsid w:val="49CE6AF5"/>
    <w:rsid w:val="4A52465C"/>
    <w:rsid w:val="4A5C4AC6"/>
    <w:rsid w:val="4A662FBF"/>
    <w:rsid w:val="4A9E1F12"/>
    <w:rsid w:val="4ABE4096"/>
    <w:rsid w:val="4AF16062"/>
    <w:rsid w:val="4B0A57E5"/>
    <w:rsid w:val="4B646DDD"/>
    <w:rsid w:val="4B7F44F8"/>
    <w:rsid w:val="4BAC24C5"/>
    <w:rsid w:val="4BF77AED"/>
    <w:rsid w:val="4BFA0656"/>
    <w:rsid w:val="4CE0596C"/>
    <w:rsid w:val="4D3439E8"/>
    <w:rsid w:val="4D4E2809"/>
    <w:rsid w:val="4D730507"/>
    <w:rsid w:val="4D741DD3"/>
    <w:rsid w:val="4D9A0180"/>
    <w:rsid w:val="4DC93207"/>
    <w:rsid w:val="4E010C4C"/>
    <w:rsid w:val="4E204D32"/>
    <w:rsid w:val="4E214B2B"/>
    <w:rsid w:val="4E60685C"/>
    <w:rsid w:val="4E8D5761"/>
    <w:rsid w:val="4EB82EE3"/>
    <w:rsid w:val="4EF54A85"/>
    <w:rsid w:val="4EF972C6"/>
    <w:rsid w:val="4F686FE1"/>
    <w:rsid w:val="4F9C44E9"/>
    <w:rsid w:val="501B3C66"/>
    <w:rsid w:val="504B40C5"/>
    <w:rsid w:val="50987DC2"/>
    <w:rsid w:val="50A4703E"/>
    <w:rsid w:val="51282B99"/>
    <w:rsid w:val="5136104F"/>
    <w:rsid w:val="51465EDE"/>
    <w:rsid w:val="519E664A"/>
    <w:rsid w:val="51A258E6"/>
    <w:rsid w:val="52071113"/>
    <w:rsid w:val="52085509"/>
    <w:rsid w:val="522774C4"/>
    <w:rsid w:val="522A7431"/>
    <w:rsid w:val="525A440D"/>
    <w:rsid w:val="525F1EC0"/>
    <w:rsid w:val="52626449"/>
    <w:rsid w:val="52765DA5"/>
    <w:rsid w:val="53E144A4"/>
    <w:rsid w:val="544E511A"/>
    <w:rsid w:val="54741940"/>
    <w:rsid w:val="54810E66"/>
    <w:rsid w:val="549B7E32"/>
    <w:rsid w:val="54C063E4"/>
    <w:rsid w:val="54C2556E"/>
    <w:rsid w:val="54E13F96"/>
    <w:rsid w:val="54F612D2"/>
    <w:rsid w:val="54F870B5"/>
    <w:rsid w:val="55480EEF"/>
    <w:rsid w:val="555A0CEB"/>
    <w:rsid w:val="55C2570C"/>
    <w:rsid w:val="55DC5DA8"/>
    <w:rsid w:val="569B7F91"/>
    <w:rsid w:val="56D21BED"/>
    <w:rsid w:val="56EB5639"/>
    <w:rsid w:val="572651B2"/>
    <w:rsid w:val="576F2E66"/>
    <w:rsid w:val="57AE5C26"/>
    <w:rsid w:val="57D0369A"/>
    <w:rsid w:val="57DD75A9"/>
    <w:rsid w:val="5801059F"/>
    <w:rsid w:val="580A68A9"/>
    <w:rsid w:val="58256ABD"/>
    <w:rsid w:val="58461ED7"/>
    <w:rsid w:val="588F2E5D"/>
    <w:rsid w:val="58B077D0"/>
    <w:rsid w:val="58C27FDB"/>
    <w:rsid w:val="59472AC7"/>
    <w:rsid w:val="59486D73"/>
    <w:rsid w:val="59D514A6"/>
    <w:rsid w:val="59EC6E09"/>
    <w:rsid w:val="5A154895"/>
    <w:rsid w:val="5A5D23AA"/>
    <w:rsid w:val="5A7C5F32"/>
    <w:rsid w:val="5AB343F7"/>
    <w:rsid w:val="5AB81BF2"/>
    <w:rsid w:val="5ABF50F2"/>
    <w:rsid w:val="5AF25D13"/>
    <w:rsid w:val="5AF76904"/>
    <w:rsid w:val="5B052E7A"/>
    <w:rsid w:val="5B3D7F7E"/>
    <w:rsid w:val="5B4136B4"/>
    <w:rsid w:val="5B7C7777"/>
    <w:rsid w:val="5BEC6771"/>
    <w:rsid w:val="5BED73ED"/>
    <w:rsid w:val="5C2A72ED"/>
    <w:rsid w:val="5C2C6A62"/>
    <w:rsid w:val="5CA506B9"/>
    <w:rsid w:val="5CBD6AC2"/>
    <w:rsid w:val="5CE07AF2"/>
    <w:rsid w:val="5CF74CE4"/>
    <w:rsid w:val="5D5A7C63"/>
    <w:rsid w:val="5DE314D6"/>
    <w:rsid w:val="5DFB2606"/>
    <w:rsid w:val="5E256F6F"/>
    <w:rsid w:val="5E2C6BD8"/>
    <w:rsid w:val="5E4647B1"/>
    <w:rsid w:val="5EED759E"/>
    <w:rsid w:val="5F6235A9"/>
    <w:rsid w:val="5F760641"/>
    <w:rsid w:val="607248F0"/>
    <w:rsid w:val="608767D6"/>
    <w:rsid w:val="608C0119"/>
    <w:rsid w:val="60A07495"/>
    <w:rsid w:val="60DC439E"/>
    <w:rsid w:val="60E10FAA"/>
    <w:rsid w:val="60E569F0"/>
    <w:rsid w:val="614125C2"/>
    <w:rsid w:val="619E1C26"/>
    <w:rsid w:val="61A966BE"/>
    <w:rsid w:val="61AA1D1F"/>
    <w:rsid w:val="61D06669"/>
    <w:rsid w:val="624C5C52"/>
    <w:rsid w:val="62F8184E"/>
    <w:rsid w:val="63844E4C"/>
    <w:rsid w:val="63DF08E4"/>
    <w:rsid w:val="63E04630"/>
    <w:rsid w:val="64C04AFD"/>
    <w:rsid w:val="64C05A36"/>
    <w:rsid w:val="652A0972"/>
    <w:rsid w:val="655B219F"/>
    <w:rsid w:val="661A7B69"/>
    <w:rsid w:val="66455323"/>
    <w:rsid w:val="664909C1"/>
    <w:rsid w:val="66635AE4"/>
    <w:rsid w:val="669E28BA"/>
    <w:rsid w:val="66C63EB5"/>
    <w:rsid w:val="66FE3167"/>
    <w:rsid w:val="67592674"/>
    <w:rsid w:val="679461D3"/>
    <w:rsid w:val="682236E0"/>
    <w:rsid w:val="6858287E"/>
    <w:rsid w:val="68593A1E"/>
    <w:rsid w:val="68C04D52"/>
    <w:rsid w:val="68D33DE9"/>
    <w:rsid w:val="69157114"/>
    <w:rsid w:val="691A443E"/>
    <w:rsid w:val="69E203A0"/>
    <w:rsid w:val="6A5B6D7D"/>
    <w:rsid w:val="6A765FBC"/>
    <w:rsid w:val="6A80735F"/>
    <w:rsid w:val="6AC17181"/>
    <w:rsid w:val="6ACC5E47"/>
    <w:rsid w:val="6AD43ED1"/>
    <w:rsid w:val="6ADD57DC"/>
    <w:rsid w:val="6AE32A73"/>
    <w:rsid w:val="6B11024D"/>
    <w:rsid w:val="6B24211F"/>
    <w:rsid w:val="6B4078AA"/>
    <w:rsid w:val="6B7D5B36"/>
    <w:rsid w:val="6B8F0831"/>
    <w:rsid w:val="6BD2255E"/>
    <w:rsid w:val="6C240D7B"/>
    <w:rsid w:val="6C834DAA"/>
    <w:rsid w:val="6C993CCE"/>
    <w:rsid w:val="6CB62049"/>
    <w:rsid w:val="6CF120A8"/>
    <w:rsid w:val="6D182CC8"/>
    <w:rsid w:val="6D72413D"/>
    <w:rsid w:val="6D8251CD"/>
    <w:rsid w:val="6DE101EE"/>
    <w:rsid w:val="6E683830"/>
    <w:rsid w:val="6E7905AD"/>
    <w:rsid w:val="6E7C68E8"/>
    <w:rsid w:val="6F143D84"/>
    <w:rsid w:val="6F4D2305"/>
    <w:rsid w:val="6FF50B81"/>
    <w:rsid w:val="70330B9C"/>
    <w:rsid w:val="703675ED"/>
    <w:rsid w:val="704039C4"/>
    <w:rsid w:val="70DB731D"/>
    <w:rsid w:val="714213DD"/>
    <w:rsid w:val="714510B8"/>
    <w:rsid w:val="717F272E"/>
    <w:rsid w:val="719F530E"/>
    <w:rsid w:val="71E558A6"/>
    <w:rsid w:val="72513B0A"/>
    <w:rsid w:val="72544BB4"/>
    <w:rsid w:val="725718D4"/>
    <w:rsid w:val="72783A23"/>
    <w:rsid w:val="728027C6"/>
    <w:rsid w:val="72CB58B2"/>
    <w:rsid w:val="73D62FA6"/>
    <w:rsid w:val="73FE7ACC"/>
    <w:rsid w:val="74323A5D"/>
    <w:rsid w:val="74556746"/>
    <w:rsid w:val="74743258"/>
    <w:rsid w:val="74D07EF1"/>
    <w:rsid w:val="74DB6895"/>
    <w:rsid w:val="74EE65C9"/>
    <w:rsid w:val="7564688B"/>
    <w:rsid w:val="757765BE"/>
    <w:rsid w:val="761B13C4"/>
    <w:rsid w:val="763E372F"/>
    <w:rsid w:val="764B6A8A"/>
    <w:rsid w:val="76771041"/>
    <w:rsid w:val="76C17E06"/>
    <w:rsid w:val="76CA67BD"/>
    <w:rsid w:val="774E6400"/>
    <w:rsid w:val="775B0046"/>
    <w:rsid w:val="78464BF3"/>
    <w:rsid w:val="79700BEF"/>
    <w:rsid w:val="79772997"/>
    <w:rsid w:val="798D552B"/>
    <w:rsid w:val="799040F2"/>
    <w:rsid w:val="79C8721B"/>
    <w:rsid w:val="79EB27A7"/>
    <w:rsid w:val="7A090695"/>
    <w:rsid w:val="7A1D5951"/>
    <w:rsid w:val="7ACD2AA0"/>
    <w:rsid w:val="7AE175F4"/>
    <w:rsid w:val="7B417685"/>
    <w:rsid w:val="7B5220F0"/>
    <w:rsid w:val="7B977869"/>
    <w:rsid w:val="7BA169C0"/>
    <w:rsid w:val="7BC55243"/>
    <w:rsid w:val="7C2F4A9A"/>
    <w:rsid w:val="7C5A1AB8"/>
    <w:rsid w:val="7C683A65"/>
    <w:rsid w:val="7CAD595B"/>
    <w:rsid w:val="7CF65D07"/>
    <w:rsid w:val="7D2975D1"/>
    <w:rsid w:val="7D2F3083"/>
    <w:rsid w:val="7D906046"/>
    <w:rsid w:val="7DA92317"/>
    <w:rsid w:val="7DCC0CD6"/>
    <w:rsid w:val="7DEB614E"/>
    <w:rsid w:val="7EFD13DB"/>
    <w:rsid w:val="7F3E73F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FangSong_GB2312" w:cs="Times New Roman"/>
      <w:kern w:val="2"/>
      <w:sz w:val="3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Char"/>
    <w:link w:val="6"/>
    <w:autoRedefine/>
    <w:qFormat/>
    <w:uiPriority w:val="0"/>
    <w:rPr>
      <w:rFonts w:eastAsia="FangSong_GB2312"/>
      <w:kern w:val="2"/>
      <w:sz w:val="18"/>
    </w:rPr>
  </w:style>
  <w:style w:type="character" w:customStyle="1" w:styleId="17">
    <w:name w:val="批注框文本 Char"/>
    <w:link w:val="5"/>
    <w:qFormat/>
    <w:uiPriority w:val="0"/>
    <w:rPr>
      <w:rFonts w:eastAsia="FangSong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sz w:val="18"/>
    </w:rPr>
  </w:style>
  <w:style w:type="paragraph" w:customStyle="1" w:styleId="28">
    <w:name w:val="页脚 New"/>
    <w:basedOn w:val="1"/>
    <w:qFormat/>
    <w:uiPriority w:val="0"/>
    <w:pPr>
      <w:tabs>
        <w:tab w:val="center" w:pos="4153"/>
        <w:tab w:val="right" w:pos="8306"/>
      </w:tabs>
      <w:snapToGrid w:val="0"/>
      <w:jc w:val="left"/>
    </w:pPr>
    <w:rPr>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3">
    <w:name w:val="页脚 New New New"/>
    <w:basedOn w:val="1"/>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0">
    <w:name w:val="页脚 New New New New New New"/>
    <w:basedOn w:val="1"/>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0">
    <w:name w:val="页脚 New New New New New New New New"/>
    <w:basedOn w:val="1"/>
    <w:qFormat/>
    <w:uiPriority w:val="0"/>
    <w:pPr>
      <w:tabs>
        <w:tab w:val="center" w:pos="4153"/>
        <w:tab w:val="right" w:pos="8306"/>
      </w:tabs>
      <w:snapToGrid w:val="0"/>
      <w:jc w:val="left"/>
    </w:pPr>
    <w:rPr>
      <w:sz w:val="18"/>
    </w:rPr>
  </w:style>
  <w:style w:type="paragraph" w:customStyle="1" w:styleId="51">
    <w:name w:val="页脚 New New New New New New New New New"/>
    <w:basedOn w:val="1"/>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3">
    <w:name w:val="页脚 New New New New New New New"/>
    <w:basedOn w:val="1"/>
    <w:qFormat/>
    <w:uiPriority w:val="0"/>
    <w:pPr>
      <w:tabs>
        <w:tab w:val="center" w:pos="4153"/>
        <w:tab w:val="right" w:pos="8306"/>
      </w:tabs>
      <w:snapToGrid w:val="0"/>
      <w:jc w:val="left"/>
    </w:pPr>
    <w:rPr>
      <w:sz w:val="18"/>
    </w:rPr>
  </w:style>
  <w:style w:type="paragraph" w:customStyle="1" w:styleId="54">
    <w:name w:val="页脚 New New New New"/>
    <w:basedOn w:val="1"/>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Company>China</Company>
  <Pages>22</Pages>
  <Words>1164</Words>
  <Characters>6639</Characters>
  <Lines>55</Lines>
  <Paragraphs>15</Paragraphs>
  <TotalTime>0</TotalTime>
  <ScaleCrop>false</ScaleCrop>
  <LinksUpToDate>false</LinksUpToDate>
  <CharactersWithSpaces>7788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后来</cp:lastModifiedBy>
  <cp:lastPrinted>2024-01-23T03:39:00Z</cp:lastPrinted>
  <dcterms:modified xsi:type="dcterms:W3CDTF">2024-02-26T03:35:50Z</dcterms:modified>
  <dc:title>主  持  词</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