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hint="eastAsia" w:eastAsia="方正小标宋简体"/>
          <w:sz w:val="44"/>
          <w:szCs w:val="44"/>
        </w:rPr>
        <w:t>白城市</w:t>
      </w:r>
      <w:r>
        <w:rPr>
          <w:rFonts w:hint="eastAsia" w:eastAsia="方正小标宋简体"/>
          <w:sz w:val="44"/>
          <w:szCs w:val="44"/>
          <w:lang w:eastAsia="zh-CN"/>
        </w:rPr>
        <w:t>城市社会经济调查队</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4</w:t>
      </w:r>
      <w:r>
        <w:rPr>
          <w:rFonts w:eastAsia="方正小标宋简体"/>
          <w:sz w:val="44"/>
          <w:szCs w:val="44"/>
        </w:rPr>
        <w:t>年</w:t>
      </w:r>
      <w:r>
        <w:rPr>
          <w:rFonts w:hint="eastAsia" w:eastAsia="方正小标宋简体"/>
          <w:sz w:val="44"/>
          <w:szCs w:val="44"/>
          <w:lang w:val="en-US" w:eastAsia="zh-CN"/>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四</w:t>
      </w:r>
      <w:r>
        <w:rPr>
          <w:rFonts w:eastAsia="华文细黑"/>
        </w:rPr>
        <w:t>年</w:t>
      </w:r>
      <w:r>
        <w:rPr>
          <w:rFonts w:hint="eastAsia" w:eastAsia="华文细黑"/>
          <w:lang w:val="en-US" w:eastAsia="zh-CN"/>
        </w:rPr>
        <w:t>二</w:t>
      </w:r>
      <w:r>
        <w:rPr>
          <w:rFonts w:eastAsia="华文细黑"/>
        </w:rPr>
        <w:t>月</w:t>
      </w:r>
      <w:r>
        <w:rPr>
          <w:rFonts w:hint="eastAsia" w:eastAsia="华文细黑"/>
        </w:rPr>
        <w:t>二十</w:t>
      </w:r>
      <w:r>
        <w:rPr>
          <w:rFonts w:hint="eastAsia" w:eastAsia="华文细黑"/>
          <w:lang w:eastAsia="zh-CN"/>
        </w:rPr>
        <w:t>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lang w:eastAsia="zh-CN"/>
        </w:rPr>
        <w:t>预算</w:t>
      </w:r>
      <w:r>
        <w:rPr>
          <w:rFonts w:hint="eastAsia"/>
        </w:rPr>
        <w:t>总</w:t>
      </w:r>
      <w:r>
        <w:t>表</w:t>
      </w:r>
    </w:p>
    <w:p>
      <w:pPr>
        <w:ind w:left="320" w:leftChars="100" w:firstLine="320" w:firstLineChars="100"/>
      </w:pPr>
      <w:r>
        <w:t>二、收入</w:t>
      </w:r>
      <w:r>
        <w:rPr>
          <w:rFonts w:hint="eastAsia"/>
          <w:lang w:eastAsia="zh-CN"/>
        </w:rPr>
        <w:t>预算</w:t>
      </w:r>
      <w:r>
        <w:rPr>
          <w:rFonts w:hint="eastAsia"/>
        </w:rPr>
        <w:t>总</w:t>
      </w:r>
      <w:r>
        <w:t>表</w:t>
      </w:r>
    </w:p>
    <w:p>
      <w:pPr>
        <w:ind w:left="320" w:leftChars="100" w:firstLine="320" w:firstLineChars="100"/>
      </w:pPr>
      <w:r>
        <w:t>三、支出</w:t>
      </w:r>
      <w:r>
        <w:rPr>
          <w:rFonts w:hint="eastAsia"/>
          <w:lang w:eastAsia="zh-CN"/>
        </w:rPr>
        <w:t>预算</w:t>
      </w:r>
      <w:r>
        <w:rPr>
          <w:rFonts w:hint="eastAsia"/>
        </w:rPr>
        <w:t>总</w:t>
      </w:r>
      <w:r>
        <w:t>表</w:t>
      </w:r>
    </w:p>
    <w:p>
      <w:pPr>
        <w:ind w:left="320" w:leftChars="100" w:firstLine="320" w:firstLineChars="100"/>
      </w:pPr>
      <w:r>
        <w:t>四、财政拨款收支</w:t>
      </w:r>
      <w:r>
        <w:rPr>
          <w:rFonts w:hint="eastAsia"/>
          <w:lang w:eastAsia="zh-CN"/>
        </w:rPr>
        <w:t>预算</w:t>
      </w:r>
      <w:r>
        <w:rPr>
          <w:rFonts w:hint="eastAsia"/>
        </w:rPr>
        <w:t>总</w:t>
      </w:r>
      <w:r>
        <w:t>表</w:t>
      </w:r>
    </w:p>
    <w:p>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pPr>
        <w:ind w:left="320" w:leftChars="100" w:firstLine="320" w:firstLineChars="100"/>
      </w:pPr>
      <w:r>
        <w:t>七、一般公共预算“三公”经费支出</w:t>
      </w:r>
      <w:r>
        <w:rPr>
          <w:rFonts w:hint="eastAsia"/>
          <w:lang w:eastAsia="zh-CN"/>
        </w:rPr>
        <w:t>预算</w:t>
      </w:r>
      <w:r>
        <w:t>表</w:t>
      </w:r>
    </w:p>
    <w:p>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pPr>
        <w:ind w:left="320" w:leftChars="100" w:firstLine="320" w:firstLineChars="100"/>
      </w:pPr>
      <w:r>
        <w:rPr>
          <w:rFonts w:hint="eastAsia"/>
        </w:rPr>
        <w:t>九、国有资本经营</w:t>
      </w:r>
      <w:r>
        <w:t>预算支出</w:t>
      </w:r>
      <w:r>
        <w:rPr>
          <w:rFonts w:hint="eastAsia"/>
          <w:lang w:eastAsia="zh-CN"/>
        </w:rPr>
        <w:t>预算</w:t>
      </w:r>
      <w:r>
        <w:t>表</w:t>
      </w:r>
    </w:p>
    <w:p>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pPr>
        <w:ind w:left="320" w:leftChars="100" w:firstLine="320" w:firstLineChars="100"/>
        <w:rPr>
          <w:rFonts w:hint="eastAsia" w:eastAsia="仿宋_GB2312"/>
          <w:lang w:eastAsia="zh-CN"/>
        </w:rPr>
      </w:pPr>
      <w:r>
        <w:rPr>
          <w:rFonts w:hint="eastAsia"/>
          <w:lang w:eastAsia="zh-CN"/>
        </w:rPr>
        <w:t>十一、财政拨款委托业务费支出预算表</w:t>
      </w:r>
    </w:p>
    <w:p>
      <w:pPr>
        <w:ind w:firstLine="640" w:firstLineChars="200"/>
        <w:rPr>
          <w:rFonts w:hint="eastAsia"/>
        </w:rPr>
      </w:pPr>
      <w:r>
        <w:rPr>
          <w:rFonts w:hint="eastAsia"/>
        </w:rPr>
        <w:t>十</w:t>
      </w:r>
      <w:r>
        <w:rPr>
          <w:rFonts w:hint="eastAsia"/>
          <w:lang w:eastAsia="zh-CN"/>
        </w:rPr>
        <w:t>二</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rPr>
        <w:t>单位</w:t>
      </w:r>
      <w:r>
        <w:rPr>
          <w:rFonts w:eastAsia="黑体"/>
        </w:rPr>
        <w:t>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ind w:firstLine="640" w:firstLineChars="200"/>
        <w:rPr>
          <w:rFonts w:ascii="仿宋_GB2312" w:hAnsi="仿宋"/>
          <w:szCs w:val="32"/>
        </w:rPr>
      </w:pPr>
      <w:r>
        <w:rPr>
          <w:rFonts w:hint="eastAsia" w:ascii="仿宋_GB2312" w:hAnsi="仿宋"/>
          <w:szCs w:val="32"/>
        </w:rPr>
        <w:t>为各级党政领导提供真实、可靠的调查数据。白城市百户居民家庭生活调查工作，主要研究不同收入水平的居民家庭生活状况及其变化情况。对居民主要消费品的数量、储蓄和手存现金增减变化情况进行综合性社会调查。调查、编制居民消费价格指数、商品零售价格指数。工业品价格和固定资产投资调查，主要任务是编制工业品出厂价格指数和原材料、燃料动力购进价格指数为国民经济核算、宏观经济分析和调控、理顺价格体系提供科学依据。</w:t>
      </w:r>
    </w:p>
    <w:p>
      <w:pPr>
        <w:ind w:left="320" w:leftChars="100" w:firstLine="320" w:firstLineChars="100"/>
      </w:pPr>
      <w:r>
        <w:t>二、机构设置</w:t>
      </w:r>
    </w:p>
    <w:p>
      <w:pPr>
        <w:pStyle w:val="48"/>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本单位无内设机构及下设预算单位。</w:t>
      </w: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both"/>
        <w:rPr>
          <w:rFonts w:eastAsia="黑体"/>
        </w:rPr>
      </w:pPr>
    </w:p>
    <w:p>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2113"/>
        <w:gridCol w:w="985"/>
        <w:gridCol w:w="772"/>
        <w:gridCol w:w="213"/>
        <w:gridCol w:w="987"/>
        <w:gridCol w:w="1342"/>
        <w:gridCol w:w="1156"/>
        <w:gridCol w:w="9"/>
        <w:gridCol w:w="1173"/>
        <w:gridCol w:w="1158"/>
      </w:tblGrid>
      <w:tr>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pPr>
              <w:widowControl/>
              <w:jc w:val="center"/>
              <w:rPr>
                <w:rFonts w:eastAsia="宋体"/>
                <w:kern w:val="0"/>
                <w:sz w:val="20"/>
              </w:rPr>
            </w:pPr>
          </w:p>
        </w:tc>
        <w:tc>
          <w:tcPr>
            <w:tcW w:w="1200" w:type="dxa"/>
            <w:gridSpan w:val="2"/>
            <w:tcBorders>
              <w:top w:val="nil"/>
              <w:left w:val="nil"/>
              <w:bottom w:val="nil"/>
              <w:right w:val="nil"/>
            </w:tcBorders>
            <w:noWrap w:val="0"/>
            <w:vAlign w:val="center"/>
          </w:tcPr>
          <w:p>
            <w:pPr>
              <w:widowControl/>
              <w:jc w:val="center"/>
              <w:rPr>
                <w:rFonts w:eastAsia="宋体"/>
                <w:kern w:val="0"/>
                <w:sz w:val="20"/>
              </w:rPr>
            </w:pPr>
          </w:p>
        </w:tc>
        <w:tc>
          <w:tcPr>
            <w:tcW w:w="2498" w:type="dxa"/>
            <w:gridSpan w:val="2"/>
            <w:tcBorders>
              <w:top w:val="nil"/>
              <w:left w:val="nil"/>
              <w:bottom w:val="nil"/>
              <w:right w:val="nil"/>
            </w:tcBorders>
            <w:noWrap w:val="0"/>
            <w:vAlign w:val="center"/>
          </w:tcPr>
          <w:p>
            <w:pPr>
              <w:widowControl/>
              <w:jc w:val="center"/>
              <w:rPr>
                <w:rFonts w:eastAsia="宋体"/>
                <w:kern w:val="0"/>
                <w:sz w:val="20"/>
              </w:rPr>
            </w:pPr>
          </w:p>
        </w:tc>
        <w:tc>
          <w:tcPr>
            <w:tcW w:w="2340" w:type="dxa"/>
            <w:gridSpan w:val="3"/>
            <w:tcBorders>
              <w:top w:val="nil"/>
              <w:left w:val="nil"/>
              <w:bottom w:val="nil"/>
              <w:right w:val="nil"/>
            </w:tcBorders>
            <w:noWrap w:val="0"/>
            <w:vAlign w:val="bottom"/>
          </w:tcPr>
          <w:p>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tblPrEx>
          <w:tblCellMar>
            <w:top w:w="0" w:type="dxa"/>
            <w:left w:w="108" w:type="dxa"/>
            <w:bottom w:w="0" w:type="dxa"/>
            <w:right w:w="108" w:type="dxa"/>
          </w:tblCellMar>
        </w:tblPrEx>
        <w:trPr>
          <w:trHeight w:val="435" w:hRule="atLeast"/>
        </w:trPr>
        <w:tc>
          <w:tcPr>
            <w:tcW w:w="2113"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985"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5"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987"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pPr>
              <w:jc w:val="both"/>
              <w:rPr>
                <w:rFonts w:hint="eastAsia" w:eastAsia="宋体"/>
                <w:sz w:val="20"/>
              </w:rPr>
            </w:pPr>
            <w:r>
              <w:rPr>
                <w:rFonts w:hint="eastAsia" w:eastAsia="宋体"/>
                <w:sz w:val="20"/>
              </w:rPr>
              <w:t>一、财政拨款收入</w:t>
            </w:r>
          </w:p>
        </w:tc>
        <w:tc>
          <w:tcPr>
            <w:tcW w:w="98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136.89</w:t>
            </w:r>
          </w:p>
        </w:tc>
        <w:tc>
          <w:tcPr>
            <w:tcW w:w="98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131.42</w:t>
            </w:r>
          </w:p>
        </w:tc>
        <w:tc>
          <w:tcPr>
            <w:tcW w:w="987" w:type="dxa"/>
            <w:tcBorders>
              <w:top w:val="nil"/>
              <w:left w:val="single" w:color="auto" w:sz="4" w:space="0"/>
              <w:bottom w:val="single" w:color="auto" w:sz="4" w:space="0"/>
              <w:right w:val="nil"/>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5.47</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一、一般公共服务</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97.96</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94.21</w:t>
            </w: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3.75</w:t>
            </w:r>
          </w:p>
        </w:tc>
      </w:tr>
      <w:tr>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pPr>
              <w:ind w:firstLine="200" w:firstLineChars="100"/>
              <w:jc w:val="both"/>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98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136.89</w:t>
            </w:r>
          </w:p>
        </w:tc>
        <w:tc>
          <w:tcPr>
            <w:tcW w:w="98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131.42</w:t>
            </w:r>
          </w:p>
        </w:tc>
        <w:tc>
          <w:tcPr>
            <w:tcW w:w="987" w:type="dxa"/>
            <w:tcBorders>
              <w:top w:val="nil"/>
              <w:left w:val="single" w:color="auto" w:sz="4" w:space="0"/>
              <w:bottom w:val="single" w:color="auto" w:sz="4" w:space="0"/>
              <w:right w:val="nil"/>
            </w:tcBorders>
            <w:noWrap w:val="0"/>
            <w:vAlign w:val="center"/>
          </w:tcPr>
          <w:p>
            <w:pPr>
              <w:keepNext w:val="0"/>
              <w:keepLines w:val="0"/>
              <w:widowControl/>
              <w:suppressLineNumbers w:val="0"/>
              <w:jc w:val="right"/>
              <w:textAlignment w:val="center"/>
              <w:rPr>
                <w:rFonts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5.47</w:t>
            </w: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rPr>
              <w:t>社会保障和就业支出　</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eastAsia="宋体"/>
                <w:color w:val="000000"/>
                <w:kern w:val="0"/>
                <w:sz w:val="20"/>
                <w:lang w:val="en-US" w:eastAsia="zh-CN"/>
              </w:rPr>
            </w:pPr>
            <w:r>
              <w:rPr>
                <w:rFonts w:hint="default" w:ascii="Arial" w:hAnsi="Arial" w:eastAsia="宋体" w:cs="Arial"/>
                <w:i w:val="0"/>
                <w:iCs w:val="0"/>
                <w:color w:val="000000"/>
                <w:kern w:val="0"/>
                <w:sz w:val="16"/>
                <w:szCs w:val="16"/>
                <w:u w:val="none"/>
                <w:lang w:val="en-US" w:eastAsia="zh-CN" w:bidi="ar"/>
              </w:rPr>
              <w:t>24.53</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23.86</w:t>
            </w: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eastAsia="宋体"/>
                <w:kern w:val="0"/>
                <w:sz w:val="20"/>
                <w:lang w:val="en-US" w:eastAsia="zh-CN"/>
              </w:rPr>
            </w:pPr>
            <w:r>
              <w:rPr>
                <w:rFonts w:hint="default" w:ascii="Arial" w:hAnsi="Arial" w:eastAsia="宋体" w:cs="Arial"/>
                <w:i w:val="0"/>
                <w:iCs w:val="0"/>
                <w:color w:val="000000"/>
                <w:kern w:val="0"/>
                <w:sz w:val="16"/>
                <w:szCs w:val="16"/>
                <w:u w:val="none"/>
                <w:lang w:val="en-US" w:eastAsia="zh-CN" w:bidi="ar"/>
              </w:rPr>
              <w:t>0.67</w:t>
            </w:r>
          </w:p>
        </w:tc>
      </w:tr>
      <w:tr>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985"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987"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rPr>
              <w:t>卫生健康支出</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3.39</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3.39</w:t>
            </w: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pPr>
              <w:ind w:firstLine="200" w:firstLineChars="100"/>
              <w:jc w:val="both"/>
              <w:rPr>
                <w:rFonts w:hint="eastAsia" w:eastAsia="宋体"/>
                <w:sz w:val="20"/>
              </w:rPr>
            </w:pPr>
            <w:r>
              <w:rPr>
                <w:rFonts w:hint="eastAsia" w:eastAsia="宋体"/>
                <w:sz w:val="20"/>
              </w:rPr>
              <w:t>国有资本经营预算拨款收入</w:t>
            </w:r>
          </w:p>
        </w:tc>
        <w:tc>
          <w:tcPr>
            <w:tcW w:w="985"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987"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hint="eastAsia" w:eastAsia="宋体"/>
                <w:color w:val="000000"/>
                <w:kern w:val="0"/>
                <w:sz w:val="20"/>
                <w:lang w:val="en-US" w:eastAsia="zh-CN"/>
              </w:rPr>
              <w:t>四、</w:t>
            </w:r>
            <w:r>
              <w:rPr>
                <w:rFonts w:hint="eastAsia" w:eastAsia="宋体"/>
                <w:color w:val="000000"/>
                <w:kern w:val="0"/>
                <w:sz w:val="20"/>
              </w:rPr>
              <w:t>住房保障支出</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11.01</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9.96</w:t>
            </w: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1.05</w:t>
            </w:r>
          </w:p>
        </w:tc>
      </w:tr>
      <w:tr>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shd w:val="solid" w:color="FFFFFF" w:fill="auto"/>
            <w:noWrap w:val="0"/>
            <w:vAlign w:val="center"/>
          </w:tcPr>
          <w:p>
            <w:pPr>
              <w:jc w:val="both"/>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985"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7"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shd w:val="clear" w:color="auto" w:fill="FFFFFF"/>
            <w:noWrap w:val="0"/>
            <w:vAlign w:val="center"/>
          </w:tcPr>
          <w:p>
            <w:pPr>
              <w:jc w:val="both"/>
              <w:rPr>
                <w:rFonts w:hint="eastAsia" w:eastAsia="宋体"/>
                <w:sz w:val="20"/>
              </w:rPr>
            </w:pPr>
            <w:r>
              <w:rPr>
                <w:rFonts w:hint="eastAsia" w:eastAsia="宋体"/>
                <w:sz w:val="20"/>
              </w:rPr>
              <w:t>三、单位资金收入</w:t>
            </w:r>
          </w:p>
        </w:tc>
        <w:tc>
          <w:tcPr>
            <w:tcW w:w="985"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7"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pPr>
              <w:ind w:firstLine="200" w:firstLineChars="100"/>
              <w:jc w:val="both"/>
              <w:rPr>
                <w:rFonts w:hint="eastAsia" w:eastAsia="宋体"/>
                <w:sz w:val="20"/>
              </w:rPr>
            </w:pPr>
            <w:r>
              <w:rPr>
                <w:rFonts w:hint="eastAsia" w:eastAsia="宋体"/>
                <w:sz w:val="20"/>
              </w:rPr>
              <w:t>事业收入</w:t>
            </w:r>
          </w:p>
        </w:tc>
        <w:tc>
          <w:tcPr>
            <w:tcW w:w="985"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7"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pPr>
              <w:ind w:firstLine="200" w:firstLineChars="100"/>
              <w:jc w:val="both"/>
              <w:rPr>
                <w:rFonts w:hint="eastAsia" w:eastAsia="宋体"/>
                <w:sz w:val="20"/>
              </w:rPr>
            </w:pPr>
            <w:r>
              <w:rPr>
                <w:rFonts w:hint="eastAsia" w:eastAsia="宋体"/>
                <w:sz w:val="20"/>
              </w:rPr>
              <w:t>事业单位经营收入</w:t>
            </w:r>
          </w:p>
        </w:tc>
        <w:tc>
          <w:tcPr>
            <w:tcW w:w="985"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987"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pPr>
              <w:ind w:firstLine="200" w:firstLineChars="100"/>
              <w:jc w:val="both"/>
              <w:rPr>
                <w:rFonts w:hint="eastAsia" w:eastAsia="宋体"/>
                <w:sz w:val="20"/>
              </w:rPr>
            </w:pPr>
            <w:r>
              <w:rPr>
                <w:rFonts w:hint="eastAsia" w:eastAsia="宋体"/>
                <w:sz w:val="20"/>
              </w:rPr>
              <w:t>上级补助收入</w:t>
            </w:r>
          </w:p>
        </w:tc>
        <w:tc>
          <w:tcPr>
            <w:tcW w:w="985"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987"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pPr>
              <w:ind w:firstLine="200" w:firstLineChars="100"/>
              <w:jc w:val="both"/>
              <w:rPr>
                <w:rFonts w:hint="eastAsia" w:eastAsia="宋体"/>
                <w:sz w:val="20"/>
              </w:rPr>
            </w:pPr>
            <w:r>
              <w:rPr>
                <w:rFonts w:hint="eastAsia" w:eastAsia="宋体"/>
                <w:sz w:val="20"/>
              </w:rPr>
              <w:t>附属单位上缴收入</w:t>
            </w:r>
          </w:p>
        </w:tc>
        <w:tc>
          <w:tcPr>
            <w:tcW w:w="985"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987"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pPr>
              <w:ind w:firstLine="200" w:firstLineChars="100"/>
              <w:jc w:val="both"/>
              <w:rPr>
                <w:rFonts w:hint="eastAsia" w:eastAsia="宋体"/>
                <w:sz w:val="20"/>
              </w:rPr>
            </w:pPr>
            <w:r>
              <w:rPr>
                <w:rFonts w:hint="eastAsia" w:eastAsia="宋体"/>
                <w:sz w:val="20"/>
              </w:rPr>
              <w:t>其他收入</w:t>
            </w:r>
          </w:p>
        </w:tc>
        <w:tc>
          <w:tcPr>
            <w:tcW w:w="985" w:type="dxa"/>
            <w:tcBorders>
              <w:top w:val="nil"/>
              <w:left w:val="nil"/>
              <w:bottom w:val="single" w:color="auto" w:sz="4" w:space="0"/>
              <w:right w:val="single" w:color="auto" w:sz="4" w:space="0"/>
            </w:tcBorders>
            <w:noWrap w:val="0"/>
            <w:vAlign w:val="center"/>
          </w:tcPr>
          <w:p>
            <w:pPr>
              <w:jc w:val="right"/>
              <w:rPr>
                <w:rFonts w:hint="eastAsia" w:eastAsia="宋体"/>
                <w:sz w:val="20"/>
              </w:rPr>
            </w:pPr>
          </w:p>
        </w:tc>
        <w:tc>
          <w:tcPr>
            <w:tcW w:w="985" w:type="dxa"/>
            <w:gridSpan w:val="2"/>
            <w:tcBorders>
              <w:top w:val="nil"/>
              <w:left w:val="nil"/>
              <w:bottom w:val="single" w:color="auto" w:sz="4" w:space="0"/>
              <w:right w:val="single" w:color="auto" w:sz="4" w:space="0"/>
            </w:tcBorders>
            <w:noWrap w:val="0"/>
            <w:vAlign w:val="center"/>
          </w:tcPr>
          <w:p>
            <w:pPr>
              <w:jc w:val="right"/>
              <w:rPr>
                <w:rFonts w:hint="eastAsia" w:eastAsia="宋体"/>
                <w:sz w:val="20"/>
              </w:rPr>
            </w:pPr>
          </w:p>
        </w:tc>
        <w:tc>
          <w:tcPr>
            <w:tcW w:w="987" w:type="dxa"/>
            <w:tcBorders>
              <w:top w:val="nil"/>
              <w:left w:val="single" w:color="auto" w:sz="4" w:space="0"/>
              <w:bottom w:val="single" w:color="auto" w:sz="4" w:space="0"/>
              <w:right w:val="nil"/>
            </w:tcBorders>
            <w:noWrap w:val="0"/>
            <w:vAlign w:val="center"/>
          </w:tcPr>
          <w:p>
            <w:pPr>
              <w:jc w:val="right"/>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pPr>
              <w:jc w:val="right"/>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pPr>
              <w:jc w:val="right"/>
              <w:rPr>
                <w:rFonts w:hint="eastAsia" w:eastAsia="宋体"/>
                <w:sz w:val="20"/>
              </w:rPr>
            </w:pPr>
          </w:p>
        </w:tc>
      </w:tr>
      <w:tr>
        <w:tblPrEx>
          <w:tblCellMar>
            <w:top w:w="0" w:type="dxa"/>
            <w:left w:w="108" w:type="dxa"/>
            <w:bottom w:w="0" w:type="dxa"/>
            <w:right w:w="108" w:type="dxa"/>
          </w:tblCellMar>
        </w:tblPrEx>
        <w:trPr>
          <w:trHeight w:val="504" w:hRule="atLeast"/>
        </w:trPr>
        <w:tc>
          <w:tcPr>
            <w:tcW w:w="2113"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98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eastAsia="宋体"/>
                <w:kern w:val="0"/>
                <w:sz w:val="20"/>
                <w:lang w:val="en-US" w:eastAsia="zh-CN"/>
              </w:rPr>
            </w:pPr>
            <w:r>
              <w:rPr>
                <w:rFonts w:hint="default" w:ascii="Arial" w:hAnsi="Arial" w:eastAsia="宋体" w:cs="Arial"/>
                <w:i w:val="0"/>
                <w:iCs w:val="0"/>
                <w:color w:val="000000"/>
                <w:kern w:val="0"/>
                <w:sz w:val="16"/>
                <w:szCs w:val="16"/>
                <w:u w:val="none"/>
                <w:lang w:val="en-US" w:eastAsia="zh-CN" w:bidi="ar"/>
              </w:rPr>
              <w:t>136.89</w:t>
            </w:r>
          </w:p>
        </w:tc>
        <w:tc>
          <w:tcPr>
            <w:tcW w:w="98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eastAsia="宋体"/>
                <w:kern w:val="0"/>
                <w:sz w:val="20"/>
                <w:lang w:val="en-US" w:eastAsia="zh-CN"/>
              </w:rPr>
            </w:pPr>
            <w:r>
              <w:rPr>
                <w:rFonts w:hint="default" w:ascii="Arial" w:hAnsi="Arial" w:eastAsia="宋体" w:cs="Arial"/>
                <w:i w:val="0"/>
                <w:iCs w:val="0"/>
                <w:color w:val="000000"/>
                <w:kern w:val="0"/>
                <w:sz w:val="16"/>
                <w:szCs w:val="16"/>
                <w:u w:val="none"/>
                <w:lang w:val="en-US" w:eastAsia="zh-CN" w:bidi="ar"/>
              </w:rPr>
              <w:t>131.42</w:t>
            </w:r>
          </w:p>
        </w:tc>
        <w:tc>
          <w:tcPr>
            <w:tcW w:w="987" w:type="dxa"/>
            <w:tcBorders>
              <w:top w:val="nil"/>
              <w:left w:val="single" w:color="auto" w:sz="4" w:space="0"/>
              <w:bottom w:val="single" w:color="auto" w:sz="4" w:space="0"/>
              <w:right w:val="nil"/>
            </w:tcBorders>
            <w:noWrap w:val="0"/>
            <w:vAlign w:val="center"/>
          </w:tcPr>
          <w:p>
            <w:pPr>
              <w:keepNext w:val="0"/>
              <w:keepLines w:val="0"/>
              <w:widowControl/>
              <w:suppressLineNumbers w:val="0"/>
              <w:jc w:val="right"/>
              <w:textAlignment w:val="center"/>
              <w:rPr>
                <w:rFonts w:hint="eastAsia" w:eastAsia="宋体"/>
                <w:kern w:val="0"/>
                <w:sz w:val="20"/>
                <w:lang w:val="en-US" w:eastAsia="zh-CN"/>
              </w:rPr>
            </w:pPr>
            <w:r>
              <w:rPr>
                <w:rFonts w:hint="default" w:ascii="Arial" w:hAnsi="Arial" w:eastAsia="宋体" w:cs="Arial"/>
                <w:i w:val="0"/>
                <w:iCs w:val="0"/>
                <w:color w:val="000000"/>
                <w:kern w:val="0"/>
                <w:sz w:val="16"/>
                <w:szCs w:val="16"/>
                <w:u w:val="none"/>
                <w:lang w:val="en-US" w:eastAsia="zh-CN" w:bidi="ar"/>
              </w:rPr>
              <w:t>5.47</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eastAsia="宋体"/>
                <w:kern w:val="0"/>
                <w:sz w:val="20"/>
              </w:rPr>
            </w:pPr>
            <w:r>
              <w:rPr>
                <w:rFonts w:hint="default" w:ascii="Arial" w:hAnsi="Arial" w:eastAsia="宋体" w:cs="Arial"/>
                <w:i w:val="0"/>
                <w:iCs w:val="0"/>
                <w:color w:val="000000"/>
                <w:kern w:val="0"/>
                <w:sz w:val="16"/>
                <w:szCs w:val="16"/>
                <w:u w:val="none"/>
                <w:lang w:val="en-US" w:eastAsia="zh-CN" w:bidi="ar"/>
              </w:rPr>
              <w:t>136.89</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eastAsia="宋体"/>
                <w:kern w:val="0"/>
                <w:sz w:val="20"/>
              </w:rPr>
            </w:pPr>
            <w:r>
              <w:rPr>
                <w:rFonts w:hint="default" w:ascii="Arial" w:hAnsi="Arial" w:eastAsia="宋体" w:cs="Arial"/>
                <w:i w:val="0"/>
                <w:iCs w:val="0"/>
                <w:color w:val="000000"/>
                <w:kern w:val="0"/>
                <w:sz w:val="16"/>
                <w:szCs w:val="16"/>
                <w:u w:val="none"/>
                <w:lang w:val="en-US" w:eastAsia="zh-CN" w:bidi="ar"/>
              </w:rPr>
              <w:t>131.42</w:t>
            </w: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eastAsia="宋体"/>
                <w:kern w:val="0"/>
                <w:sz w:val="20"/>
              </w:rPr>
            </w:pPr>
            <w:r>
              <w:rPr>
                <w:rFonts w:hint="default" w:ascii="Arial" w:hAnsi="Arial" w:eastAsia="宋体" w:cs="Arial"/>
                <w:i w:val="0"/>
                <w:iCs w:val="0"/>
                <w:color w:val="000000"/>
                <w:kern w:val="0"/>
                <w:sz w:val="16"/>
                <w:szCs w:val="16"/>
                <w:u w:val="none"/>
                <w:lang w:val="en-US" w:eastAsia="zh-CN" w:bidi="ar"/>
              </w:rPr>
              <w:t>5.47</w:t>
            </w:r>
          </w:p>
        </w:tc>
      </w:tr>
      <w:tr>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pPr>
              <w:jc w:val="both"/>
              <w:rPr>
                <w:rFonts w:eastAsia="宋体"/>
                <w:sz w:val="20"/>
              </w:rPr>
            </w:pPr>
            <w:r>
              <w:rPr>
                <w:rFonts w:hint="eastAsia" w:eastAsia="宋体"/>
                <w:sz w:val="20"/>
              </w:rPr>
              <w:t>财政拨款结转</w:t>
            </w:r>
          </w:p>
        </w:tc>
        <w:tc>
          <w:tcPr>
            <w:tcW w:w="985" w:type="dxa"/>
            <w:tcBorders>
              <w:top w:val="nil"/>
              <w:left w:val="nil"/>
              <w:bottom w:val="single" w:color="auto" w:sz="4" w:space="0"/>
              <w:right w:val="single" w:color="auto" w:sz="4" w:space="0"/>
            </w:tcBorders>
            <w:noWrap w:val="0"/>
            <w:vAlign w:val="center"/>
          </w:tcPr>
          <w:p>
            <w:pPr>
              <w:widowControl/>
              <w:jc w:val="right"/>
              <w:rPr>
                <w:rFonts w:hint="eastAsia"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pPr>
              <w:widowControl/>
              <w:jc w:val="right"/>
              <w:rPr>
                <w:rFonts w:hint="eastAsia" w:eastAsia="宋体"/>
                <w:kern w:val="0"/>
                <w:sz w:val="20"/>
              </w:rPr>
            </w:pPr>
          </w:p>
        </w:tc>
        <w:tc>
          <w:tcPr>
            <w:tcW w:w="987" w:type="dxa"/>
            <w:tcBorders>
              <w:top w:val="nil"/>
              <w:left w:val="single" w:color="auto" w:sz="4" w:space="0"/>
              <w:bottom w:val="single" w:color="auto" w:sz="4" w:space="0"/>
              <w:right w:val="nil"/>
            </w:tcBorders>
            <w:noWrap w:val="0"/>
            <w:vAlign w:val="center"/>
          </w:tcPr>
          <w:p>
            <w:pPr>
              <w:widowControl/>
              <w:jc w:val="right"/>
              <w:rPr>
                <w:rFonts w:hint="eastAsia"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eastAsia"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hint="eastAsia" w:eastAsia="宋体"/>
                <w:kern w:val="0"/>
                <w:sz w:val="20"/>
              </w:rPr>
            </w:pPr>
          </w:p>
        </w:tc>
      </w:tr>
      <w:tr>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pPr>
              <w:jc w:val="both"/>
              <w:rPr>
                <w:rFonts w:eastAsia="宋体"/>
                <w:sz w:val="20"/>
              </w:rPr>
            </w:pPr>
            <w:r>
              <w:rPr>
                <w:rFonts w:hint="eastAsia" w:eastAsia="宋体"/>
                <w:sz w:val="20"/>
                <w:lang w:eastAsia="zh-CN"/>
              </w:rPr>
              <w:t>非财政拨款</w:t>
            </w:r>
            <w:r>
              <w:rPr>
                <w:rFonts w:hint="eastAsia" w:eastAsia="宋体"/>
                <w:sz w:val="20"/>
              </w:rPr>
              <w:t>结转结余</w:t>
            </w:r>
          </w:p>
        </w:tc>
        <w:tc>
          <w:tcPr>
            <w:tcW w:w="985" w:type="dxa"/>
            <w:tcBorders>
              <w:top w:val="nil"/>
              <w:left w:val="nil"/>
              <w:bottom w:val="single" w:color="auto" w:sz="4" w:space="0"/>
              <w:right w:val="single" w:color="auto" w:sz="4" w:space="0"/>
            </w:tcBorders>
            <w:noWrap w:val="0"/>
            <w:vAlign w:val="center"/>
          </w:tcPr>
          <w:p>
            <w:pPr>
              <w:widowControl/>
              <w:jc w:val="right"/>
              <w:rPr>
                <w:rFonts w:hint="eastAsia"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pPr>
              <w:widowControl/>
              <w:jc w:val="right"/>
              <w:rPr>
                <w:rFonts w:hint="eastAsia" w:eastAsia="宋体"/>
                <w:kern w:val="0"/>
                <w:sz w:val="20"/>
              </w:rPr>
            </w:pPr>
          </w:p>
        </w:tc>
        <w:tc>
          <w:tcPr>
            <w:tcW w:w="987" w:type="dxa"/>
            <w:tcBorders>
              <w:top w:val="nil"/>
              <w:left w:val="single" w:color="auto" w:sz="4" w:space="0"/>
              <w:bottom w:val="single" w:color="auto" w:sz="4" w:space="0"/>
              <w:right w:val="nil"/>
            </w:tcBorders>
            <w:noWrap w:val="0"/>
            <w:vAlign w:val="center"/>
          </w:tcPr>
          <w:p>
            <w:pPr>
              <w:widowControl/>
              <w:jc w:val="right"/>
              <w:rPr>
                <w:rFonts w:hint="eastAsia"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eastAsia"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hint="eastAsia" w:eastAsia="宋体"/>
                <w:kern w:val="0"/>
                <w:sz w:val="20"/>
              </w:rPr>
            </w:pPr>
          </w:p>
        </w:tc>
      </w:tr>
      <w:tr>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eastAsia="黑体"/>
                <w:b/>
                <w:bCs/>
                <w:kern w:val="0"/>
                <w:sz w:val="20"/>
              </w:rPr>
              <w:t>收入总计</w:t>
            </w:r>
          </w:p>
        </w:tc>
        <w:tc>
          <w:tcPr>
            <w:tcW w:w="98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eastAsia="宋体"/>
                <w:kern w:val="0"/>
                <w:sz w:val="20"/>
                <w:lang w:val="en-US" w:eastAsia="zh-CN"/>
              </w:rPr>
            </w:pPr>
            <w:r>
              <w:rPr>
                <w:rFonts w:hint="default" w:ascii="Arial" w:hAnsi="Arial" w:eastAsia="宋体" w:cs="Arial"/>
                <w:i w:val="0"/>
                <w:iCs w:val="0"/>
                <w:color w:val="000000"/>
                <w:kern w:val="0"/>
                <w:sz w:val="16"/>
                <w:szCs w:val="16"/>
                <w:u w:val="none"/>
                <w:lang w:val="en-US" w:eastAsia="zh-CN" w:bidi="ar"/>
              </w:rPr>
              <w:t>136.89</w:t>
            </w:r>
          </w:p>
        </w:tc>
        <w:tc>
          <w:tcPr>
            <w:tcW w:w="98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eastAsia="宋体"/>
                <w:kern w:val="0"/>
                <w:sz w:val="20"/>
                <w:lang w:val="en-US" w:eastAsia="zh-CN"/>
              </w:rPr>
            </w:pPr>
            <w:r>
              <w:rPr>
                <w:rFonts w:hint="default" w:ascii="Arial" w:hAnsi="Arial" w:eastAsia="宋体" w:cs="Arial"/>
                <w:i w:val="0"/>
                <w:iCs w:val="0"/>
                <w:color w:val="000000"/>
                <w:kern w:val="0"/>
                <w:sz w:val="16"/>
                <w:szCs w:val="16"/>
                <w:u w:val="none"/>
                <w:lang w:val="en-US" w:eastAsia="zh-CN" w:bidi="ar"/>
              </w:rPr>
              <w:t>131.42</w:t>
            </w:r>
          </w:p>
        </w:tc>
        <w:tc>
          <w:tcPr>
            <w:tcW w:w="987" w:type="dxa"/>
            <w:tcBorders>
              <w:top w:val="nil"/>
              <w:left w:val="single" w:color="auto" w:sz="4" w:space="0"/>
              <w:bottom w:val="single" w:color="auto" w:sz="4" w:space="0"/>
              <w:right w:val="nil"/>
            </w:tcBorders>
            <w:noWrap w:val="0"/>
            <w:vAlign w:val="center"/>
          </w:tcPr>
          <w:p>
            <w:pPr>
              <w:keepNext w:val="0"/>
              <w:keepLines w:val="0"/>
              <w:widowControl/>
              <w:suppressLineNumbers w:val="0"/>
              <w:jc w:val="right"/>
              <w:textAlignment w:val="center"/>
              <w:rPr>
                <w:rFonts w:hint="eastAsia" w:eastAsia="宋体"/>
                <w:kern w:val="0"/>
                <w:sz w:val="20"/>
                <w:lang w:val="en-US" w:eastAsia="zh-CN"/>
              </w:rPr>
            </w:pPr>
            <w:r>
              <w:rPr>
                <w:rFonts w:hint="default" w:ascii="Arial" w:hAnsi="Arial" w:eastAsia="宋体" w:cs="Arial"/>
                <w:i w:val="0"/>
                <w:iCs w:val="0"/>
                <w:color w:val="000000"/>
                <w:kern w:val="0"/>
                <w:sz w:val="16"/>
                <w:szCs w:val="16"/>
                <w:u w:val="none"/>
                <w:lang w:val="en-US" w:eastAsia="zh-CN" w:bidi="ar"/>
              </w:rPr>
              <w:t>5.47</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eastAsia="宋体"/>
                <w:kern w:val="0"/>
                <w:sz w:val="20"/>
                <w:lang w:val="en-US" w:eastAsia="zh-CN"/>
              </w:rPr>
            </w:pPr>
            <w:r>
              <w:rPr>
                <w:rFonts w:hint="default" w:ascii="Arial" w:hAnsi="Arial" w:eastAsia="宋体" w:cs="Arial"/>
                <w:i w:val="0"/>
                <w:iCs w:val="0"/>
                <w:color w:val="000000"/>
                <w:kern w:val="0"/>
                <w:sz w:val="16"/>
                <w:szCs w:val="16"/>
                <w:u w:val="none"/>
                <w:lang w:val="en-US" w:eastAsia="zh-CN" w:bidi="ar"/>
              </w:rPr>
              <w:t>136.89</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eastAsia="宋体"/>
                <w:kern w:val="0"/>
                <w:sz w:val="20"/>
                <w:lang w:val="en-US" w:eastAsia="zh-CN"/>
              </w:rPr>
            </w:pPr>
            <w:r>
              <w:rPr>
                <w:rFonts w:hint="default" w:ascii="Arial" w:hAnsi="Arial" w:eastAsia="宋体" w:cs="Arial"/>
                <w:i w:val="0"/>
                <w:iCs w:val="0"/>
                <w:color w:val="000000"/>
                <w:kern w:val="0"/>
                <w:sz w:val="16"/>
                <w:szCs w:val="16"/>
                <w:u w:val="none"/>
                <w:lang w:val="en-US" w:eastAsia="zh-CN" w:bidi="ar"/>
              </w:rPr>
              <w:t>131.42</w:t>
            </w: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eastAsia="宋体"/>
                <w:kern w:val="0"/>
                <w:sz w:val="20"/>
                <w:lang w:val="en-US" w:eastAsia="zh-CN"/>
              </w:rPr>
            </w:pPr>
            <w:r>
              <w:rPr>
                <w:rFonts w:hint="default" w:ascii="Arial" w:hAnsi="Arial" w:eastAsia="宋体" w:cs="Arial"/>
                <w:i w:val="0"/>
                <w:iCs w:val="0"/>
                <w:color w:val="000000"/>
                <w:kern w:val="0"/>
                <w:sz w:val="16"/>
                <w:szCs w:val="16"/>
                <w:u w:val="none"/>
                <w:lang w:val="en-US" w:eastAsia="zh-CN" w:bidi="ar"/>
              </w:rPr>
              <w:t>5.47</w:t>
            </w: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jc w:val="center"/>
        <w:rPr>
          <w:rFonts w:eastAsia="方正小标宋简体"/>
          <w:sz w:val="44"/>
        </w:rPr>
      </w:pPr>
    </w:p>
    <w:p>
      <w:pPr>
        <w:jc w:val="center"/>
        <w:rPr>
          <w:rFonts w:eastAsia="方正小标宋简体"/>
          <w:sz w:val="44"/>
        </w:rPr>
      </w:pPr>
    </w:p>
    <w:p>
      <w:pPr>
        <w:jc w:val="center"/>
        <w:rPr>
          <w:rFonts w:eastAsia="方正小标宋简体"/>
          <w:sz w:val="44"/>
        </w:rPr>
      </w:pP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9838" w:type="dxa"/>
        <w:jc w:val="center"/>
        <w:tblLayout w:type="fixed"/>
        <w:tblCellMar>
          <w:top w:w="0" w:type="dxa"/>
          <w:left w:w="108" w:type="dxa"/>
          <w:bottom w:w="0" w:type="dxa"/>
          <w:right w:w="108" w:type="dxa"/>
        </w:tblCellMar>
      </w:tblPr>
      <w:tblGrid>
        <w:gridCol w:w="1351"/>
        <w:gridCol w:w="795"/>
        <w:gridCol w:w="825"/>
        <w:gridCol w:w="795"/>
        <w:gridCol w:w="360"/>
        <w:gridCol w:w="315"/>
        <w:gridCol w:w="315"/>
        <w:gridCol w:w="330"/>
        <w:gridCol w:w="167"/>
        <w:gridCol w:w="208"/>
        <w:gridCol w:w="375"/>
        <w:gridCol w:w="360"/>
        <w:gridCol w:w="51"/>
        <w:gridCol w:w="294"/>
        <w:gridCol w:w="204"/>
        <w:gridCol w:w="501"/>
        <w:gridCol w:w="684"/>
        <w:gridCol w:w="236"/>
        <w:gridCol w:w="159"/>
        <w:gridCol w:w="345"/>
        <w:gridCol w:w="345"/>
        <w:gridCol w:w="397"/>
        <w:gridCol w:w="426"/>
      </w:tblGrid>
      <w:tr>
        <w:tblPrEx>
          <w:tblCellMar>
            <w:top w:w="0" w:type="dxa"/>
            <w:left w:w="108" w:type="dxa"/>
            <w:bottom w:w="0" w:type="dxa"/>
            <w:right w:w="108" w:type="dxa"/>
          </w:tblCellMar>
        </w:tblPrEx>
        <w:trPr>
          <w:trHeight w:val="335" w:hRule="atLeast"/>
          <w:jc w:val="center"/>
        </w:trPr>
        <w:tc>
          <w:tcPr>
            <w:tcW w:w="1351" w:type="dxa"/>
            <w:tcBorders>
              <w:bottom w:val="single" w:color="000000" w:sz="4" w:space="0"/>
            </w:tcBorders>
            <w:noWrap w:val="0"/>
            <w:vAlign w:val="top"/>
          </w:tcPr>
          <w:p>
            <w:pPr>
              <w:autoSpaceDN w:val="0"/>
              <w:jc w:val="left"/>
              <w:textAlignment w:val="center"/>
              <w:rPr>
                <w:rFonts w:eastAsia="华文细黑"/>
                <w:color w:val="000000"/>
                <w:sz w:val="20"/>
              </w:rPr>
            </w:pPr>
          </w:p>
        </w:tc>
        <w:tc>
          <w:tcPr>
            <w:tcW w:w="3902" w:type="dxa"/>
            <w:gridSpan w:val="8"/>
            <w:tcBorders>
              <w:bottom w:val="single" w:color="000000" w:sz="4" w:space="0"/>
            </w:tcBorders>
            <w:noWrap w:val="0"/>
            <w:vAlign w:val="center"/>
          </w:tcPr>
          <w:p>
            <w:pPr>
              <w:autoSpaceDN w:val="0"/>
              <w:jc w:val="left"/>
              <w:textAlignment w:val="center"/>
              <w:rPr>
                <w:rFonts w:eastAsia="华文细黑"/>
                <w:color w:val="000000"/>
                <w:sz w:val="20"/>
              </w:rPr>
            </w:pPr>
          </w:p>
        </w:tc>
        <w:tc>
          <w:tcPr>
            <w:tcW w:w="994" w:type="dxa"/>
            <w:gridSpan w:val="4"/>
            <w:noWrap w:val="0"/>
            <w:vAlign w:val="center"/>
          </w:tcPr>
          <w:p>
            <w:pPr>
              <w:autoSpaceDN w:val="0"/>
              <w:jc w:val="left"/>
              <w:textAlignment w:val="center"/>
              <w:rPr>
                <w:rFonts w:eastAsia="华文细黑"/>
                <w:color w:val="000000"/>
                <w:sz w:val="20"/>
              </w:rPr>
            </w:pPr>
          </w:p>
        </w:tc>
        <w:tc>
          <w:tcPr>
            <w:tcW w:w="498" w:type="dxa"/>
            <w:gridSpan w:val="2"/>
            <w:noWrap w:val="0"/>
            <w:vAlign w:val="center"/>
          </w:tcPr>
          <w:p>
            <w:pPr>
              <w:autoSpaceDN w:val="0"/>
              <w:jc w:val="left"/>
              <w:textAlignment w:val="center"/>
              <w:rPr>
                <w:rFonts w:eastAsia="华文细黑"/>
                <w:color w:val="000000"/>
                <w:sz w:val="20"/>
              </w:rPr>
            </w:pPr>
          </w:p>
        </w:tc>
        <w:tc>
          <w:tcPr>
            <w:tcW w:w="1185" w:type="dxa"/>
            <w:gridSpan w:val="2"/>
            <w:noWrap w:val="0"/>
            <w:vAlign w:val="center"/>
          </w:tcPr>
          <w:p>
            <w:pPr>
              <w:autoSpaceDN w:val="0"/>
              <w:jc w:val="left"/>
              <w:textAlignment w:val="center"/>
              <w:rPr>
                <w:rFonts w:eastAsia="华文细黑"/>
                <w:color w:val="000000"/>
                <w:sz w:val="20"/>
              </w:rPr>
            </w:pPr>
          </w:p>
        </w:tc>
        <w:tc>
          <w:tcPr>
            <w:tcW w:w="236" w:type="dxa"/>
            <w:noWrap w:val="0"/>
            <w:vAlign w:val="bottom"/>
          </w:tcPr>
          <w:p>
            <w:pPr>
              <w:autoSpaceDN w:val="0"/>
              <w:jc w:val="right"/>
              <w:textAlignment w:val="bottom"/>
              <w:rPr>
                <w:rFonts w:eastAsia="宋体"/>
                <w:color w:val="000000"/>
                <w:sz w:val="20"/>
              </w:rPr>
            </w:pPr>
          </w:p>
        </w:tc>
        <w:tc>
          <w:tcPr>
            <w:tcW w:w="1672" w:type="dxa"/>
            <w:gridSpan w:val="5"/>
            <w:noWrap w:val="0"/>
            <w:vAlign w:val="bottom"/>
          </w:tcPr>
          <w:p>
            <w:pPr>
              <w:wordWrap/>
              <w:autoSpaceDN w:val="0"/>
              <w:jc w:val="both"/>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gridAfter w:val="1"/>
          <w:wAfter w:w="426" w:type="dxa"/>
          <w:trHeight w:val="517" w:hRule="atLeast"/>
          <w:jc w:val="center"/>
        </w:trPr>
        <w:tc>
          <w:tcPr>
            <w:tcW w:w="1351" w:type="dxa"/>
            <w:vMerge w:val="restart"/>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部门（单位）名称</w:t>
            </w:r>
          </w:p>
        </w:tc>
        <w:tc>
          <w:tcPr>
            <w:tcW w:w="795"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总计</w:t>
            </w:r>
          </w:p>
        </w:tc>
        <w:tc>
          <w:tcPr>
            <w:tcW w:w="4395" w:type="dxa"/>
            <w:gridSpan w:val="12"/>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eastAsia="zh-CN"/>
              </w:rPr>
              <w:t>本年预算</w:t>
            </w:r>
          </w:p>
        </w:tc>
        <w:tc>
          <w:tcPr>
            <w:tcW w:w="2871" w:type="dxa"/>
            <w:gridSpan w:val="8"/>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上年结转结余</w:t>
            </w:r>
          </w:p>
        </w:tc>
      </w:tr>
      <w:tr>
        <w:tblPrEx>
          <w:tblCellMar>
            <w:top w:w="0" w:type="dxa"/>
            <w:left w:w="108" w:type="dxa"/>
            <w:bottom w:w="0" w:type="dxa"/>
            <w:right w:w="108" w:type="dxa"/>
          </w:tblCellMar>
        </w:tblPrEx>
        <w:trPr>
          <w:gridAfter w:val="1"/>
          <w:wAfter w:w="426" w:type="dxa"/>
          <w:trHeight w:val="517" w:hRule="atLeast"/>
          <w:jc w:val="center"/>
        </w:trPr>
        <w:tc>
          <w:tcPr>
            <w:tcW w:w="1351"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000000"/>
                <w:sz w:val="20"/>
                <w:lang w:eastAsia="zh-CN"/>
              </w:rPr>
            </w:pPr>
          </w:p>
        </w:tc>
        <w:tc>
          <w:tcPr>
            <w:tcW w:w="795" w:type="dxa"/>
            <w:vMerge w:val="continue"/>
            <w:tcBorders>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p>
        </w:tc>
        <w:tc>
          <w:tcPr>
            <w:tcW w:w="825"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470"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财政拨款收入</w:t>
            </w:r>
          </w:p>
        </w:tc>
        <w:tc>
          <w:tcPr>
            <w:tcW w:w="315" w:type="dxa"/>
            <w:vMerge w:val="restart"/>
            <w:tcBorders>
              <w:top w:val="single" w:color="000000" w:sz="4" w:space="0"/>
              <w:left w:val="single" w:color="auto"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财政专户管理资金收入</w:t>
            </w:r>
          </w:p>
        </w:tc>
        <w:tc>
          <w:tcPr>
            <w:tcW w:w="1785" w:type="dxa"/>
            <w:gridSpan w:val="7"/>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单位资</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金收入</w:t>
            </w:r>
          </w:p>
        </w:tc>
        <w:tc>
          <w:tcPr>
            <w:tcW w:w="705" w:type="dxa"/>
            <w:gridSpan w:val="2"/>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424" w:type="dxa"/>
            <w:gridSpan w:val="4"/>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w:t>
            </w:r>
          </w:p>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款结转</w:t>
            </w:r>
          </w:p>
        </w:tc>
        <w:tc>
          <w:tcPr>
            <w:tcW w:w="742" w:type="dxa"/>
            <w:gridSpan w:val="2"/>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tblPrEx>
          <w:tblCellMar>
            <w:top w:w="0" w:type="dxa"/>
            <w:left w:w="108" w:type="dxa"/>
            <w:bottom w:w="0" w:type="dxa"/>
            <w:right w:w="108" w:type="dxa"/>
          </w:tblCellMar>
        </w:tblPrEx>
        <w:trPr>
          <w:gridAfter w:val="1"/>
          <w:wAfter w:w="426" w:type="dxa"/>
          <w:trHeight w:val="2818" w:hRule="atLeast"/>
          <w:jc w:val="center"/>
        </w:trPr>
        <w:tc>
          <w:tcPr>
            <w:tcW w:w="1351" w:type="dxa"/>
            <w:vMerge w:val="continue"/>
            <w:tcBorders>
              <w:left w:val="single" w:color="000000" w:sz="4" w:space="0"/>
              <w:bottom w:val="single" w:color="000000" w:sz="4" w:space="0"/>
              <w:right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795" w:type="dxa"/>
            <w:vMerge w:val="continue"/>
            <w:tcBorders>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825"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795"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一般公共预算收入</w:t>
            </w:r>
          </w:p>
        </w:tc>
        <w:tc>
          <w:tcPr>
            <w:tcW w:w="360" w:type="dxa"/>
            <w:tcBorders>
              <w:top w:val="single" w:color="000000" w:sz="4" w:space="0"/>
              <w:left w:val="single" w:color="000000" w:sz="4" w:space="0"/>
              <w:bottom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政府性基金预算收入</w:t>
            </w: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国有资本经营预算收入</w:t>
            </w:r>
          </w:p>
        </w:tc>
        <w:tc>
          <w:tcPr>
            <w:tcW w:w="315"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事业收入</w:t>
            </w:r>
          </w:p>
        </w:tc>
        <w:tc>
          <w:tcPr>
            <w:tcW w:w="375"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事业单位经营收入</w:t>
            </w: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上级补助收入</w:t>
            </w: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附属单位上缴收入</w:t>
            </w:r>
          </w:p>
        </w:tc>
        <w:tc>
          <w:tcPr>
            <w:tcW w:w="345"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其他收入</w:t>
            </w:r>
          </w:p>
        </w:tc>
        <w:tc>
          <w:tcPr>
            <w:tcW w:w="705" w:type="dxa"/>
            <w:gridSpan w:val="2"/>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68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一般公共预算拨款结转</w:t>
            </w:r>
          </w:p>
        </w:tc>
        <w:tc>
          <w:tcPr>
            <w:tcW w:w="395"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政府性基金预算拨款结转</w:t>
            </w:r>
          </w:p>
        </w:tc>
        <w:tc>
          <w:tcPr>
            <w:tcW w:w="345"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国有资本经营预算拨款结转</w:t>
            </w:r>
          </w:p>
        </w:tc>
        <w:tc>
          <w:tcPr>
            <w:tcW w:w="345"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lang w:eastAsia="zh-CN"/>
              </w:rPr>
              <w:t>财政专户管理资金结转结余</w:t>
            </w:r>
          </w:p>
        </w:tc>
        <w:tc>
          <w:tcPr>
            <w:tcW w:w="39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单位资金结转结余</w:t>
            </w:r>
          </w:p>
        </w:tc>
      </w:tr>
      <w:tr>
        <w:tblPrEx>
          <w:tblCellMar>
            <w:top w:w="0" w:type="dxa"/>
            <w:left w:w="108" w:type="dxa"/>
            <w:bottom w:w="0" w:type="dxa"/>
            <w:right w:w="108" w:type="dxa"/>
          </w:tblCellMar>
        </w:tblPrEx>
        <w:trPr>
          <w:gridAfter w:val="1"/>
          <w:wAfter w:w="426" w:type="dxa"/>
          <w:trHeight w:val="517" w:hRule="atLeast"/>
          <w:jc w:val="center"/>
        </w:trPr>
        <w:tc>
          <w:tcPr>
            <w:tcW w:w="1351" w:type="dxa"/>
            <w:tcBorders>
              <w:top w:val="single" w:color="000000" w:sz="4" w:space="0"/>
              <w:left w:val="single" w:color="000000" w:sz="4" w:space="0"/>
              <w:bottom w:val="single" w:color="000000" w:sz="4" w:space="0"/>
            </w:tcBorders>
            <w:shd w:val="solid" w:color="FFFFFF" w:fill="auto"/>
            <w:noWrap w:val="0"/>
            <w:vAlign w:val="center"/>
          </w:tcPr>
          <w:p>
            <w:pPr>
              <w:widowControl/>
              <w:jc w:val="center"/>
              <w:rPr>
                <w:rFonts w:hint="default" w:eastAsia="宋体"/>
                <w:color w:val="000000"/>
                <w:sz w:val="18"/>
                <w:szCs w:val="18"/>
                <w:shd w:val="clear" w:color="auto" w:fill="FFFFFF"/>
                <w:lang w:val="en-US" w:eastAsia="zh-CN"/>
              </w:rPr>
            </w:pPr>
            <w:r>
              <w:rPr>
                <w:rFonts w:hint="eastAsia" w:eastAsia="宋体"/>
                <w:color w:val="000000"/>
                <w:sz w:val="18"/>
                <w:szCs w:val="18"/>
                <w:shd w:val="clear" w:color="auto" w:fill="FFFFFF"/>
              </w:rPr>
              <w:t>白城市</w:t>
            </w:r>
            <w:r>
              <w:rPr>
                <w:rFonts w:hint="eastAsia" w:eastAsia="宋体"/>
                <w:color w:val="000000"/>
                <w:sz w:val="18"/>
                <w:szCs w:val="18"/>
                <w:shd w:val="clear" w:color="auto" w:fill="FFFFFF"/>
                <w:lang w:val="en-US" w:eastAsia="zh-CN"/>
              </w:rPr>
              <w:t>城市社会经济调查队</w:t>
            </w: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136.89</w:t>
            </w: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131.42</w:t>
            </w: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131.42</w:t>
            </w:r>
          </w:p>
        </w:tc>
        <w:tc>
          <w:tcPr>
            <w:tcW w:w="36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shd w:val="clear" w:color="auto" w:fill="FFFFFF"/>
              </w:rPr>
            </w:pPr>
            <w:r>
              <w:rPr>
                <w:rFonts w:hint="default" w:ascii="Arial" w:hAnsi="Arial" w:eastAsia="宋体" w:cs="Arial"/>
                <w:i w:val="0"/>
                <w:iCs w:val="0"/>
                <w:color w:val="000000"/>
                <w:kern w:val="0"/>
                <w:sz w:val="16"/>
                <w:szCs w:val="16"/>
                <w:u w:val="none"/>
                <w:lang w:val="en-US" w:eastAsia="zh-CN" w:bidi="ar"/>
              </w:rPr>
              <w:t>5.47</w:t>
            </w:r>
          </w:p>
        </w:tc>
        <w:tc>
          <w:tcPr>
            <w:tcW w:w="6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shd w:val="clear" w:color="auto" w:fill="FFFFFF"/>
              </w:rPr>
            </w:pPr>
            <w:r>
              <w:rPr>
                <w:rFonts w:hint="default" w:ascii="Arial" w:hAnsi="Arial" w:eastAsia="宋体" w:cs="Arial"/>
                <w:i w:val="0"/>
                <w:iCs w:val="0"/>
                <w:color w:val="000000"/>
                <w:kern w:val="0"/>
                <w:sz w:val="16"/>
                <w:szCs w:val="16"/>
                <w:u w:val="none"/>
                <w:lang w:val="en-US" w:eastAsia="zh-CN" w:bidi="ar"/>
              </w:rPr>
              <w:t>5.47</w:t>
            </w:r>
          </w:p>
        </w:tc>
        <w:tc>
          <w:tcPr>
            <w:tcW w:w="39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8"/>
                <w:szCs w:val="18"/>
                <w:shd w:val="clear" w:color="auto" w:fill="FFFFFF"/>
              </w:rPr>
            </w:pPr>
          </w:p>
        </w:tc>
        <w:tc>
          <w:tcPr>
            <w:tcW w:w="39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8"/>
                <w:szCs w:val="18"/>
                <w:shd w:val="clear" w:color="auto" w:fill="FFFFFF"/>
              </w:rPr>
            </w:pPr>
          </w:p>
        </w:tc>
      </w:tr>
      <w:tr>
        <w:tblPrEx>
          <w:tblCellMar>
            <w:top w:w="0" w:type="dxa"/>
            <w:left w:w="108" w:type="dxa"/>
            <w:bottom w:w="0" w:type="dxa"/>
            <w:right w:w="108" w:type="dxa"/>
          </w:tblCellMar>
        </w:tblPrEx>
        <w:trPr>
          <w:gridAfter w:val="1"/>
          <w:wAfter w:w="426" w:type="dxa"/>
          <w:trHeight w:val="517" w:hRule="atLeast"/>
          <w:jc w:val="center"/>
        </w:trPr>
        <w:tc>
          <w:tcPr>
            <w:tcW w:w="1351"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2"/>
                <w:szCs w:val="22"/>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6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9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2"/>
                <w:szCs w:val="22"/>
                <w:shd w:val="clear" w:color="auto" w:fill="FFFFFF"/>
              </w:rPr>
            </w:pPr>
          </w:p>
        </w:tc>
        <w:tc>
          <w:tcPr>
            <w:tcW w:w="39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2"/>
                <w:szCs w:val="22"/>
                <w:shd w:val="clear" w:color="auto" w:fill="FFFFFF"/>
              </w:rPr>
            </w:pPr>
          </w:p>
        </w:tc>
      </w:tr>
      <w:tr>
        <w:tblPrEx>
          <w:tblCellMar>
            <w:top w:w="0" w:type="dxa"/>
            <w:left w:w="108" w:type="dxa"/>
            <w:bottom w:w="0" w:type="dxa"/>
            <w:right w:w="108" w:type="dxa"/>
          </w:tblCellMar>
        </w:tblPrEx>
        <w:trPr>
          <w:gridAfter w:val="1"/>
          <w:wAfter w:w="426" w:type="dxa"/>
          <w:trHeight w:val="517" w:hRule="atLeast"/>
          <w:jc w:val="center"/>
        </w:trPr>
        <w:tc>
          <w:tcPr>
            <w:tcW w:w="1351"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2"/>
                <w:szCs w:val="22"/>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6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9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2"/>
                <w:szCs w:val="22"/>
                <w:shd w:val="clear" w:color="auto" w:fill="FFFFFF"/>
              </w:rPr>
            </w:pPr>
          </w:p>
        </w:tc>
        <w:tc>
          <w:tcPr>
            <w:tcW w:w="39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2"/>
                <w:szCs w:val="22"/>
                <w:shd w:val="clear" w:color="auto" w:fill="FFFFFF"/>
              </w:rPr>
            </w:pPr>
          </w:p>
        </w:tc>
      </w:tr>
      <w:tr>
        <w:tblPrEx>
          <w:tblCellMar>
            <w:top w:w="0" w:type="dxa"/>
            <w:left w:w="108" w:type="dxa"/>
            <w:bottom w:w="0" w:type="dxa"/>
            <w:right w:w="108" w:type="dxa"/>
          </w:tblCellMar>
        </w:tblPrEx>
        <w:trPr>
          <w:gridAfter w:val="1"/>
          <w:wAfter w:w="426" w:type="dxa"/>
          <w:trHeight w:val="517" w:hRule="atLeast"/>
          <w:jc w:val="center"/>
        </w:trPr>
        <w:tc>
          <w:tcPr>
            <w:tcW w:w="1351"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2"/>
                <w:szCs w:val="22"/>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6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9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2"/>
                <w:szCs w:val="22"/>
                <w:shd w:val="clear" w:color="auto" w:fill="FFFFFF"/>
              </w:rPr>
            </w:pPr>
          </w:p>
        </w:tc>
        <w:tc>
          <w:tcPr>
            <w:tcW w:w="39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2"/>
                <w:szCs w:val="22"/>
                <w:shd w:val="clear" w:color="auto" w:fill="FFFFFF"/>
              </w:rPr>
            </w:pPr>
          </w:p>
        </w:tc>
      </w:tr>
      <w:tr>
        <w:tblPrEx>
          <w:tblCellMar>
            <w:top w:w="0" w:type="dxa"/>
            <w:left w:w="108" w:type="dxa"/>
            <w:bottom w:w="0" w:type="dxa"/>
            <w:right w:w="108" w:type="dxa"/>
          </w:tblCellMar>
        </w:tblPrEx>
        <w:trPr>
          <w:gridAfter w:val="1"/>
          <w:wAfter w:w="426" w:type="dxa"/>
          <w:trHeight w:val="530" w:hRule="atLeast"/>
          <w:jc w:val="center"/>
        </w:trPr>
        <w:tc>
          <w:tcPr>
            <w:tcW w:w="1351"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eastAsia="华文细黑"/>
                <w:color w:val="000000"/>
                <w:sz w:val="22"/>
                <w:szCs w:val="22"/>
                <w:shd w:val="clear" w:color="auto" w:fill="FFFFFF"/>
              </w:rPr>
            </w:pPr>
            <w:r>
              <w:rPr>
                <w:rFonts w:eastAsia="宋体"/>
                <w:kern w:val="0"/>
                <w:sz w:val="21"/>
                <w:szCs w:val="21"/>
              </w:rPr>
              <w:t>合计</w:t>
            </w: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136.89</w:t>
            </w: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131.42</w:t>
            </w: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131.42</w:t>
            </w:r>
          </w:p>
        </w:tc>
        <w:tc>
          <w:tcPr>
            <w:tcW w:w="36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15"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7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4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r>
              <w:rPr>
                <w:rFonts w:hint="default" w:ascii="Arial" w:hAnsi="Arial" w:eastAsia="宋体" w:cs="Arial"/>
                <w:i w:val="0"/>
                <w:iCs w:val="0"/>
                <w:color w:val="000000"/>
                <w:kern w:val="0"/>
                <w:sz w:val="16"/>
                <w:szCs w:val="16"/>
                <w:u w:val="none"/>
                <w:lang w:val="en-US" w:eastAsia="zh-CN" w:bidi="ar"/>
              </w:rPr>
              <w:t>5.47</w:t>
            </w:r>
          </w:p>
        </w:tc>
        <w:tc>
          <w:tcPr>
            <w:tcW w:w="6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r>
              <w:rPr>
                <w:rFonts w:hint="default" w:ascii="Arial" w:hAnsi="Arial" w:eastAsia="宋体" w:cs="Arial"/>
                <w:i w:val="0"/>
                <w:iCs w:val="0"/>
                <w:color w:val="000000"/>
                <w:kern w:val="0"/>
                <w:sz w:val="16"/>
                <w:szCs w:val="16"/>
                <w:u w:val="none"/>
                <w:lang w:val="en-US" w:eastAsia="zh-CN" w:bidi="ar"/>
              </w:rPr>
              <w:t>5.47</w:t>
            </w:r>
          </w:p>
        </w:tc>
        <w:tc>
          <w:tcPr>
            <w:tcW w:w="39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2"/>
                <w:szCs w:val="22"/>
                <w:shd w:val="clear" w:color="auto" w:fill="FFFFFF"/>
              </w:rPr>
            </w:pPr>
          </w:p>
        </w:tc>
        <w:tc>
          <w:tcPr>
            <w:tcW w:w="39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2"/>
                <w:szCs w:val="22"/>
                <w:shd w:val="clear" w:color="auto" w:fill="FFFFFF"/>
              </w:rPr>
            </w:pPr>
          </w:p>
        </w:tc>
      </w:tr>
    </w:tbl>
    <w:p>
      <w:pPr>
        <w:rPr>
          <w:rFonts w:hAnsi="楷体" w:eastAsia="楷体"/>
          <w:sz w:val="36"/>
          <w:szCs w:val="21"/>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tbl>
      <w:tblPr>
        <w:tblStyle w:val="9"/>
        <w:tblW w:w="10655" w:type="dxa"/>
        <w:jc w:val="center"/>
        <w:tblLayout w:type="fixed"/>
        <w:tblCellMar>
          <w:top w:w="0" w:type="dxa"/>
          <w:left w:w="108" w:type="dxa"/>
          <w:bottom w:w="0" w:type="dxa"/>
          <w:right w:w="108" w:type="dxa"/>
        </w:tblCellMar>
      </w:tblPr>
      <w:tblGrid>
        <w:gridCol w:w="10655"/>
      </w:tblGrid>
      <w:tr>
        <w:tblPrEx>
          <w:tblCellMar>
            <w:top w:w="0" w:type="dxa"/>
            <w:left w:w="108" w:type="dxa"/>
            <w:bottom w:w="0" w:type="dxa"/>
            <w:right w:w="108" w:type="dxa"/>
          </w:tblCellMar>
        </w:tblPrEx>
        <w:trPr>
          <w:trHeight w:val="5102" w:hRule="atLeast"/>
          <w:jc w:val="center"/>
        </w:trPr>
        <w:tc>
          <w:tcPr>
            <w:tcW w:w="10655" w:type="dxa"/>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958" w:type="dxa"/>
              <w:tblInd w:w="442" w:type="dxa"/>
              <w:tblLayout w:type="fixed"/>
              <w:tblCellMar>
                <w:top w:w="15" w:type="dxa"/>
                <w:left w:w="15" w:type="dxa"/>
                <w:bottom w:w="15" w:type="dxa"/>
                <w:right w:w="15" w:type="dxa"/>
              </w:tblCellMar>
            </w:tblPr>
            <w:tblGrid>
              <w:gridCol w:w="3756"/>
              <w:gridCol w:w="1033"/>
              <w:gridCol w:w="1033"/>
              <w:gridCol w:w="1033"/>
              <w:gridCol w:w="1033"/>
              <w:gridCol w:w="1033"/>
              <w:gridCol w:w="1037"/>
            </w:tblGrid>
            <w:tr>
              <w:tblPrEx>
                <w:tblCellMar>
                  <w:top w:w="15" w:type="dxa"/>
                  <w:left w:w="15" w:type="dxa"/>
                  <w:bottom w:w="15" w:type="dxa"/>
                  <w:right w:w="15" w:type="dxa"/>
                </w:tblCellMar>
              </w:tblPrEx>
              <w:trPr>
                <w:trHeight w:val="567" w:hRule="exact"/>
              </w:trPr>
              <w:tc>
                <w:tcPr>
                  <w:tcW w:w="6855" w:type="dxa"/>
                  <w:gridSpan w:val="4"/>
                  <w:tcBorders>
                    <w:bottom w:val="single" w:color="000000" w:sz="4" w:space="0"/>
                  </w:tcBorders>
                  <w:noWrap w:val="0"/>
                  <w:vAlign w:val="center"/>
                </w:tcPr>
                <w:p>
                  <w:pPr>
                    <w:widowControl/>
                    <w:jc w:val="left"/>
                    <w:rPr>
                      <w:rFonts w:eastAsia="华文细黑"/>
                      <w:color w:val="000000"/>
                      <w:kern w:val="0"/>
                      <w:sz w:val="20"/>
                    </w:rPr>
                  </w:pPr>
                </w:p>
              </w:tc>
              <w:tc>
                <w:tcPr>
                  <w:tcW w:w="1033" w:type="dxa"/>
                  <w:tcBorders>
                    <w:bottom w:val="single" w:color="000000" w:sz="4" w:space="0"/>
                  </w:tcBorders>
                  <w:noWrap w:val="0"/>
                  <w:vAlign w:val="center"/>
                </w:tcPr>
                <w:p>
                  <w:pPr>
                    <w:widowControl/>
                    <w:jc w:val="right"/>
                    <w:rPr>
                      <w:rFonts w:eastAsia="华文细黑"/>
                      <w:color w:val="000000"/>
                      <w:kern w:val="0"/>
                      <w:sz w:val="20"/>
                    </w:rPr>
                  </w:pPr>
                </w:p>
              </w:tc>
              <w:tc>
                <w:tcPr>
                  <w:tcW w:w="1033" w:type="dxa"/>
                  <w:tcBorders>
                    <w:bottom w:val="single" w:color="000000" w:sz="4" w:space="0"/>
                  </w:tcBorders>
                  <w:noWrap w:val="0"/>
                  <w:vAlign w:val="center"/>
                </w:tcPr>
                <w:p>
                  <w:pPr>
                    <w:widowControl/>
                    <w:jc w:val="right"/>
                    <w:rPr>
                      <w:rFonts w:eastAsia="华文细黑"/>
                      <w:color w:val="000000"/>
                      <w:kern w:val="0"/>
                      <w:sz w:val="20"/>
                    </w:rPr>
                  </w:pPr>
                </w:p>
              </w:tc>
              <w:tc>
                <w:tcPr>
                  <w:tcW w:w="1037" w:type="dxa"/>
                  <w:tcBorders>
                    <w:bottom w:val="single" w:color="000000" w:sz="4" w:space="0"/>
                  </w:tcBorders>
                  <w:noWrap w:val="0"/>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332" w:hRule="exact"/>
              </w:trPr>
              <w:tc>
                <w:tcPr>
                  <w:tcW w:w="3756"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033" w:type="dxa"/>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事业单位</w:t>
                  </w:r>
                </w:p>
                <w:p>
                  <w:pPr>
                    <w:widowControl/>
                    <w:jc w:val="center"/>
                    <w:rPr>
                      <w:rFonts w:hint="eastAsia" w:eastAsia="华文细黑"/>
                      <w:color w:val="000000"/>
                      <w:kern w:val="0"/>
                      <w:sz w:val="20"/>
                    </w:rPr>
                  </w:pPr>
                  <w:r>
                    <w:rPr>
                      <w:rFonts w:hint="eastAsia" w:eastAsia="华文细黑"/>
                      <w:color w:val="000000"/>
                      <w:kern w:val="0"/>
                      <w:sz w:val="20"/>
                    </w:rPr>
                    <w:t>经营支出</w:t>
                  </w:r>
                </w:p>
              </w:tc>
              <w:tc>
                <w:tcPr>
                  <w:tcW w:w="1033"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eastAsia="华文细黑"/>
                      <w:color w:val="000000"/>
                      <w:kern w:val="0"/>
                      <w:sz w:val="20"/>
                    </w:rPr>
                  </w:pPr>
                  <w:r>
                    <w:rPr>
                      <w:rFonts w:eastAsia="宋体"/>
                      <w:color w:val="000000"/>
                      <w:kern w:val="0"/>
                      <w:sz w:val="20"/>
                    </w:rPr>
                    <w:t>一、</w:t>
                  </w:r>
                  <w:r>
                    <w:rPr>
                      <w:rFonts w:hint="eastAsia" w:eastAsia="宋体"/>
                      <w:color w:val="000000"/>
                      <w:kern w:val="0"/>
                      <w:sz w:val="20"/>
                    </w:rPr>
                    <w:t>一般公共服务支出</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Arial" w:hAnsi="Arial" w:eastAsia="宋体" w:cs="Arial"/>
                      <w:i w:val="0"/>
                      <w:iCs w:val="0"/>
                      <w:color w:val="000000"/>
                      <w:kern w:val="0"/>
                      <w:sz w:val="16"/>
                      <w:szCs w:val="16"/>
                      <w:u w:val="none"/>
                      <w:lang w:val="en-US" w:eastAsia="zh-CN" w:bidi="ar"/>
                    </w:rPr>
                    <w:t>97.96</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97.96</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szCs w:val="20"/>
                    </w:rPr>
                  </w:pPr>
                </w:p>
              </w:tc>
              <w:tc>
                <w:tcPr>
                  <w:tcW w:w="103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rPr>
                    <w:t>统计信息事务</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97.96</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97.96</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7" w:type="dxa"/>
                  <w:tcBorders>
                    <w:top w:val="single" w:color="auto" w:sz="4" w:space="0"/>
                    <w:left w:val="single" w:color="auto"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行政运行</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97.96</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97.96</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r>
                    <w:rPr>
                      <w:rFonts w:eastAsia="宋体"/>
                      <w:color w:val="000000"/>
                      <w:kern w:val="0"/>
                      <w:sz w:val="20"/>
                    </w:rPr>
                    <w:t>二、</w:t>
                  </w:r>
                  <w:r>
                    <w:rPr>
                      <w:rFonts w:hint="eastAsia" w:eastAsia="宋体"/>
                      <w:color w:val="000000"/>
                      <w:kern w:val="0"/>
                      <w:sz w:val="20"/>
                    </w:rPr>
                    <w:t>社会保障和就业支出</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24.53</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24.53</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pPr>
                    <w:widowControl/>
                    <w:ind w:firstLine="300" w:firstLineChars="150"/>
                    <w:jc w:val="left"/>
                    <w:rPr>
                      <w:rFonts w:eastAsia="宋体"/>
                      <w:color w:val="000000"/>
                      <w:kern w:val="0"/>
                      <w:sz w:val="20"/>
                    </w:rPr>
                  </w:pPr>
                  <w:r>
                    <w:rPr>
                      <w:rFonts w:hint="eastAsia" w:eastAsia="宋体"/>
                      <w:color w:val="000000"/>
                      <w:kern w:val="0"/>
                      <w:sz w:val="20"/>
                    </w:rPr>
                    <w:t>行政事业单位养老支出</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24.53</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24.53</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eastAsia="宋体"/>
                      <w:color w:val="000000"/>
                      <w:kern w:val="0"/>
                      <w:sz w:val="20"/>
                    </w:rPr>
                  </w:pPr>
                  <w:r>
                    <w:rPr>
                      <w:rFonts w:hint="eastAsia" w:eastAsia="宋体"/>
                      <w:color w:val="000000"/>
                      <w:kern w:val="0"/>
                      <w:sz w:val="20"/>
                    </w:rPr>
                    <w:t>行政单位离退休</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Arial" w:hAnsi="Arial" w:eastAsia="宋体" w:cs="Arial"/>
                      <w:i w:val="0"/>
                      <w:iCs w:val="0"/>
                      <w:color w:val="000000"/>
                      <w:kern w:val="0"/>
                      <w:sz w:val="16"/>
                      <w:szCs w:val="16"/>
                      <w:u w:val="none"/>
                      <w:lang w:val="en-US" w:eastAsia="zh-CN" w:bidi="ar"/>
                    </w:rPr>
                    <w:t>13.02</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13.02</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eastAsia="宋体"/>
                      <w:color w:val="000000"/>
                      <w:kern w:val="0"/>
                      <w:sz w:val="20"/>
                    </w:rPr>
                  </w:pPr>
                  <w:r>
                    <w:rPr>
                      <w:rFonts w:hint="eastAsia" w:eastAsia="宋体"/>
                      <w:color w:val="000000"/>
                      <w:kern w:val="0"/>
                      <w:sz w:val="20"/>
                    </w:rPr>
                    <w:t>机关事业单位基本养老保险缴费支出</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rPr>
                  </w:pPr>
                  <w:r>
                    <w:rPr>
                      <w:rFonts w:hint="default" w:ascii="Arial" w:hAnsi="Arial" w:eastAsia="宋体" w:cs="Arial"/>
                      <w:i w:val="0"/>
                      <w:iCs w:val="0"/>
                      <w:color w:val="000000"/>
                      <w:kern w:val="0"/>
                      <w:sz w:val="16"/>
                      <w:szCs w:val="16"/>
                      <w:u w:val="none"/>
                      <w:lang w:val="en-US" w:eastAsia="zh-CN" w:bidi="ar"/>
                    </w:rPr>
                    <w:t>11.51</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11.51</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hint="eastAsia" w:eastAsia="宋体"/>
                      <w:color w:val="000000"/>
                      <w:kern w:val="0"/>
                      <w:sz w:val="20"/>
                      <w:lang w:val="en-US" w:eastAsia="zh-CN"/>
                    </w:rPr>
                    <w:t>三、</w:t>
                  </w:r>
                  <w:r>
                    <w:rPr>
                      <w:rFonts w:hint="eastAsia" w:eastAsia="宋体"/>
                      <w:color w:val="000000"/>
                      <w:kern w:val="0"/>
                      <w:sz w:val="20"/>
                    </w:rPr>
                    <w:t>卫生健康支出</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3.39</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3.39</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left"/>
                    <w:rPr>
                      <w:rFonts w:eastAsia="宋体"/>
                      <w:color w:val="000000"/>
                      <w:kern w:val="0"/>
                      <w:sz w:val="20"/>
                    </w:rPr>
                  </w:pPr>
                  <w:r>
                    <w:rPr>
                      <w:rFonts w:hint="eastAsia" w:eastAsia="宋体"/>
                      <w:color w:val="000000"/>
                      <w:kern w:val="0"/>
                      <w:sz w:val="20"/>
                    </w:rPr>
                    <w:t>行政事业单位医疗</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3.39</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3.39</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eastAsia="宋体"/>
                      <w:color w:val="000000"/>
                      <w:kern w:val="0"/>
                      <w:sz w:val="20"/>
                    </w:rPr>
                  </w:pPr>
                  <w:r>
                    <w:rPr>
                      <w:rFonts w:hint="eastAsia" w:eastAsia="宋体"/>
                      <w:color w:val="000000"/>
                      <w:kern w:val="0"/>
                      <w:sz w:val="20"/>
                    </w:rPr>
                    <w:t>行政单位医疗</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3.39</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3.39</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hint="eastAsia" w:eastAsia="宋体"/>
                      <w:color w:val="000000"/>
                      <w:kern w:val="0"/>
                      <w:sz w:val="20"/>
                      <w:lang w:val="en-US" w:eastAsia="zh-CN"/>
                    </w:rPr>
                    <w:t>四、</w:t>
                  </w:r>
                  <w:r>
                    <w:rPr>
                      <w:rFonts w:hint="eastAsia" w:eastAsia="宋体"/>
                      <w:color w:val="000000"/>
                      <w:kern w:val="0"/>
                      <w:sz w:val="20"/>
                    </w:rPr>
                    <w:t>住房保障支出　　</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11.01</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11.01</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left"/>
                    <w:rPr>
                      <w:rFonts w:eastAsia="宋体"/>
                      <w:color w:val="000000"/>
                      <w:kern w:val="0"/>
                      <w:sz w:val="20"/>
                    </w:rPr>
                  </w:pPr>
                  <w:r>
                    <w:rPr>
                      <w:rFonts w:hint="eastAsia" w:eastAsia="宋体"/>
                      <w:color w:val="000000"/>
                      <w:kern w:val="0"/>
                      <w:sz w:val="20"/>
                    </w:rPr>
                    <w:t>住房改革支出</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11.01</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11.01</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eastAsia="宋体"/>
                      <w:color w:val="000000"/>
                      <w:kern w:val="0"/>
                      <w:sz w:val="20"/>
                    </w:rPr>
                  </w:pPr>
                  <w:r>
                    <w:rPr>
                      <w:rFonts w:hint="eastAsia" w:eastAsia="宋体"/>
                      <w:color w:val="000000"/>
                      <w:kern w:val="0"/>
                      <w:sz w:val="20"/>
                    </w:rPr>
                    <w:t>住房公积金</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11.01</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11.01</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136.89</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136.89</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bl>
          <w:p>
            <w:pPr>
              <w:widowControl/>
              <w:jc w:val="center"/>
              <w:rPr>
                <w:rFonts w:eastAsia="方正小标宋简体"/>
                <w:kern w:val="0"/>
                <w:sz w:val="44"/>
                <w:szCs w:val="44"/>
              </w:rPr>
            </w:pPr>
          </w:p>
        </w:tc>
      </w:tr>
    </w:tbl>
    <w:p>
      <w:pPr>
        <w:ind w:firstLine="640" w:firstLineChars="200"/>
      </w:pPr>
    </w:p>
    <w:tbl>
      <w:tblPr>
        <w:tblStyle w:val="9"/>
        <w:tblW w:w="10405" w:type="dxa"/>
        <w:jc w:val="center"/>
        <w:tblLayout w:type="fixed"/>
        <w:tblCellMar>
          <w:top w:w="0" w:type="dxa"/>
          <w:left w:w="108" w:type="dxa"/>
          <w:bottom w:w="0" w:type="dxa"/>
          <w:right w:w="108" w:type="dxa"/>
        </w:tblCellMar>
      </w:tblPr>
      <w:tblGrid>
        <w:gridCol w:w="9960"/>
        <w:gridCol w:w="445"/>
      </w:tblGrid>
      <w:tr>
        <w:tblPrEx>
          <w:tblCellMar>
            <w:top w:w="0" w:type="dxa"/>
            <w:left w:w="108" w:type="dxa"/>
            <w:bottom w:w="0" w:type="dxa"/>
            <w:right w:w="108" w:type="dxa"/>
          </w:tblCellMar>
        </w:tblPrEx>
        <w:trPr>
          <w:gridAfter w:val="1"/>
          <w:wAfter w:w="445" w:type="dxa"/>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238"/>
              <w:gridCol w:w="1330"/>
              <w:gridCol w:w="1126"/>
              <w:gridCol w:w="1126"/>
              <w:gridCol w:w="1374"/>
              <w:gridCol w:w="1148"/>
              <w:gridCol w:w="1148"/>
              <w:gridCol w:w="1150"/>
            </w:tblGrid>
            <w:tr>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trHeight w:val="1363" w:hRule="atLeast"/>
              </w:trPr>
              <w:tc>
                <w:tcPr>
                  <w:tcW w:w="1238"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330"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433"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136.89</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131.42</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5.47</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136.89</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131.42</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5.47</w:t>
                  </w:r>
                </w:p>
              </w:tc>
            </w:tr>
            <w:tr>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136.89</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131.42</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5.47</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lang w:eastAsia="zh-CN"/>
                    </w:rPr>
                    <w:t>（一）</w:t>
                  </w:r>
                  <w:r>
                    <w:rPr>
                      <w:rFonts w:eastAsia="宋体"/>
                      <w:color w:val="000000"/>
                      <w:kern w:val="0"/>
                      <w:sz w:val="20"/>
                    </w:rPr>
                    <w:t>一般公共服务</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97.96</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94.21</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3.75</w:t>
                  </w:r>
                </w:p>
              </w:tc>
            </w:tr>
            <w:tr>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w:t>
                  </w:r>
                  <w:r>
                    <w:rPr>
                      <w:rFonts w:hint="eastAsia" w:eastAsia="宋体"/>
                      <w:color w:val="000000"/>
                      <w:sz w:val="20"/>
                    </w:rPr>
                    <w:t>社会保障和就业支出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24.53</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23.86</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0.67</w:t>
                  </w:r>
                </w:p>
              </w:tc>
            </w:tr>
            <w:tr>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w:t>
                  </w:r>
                  <w:r>
                    <w:rPr>
                      <w:rFonts w:hint="eastAsia" w:eastAsia="宋体"/>
                      <w:color w:val="000000"/>
                      <w:sz w:val="20"/>
                    </w:rPr>
                    <w:t>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3.39</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3.39</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lang w:val="en-US" w:eastAsia="zh-CN" w:bidi="ar-SA"/>
                    </w:rPr>
                  </w:pPr>
                </w:p>
              </w:tc>
            </w:tr>
            <w:tr>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default" w:eastAsia="宋体"/>
                      <w:color w:val="000000"/>
                      <w:kern w:val="0"/>
                      <w:sz w:val="20"/>
                      <w:lang w:val="en-US" w:eastAsia="zh-CN"/>
                    </w:rPr>
                  </w:pPr>
                  <w:r>
                    <w:rPr>
                      <w:rFonts w:hint="eastAsia" w:eastAsia="宋体"/>
                      <w:color w:val="000000"/>
                      <w:kern w:val="0"/>
                      <w:sz w:val="20"/>
                      <w:lang w:eastAsia="zh-CN"/>
                    </w:rPr>
                    <w:t>（</w:t>
                  </w:r>
                  <w:r>
                    <w:rPr>
                      <w:rFonts w:hint="eastAsia" w:eastAsia="宋体"/>
                      <w:color w:val="000000"/>
                      <w:kern w:val="0"/>
                      <w:sz w:val="20"/>
                      <w:lang w:val="en-US" w:eastAsia="zh-CN"/>
                    </w:rPr>
                    <w:t>四）</w:t>
                  </w:r>
                  <w:r>
                    <w:rPr>
                      <w:rFonts w:hint="eastAsia" w:eastAsia="宋体"/>
                      <w:color w:val="000000"/>
                      <w:kern w:val="0"/>
                      <w:sz w:val="20"/>
                    </w:rPr>
                    <w:t>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11.01</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9.96</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1.05</w:t>
                  </w:r>
                </w:p>
              </w:tc>
            </w:tr>
            <w:tr>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rPr>
                  </w:pPr>
                </w:p>
              </w:tc>
            </w:tr>
            <w:tr>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rPr>
                  </w:pPr>
                </w:p>
              </w:tc>
            </w:tr>
            <w:tr>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rPr>
                  </w:pPr>
                </w:p>
              </w:tc>
            </w:tr>
            <w:tr>
              <w:tblPrEx>
                <w:tblCellMar>
                  <w:top w:w="0" w:type="dxa"/>
                  <w:left w:w="108" w:type="dxa"/>
                  <w:bottom w:w="0" w:type="dxa"/>
                  <w:right w:w="108" w:type="dxa"/>
                </w:tblCellMar>
              </w:tblPrEx>
              <w:trPr>
                <w:trHeight w:val="495"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rPr>
                  </w:pPr>
                </w:p>
              </w:tc>
            </w:tr>
            <w:tr>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rPr>
                  </w:pPr>
                </w:p>
              </w:tc>
            </w:tr>
            <w:tr>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Cs/>
                      <w:kern w:val="0"/>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rPr>
                  </w:pPr>
                </w:p>
              </w:tc>
            </w:tr>
            <w:tr>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rPr>
                  </w:pPr>
                </w:p>
              </w:tc>
            </w:tr>
            <w:tr>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right"/>
                    <w:rPr>
                      <w:rFonts w:hint="default" w:ascii="Times New Roman" w:hAnsi="Times New Roman" w:eastAsia="宋体" w:cs="Times New Roman"/>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right"/>
                    <w:rPr>
                      <w:rFonts w:hint="default" w:ascii="Times New Roman" w:hAnsi="Times New Roman" w:eastAsia="宋体" w:cs="Times New Roman"/>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right"/>
                    <w:rPr>
                      <w:rFonts w:hint="default" w:ascii="Times New Roman" w:hAnsi="Times New Roman" w:eastAsia="宋体" w:cs="Times New Roman"/>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right"/>
                    <w:rPr>
                      <w:rFonts w:hint="default" w:ascii="Times New Roman" w:hAnsi="Times New Roman" w:eastAsia="宋体" w:cs="Times New Roman"/>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jc w:val="right"/>
                    <w:rPr>
                      <w:rFonts w:hint="default" w:ascii="Times New Roman" w:hAnsi="Times New Roman" w:eastAsia="宋体" w:cs="Times New Roman"/>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jc w:val="right"/>
                    <w:rPr>
                      <w:rFonts w:hint="default" w:ascii="Times New Roman" w:hAnsi="Times New Roman" w:eastAsia="宋体" w:cs="Times New Roman"/>
                      <w:sz w:val="20"/>
                    </w:rPr>
                  </w:pPr>
                </w:p>
              </w:tc>
            </w:tr>
            <w:tr>
              <w:tblPrEx>
                <w:tblCellMar>
                  <w:top w:w="0" w:type="dxa"/>
                  <w:left w:w="108" w:type="dxa"/>
                  <w:bottom w:w="0" w:type="dxa"/>
                  <w:right w:w="108" w:type="dxa"/>
                </w:tblCellMar>
              </w:tblPrEx>
              <w:trPr>
                <w:trHeight w:val="500"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收入总计</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136.89</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131.42</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5.47</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136.89</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131.42</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5.47</w:t>
                  </w:r>
                </w:p>
              </w:tc>
            </w:tr>
          </w:tbl>
          <w:p>
            <w:pPr>
              <w:widowControl/>
              <w:rPr>
                <w:rFonts w:eastAsia="方正小标宋简体"/>
                <w:kern w:val="0"/>
                <w:sz w:val="44"/>
                <w:szCs w:val="44"/>
              </w:rPr>
            </w:pPr>
          </w:p>
        </w:tc>
      </w:tr>
      <w:tr>
        <w:tblPrEx>
          <w:tblCellMar>
            <w:top w:w="0" w:type="dxa"/>
            <w:left w:w="108" w:type="dxa"/>
            <w:bottom w:w="0" w:type="dxa"/>
            <w:right w:w="108" w:type="dxa"/>
          </w:tblCellMar>
        </w:tblPrEx>
        <w:trPr>
          <w:trHeight w:val="6081" w:hRule="atLeast"/>
          <w:jc w:val="center"/>
        </w:trPr>
        <w:tc>
          <w:tcPr>
            <w:tcW w:w="10405" w:type="dxa"/>
            <w:gridSpan w:val="2"/>
            <w:tcBorders>
              <w:top w:val="nil"/>
              <w:left w:val="nil"/>
              <w:bottom w:val="nil"/>
              <w:right w:val="nil"/>
            </w:tcBorders>
            <w:noWrap w:val="0"/>
            <w:vAlign w:val="bottom"/>
          </w:tcPr>
          <w:p>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trPr>
                <w:trHeight w:val="390" w:hRule="atLeast"/>
              </w:trPr>
              <w:tc>
                <w:tcPr>
                  <w:tcW w:w="8789" w:type="dxa"/>
                  <w:gridSpan w:val="6"/>
                  <w:tcBorders>
                    <w:bottom w:val="single" w:color="000000" w:sz="4" w:space="0"/>
                  </w:tcBorders>
                  <w:noWrap w:val="0"/>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ascii="Times New Roman" w:hAnsi="Times New Roman" w:eastAsia="华文细黑" w:cs="Times New Roman"/>
                      <w:color w:val="000000"/>
                      <w:kern w:val="0"/>
                      <w:sz w:val="20"/>
                      <w:lang w:val="en-US" w:eastAsia="zh-CN" w:bidi="ar-SA"/>
                    </w:rPr>
                  </w:pPr>
                  <w:r>
                    <w:rPr>
                      <w:rFonts w:eastAsia="宋体"/>
                      <w:color w:val="000000"/>
                      <w:kern w:val="0"/>
                      <w:sz w:val="20"/>
                    </w:rPr>
                    <w:t>一、</w:t>
                  </w:r>
                  <w:r>
                    <w:rPr>
                      <w:rFonts w:hint="eastAsia" w:eastAsia="宋体"/>
                      <w:color w:val="000000"/>
                      <w:kern w:val="0"/>
                      <w:sz w:val="20"/>
                    </w:rPr>
                    <w:t>一般公共服务支出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97.96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97.96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74.21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Arial" w:hAnsi="Arial" w:eastAsia="宋体" w:cs="Arial"/>
                      <w:i w:val="0"/>
                      <w:iCs w:val="0"/>
                      <w:color w:val="000000"/>
                      <w:kern w:val="0"/>
                      <w:sz w:val="16"/>
                      <w:szCs w:val="16"/>
                      <w:u w:val="none"/>
                      <w:lang w:val="en-US" w:eastAsia="zh-CN" w:bidi="ar"/>
                    </w:rPr>
                    <w:t>23.75</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ascii="Times New Roman" w:hAnsi="Times New Roman" w:eastAsia="华文细黑"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97.96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97.96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74.21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Arial" w:hAnsi="Arial" w:eastAsia="宋体" w:cs="Arial"/>
                      <w:i w:val="0"/>
                      <w:iCs w:val="0"/>
                      <w:color w:val="000000"/>
                      <w:kern w:val="0"/>
                      <w:sz w:val="16"/>
                      <w:szCs w:val="16"/>
                      <w:u w:val="none"/>
                      <w:lang w:val="en-US" w:eastAsia="zh-CN" w:bidi="ar"/>
                    </w:rPr>
                    <w:t>23.75</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ascii="Times New Roman" w:hAnsi="Times New Roman" w:eastAsia="宋体"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rPr>
                    <w:t>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97.96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97.96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74.21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Arial" w:hAnsi="Arial" w:eastAsia="宋体" w:cs="Arial"/>
                      <w:i w:val="0"/>
                      <w:iCs w:val="0"/>
                      <w:color w:val="000000"/>
                      <w:kern w:val="0"/>
                      <w:sz w:val="16"/>
                      <w:szCs w:val="16"/>
                      <w:u w:val="none"/>
                      <w:lang w:val="en-US" w:eastAsia="zh-CN" w:bidi="ar"/>
                    </w:rPr>
                    <w:t>23.75</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ascii="Times New Roman" w:hAnsi="Times New Roman" w:eastAsia="宋体" w:cs="Times New Roman"/>
                      <w:color w:val="000000"/>
                      <w:kern w:val="0"/>
                      <w:sz w:val="20"/>
                      <w:lang w:val="en-US" w:eastAsia="zh-CN" w:bidi="ar-SA"/>
                    </w:rPr>
                  </w:pPr>
                  <w:r>
                    <w:rPr>
                      <w:rFonts w:eastAsia="宋体"/>
                      <w:color w:val="000000"/>
                      <w:kern w:val="0"/>
                      <w:sz w:val="20"/>
                    </w:rPr>
                    <w:t>二、</w:t>
                  </w:r>
                  <w:r>
                    <w:rPr>
                      <w:rFonts w:hint="eastAsia" w:eastAsia="宋体"/>
                      <w:color w:val="000000"/>
                      <w:kern w:val="0"/>
                      <w:sz w:val="20"/>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24.53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24.53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24.53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24.53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24.53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24.53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13.02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13.02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13.02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11.51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11.51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11.51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三、</w:t>
                  </w:r>
                  <w:r>
                    <w:rPr>
                      <w:rFonts w:hint="eastAsia" w:eastAsia="宋体"/>
                      <w:color w:val="000000"/>
                      <w:kern w:val="0"/>
                      <w:sz w:val="20"/>
                    </w:rPr>
                    <w:t>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四、</w:t>
                  </w:r>
                  <w:r>
                    <w:rPr>
                      <w:rFonts w:hint="eastAsia" w:eastAsia="宋体"/>
                      <w:color w:val="000000"/>
                      <w:kern w:val="0"/>
                      <w:sz w:val="20"/>
                    </w:rPr>
                    <w:t>住房保障支出　　</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11.01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11.01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11.01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11.01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11.01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11.01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11.01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11.01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11.01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136.89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136.89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113.14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23.75</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p>
              </w:tc>
            </w:tr>
          </w:tbl>
          <w:p>
            <w:pPr>
              <w:widowControl/>
              <w:jc w:val="center"/>
              <w:rPr>
                <w:rFonts w:eastAsia="方正小标宋简体"/>
                <w:kern w:val="0"/>
                <w:sz w:val="44"/>
                <w:szCs w:val="44"/>
              </w:rPr>
            </w:pPr>
          </w:p>
        </w:tc>
      </w:tr>
    </w:tbl>
    <w:p>
      <w:pPr>
        <w:ind w:firstLine="640" w:firstLineChars="200"/>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812" w:hRule="atLeast"/>
          <w:jc w:val="center"/>
        </w:trPr>
        <w:tc>
          <w:tcPr>
            <w:tcW w:w="3176" w:type="dxa"/>
            <w:tcBorders>
              <w:top w:val="single" w:color="auto" w:sz="4" w:space="0"/>
              <w:left w:val="single" w:color="auto" w:sz="4" w:space="0"/>
              <w:right w:val="single" w:color="auto" w:sz="4" w:space="0"/>
            </w:tcBorders>
            <w:noWrap w:val="0"/>
            <w:vAlign w:val="center"/>
          </w:tcPr>
          <w:p>
            <w:pPr>
              <w:widowControl/>
              <w:jc w:val="center"/>
              <w:rPr>
                <w:rFonts w:hAnsi="华文细黑" w:eastAsia="华文细黑"/>
                <w:kern w:val="0"/>
                <w:sz w:val="20"/>
              </w:rPr>
            </w:pPr>
            <w:r>
              <w:rPr>
                <w:rFonts w:hint="eastAsia" w:hAnsi="华文细黑" w:eastAsia="华文细黑"/>
                <w:kern w:val="0"/>
                <w:sz w:val="20"/>
                <w:lang w:eastAsia="zh-CN"/>
              </w:rPr>
              <w:t>单位预算支出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eastAsia="华文细黑"/>
                <w:color w:val="000000"/>
                <w:kern w:val="0"/>
                <w:sz w:val="20"/>
              </w:rPr>
              <w:t>公用经费</w:t>
            </w:r>
          </w:p>
        </w:tc>
      </w:tr>
      <w:tr>
        <w:tblPrEx>
          <w:tblCellMar>
            <w:top w:w="0" w:type="dxa"/>
            <w:left w:w="108" w:type="dxa"/>
            <w:bottom w:w="0" w:type="dxa"/>
            <w:right w:w="108" w:type="dxa"/>
          </w:tblCellMar>
        </w:tblPrEx>
        <w:trPr>
          <w:trHeight w:val="61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99.72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99.72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30.82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30.82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20.99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20.99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Arial" w:hAnsi="Arial" w:eastAsia="宋体" w:cs="Arial"/>
                <w:i w:val="0"/>
                <w:iCs w:val="0"/>
                <w:color w:val="000000"/>
                <w:kern w:val="0"/>
                <w:sz w:val="16"/>
                <w:szCs w:val="16"/>
                <w:u w:val="none"/>
                <w:lang w:val="en-US" w:eastAsia="zh-CN" w:bidi="ar"/>
              </w:rPr>
              <w:t>18.69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18.69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hint="eastAsia" w:eastAsia="宋体"/>
                <w:kern w:val="0"/>
                <w:sz w:val="20"/>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11.51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11.51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hint="eastAsia" w:eastAsia="宋体"/>
                <w:color w:val="000000"/>
                <w:sz w:val="20"/>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3.29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3.29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ascii="Times New Roman" w:hAnsi="Times New Roman" w:eastAsia="宋体" w:cs="Times New Roman"/>
                <w:kern w:val="0"/>
                <w:sz w:val="20"/>
                <w:lang w:val="en-US" w:eastAsia="zh-CN" w:bidi="ar-SA"/>
              </w:rPr>
            </w:pPr>
            <w:r>
              <w:rPr>
                <w:rFonts w:hint="eastAsia" w:eastAsia="宋体"/>
                <w:color w:val="000000"/>
                <w:sz w:val="20"/>
                <w:lang w:val="en-US" w:eastAsia="zh-CN"/>
              </w:rPr>
              <w:t>其他</w:t>
            </w:r>
            <w:r>
              <w:rPr>
                <w:rFonts w:eastAsia="宋体"/>
                <w:color w:val="000000"/>
                <w:sz w:val="20"/>
              </w:rPr>
              <w:t>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0.98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0.98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ascii="Times New Roman" w:hAnsi="Times New Roman" w:eastAsia="宋体" w:cs="Times New Roman"/>
                <w:kern w:val="0"/>
                <w:sz w:val="20"/>
                <w:lang w:val="en-US" w:eastAsia="zh-CN" w:bidi="ar-SA"/>
              </w:rPr>
            </w:pPr>
            <w:r>
              <w:rPr>
                <w:rFonts w:hint="eastAsia" w:eastAsia="宋体"/>
                <w:color w:val="000000"/>
                <w:sz w:val="20"/>
              </w:rPr>
              <w:t>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11.01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11.01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ascii="Times New Roman" w:hAnsi="Times New Roman" w:eastAsia="宋体" w:cs="Times New Roman"/>
                <w:kern w:val="0"/>
                <w:sz w:val="20"/>
                <w:lang w:val="en-US" w:eastAsia="zh-CN" w:bidi="ar-SA"/>
              </w:rPr>
            </w:pPr>
            <w:r>
              <w:rPr>
                <w:rFonts w:hint="eastAsia" w:eastAsia="宋体"/>
                <w:color w:val="000000"/>
                <w:sz w:val="20"/>
              </w:rPr>
              <w:t>医疗费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1.52</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1.52</w:t>
            </w:r>
          </w:p>
        </w:tc>
        <w:tc>
          <w:tcPr>
            <w:tcW w:w="1831"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ascii="Times New Roman" w:hAnsi="Times New Roman" w:eastAsia="宋体" w:cs="Times New Roman"/>
                <w:kern w:val="0"/>
                <w:sz w:val="20"/>
                <w:lang w:val="en-US" w:eastAsia="zh-CN" w:bidi="ar-SA"/>
              </w:rPr>
            </w:pPr>
            <w:r>
              <w:rPr>
                <w:rFonts w:eastAsia="宋体"/>
                <w:color w:val="000000"/>
                <w:sz w:val="20"/>
              </w:rPr>
              <w:t>其他工资福利支出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0.91</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0.91</w:t>
            </w:r>
          </w:p>
        </w:tc>
        <w:tc>
          <w:tcPr>
            <w:tcW w:w="1831"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ascii="Times New Roman" w:hAnsi="Times New Roman" w:eastAsia="宋体" w:cs="Times New Roman"/>
                <w:kern w:val="0"/>
                <w:sz w:val="20"/>
                <w:lang w:val="en-US" w:eastAsia="zh-CN" w:bidi="ar-SA"/>
              </w:rPr>
            </w:pPr>
            <w:r>
              <w:rPr>
                <w:rFonts w:eastAsia="宋体"/>
                <w:color w:val="000000"/>
                <w:sz w:val="20"/>
              </w:rPr>
              <w:t>二、商品和服务支出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22.84</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22.84</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200" w:firstLineChars="100"/>
              <w:jc w:val="left"/>
              <w:textAlignment w:val="center"/>
              <w:rPr>
                <w:rFonts w:hint="eastAsia" w:eastAsia="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8.36</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8.36</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会议费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0.12</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0.12</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培训费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1.70</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1.70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工会经费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1.03</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1.03</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福利费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4.45</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4.45</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其他交通费用</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5.52</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5.52</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其他商品和服务支出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1.66</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1.66</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13.42</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13.42</w:t>
            </w:r>
          </w:p>
        </w:tc>
        <w:tc>
          <w:tcPr>
            <w:tcW w:w="1831"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200" w:firstLineChars="10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退休费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13.02</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13.02</w:t>
            </w:r>
          </w:p>
        </w:tc>
        <w:tc>
          <w:tcPr>
            <w:tcW w:w="1831"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其他对个人和家庭的补助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0.40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0.40</w:t>
            </w:r>
          </w:p>
        </w:tc>
        <w:tc>
          <w:tcPr>
            <w:tcW w:w="1831"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四、资本性支出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0.90</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0.90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200" w:firstLineChars="10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办公设备购置</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0.90</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0.90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200" w:firstLineChars="10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136.88</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113.14</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23.74</w:t>
            </w:r>
          </w:p>
        </w:tc>
      </w:tr>
    </w:tbl>
    <w:p>
      <w:pPr>
        <w:rPr>
          <w:rFonts w:hint="eastAsia" w:ascii="宋体" w:hAnsi="宋体" w:eastAsia="宋体" w:cs="宋体"/>
          <w:sz w:val="20"/>
          <w:szCs w:val="20"/>
        </w:rPr>
      </w:pPr>
    </w:p>
    <w:p>
      <w:pPr>
        <w:rPr>
          <w:sz w:val="16"/>
          <w:szCs w:val="16"/>
        </w:rPr>
      </w:pPr>
    </w:p>
    <w:p>
      <w:pPr>
        <w:rPr>
          <w:sz w:val="16"/>
          <w:szCs w:val="16"/>
        </w:rPr>
      </w:pPr>
    </w:p>
    <w:p>
      <w:pPr>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4</w:t>
            </w:r>
            <w:r>
              <w:rPr>
                <w:rFonts w:hAnsi="华文细黑" w:eastAsia="华文细黑"/>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pPr>
              <w:widowControl/>
              <w:jc w:val="both"/>
              <w:rPr>
                <w:rFonts w:hint="eastAsia" w:eastAsia="仿宋_GB2312"/>
                <w:color w:val="000000"/>
                <w:kern w:val="0"/>
                <w:sz w:val="28"/>
                <w:szCs w:val="28"/>
                <w:lang w:val="en-US" w:eastAsia="zh-CN"/>
              </w:rPr>
            </w:pPr>
          </w:p>
        </w:tc>
      </w:tr>
    </w:tbl>
    <w:p>
      <w:pPr>
        <w:ind w:firstLine="640" w:firstLineChars="200"/>
        <w:rPr>
          <w:rFonts w:hAnsi="楷体" w:eastAsia="楷体"/>
        </w:rPr>
      </w:pPr>
    </w:p>
    <w:p>
      <w:pPr>
        <w:ind w:firstLine="560" w:firstLineChars="200"/>
        <w:rPr>
          <w:rFonts w:hAnsi="楷体" w:eastAsia="楷体"/>
        </w:rPr>
      </w:pPr>
      <w:r>
        <w:rPr>
          <w:color w:val="000000"/>
          <w:kern w:val="0"/>
          <w:sz w:val="28"/>
          <w:szCs w:val="28"/>
        </w:rPr>
        <w:t>说明：</w:t>
      </w:r>
      <w:r>
        <w:rPr>
          <w:color w:val="000000"/>
          <w:kern w:val="0"/>
          <w:sz w:val="28"/>
          <w:szCs w:val="28"/>
        </w:rPr>
        <w:br w:type="textWrapping"/>
      </w:r>
      <w:r>
        <w:rPr>
          <w:rFonts w:eastAsia="宋体"/>
          <w:color w:val="000000"/>
          <w:kern w:val="0"/>
          <w:sz w:val="28"/>
          <w:szCs w:val="28"/>
        </w:rPr>
        <w:t xml:space="preserve">       1</w:t>
      </w:r>
      <w:r>
        <w:rPr>
          <w:color w:val="000000"/>
          <w:kern w:val="0"/>
          <w:sz w:val="28"/>
          <w:szCs w:val="28"/>
        </w:rPr>
        <w:t>、</w:t>
      </w:r>
      <w:r>
        <w:rPr>
          <w:rFonts w:eastAsia="宋体"/>
          <w:color w:val="000000"/>
          <w:kern w:val="0"/>
          <w:sz w:val="28"/>
          <w:szCs w:val="28"/>
        </w:rPr>
        <w:t>“20</w:t>
      </w:r>
      <w:r>
        <w:rPr>
          <w:rFonts w:hint="eastAsia" w:eastAsia="宋体"/>
          <w:color w:val="000000"/>
          <w:kern w:val="0"/>
          <w:sz w:val="28"/>
          <w:szCs w:val="28"/>
        </w:rPr>
        <w:t>2</w:t>
      </w:r>
      <w:r>
        <w:rPr>
          <w:rFonts w:hint="eastAsia" w:eastAsia="宋体"/>
          <w:color w:val="000000"/>
          <w:kern w:val="0"/>
          <w:sz w:val="28"/>
          <w:szCs w:val="28"/>
          <w:lang w:val="en-US" w:eastAsia="zh-CN"/>
        </w:rPr>
        <w:t>4</w:t>
      </w:r>
      <w:r>
        <w:rPr>
          <w:color w:val="000000"/>
          <w:kern w:val="0"/>
          <w:sz w:val="28"/>
          <w:szCs w:val="28"/>
        </w:rPr>
        <w:t>年预算数</w:t>
      </w:r>
      <w:r>
        <w:rPr>
          <w:rFonts w:eastAsia="宋体"/>
          <w:color w:val="000000"/>
          <w:kern w:val="0"/>
          <w:sz w:val="28"/>
          <w:szCs w:val="28"/>
        </w:rPr>
        <w:t>”</w:t>
      </w:r>
      <w:r>
        <w:rPr>
          <w:color w:val="000000"/>
          <w:kern w:val="0"/>
          <w:sz w:val="28"/>
          <w:szCs w:val="28"/>
        </w:rPr>
        <w:t>的单位范围包括</w:t>
      </w:r>
      <w:r>
        <w:rPr>
          <w:rFonts w:hint="eastAsia"/>
          <w:color w:val="000000"/>
          <w:kern w:val="0"/>
          <w:sz w:val="28"/>
          <w:szCs w:val="28"/>
        </w:rPr>
        <w:t>单位</w:t>
      </w:r>
      <w:r>
        <w:rPr>
          <w:color w:val="000000"/>
          <w:kern w:val="0"/>
          <w:sz w:val="28"/>
          <w:szCs w:val="28"/>
        </w:rPr>
        <w:t>本级</w:t>
      </w:r>
      <w:r>
        <w:rPr>
          <w:rFonts w:hint="eastAsia" w:eastAsia="宋体"/>
          <w:color w:val="000000"/>
          <w:kern w:val="0"/>
          <w:sz w:val="28"/>
          <w:szCs w:val="28"/>
        </w:rPr>
        <w:t>1</w:t>
      </w:r>
      <w:r>
        <w:rPr>
          <w:rFonts w:eastAsia="宋体"/>
          <w:color w:val="000000"/>
          <w:kern w:val="0"/>
          <w:sz w:val="28"/>
          <w:szCs w:val="28"/>
        </w:rPr>
        <w:t xml:space="preserve"> </w:t>
      </w:r>
      <w:r>
        <w:rPr>
          <w:color w:val="000000"/>
          <w:kern w:val="0"/>
          <w:sz w:val="28"/>
          <w:szCs w:val="28"/>
        </w:rPr>
        <w:t>个预算单位。</w:t>
      </w:r>
      <w:r>
        <w:rPr>
          <w:rFonts w:eastAsia="宋体"/>
          <w:color w:val="000000"/>
          <w:kern w:val="0"/>
          <w:sz w:val="28"/>
          <w:szCs w:val="28"/>
        </w:rPr>
        <w:t xml:space="preserve">   </w:t>
      </w:r>
      <w:r>
        <w:rPr>
          <w:rFonts w:eastAsia="宋体"/>
          <w:color w:val="000000"/>
          <w:kern w:val="0"/>
          <w:sz w:val="28"/>
          <w:szCs w:val="28"/>
        </w:rPr>
        <w:br w:type="textWrapping"/>
      </w:r>
      <w:r>
        <w:rPr>
          <w:rFonts w:eastAsia="宋体"/>
          <w:color w:val="000000"/>
          <w:kern w:val="0"/>
          <w:sz w:val="28"/>
          <w:szCs w:val="28"/>
        </w:rPr>
        <w:t xml:space="preserve">       2</w:t>
      </w:r>
      <w:r>
        <w:rPr>
          <w:color w:val="000000"/>
          <w:kern w:val="0"/>
          <w:sz w:val="28"/>
          <w:szCs w:val="28"/>
        </w:rPr>
        <w:t>、</w:t>
      </w:r>
      <w:r>
        <w:rPr>
          <w:rFonts w:eastAsia="宋体"/>
          <w:color w:val="000000"/>
          <w:kern w:val="0"/>
          <w:sz w:val="28"/>
          <w:szCs w:val="28"/>
        </w:rPr>
        <w:t>“20</w:t>
      </w:r>
      <w:r>
        <w:rPr>
          <w:rFonts w:hint="eastAsia" w:eastAsia="宋体"/>
          <w:color w:val="000000"/>
          <w:kern w:val="0"/>
          <w:sz w:val="28"/>
          <w:szCs w:val="28"/>
        </w:rPr>
        <w:t>2</w:t>
      </w:r>
      <w:r>
        <w:rPr>
          <w:rFonts w:hint="eastAsia" w:eastAsia="宋体"/>
          <w:color w:val="000000"/>
          <w:kern w:val="0"/>
          <w:sz w:val="28"/>
          <w:szCs w:val="28"/>
          <w:lang w:val="en-US" w:eastAsia="zh-CN"/>
        </w:rPr>
        <w:t>4</w:t>
      </w:r>
      <w:r>
        <w:rPr>
          <w:color w:val="000000"/>
          <w:kern w:val="0"/>
          <w:sz w:val="28"/>
          <w:szCs w:val="28"/>
        </w:rPr>
        <w:t>年预算数</w:t>
      </w:r>
      <w:r>
        <w:rPr>
          <w:rFonts w:eastAsia="宋体"/>
          <w:color w:val="000000"/>
          <w:kern w:val="0"/>
          <w:sz w:val="28"/>
          <w:szCs w:val="28"/>
        </w:rPr>
        <w:t>”</w:t>
      </w:r>
      <w:r>
        <w:rPr>
          <w:color w:val="000000"/>
          <w:kern w:val="0"/>
          <w:sz w:val="28"/>
          <w:szCs w:val="28"/>
        </w:rPr>
        <w:t>的实有人员</w:t>
      </w:r>
      <w:r>
        <w:rPr>
          <w:rFonts w:eastAsia="宋体"/>
          <w:color w:val="000000"/>
          <w:kern w:val="0"/>
          <w:sz w:val="28"/>
          <w:szCs w:val="28"/>
        </w:rPr>
        <w:t xml:space="preserve"> </w:t>
      </w:r>
      <w:r>
        <w:rPr>
          <w:rFonts w:hint="eastAsia" w:eastAsia="宋体"/>
          <w:color w:val="000000"/>
          <w:kern w:val="0"/>
          <w:sz w:val="28"/>
          <w:szCs w:val="28"/>
        </w:rPr>
        <w:t>1</w:t>
      </w:r>
      <w:r>
        <w:rPr>
          <w:rFonts w:hint="eastAsia" w:eastAsia="宋体"/>
          <w:color w:val="000000"/>
          <w:kern w:val="0"/>
          <w:sz w:val="28"/>
          <w:szCs w:val="28"/>
          <w:lang w:val="en-US" w:eastAsia="zh-CN"/>
        </w:rPr>
        <w:t>9</w:t>
      </w:r>
      <w:r>
        <w:rPr>
          <w:color w:val="000000"/>
          <w:kern w:val="0"/>
          <w:sz w:val="28"/>
          <w:szCs w:val="28"/>
        </w:rPr>
        <w:t>人，其中：在职人员</w:t>
      </w:r>
      <w:r>
        <w:rPr>
          <w:rFonts w:eastAsia="宋体"/>
          <w:color w:val="000000"/>
          <w:kern w:val="0"/>
          <w:sz w:val="28"/>
          <w:szCs w:val="28"/>
        </w:rPr>
        <w:t xml:space="preserve"> </w:t>
      </w:r>
      <w:r>
        <w:rPr>
          <w:rFonts w:hint="eastAsia" w:eastAsia="宋体"/>
          <w:color w:val="000000"/>
          <w:kern w:val="0"/>
          <w:sz w:val="28"/>
          <w:szCs w:val="28"/>
        </w:rPr>
        <w:t>8</w:t>
      </w:r>
      <w:r>
        <w:rPr>
          <w:rFonts w:eastAsia="宋体"/>
          <w:color w:val="000000"/>
          <w:kern w:val="0"/>
          <w:sz w:val="28"/>
          <w:szCs w:val="28"/>
        </w:rPr>
        <w:t xml:space="preserve"> </w:t>
      </w:r>
      <w:r>
        <w:rPr>
          <w:color w:val="000000"/>
          <w:kern w:val="0"/>
          <w:sz w:val="28"/>
          <w:szCs w:val="28"/>
        </w:rPr>
        <w:t>人，离退休人员</w:t>
      </w:r>
      <w:r>
        <w:rPr>
          <w:rFonts w:eastAsia="宋体"/>
          <w:color w:val="000000"/>
          <w:kern w:val="0"/>
          <w:sz w:val="28"/>
          <w:szCs w:val="28"/>
        </w:rPr>
        <w:t xml:space="preserve"> </w:t>
      </w:r>
      <w:r>
        <w:rPr>
          <w:rFonts w:hint="eastAsia" w:eastAsia="宋体"/>
          <w:color w:val="000000"/>
          <w:kern w:val="0"/>
          <w:sz w:val="28"/>
          <w:szCs w:val="28"/>
        </w:rPr>
        <w:t>11</w:t>
      </w:r>
      <w:r>
        <w:rPr>
          <w:rFonts w:eastAsia="宋体"/>
          <w:color w:val="000000"/>
          <w:kern w:val="0"/>
          <w:sz w:val="28"/>
          <w:szCs w:val="28"/>
        </w:rPr>
        <w:t xml:space="preserve"> </w:t>
      </w:r>
      <w:r>
        <w:rPr>
          <w:color w:val="000000"/>
          <w:kern w:val="0"/>
          <w:sz w:val="28"/>
          <w:szCs w:val="28"/>
        </w:rPr>
        <w:t>人。</w:t>
      </w:r>
      <w:bookmarkStart w:id="0" w:name="_GoBack"/>
      <w:bookmarkEnd w:id="0"/>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tabs>
          <w:tab w:val="left" w:pos="526"/>
        </w:tabs>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bl>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jc w:val="both"/>
        <w:rPr>
          <w:rFonts w:eastAsia="楷体"/>
          <w:kern w:val="0"/>
          <w:szCs w:val="32"/>
        </w:rPr>
      </w:pPr>
    </w:p>
    <w:p>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870"/>
        <w:gridCol w:w="380"/>
        <w:gridCol w:w="415"/>
        <w:gridCol w:w="1080"/>
        <w:gridCol w:w="615"/>
        <w:gridCol w:w="615"/>
        <w:gridCol w:w="450"/>
        <w:gridCol w:w="435"/>
        <w:gridCol w:w="435"/>
        <w:gridCol w:w="450"/>
        <w:gridCol w:w="405"/>
        <w:gridCol w:w="450"/>
        <w:gridCol w:w="540"/>
        <w:gridCol w:w="480"/>
        <w:gridCol w:w="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6"/>
            <w:tcBorders>
              <w:top w:val="nil"/>
              <w:left w:val="nil"/>
              <w:bottom w:val="nil"/>
              <w:right w:val="nil"/>
            </w:tcBorders>
            <w:noWrap w:val="0"/>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89"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250" w:type="dxa"/>
            <w:gridSpan w:val="2"/>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415"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080"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615"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385" w:type="dxa"/>
            <w:gridSpan w:val="5"/>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342" w:type="dxa"/>
            <w:gridSpan w:val="5"/>
            <w:tcBorders>
              <w:top w:val="nil"/>
              <w:left w:val="nil"/>
              <w:right w:val="nil"/>
            </w:tcBorders>
            <w:noWrap w:val="0"/>
            <w:vAlign w:val="bottom"/>
          </w:tcPr>
          <w:p>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89"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类型</w:t>
            </w:r>
          </w:p>
        </w:tc>
        <w:tc>
          <w:tcPr>
            <w:tcW w:w="1665"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项目名称</w:t>
            </w:r>
          </w:p>
        </w:tc>
        <w:tc>
          <w:tcPr>
            <w:tcW w:w="1080" w:type="dxa"/>
            <w:vMerge w:val="restart"/>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部门（单位）名称</w:t>
            </w:r>
          </w:p>
        </w:tc>
        <w:tc>
          <w:tcPr>
            <w:tcW w:w="615"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2385" w:type="dxa"/>
            <w:gridSpan w:val="5"/>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lang w:eastAsia="zh-CN"/>
              </w:rPr>
              <w:t>本年预算</w:t>
            </w:r>
          </w:p>
        </w:tc>
        <w:tc>
          <w:tcPr>
            <w:tcW w:w="2342" w:type="dxa"/>
            <w:gridSpan w:val="5"/>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89"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870" w:type="dxa"/>
            <w:vMerge w:val="restart"/>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795" w:type="dxa"/>
            <w:gridSpan w:val="2"/>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二级</w:t>
            </w:r>
            <w:r>
              <w:rPr>
                <w:rFonts w:hint="eastAsia" w:ascii="Calibri" w:hAnsi="Calibri" w:eastAsia="华文细黑"/>
                <w:color w:val="000000"/>
                <w:sz w:val="20"/>
                <w:szCs w:val="22"/>
                <w:lang w:val="en-US" w:eastAsia="zh-CN"/>
              </w:rPr>
              <w:t xml:space="preserve">  </w:t>
            </w:r>
            <w:r>
              <w:rPr>
                <w:rFonts w:hint="eastAsia" w:ascii="Calibri" w:hAnsi="Calibri" w:eastAsia="华文细黑"/>
                <w:color w:val="000000"/>
                <w:sz w:val="20"/>
                <w:szCs w:val="22"/>
              </w:rPr>
              <w:t>项目</w:t>
            </w:r>
          </w:p>
        </w:tc>
        <w:tc>
          <w:tcPr>
            <w:tcW w:w="1080"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615"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1500" w:type="dxa"/>
            <w:gridSpan w:val="3"/>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w:t>
            </w:r>
          </w:p>
        </w:tc>
        <w:tc>
          <w:tcPr>
            <w:tcW w:w="435" w:type="dxa"/>
            <w:vMerge w:val="restart"/>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450" w:type="dxa"/>
            <w:vMerge w:val="restart"/>
            <w:noWrap w:val="0"/>
            <w:textDirection w:val="tbLrV"/>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lang w:eastAsia="zh-CN"/>
              </w:rPr>
              <w:t>单位资金</w:t>
            </w:r>
          </w:p>
        </w:tc>
        <w:tc>
          <w:tcPr>
            <w:tcW w:w="1395"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947" w:type="dxa"/>
            <w:gridSpan w:val="2"/>
            <w:noWrap w:val="0"/>
            <w:vAlign w:val="center"/>
          </w:tcPr>
          <w:p>
            <w:pPr>
              <w:tabs>
                <w:tab w:val="left" w:pos="492"/>
              </w:tabs>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jc w:val="center"/>
        </w:trPr>
        <w:tc>
          <w:tcPr>
            <w:tcW w:w="589" w:type="dxa"/>
            <w:vMerge w:val="continue"/>
            <w:noWrap w:val="0"/>
            <w:vAlign w:val="center"/>
          </w:tcPr>
          <w:p>
            <w:pPr>
              <w:autoSpaceDN w:val="0"/>
              <w:jc w:val="center"/>
              <w:textAlignment w:val="center"/>
              <w:rPr>
                <w:rFonts w:ascii="Calibri" w:hAnsi="Calibri" w:eastAsia="华文细黑"/>
                <w:color w:val="000000"/>
                <w:sz w:val="20"/>
                <w:szCs w:val="22"/>
              </w:rPr>
            </w:pPr>
          </w:p>
        </w:tc>
        <w:tc>
          <w:tcPr>
            <w:tcW w:w="870" w:type="dxa"/>
            <w:vMerge w:val="continue"/>
            <w:noWrap w:val="0"/>
            <w:vAlign w:val="center"/>
          </w:tcPr>
          <w:p>
            <w:pPr>
              <w:autoSpaceDN w:val="0"/>
              <w:jc w:val="center"/>
              <w:textAlignment w:val="center"/>
              <w:rPr>
                <w:rFonts w:ascii="Calibri" w:hAnsi="Calibri" w:eastAsia="华文细黑"/>
                <w:color w:val="000000"/>
                <w:sz w:val="20"/>
                <w:szCs w:val="22"/>
              </w:rPr>
            </w:pPr>
          </w:p>
        </w:tc>
        <w:tc>
          <w:tcPr>
            <w:tcW w:w="795" w:type="dxa"/>
            <w:gridSpan w:val="2"/>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1080" w:type="dxa"/>
            <w:vMerge w:val="continue"/>
            <w:noWrap w:val="0"/>
            <w:vAlign w:val="center"/>
          </w:tcPr>
          <w:p>
            <w:pPr>
              <w:autoSpaceDN w:val="0"/>
              <w:jc w:val="center"/>
              <w:textAlignment w:val="center"/>
              <w:rPr>
                <w:rFonts w:ascii="Calibri" w:hAnsi="Calibri" w:eastAsia="华文细黑"/>
                <w:color w:val="000000"/>
                <w:sz w:val="20"/>
                <w:szCs w:val="22"/>
              </w:rPr>
            </w:pPr>
          </w:p>
        </w:tc>
        <w:tc>
          <w:tcPr>
            <w:tcW w:w="615" w:type="dxa"/>
            <w:vMerge w:val="continue"/>
            <w:noWrap w:val="0"/>
            <w:vAlign w:val="center"/>
          </w:tcPr>
          <w:p>
            <w:pPr>
              <w:autoSpaceDN w:val="0"/>
              <w:jc w:val="center"/>
              <w:textAlignment w:val="center"/>
              <w:rPr>
                <w:rFonts w:ascii="Calibri" w:hAnsi="Calibri" w:eastAsia="华文细黑"/>
                <w:color w:val="000000"/>
                <w:sz w:val="20"/>
                <w:szCs w:val="22"/>
              </w:rPr>
            </w:pPr>
          </w:p>
        </w:tc>
        <w:tc>
          <w:tcPr>
            <w:tcW w:w="615"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450"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基金</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预算</w:t>
            </w:r>
          </w:p>
        </w:tc>
        <w:tc>
          <w:tcPr>
            <w:tcW w:w="435"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国有资本经营预算</w:t>
            </w:r>
          </w:p>
        </w:tc>
        <w:tc>
          <w:tcPr>
            <w:tcW w:w="435"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450"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rPr>
            </w:pPr>
          </w:p>
        </w:tc>
        <w:tc>
          <w:tcPr>
            <w:tcW w:w="405"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一般</w:t>
            </w:r>
          </w:p>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公共</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450"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基金</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540"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国有资本经营</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480" w:type="dxa"/>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467" w:type="dxa"/>
            <w:noWrap w:val="0"/>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89"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default" w:ascii="Times New Roman" w:hAnsi="Times New Roman" w:eastAsia="宋体" w:cs="Times New Roman"/>
                <w:kern w:val="0"/>
                <w:sz w:val="16"/>
                <w:szCs w:val="16"/>
              </w:rPr>
            </w:pPr>
          </w:p>
        </w:tc>
        <w:tc>
          <w:tcPr>
            <w:tcW w:w="795" w:type="dxa"/>
            <w:gridSpan w:val="2"/>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108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i w:val="0"/>
                <w:iCs w:val="0"/>
                <w:color w:val="000000"/>
                <w:kern w:val="0"/>
                <w:sz w:val="16"/>
                <w:szCs w:val="16"/>
                <w:u w:val="none"/>
                <w:lang w:val="en-US" w:eastAsia="zh-CN" w:bidi="ar"/>
              </w:rPr>
            </w:pPr>
          </w:p>
        </w:tc>
        <w:tc>
          <w:tcPr>
            <w:tcW w:w="615" w:type="dxa"/>
            <w:noWrap w:val="0"/>
            <w:vAlign w:val="center"/>
          </w:tcPr>
          <w:p>
            <w:pPr>
              <w:keepNext w:val="0"/>
              <w:keepLines w:val="0"/>
              <w:pageBreakBefore w:val="0"/>
              <w:widowControl/>
              <w:suppressLineNumbers w:val="0"/>
              <w:kinsoku/>
              <w:wordWrap/>
              <w:overflowPunct/>
              <w:topLinePunct w:val="0"/>
              <w:autoSpaceDE/>
              <w:bidi w:val="0"/>
              <w:adjustRightInd/>
              <w:snapToGrid/>
              <w:spacing w:line="200" w:lineRule="atLeast"/>
              <w:jc w:val="right"/>
              <w:textAlignment w:val="center"/>
              <w:rPr>
                <w:rFonts w:hint="default" w:ascii="Times New Roman" w:hAnsi="Times New Roman" w:eastAsia="宋体" w:cs="Times New Roman"/>
                <w:i w:val="0"/>
                <w:iCs w:val="0"/>
                <w:color w:val="000000"/>
                <w:kern w:val="2"/>
                <w:sz w:val="16"/>
                <w:szCs w:val="16"/>
                <w:u w:val="none"/>
                <w:lang w:val="en-US" w:eastAsia="zh-CN" w:bidi="ar-SA"/>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0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54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8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67"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89"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default" w:ascii="Times New Roman" w:hAnsi="Times New Roman" w:eastAsia="宋体" w:cs="Times New Roman"/>
                <w:kern w:val="0"/>
                <w:sz w:val="16"/>
                <w:szCs w:val="16"/>
              </w:rPr>
            </w:pPr>
          </w:p>
        </w:tc>
        <w:tc>
          <w:tcPr>
            <w:tcW w:w="795" w:type="dxa"/>
            <w:gridSpan w:val="2"/>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108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pPr>
              <w:keepNext w:val="0"/>
              <w:keepLines w:val="0"/>
              <w:pageBreakBefore w:val="0"/>
              <w:widowControl/>
              <w:suppressLineNumbers w:val="0"/>
              <w:kinsoku/>
              <w:wordWrap/>
              <w:overflowPunct/>
              <w:topLinePunct w:val="0"/>
              <w:autoSpaceDE/>
              <w:bidi w:val="0"/>
              <w:adjustRightInd/>
              <w:snapToGrid/>
              <w:spacing w:line="200" w:lineRule="atLeast"/>
              <w:jc w:val="right"/>
              <w:textAlignment w:val="center"/>
              <w:rPr>
                <w:rFonts w:hint="default" w:ascii="Times New Roman" w:hAnsi="Times New Roman" w:eastAsia="宋体" w:cs="Times New Roman"/>
                <w:i w:val="0"/>
                <w:iCs w:val="0"/>
                <w:color w:val="000000"/>
                <w:kern w:val="2"/>
                <w:sz w:val="16"/>
                <w:szCs w:val="16"/>
                <w:u w:val="none"/>
                <w:lang w:val="en-US" w:eastAsia="zh-CN" w:bidi="ar-SA"/>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0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54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8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67"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89"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87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lang w:val="en-US" w:eastAsia="zh-CN" w:bidi="ar-SA"/>
              </w:rPr>
            </w:pPr>
          </w:p>
        </w:tc>
        <w:tc>
          <w:tcPr>
            <w:tcW w:w="795" w:type="dxa"/>
            <w:gridSpan w:val="2"/>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108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05" w:type="dxa"/>
            <w:noWrap w:val="0"/>
            <w:vAlign w:val="center"/>
          </w:tcPr>
          <w:p>
            <w:pPr>
              <w:keepNext w:val="0"/>
              <w:keepLines w:val="0"/>
              <w:pageBreakBefore w:val="0"/>
              <w:widowControl/>
              <w:suppressLineNumbers w:val="0"/>
              <w:kinsoku/>
              <w:wordWrap/>
              <w:overflowPunct/>
              <w:topLinePunct w:val="0"/>
              <w:autoSpaceDE/>
              <w:bidi w:val="0"/>
              <w:adjustRightInd/>
              <w:snapToGrid/>
              <w:spacing w:line="200" w:lineRule="atLeast"/>
              <w:jc w:val="right"/>
              <w:textAlignment w:val="center"/>
              <w:rPr>
                <w:rFonts w:hint="default" w:ascii="Times New Roman" w:hAnsi="Times New Roman" w:eastAsia="宋体" w:cs="Times New Roman"/>
                <w:i w:val="0"/>
                <w:iCs w:val="0"/>
                <w:color w:val="000000"/>
                <w:kern w:val="2"/>
                <w:sz w:val="16"/>
                <w:szCs w:val="16"/>
                <w:u w:val="none"/>
                <w:lang w:val="en-US" w:eastAsia="zh-CN" w:bidi="ar-SA"/>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54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8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67"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89"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870" w:type="dxa"/>
            <w:noWrap w:val="0"/>
            <w:vAlign w:val="center"/>
          </w:tcPr>
          <w:p>
            <w:pPr>
              <w:keepNext w:val="0"/>
              <w:keepLines w:val="0"/>
              <w:pageBreakBefore w:val="0"/>
              <w:widowControl/>
              <w:suppressLineNumbers w:val="0"/>
              <w:kinsoku/>
              <w:wordWrap/>
              <w:overflowPunct/>
              <w:topLinePunct w:val="0"/>
              <w:autoSpaceDE/>
              <w:bidi w:val="0"/>
              <w:adjustRightInd/>
              <w:snapToGrid/>
              <w:spacing w:line="200" w:lineRule="atLeast"/>
              <w:jc w:val="center"/>
              <w:textAlignment w:val="center"/>
              <w:rPr>
                <w:rFonts w:hint="default" w:ascii="Times New Roman" w:hAnsi="Times New Roman" w:eastAsia="宋体" w:cs="Times New Roman"/>
                <w:i w:val="0"/>
                <w:iCs w:val="0"/>
                <w:color w:val="000000"/>
                <w:kern w:val="2"/>
                <w:sz w:val="16"/>
                <w:szCs w:val="16"/>
                <w:u w:val="none"/>
                <w:lang w:val="en-US" w:eastAsia="zh-CN" w:bidi="ar-SA"/>
              </w:rPr>
            </w:pPr>
          </w:p>
        </w:tc>
        <w:tc>
          <w:tcPr>
            <w:tcW w:w="795" w:type="dxa"/>
            <w:gridSpan w:val="2"/>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108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pPr>
              <w:keepNext w:val="0"/>
              <w:keepLines w:val="0"/>
              <w:pageBreakBefore w:val="0"/>
              <w:widowControl/>
              <w:suppressLineNumbers w:val="0"/>
              <w:kinsoku/>
              <w:wordWrap/>
              <w:overflowPunct/>
              <w:topLinePunct w:val="0"/>
              <w:autoSpaceDE/>
              <w:bidi w:val="0"/>
              <w:adjustRightInd/>
              <w:snapToGrid/>
              <w:spacing w:line="200" w:lineRule="atLeast"/>
              <w:jc w:val="right"/>
              <w:textAlignment w:val="center"/>
              <w:rPr>
                <w:rFonts w:hint="default" w:ascii="Times New Roman" w:hAnsi="Times New Roman" w:eastAsia="宋体" w:cs="Times New Roman"/>
                <w:i w:val="0"/>
                <w:iCs w:val="0"/>
                <w:color w:val="000000"/>
                <w:kern w:val="2"/>
                <w:sz w:val="16"/>
                <w:szCs w:val="16"/>
                <w:u w:val="none"/>
                <w:lang w:val="en-US" w:eastAsia="zh-CN" w:bidi="ar-SA"/>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0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54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8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67"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89"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87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795" w:type="dxa"/>
            <w:gridSpan w:val="2"/>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108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05" w:type="dxa"/>
            <w:noWrap w:val="0"/>
            <w:vAlign w:val="center"/>
          </w:tcPr>
          <w:p>
            <w:pPr>
              <w:keepNext w:val="0"/>
              <w:keepLines w:val="0"/>
              <w:pageBreakBefore w:val="0"/>
              <w:widowControl/>
              <w:suppressLineNumbers w:val="0"/>
              <w:kinsoku/>
              <w:wordWrap/>
              <w:overflowPunct/>
              <w:topLinePunct w:val="0"/>
              <w:autoSpaceDE/>
              <w:bidi w:val="0"/>
              <w:adjustRightInd/>
              <w:snapToGrid/>
              <w:spacing w:line="200" w:lineRule="atLeast"/>
              <w:jc w:val="right"/>
              <w:textAlignment w:val="center"/>
              <w:rPr>
                <w:rFonts w:hint="default" w:ascii="Times New Roman" w:hAnsi="Times New Roman" w:eastAsia="宋体" w:cs="Times New Roman"/>
                <w:i w:val="0"/>
                <w:iCs w:val="0"/>
                <w:color w:val="000000"/>
                <w:kern w:val="2"/>
                <w:sz w:val="16"/>
                <w:szCs w:val="16"/>
                <w:u w:val="none"/>
                <w:lang w:val="en-US" w:eastAsia="zh-CN" w:bidi="ar-SA"/>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54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8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67"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89" w:type="dxa"/>
            <w:noWrap w:val="0"/>
            <w:vAlign w:val="center"/>
          </w:tcPr>
          <w:p>
            <w:pPr>
              <w:keepNext w:val="0"/>
              <w:keepLines w:val="0"/>
              <w:pageBreakBefore w:val="0"/>
              <w:kinsoku/>
              <w:wordWrap/>
              <w:overflowPunct/>
              <w:topLinePunct w:val="0"/>
              <w:autoSpaceDE/>
              <w:autoSpaceDN w:val="0"/>
              <w:bidi w:val="0"/>
              <w:adjustRightInd/>
              <w:snapToGrid/>
              <w:spacing w:line="200" w:lineRule="atLeast"/>
              <w:jc w:val="center"/>
              <w:textAlignment w:val="center"/>
              <w:rPr>
                <w:rFonts w:hint="default" w:ascii="Times New Roman" w:hAnsi="Times New Roman" w:eastAsia="宋体" w:cs="Times New Roman"/>
                <w:color w:val="000000"/>
                <w:sz w:val="16"/>
                <w:szCs w:val="16"/>
              </w:rPr>
            </w:pPr>
          </w:p>
        </w:tc>
        <w:tc>
          <w:tcPr>
            <w:tcW w:w="870" w:type="dxa"/>
            <w:noWrap w:val="0"/>
            <w:vAlign w:val="center"/>
          </w:tcPr>
          <w:p>
            <w:pPr>
              <w:keepNext w:val="0"/>
              <w:keepLines w:val="0"/>
              <w:pageBreakBefore w:val="0"/>
              <w:kinsoku/>
              <w:wordWrap/>
              <w:overflowPunct/>
              <w:topLinePunct w:val="0"/>
              <w:autoSpaceDE/>
              <w:autoSpaceDN w:val="0"/>
              <w:bidi w:val="0"/>
              <w:adjustRightInd/>
              <w:snapToGrid/>
              <w:spacing w:line="200" w:lineRule="atLeast"/>
              <w:jc w:val="center"/>
              <w:textAlignment w:val="center"/>
              <w:rPr>
                <w:rFonts w:hint="default" w:ascii="Times New Roman" w:hAnsi="Times New Roman" w:eastAsia="宋体" w:cs="Times New Roman"/>
                <w:color w:val="000000"/>
                <w:sz w:val="16"/>
                <w:szCs w:val="16"/>
              </w:rPr>
            </w:pPr>
          </w:p>
        </w:tc>
        <w:tc>
          <w:tcPr>
            <w:tcW w:w="795" w:type="dxa"/>
            <w:gridSpan w:val="2"/>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108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0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54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8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67"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89" w:type="dxa"/>
            <w:noWrap w:val="0"/>
            <w:vAlign w:val="center"/>
          </w:tcPr>
          <w:p>
            <w:pPr>
              <w:keepNext w:val="0"/>
              <w:keepLines w:val="0"/>
              <w:pageBreakBefore w:val="0"/>
              <w:kinsoku/>
              <w:wordWrap/>
              <w:overflowPunct/>
              <w:topLinePunct w:val="0"/>
              <w:autoSpaceDE/>
              <w:autoSpaceDN w:val="0"/>
              <w:bidi w:val="0"/>
              <w:adjustRightInd/>
              <w:snapToGrid/>
              <w:spacing w:line="200" w:lineRule="atLeast"/>
              <w:jc w:val="center"/>
              <w:textAlignment w:val="center"/>
              <w:rPr>
                <w:rFonts w:hint="default" w:ascii="Times New Roman" w:hAnsi="Times New Roman" w:eastAsia="宋体" w:cs="Times New Roman"/>
                <w:color w:val="000000"/>
                <w:sz w:val="16"/>
                <w:szCs w:val="16"/>
              </w:rPr>
            </w:pPr>
          </w:p>
        </w:tc>
        <w:tc>
          <w:tcPr>
            <w:tcW w:w="870" w:type="dxa"/>
            <w:noWrap w:val="0"/>
            <w:vAlign w:val="center"/>
          </w:tcPr>
          <w:p>
            <w:pPr>
              <w:keepNext w:val="0"/>
              <w:keepLines w:val="0"/>
              <w:pageBreakBefore w:val="0"/>
              <w:kinsoku/>
              <w:wordWrap/>
              <w:overflowPunct/>
              <w:topLinePunct w:val="0"/>
              <w:autoSpaceDE/>
              <w:autoSpaceDN w:val="0"/>
              <w:bidi w:val="0"/>
              <w:adjustRightInd/>
              <w:snapToGrid/>
              <w:spacing w:line="200" w:lineRule="atLeast"/>
              <w:jc w:val="center"/>
              <w:textAlignment w:val="center"/>
              <w:rPr>
                <w:rFonts w:hint="default" w:ascii="Times New Roman" w:hAnsi="Times New Roman" w:eastAsia="宋体" w:cs="Times New Roman"/>
                <w:color w:val="000000"/>
                <w:sz w:val="16"/>
                <w:szCs w:val="16"/>
              </w:rPr>
            </w:pPr>
          </w:p>
        </w:tc>
        <w:tc>
          <w:tcPr>
            <w:tcW w:w="795" w:type="dxa"/>
            <w:gridSpan w:val="2"/>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108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0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54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8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67"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89" w:type="dxa"/>
            <w:noWrap w:val="0"/>
            <w:vAlign w:val="center"/>
          </w:tcPr>
          <w:p>
            <w:pPr>
              <w:keepNext w:val="0"/>
              <w:keepLines w:val="0"/>
              <w:pageBreakBefore w:val="0"/>
              <w:kinsoku/>
              <w:wordWrap/>
              <w:overflowPunct/>
              <w:topLinePunct w:val="0"/>
              <w:autoSpaceDE/>
              <w:autoSpaceDN w:val="0"/>
              <w:bidi w:val="0"/>
              <w:adjustRightInd/>
              <w:snapToGrid/>
              <w:spacing w:line="200" w:lineRule="atLeast"/>
              <w:jc w:val="center"/>
              <w:textAlignment w:val="center"/>
              <w:rPr>
                <w:rFonts w:hint="eastAsia" w:ascii="Calibri" w:hAnsi="Calibri" w:eastAsia="华文细黑"/>
                <w:color w:val="000000"/>
                <w:sz w:val="16"/>
                <w:szCs w:val="16"/>
              </w:rPr>
            </w:pPr>
            <w:r>
              <w:rPr>
                <w:rFonts w:hint="eastAsia" w:ascii="Calibri" w:hAnsi="Calibri" w:eastAsia="华文细黑"/>
                <w:color w:val="000000"/>
                <w:sz w:val="16"/>
                <w:szCs w:val="16"/>
              </w:rPr>
              <w:t>合计</w:t>
            </w:r>
          </w:p>
        </w:tc>
        <w:tc>
          <w:tcPr>
            <w:tcW w:w="870" w:type="dxa"/>
            <w:noWrap w:val="0"/>
            <w:vAlign w:val="center"/>
          </w:tcPr>
          <w:p>
            <w:pPr>
              <w:keepNext w:val="0"/>
              <w:keepLines w:val="0"/>
              <w:pageBreakBefore w:val="0"/>
              <w:kinsoku/>
              <w:wordWrap/>
              <w:overflowPunct/>
              <w:topLinePunct w:val="0"/>
              <w:autoSpaceDE/>
              <w:autoSpaceDN w:val="0"/>
              <w:bidi w:val="0"/>
              <w:adjustRightInd/>
              <w:snapToGrid/>
              <w:spacing w:line="200" w:lineRule="atLeast"/>
              <w:jc w:val="center"/>
              <w:textAlignment w:val="center"/>
              <w:rPr>
                <w:rFonts w:ascii="Calibri" w:hAnsi="Calibri" w:eastAsia="华文细黑"/>
                <w:color w:val="000000"/>
                <w:sz w:val="16"/>
                <w:szCs w:val="16"/>
              </w:rPr>
            </w:pPr>
          </w:p>
        </w:tc>
        <w:tc>
          <w:tcPr>
            <w:tcW w:w="795" w:type="dxa"/>
            <w:gridSpan w:val="2"/>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108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61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楷体" w:cs="Times New Roman"/>
                <w:kern w:val="0"/>
                <w:sz w:val="16"/>
                <w:szCs w:val="16"/>
              </w:rPr>
            </w:pPr>
          </w:p>
        </w:tc>
        <w:tc>
          <w:tcPr>
            <w:tcW w:w="61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楷体" w:cs="Times New Roman"/>
                <w:kern w:val="0"/>
                <w:sz w:val="16"/>
                <w:szCs w:val="16"/>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3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3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0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54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8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67"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89" w:type="dxa"/>
            <w:noWrap w:val="0"/>
            <w:vAlign w:val="center"/>
          </w:tcPr>
          <w:p>
            <w:pPr>
              <w:keepNext w:val="0"/>
              <w:keepLines w:val="0"/>
              <w:pageBreakBefore w:val="0"/>
              <w:kinsoku/>
              <w:wordWrap/>
              <w:overflowPunct/>
              <w:topLinePunct w:val="0"/>
              <w:autoSpaceDE/>
              <w:autoSpaceDN w:val="0"/>
              <w:bidi w:val="0"/>
              <w:adjustRightInd/>
              <w:snapToGrid/>
              <w:spacing w:line="200" w:lineRule="atLeast"/>
              <w:jc w:val="center"/>
              <w:textAlignment w:val="center"/>
              <w:rPr>
                <w:rFonts w:hint="eastAsia" w:ascii="Calibri" w:hAnsi="Calibri" w:eastAsia="华文细黑"/>
                <w:color w:val="000000"/>
                <w:sz w:val="16"/>
                <w:szCs w:val="16"/>
              </w:rPr>
            </w:pPr>
          </w:p>
        </w:tc>
        <w:tc>
          <w:tcPr>
            <w:tcW w:w="870" w:type="dxa"/>
            <w:noWrap w:val="0"/>
            <w:vAlign w:val="center"/>
          </w:tcPr>
          <w:p>
            <w:pPr>
              <w:keepNext w:val="0"/>
              <w:keepLines w:val="0"/>
              <w:pageBreakBefore w:val="0"/>
              <w:kinsoku/>
              <w:wordWrap/>
              <w:overflowPunct/>
              <w:topLinePunct w:val="0"/>
              <w:autoSpaceDE/>
              <w:autoSpaceDN w:val="0"/>
              <w:bidi w:val="0"/>
              <w:adjustRightInd/>
              <w:snapToGrid/>
              <w:spacing w:line="200" w:lineRule="atLeast"/>
              <w:jc w:val="center"/>
              <w:textAlignment w:val="center"/>
              <w:rPr>
                <w:rFonts w:ascii="Calibri" w:hAnsi="Calibri" w:eastAsia="华文细黑"/>
                <w:color w:val="000000"/>
                <w:sz w:val="16"/>
                <w:szCs w:val="16"/>
              </w:rPr>
            </w:pPr>
          </w:p>
        </w:tc>
        <w:tc>
          <w:tcPr>
            <w:tcW w:w="795" w:type="dxa"/>
            <w:gridSpan w:val="2"/>
            <w:noWrap w:val="0"/>
            <w:vAlign w:val="center"/>
          </w:tcPr>
          <w:p>
            <w:pPr>
              <w:keepNext w:val="0"/>
              <w:keepLines w:val="0"/>
              <w:pageBreakBefore w:val="0"/>
              <w:kinsoku/>
              <w:wordWrap/>
              <w:overflowPunct/>
              <w:topLinePunct w:val="0"/>
              <w:autoSpaceDE/>
              <w:bidi w:val="0"/>
              <w:adjustRightInd/>
              <w:snapToGrid/>
              <w:spacing w:line="200" w:lineRule="atLeast"/>
              <w:jc w:val="center"/>
              <w:rPr>
                <w:rFonts w:hint="eastAsia" w:ascii="Calibri" w:hAnsi="Calibri" w:eastAsia="楷体"/>
                <w:kern w:val="0"/>
                <w:sz w:val="16"/>
                <w:szCs w:val="16"/>
                <w:lang w:eastAsia="zh-CN"/>
              </w:rPr>
            </w:pPr>
          </w:p>
        </w:tc>
        <w:tc>
          <w:tcPr>
            <w:tcW w:w="108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61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楷体" w:cs="Times New Roman"/>
                <w:kern w:val="0"/>
                <w:sz w:val="16"/>
                <w:szCs w:val="16"/>
              </w:rPr>
            </w:pPr>
          </w:p>
        </w:tc>
        <w:tc>
          <w:tcPr>
            <w:tcW w:w="61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楷体" w:cs="Times New Roman"/>
                <w:kern w:val="0"/>
                <w:sz w:val="16"/>
                <w:szCs w:val="16"/>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3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3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0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54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8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67"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r>
    </w:tbl>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bl>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778"/>
        <w:gridCol w:w="1166"/>
        <w:gridCol w:w="736"/>
        <w:gridCol w:w="859"/>
        <w:gridCol w:w="609"/>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restart"/>
            <w:tcBorders>
              <w:top w:val="single" w:color="000000" w:sz="4" w:space="0"/>
              <w:left w:val="single" w:color="000000" w:sz="4" w:space="0"/>
              <w:right w:val="single" w:color="000000" w:sz="4" w:space="0"/>
            </w:tcBorders>
            <w:noWrap w:val="0"/>
            <w:vAlign w:val="center"/>
          </w:tcPr>
          <w:p>
            <w:pPr>
              <w:tabs>
                <w:tab w:val="left" w:pos="288"/>
              </w:tabs>
              <w:spacing w:line="240" w:lineRule="auto"/>
              <w:jc w:val="left"/>
              <w:rPr>
                <w:rFonts w:hint="eastAsia" w:ascii="华文细黑" w:hAnsi="华文细黑" w:eastAsia="华文细黑" w:cs="华文细黑"/>
                <w:kern w:val="0"/>
                <w:sz w:val="20"/>
                <w:szCs w:val="20"/>
                <w:vertAlign w:val="baseline"/>
                <w:lang w:eastAsia="zh-CN"/>
              </w:rPr>
            </w:pP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66"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社会成本指标</w:t>
            </w:r>
          </w:p>
        </w:tc>
        <w:tc>
          <w:tcPr>
            <w:tcW w:w="736"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59"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09"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66"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生态环境成本指标</w:t>
            </w:r>
          </w:p>
        </w:tc>
        <w:tc>
          <w:tcPr>
            <w:tcW w:w="736"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59"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09"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1166"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736" w:type="dxa"/>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p>
        </w:tc>
        <w:tc>
          <w:tcPr>
            <w:tcW w:w="859" w:type="dxa"/>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p>
        </w:tc>
        <w:tc>
          <w:tcPr>
            <w:tcW w:w="609" w:type="dxa"/>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p>
        </w:tc>
        <w:tc>
          <w:tcPr>
            <w:tcW w:w="641"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66"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736"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59"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09"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66"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736"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59"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09"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1166"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经济效益指标</w:t>
            </w:r>
          </w:p>
        </w:tc>
        <w:tc>
          <w:tcPr>
            <w:tcW w:w="736"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59"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09"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66"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736"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59"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09"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66"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生态效益指标</w:t>
            </w:r>
          </w:p>
        </w:tc>
        <w:tc>
          <w:tcPr>
            <w:tcW w:w="736"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59"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09"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满意度指标</w:t>
            </w:r>
          </w:p>
        </w:tc>
        <w:tc>
          <w:tcPr>
            <w:tcW w:w="1166"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服务对象满意度指标</w:t>
            </w:r>
          </w:p>
        </w:tc>
        <w:tc>
          <w:tcPr>
            <w:tcW w:w="736"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59"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09"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bl>
    <w:p>
      <w:pPr>
        <w:spacing w:line="700" w:lineRule="exact"/>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hint="eastAsia" w:eastAsia="楷体"/>
          <w:kern w:val="0"/>
          <w:szCs w:val="32"/>
        </w:rPr>
      </w:pPr>
    </w:p>
    <w:p>
      <w:pPr>
        <w:jc w:val="both"/>
        <w:rPr>
          <w:rFonts w:eastAsia="黑体"/>
        </w:rPr>
      </w:pPr>
    </w:p>
    <w:p>
      <w:pPr>
        <w:jc w:val="both"/>
        <w:rPr>
          <w:rFonts w:eastAsia="黑体"/>
        </w:rPr>
      </w:pPr>
    </w:p>
    <w:p>
      <w:pPr>
        <w:jc w:val="both"/>
        <w:rPr>
          <w:rFonts w:eastAsia="黑体"/>
        </w:rPr>
      </w:pP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4</w:t>
      </w:r>
      <w:r>
        <w:rPr>
          <w:rFonts w:eastAsia="黑体"/>
          <w:szCs w:val="32"/>
        </w:rPr>
        <w:t>年收支预算总体情况</w:t>
      </w:r>
    </w:p>
    <w:p>
      <w:pPr>
        <w:ind w:firstLine="640" w:firstLineChars="200"/>
        <w:rPr>
          <w:szCs w:val="32"/>
        </w:rPr>
      </w:pPr>
      <w:r>
        <w:rPr>
          <w:szCs w:val="32"/>
        </w:rPr>
        <w:t>按照综合预算的原则，所有收入和支出全部纳入</w:t>
      </w:r>
      <w:r>
        <w:rPr>
          <w:rFonts w:hint="eastAsia"/>
          <w:szCs w:val="32"/>
          <w:lang w:eastAsia="zh-CN"/>
        </w:rPr>
        <w:t>单位</w:t>
      </w:r>
      <w:r>
        <w:rPr>
          <w:szCs w:val="32"/>
        </w:rPr>
        <w:t>预算管理。收入包括：一般公共预算拨款收入、上年结转</w:t>
      </w:r>
      <w:r>
        <w:rPr>
          <w:rFonts w:hint="eastAsia"/>
          <w:szCs w:val="32"/>
        </w:rPr>
        <w:t>结余</w:t>
      </w:r>
      <w:r>
        <w:rPr>
          <w:szCs w:val="32"/>
        </w:rPr>
        <w:t>；支出包括：一般公共服务支出、社会保障和就业支出、住房保障支出、</w:t>
      </w:r>
      <w:r>
        <w:rPr>
          <w:rFonts w:hint="eastAsia"/>
          <w:szCs w:val="32"/>
        </w:rPr>
        <w:t>卫生健康</w:t>
      </w:r>
      <w:r>
        <w:rPr>
          <w:szCs w:val="32"/>
        </w:rPr>
        <w:t>支出。20</w:t>
      </w:r>
      <w:r>
        <w:rPr>
          <w:rFonts w:hint="eastAsia"/>
          <w:szCs w:val="32"/>
        </w:rPr>
        <w:t>2</w:t>
      </w:r>
      <w:r>
        <w:rPr>
          <w:rFonts w:hint="eastAsia"/>
          <w:szCs w:val="32"/>
          <w:lang w:val="en-US" w:eastAsia="zh-CN"/>
        </w:rPr>
        <w:t>4</w:t>
      </w:r>
      <w:r>
        <w:rPr>
          <w:szCs w:val="32"/>
        </w:rPr>
        <w:t>年收支总预算</w:t>
      </w:r>
      <w:r>
        <w:rPr>
          <w:rFonts w:hint="eastAsia"/>
          <w:szCs w:val="32"/>
        </w:rPr>
        <w:t>136.89</w:t>
      </w:r>
      <w:r>
        <w:rPr>
          <w:szCs w:val="32"/>
        </w:rPr>
        <w:t>万元</w:t>
      </w:r>
      <w:r>
        <w:rPr>
          <w:rFonts w:hint="eastAsia"/>
          <w:szCs w:val="32"/>
          <w:lang w:eastAsia="zh-CN"/>
        </w:rPr>
        <w:t>，其中：本年预算</w:t>
      </w:r>
      <w:r>
        <w:rPr>
          <w:rFonts w:hint="eastAsia"/>
          <w:szCs w:val="32"/>
          <w:u w:val="none"/>
        </w:rPr>
        <w:t>131.42</w:t>
      </w:r>
      <w:r>
        <w:rPr>
          <w:rFonts w:hint="eastAsia"/>
          <w:szCs w:val="32"/>
          <w:lang w:eastAsia="zh-CN"/>
        </w:rPr>
        <w:t>万元；上年结转</w:t>
      </w:r>
      <w:r>
        <w:rPr>
          <w:rFonts w:hint="eastAsia"/>
          <w:szCs w:val="32"/>
        </w:rPr>
        <w:t>5.47</w:t>
      </w:r>
      <w:r>
        <w:rPr>
          <w:rFonts w:hint="eastAsia"/>
          <w:szCs w:val="32"/>
          <w:lang w:eastAsia="zh-CN"/>
        </w:rPr>
        <w:t>万元。</w:t>
      </w:r>
      <w:r>
        <w:rPr>
          <w:rFonts w:hint="eastAsia"/>
          <w:szCs w:val="32"/>
          <w:lang w:val="en-US" w:eastAsia="zh-CN"/>
        </w:rPr>
        <w:t>2024年本年预算</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预算增加</w:t>
      </w:r>
      <w:r>
        <w:rPr>
          <w:rFonts w:hint="eastAsia"/>
          <w:szCs w:val="32"/>
          <w:lang w:val="en-US" w:eastAsia="zh-CN"/>
        </w:rPr>
        <w:t>15.47</w:t>
      </w:r>
      <w:r>
        <w:rPr>
          <w:szCs w:val="32"/>
        </w:rPr>
        <w:t>万元，主要原因是</w:t>
      </w:r>
      <w:r>
        <w:rPr>
          <w:szCs w:val="32"/>
        </w:rPr>
        <w:softHyphen/>
      </w:r>
      <w:r>
        <w:rPr>
          <w:szCs w:val="32"/>
        </w:rPr>
        <w:softHyphen/>
      </w:r>
      <w:r>
        <w:rPr>
          <w:szCs w:val="32"/>
        </w:rPr>
        <w:softHyphen/>
      </w:r>
      <w:r>
        <w:rPr>
          <w:rFonts w:hint="eastAsia"/>
          <w:szCs w:val="32"/>
        </w:rPr>
        <w:t>本年人员经费</w:t>
      </w:r>
      <w:r>
        <w:rPr>
          <w:rFonts w:hint="eastAsia"/>
          <w:szCs w:val="32"/>
          <w:lang w:eastAsia="zh-CN"/>
        </w:rPr>
        <w:t>较上年</w:t>
      </w:r>
      <w:r>
        <w:rPr>
          <w:rFonts w:hint="eastAsia"/>
          <w:szCs w:val="32"/>
        </w:rPr>
        <w:t>增加，导致</w:t>
      </w:r>
      <w:r>
        <w:rPr>
          <w:rFonts w:hint="eastAsia"/>
          <w:szCs w:val="32"/>
          <w:lang w:eastAsia="zh-CN"/>
        </w:rPr>
        <w:t>本年预算</w:t>
      </w:r>
      <w:r>
        <w:rPr>
          <w:rFonts w:hint="eastAsia"/>
          <w:szCs w:val="32"/>
        </w:rPr>
        <w:t>较上年增加</w:t>
      </w:r>
      <w:r>
        <w:rPr>
          <w:szCs w:val="32"/>
        </w:rPr>
        <w:t>。</w:t>
      </w:r>
    </w:p>
    <w:p>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4</w:t>
      </w:r>
      <w:r>
        <w:rPr>
          <w:rFonts w:eastAsia="黑体"/>
          <w:szCs w:val="32"/>
        </w:rPr>
        <w:t>年收入预算情况</w:t>
      </w:r>
    </w:p>
    <w:p>
      <w:pPr>
        <w:ind w:firstLine="640" w:firstLineChars="200"/>
        <w:rPr>
          <w:rFonts w:eastAsia="楷体"/>
          <w:szCs w:val="30"/>
        </w:rPr>
      </w:pPr>
      <w:r>
        <w:rPr>
          <w:szCs w:val="32"/>
          <w:highlight w:val="none"/>
        </w:rPr>
        <w:t>20</w:t>
      </w:r>
      <w:r>
        <w:rPr>
          <w:rFonts w:hint="eastAsia"/>
          <w:szCs w:val="32"/>
          <w:highlight w:val="none"/>
        </w:rPr>
        <w:t>2</w:t>
      </w:r>
      <w:r>
        <w:rPr>
          <w:rFonts w:hint="eastAsia"/>
          <w:szCs w:val="32"/>
          <w:highlight w:val="none"/>
          <w:lang w:val="en-US" w:eastAsia="zh-CN"/>
        </w:rPr>
        <w:t>4</w:t>
      </w:r>
      <w:r>
        <w:rPr>
          <w:szCs w:val="32"/>
          <w:highlight w:val="none"/>
        </w:rPr>
        <w:t>年收入预算</w:t>
      </w:r>
      <w:r>
        <w:rPr>
          <w:rFonts w:hint="eastAsia"/>
          <w:szCs w:val="32"/>
          <w:highlight w:val="none"/>
        </w:rPr>
        <w:t>136.89</w:t>
      </w:r>
      <w:r>
        <w:rPr>
          <w:szCs w:val="32"/>
          <w:highlight w:val="none"/>
        </w:rPr>
        <w:t>万元</w:t>
      </w:r>
      <w:r>
        <w:rPr>
          <w:szCs w:val="32"/>
        </w:rPr>
        <w:t>，其中：本年收入</w:t>
      </w:r>
      <w:r>
        <w:rPr>
          <w:rFonts w:hint="eastAsia"/>
          <w:szCs w:val="32"/>
        </w:rPr>
        <w:t>131.42</w:t>
      </w:r>
      <w:r>
        <w:rPr>
          <w:szCs w:val="32"/>
        </w:rPr>
        <w:t>万元，占</w:t>
      </w:r>
      <w:r>
        <w:rPr>
          <w:rFonts w:hint="eastAsia"/>
          <w:szCs w:val="32"/>
          <w:lang w:val="en-US" w:eastAsia="zh-CN"/>
        </w:rPr>
        <w:t>96</w:t>
      </w:r>
      <w:r>
        <w:rPr>
          <w:szCs w:val="32"/>
        </w:rPr>
        <w:t>%；上年结转</w:t>
      </w:r>
      <w:r>
        <w:rPr>
          <w:rFonts w:hint="eastAsia"/>
          <w:szCs w:val="32"/>
          <w:lang w:eastAsia="zh-CN"/>
        </w:rPr>
        <w:t>结余</w:t>
      </w:r>
      <w:r>
        <w:rPr>
          <w:rFonts w:hint="eastAsia"/>
          <w:szCs w:val="32"/>
        </w:rPr>
        <w:t>5.47</w:t>
      </w:r>
      <w:r>
        <w:rPr>
          <w:szCs w:val="32"/>
        </w:rPr>
        <w:t>万元，占</w:t>
      </w:r>
      <w:r>
        <w:rPr>
          <w:rFonts w:hint="eastAsia"/>
          <w:szCs w:val="32"/>
          <w:lang w:val="en-US" w:eastAsia="zh-CN"/>
        </w:rPr>
        <w:t>4</w:t>
      </w:r>
      <w:r>
        <w:rPr>
          <w:szCs w:val="32"/>
        </w:rPr>
        <w:t>%。本年收入中，一般公共预算拨款收入</w:t>
      </w:r>
      <w:r>
        <w:rPr>
          <w:rFonts w:hint="eastAsia"/>
          <w:szCs w:val="32"/>
        </w:rPr>
        <w:t>131.42</w:t>
      </w:r>
      <w:r>
        <w:rPr>
          <w:szCs w:val="32"/>
        </w:rPr>
        <w:t>万元，占</w:t>
      </w:r>
      <w:r>
        <w:rPr>
          <w:rFonts w:hint="eastAsia"/>
          <w:szCs w:val="32"/>
          <w:lang w:val="en-US" w:eastAsia="zh-CN"/>
        </w:rPr>
        <w:t>100</w:t>
      </w:r>
      <w:r>
        <w:rPr>
          <w:szCs w:val="32"/>
        </w:rPr>
        <w:t>%</w:t>
      </w:r>
      <w:r>
        <w:rPr>
          <w:rFonts w:hint="eastAsia"/>
          <w:szCs w:val="32"/>
        </w:rPr>
        <w:t>。</w:t>
      </w:r>
      <w:r>
        <w:rPr>
          <w:szCs w:val="32"/>
        </w:rPr>
        <w:t>上年结转</w:t>
      </w:r>
      <w:r>
        <w:rPr>
          <w:rFonts w:hint="eastAsia"/>
          <w:szCs w:val="32"/>
        </w:rPr>
        <w:t>中，一般公共预算拨款结转5.47</w:t>
      </w:r>
      <w:r>
        <w:rPr>
          <w:szCs w:val="32"/>
        </w:rPr>
        <w:t>万元，占</w:t>
      </w:r>
      <w:r>
        <w:rPr>
          <w:rFonts w:hint="eastAsia"/>
          <w:szCs w:val="32"/>
          <w:lang w:val="en-US" w:eastAsia="zh-CN"/>
        </w:rPr>
        <w:t>100</w:t>
      </w:r>
      <w:r>
        <w:rPr>
          <w:szCs w:val="32"/>
        </w:rPr>
        <w:t>%</w:t>
      </w:r>
      <w:r>
        <w:rPr>
          <w:rFonts w:hint="eastAsia"/>
          <w:szCs w:val="32"/>
        </w:rPr>
        <w:t>。</w:t>
      </w:r>
    </w:p>
    <w:p>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4</w:t>
      </w:r>
      <w:r>
        <w:rPr>
          <w:rFonts w:eastAsia="黑体"/>
          <w:szCs w:val="32"/>
        </w:rPr>
        <w:t>年支出预算情况</w:t>
      </w:r>
    </w:p>
    <w:p>
      <w:pPr>
        <w:ind w:firstLine="640" w:firstLineChars="200"/>
        <w:rPr>
          <w:rFonts w:eastAsia="楷体"/>
          <w:szCs w:val="32"/>
        </w:rPr>
      </w:pPr>
      <w:r>
        <w:rPr>
          <w:szCs w:val="32"/>
          <w:highlight w:val="none"/>
        </w:rPr>
        <w:t>20</w:t>
      </w:r>
      <w:r>
        <w:rPr>
          <w:rFonts w:hint="eastAsia"/>
          <w:szCs w:val="32"/>
          <w:highlight w:val="none"/>
        </w:rPr>
        <w:t>2</w:t>
      </w:r>
      <w:r>
        <w:rPr>
          <w:rFonts w:hint="eastAsia"/>
          <w:szCs w:val="32"/>
          <w:highlight w:val="none"/>
          <w:lang w:val="en-US" w:eastAsia="zh-CN"/>
        </w:rPr>
        <w:t>4</w:t>
      </w:r>
      <w:r>
        <w:rPr>
          <w:szCs w:val="32"/>
          <w:highlight w:val="none"/>
        </w:rPr>
        <w:t>年支出预算</w:t>
      </w:r>
      <w:r>
        <w:rPr>
          <w:rFonts w:hint="eastAsia"/>
          <w:szCs w:val="32"/>
          <w:highlight w:val="none"/>
        </w:rPr>
        <w:t>136.89</w:t>
      </w:r>
      <w:r>
        <w:rPr>
          <w:szCs w:val="32"/>
          <w:highlight w:val="none"/>
        </w:rPr>
        <w:t>万元</w:t>
      </w:r>
      <w:r>
        <w:rPr>
          <w:szCs w:val="32"/>
        </w:rPr>
        <w:t>，其中：基本支出</w:t>
      </w:r>
      <w:r>
        <w:rPr>
          <w:rFonts w:hint="eastAsia"/>
          <w:szCs w:val="32"/>
        </w:rPr>
        <w:t>136.89</w:t>
      </w:r>
      <w:r>
        <w:rPr>
          <w:szCs w:val="32"/>
        </w:rPr>
        <w:t>万元，占</w:t>
      </w:r>
      <w:r>
        <w:rPr>
          <w:rFonts w:hint="eastAsia"/>
          <w:szCs w:val="32"/>
          <w:lang w:val="en-US" w:eastAsia="zh-CN"/>
        </w:rPr>
        <w:t>100</w:t>
      </w:r>
      <w:r>
        <w:rPr>
          <w:szCs w:val="32"/>
        </w:rPr>
        <w:t>%</w:t>
      </w:r>
      <w:r>
        <w:rPr>
          <w:rFonts w:hint="eastAsia"/>
          <w:szCs w:val="32"/>
          <w:lang w:eastAsia="zh-CN"/>
        </w:rPr>
        <w:t>；</w:t>
      </w:r>
      <w:r>
        <w:rPr>
          <w:szCs w:val="32"/>
        </w:rPr>
        <w:t>项目支出</w:t>
      </w:r>
      <w:r>
        <w:rPr>
          <w:rFonts w:hint="eastAsia"/>
          <w:szCs w:val="32"/>
        </w:rPr>
        <w:t>0</w:t>
      </w:r>
      <w:r>
        <w:rPr>
          <w:szCs w:val="32"/>
        </w:rPr>
        <w:t>万元，占</w:t>
      </w:r>
      <w:r>
        <w:rPr>
          <w:rFonts w:hint="eastAsia"/>
          <w:szCs w:val="32"/>
        </w:rPr>
        <w:t>0</w:t>
      </w:r>
      <w:r>
        <w:rPr>
          <w:szCs w:val="32"/>
        </w:rPr>
        <w:t>%。</w:t>
      </w:r>
    </w:p>
    <w:p>
      <w:pPr>
        <w:ind w:firstLine="600"/>
        <w:rPr>
          <w:rFonts w:eastAsia="黑体"/>
          <w:szCs w:val="32"/>
        </w:rPr>
      </w:pPr>
      <w:r>
        <w:rPr>
          <w:rFonts w:eastAsia="黑体"/>
          <w:szCs w:val="32"/>
        </w:rPr>
        <w:t>四、20</w:t>
      </w:r>
      <w:r>
        <w:rPr>
          <w:rFonts w:hint="eastAsia" w:eastAsia="黑体"/>
          <w:szCs w:val="32"/>
        </w:rPr>
        <w:t>2</w:t>
      </w:r>
      <w:r>
        <w:rPr>
          <w:rFonts w:hint="eastAsia"/>
          <w:szCs w:val="32"/>
          <w:lang w:val="en-US" w:eastAsia="zh-CN"/>
        </w:rPr>
        <w:t>4</w:t>
      </w:r>
      <w:r>
        <w:rPr>
          <w:rFonts w:eastAsia="黑体"/>
          <w:szCs w:val="32"/>
        </w:rPr>
        <w:t>年财政拨款收支预算情况</w:t>
      </w:r>
    </w:p>
    <w:p>
      <w:pPr>
        <w:ind w:firstLine="600"/>
        <w:rPr>
          <w:rFonts w:hint="eastAsia" w:eastAsia="仿宋_GB2312"/>
          <w:szCs w:val="32"/>
          <w:lang w:eastAsia="zh-CN"/>
        </w:rPr>
      </w:pPr>
      <w:r>
        <w:rPr>
          <w:szCs w:val="32"/>
        </w:rPr>
        <w:t>20</w:t>
      </w:r>
      <w:r>
        <w:rPr>
          <w:rFonts w:hint="eastAsia"/>
          <w:szCs w:val="32"/>
        </w:rPr>
        <w:t>2</w:t>
      </w:r>
      <w:r>
        <w:rPr>
          <w:rFonts w:hint="eastAsia"/>
          <w:szCs w:val="32"/>
          <w:lang w:val="en-US" w:eastAsia="zh-CN"/>
        </w:rPr>
        <w:t>4</w:t>
      </w:r>
      <w:r>
        <w:rPr>
          <w:szCs w:val="32"/>
        </w:rPr>
        <w:t>年财政拨款收支总预算</w:t>
      </w:r>
      <w:r>
        <w:rPr>
          <w:rFonts w:hint="eastAsia"/>
          <w:szCs w:val="32"/>
        </w:rPr>
        <w:t>136.89</w:t>
      </w:r>
      <w:r>
        <w:rPr>
          <w:szCs w:val="32"/>
        </w:rPr>
        <w:t>万元，其中：</w:t>
      </w:r>
      <w:r>
        <w:rPr>
          <w:rFonts w:hint="eastAsia"/>
          <w:szCs w:val="32"/>
        </w:rPr>
        <w:t>本年</w:t>
      </w:r>
      <w:r>
        <w:rPr>
          <w:rFonts w:hint="eastAsia"/>
          <w:szCs w:val="32"/>
          <w:lang w:eastAsia="zh-CN"/>
        </w:rPr>
        <w:t>预算</w:t>
      </w:r>
      <w:r>
        <w:rPr>
          <w:rFonts w:hint="eastAsia"/>
          <w:szCs w:val="32"/>
        </w:rPr>
        <w:t>131.42</w:t>
      </w:r>
      <w:r>
        <w:rPr>
          <w:szCs w:val="32"/>
        </w:rPr>
        <w:t>万元</w:t>
      </w:r>
      <w:r>
        <w:rPr>
          <w:rFonts w:hint="eastAsia"/>
          <w:szCs w:val="32"/>
        </w:rPr>
        <w:t>，上年结转5.47</w:t>
      </w:r>
      <w:r>
        <w:rPr>
          <w:szCs w:val="32"/>
        </w:rPr>
        <w:t>万元</w:t>
      </w:r>
      <w:r>
        <w:rPr>
          <w:rFonts w:hint="eastAsia"/>
          <w:szCs w:val="32"/>
        </w:rPr>
        <w:t>。</w:t>
      </w:r>
      <w:r>
        <w:rPr>
          <w:szCs w:val="32"/>
        </w:rPr>
        <w:t>支出包括：</w:t>
      </w:r>
      <w:r>
        <w:rPr>
          <w:kern w:val="0"/>
          <w:szCs w:val="32"/>
        </w:rPr>
        <w:t>一般公共服务支出</w:t>
      </w:r>
      <w:r>
        <w:rPr>
          <w:rFonts w:hint="eastAsia"/>
          <w:szCs w:val="32"/>
        </w:rPr>
        <w:t>97.96</w:t>
      </w:r>
      <w:r>
        <w:rPr>
          <w:szCs w:val="32"/>
        </w:rPr>
        <w:t>万元，</w:t>
      </w:r>
      <w:r>
        <w:rPr>
          <w:kern w:val="0"/>
          <w:szCs w:val="32"/>
        </w:rPr>
        <w:t>社会保障和就业支出</w:t>
      </w:r>
      <w:r>
        <w:rPr>
          <w:rFonts w:hint="eastAsia"/>
          <w:szCs w:val="32"/>
        </w:rPr>
        <w:t>24.53</w:t>
      </w:r>
      <w:r>
        <w:rPr>
          <w:szCs w:val="32"/>
        </w:rPr>
        <w:t>万元，</w:t>
      </w:r>
      <w:r>
        <w:rPr>
          <w:kern w:val="0"/>
          <w:szCs w:val="32"/>
        </w:rPr>
        <w:t>卫生</w:t>
      </w:r>
      <w:r>
        <w:rPr>
          <w:rFonts w:hint="eastAsia"/>
          <w:kern w:val="0"/>
          <w:szCs w:val="32"/>
        </w:rPr>
        <w:t>健康</w:t>
      </w:r>
      <w:r>
        <w:rPr>
          <w:kern w:val="0"/>
          <w:szCs w:val="32"/>
        </w:rPr>
        <w:t>支出</w:t>
      </w:r>
      <w:r>
        <w:rPr>
          <w:rFonts w:hint="eastAsia"/>
          <w:szCs w:val="32"/>
        </w:rPr>
        <w:t>3.39</w:t>
      </w:r>
      <w:r>
        <w:rPr>
          <w:szCs w:val="32"/>
        </w:rPr>
        <w:t>万元，</w:t>
      </w:r>
      <w:r>
        <w:rPr>
          <w:kern w:val="0"/>
          <w:szCs w:val="32"/>
        </w:rPr>
        <w:t>住房保障支出</w:t>
      </w:r>
      <w:r>
        <w:rPr>
          <w:rFonts w:hint="eastAsia"/>
          <w:szCs w:val="32"/>
        </w:rPr>
        <w:t>11.01</w:t>
      </w:r>
      <w:r>
        <w:rPr>
          <w:szCs w:val="32"/>
        </w:rPr>
        <w:t>万元</w:t>
      </w:r>
      <w:r>
        <w:rPr>
          <w:rFonts w:hint="eastAsia"/>
          <w:szCs w:val="32"/>
          <w:lang w:eastAsia="zh-CN"/>
        </w:rPr>
        <w:t>。</w:t>
      </w:r>
    </w:p>
    <w:p>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年一般公共预算拨款</w:t>
      </w:r>
      <w:r>
        <w:rPr>
          <w:rFonts w:hint="eastAsia"/>
          <w:szCs w:val="32"/>
        </w:rPr>
        <w:t>136.89</w:t>
      </w:r>
      <w:r>
        <w:rPr>
          <w:szCs w:val="32"/>
        </w:rPr>
        <w:t>万元，其中：基本支出</w:t>
      </w:r>
      <w:r>
        <w:rPr>
          <w:rFonts w:hint="eastAsia"/>
          <w:szCs w:val="32"/>
        </w:rPr>
        <w:t>136.89</w:t>
      </w:r>
      <w:r>
        <w:rPr>
          <w:szCs w:val="32"/>
        </w:rPr>
        <w:t>万元，占</w:t>
      </w:r>
      <w:r>
        <w:rPr>
          <w:rFonts w:hint="eastAsia"/>
          <w:szCs w:val="32"/>
          <w:lang w:val="en-US" w:eastAsia="zh-CN"/>
        </w:rPr>
        <w:t>100</w:t>
      </w:r>
      <w:r>
        <w:rPr>
          <w:szCs w:val="32"/>
        </w:rPr>
        <w:t>%。基本支出中，人员经费</w:t>
      </w:r>
      <w:r>
        <w:rPr>
          <w:rFonts w:hint="eastAsia"/>
          <w:szCs w:val="32"/>
        </w:rPr>
        <w:t>113.14</w:t>
      </w:r>
      <w:r>
        <w:rPr>
          <w:szCs w:val="32"/>
        </w:rPr>
        <w:t>万元，占</w:t>
      </w:r>
      <w:r>
        <w:rPr>
          <w:rFonts w:hint="eastAsia"/>
          <w:szCs w:val="32"/>
          <w:lang w:val="en-US" w:eastAsia="zh-CN"/>
        </w:rPr>
        <w:t>82.65</w:t>
      </w:r>
      <w:r>
        <w:rPr>
          <w:szCs w:val="32"/>
        </w:rPr>
        <w:t>%；公用经费</w:t>
      </w:r>
      <w:r>
        <w:rPr>
          <w:rFonts w:hint="eastAsia"/>
          <w:szCs w:val="32"/>
        </w:rPr>
        <w:t>23.75</w:t>
      </w:r>
      <w:r>
        <w:rPr>
          <w:szCs w:val="32"/>
        </w:rPr>
        <w:t>万元，占</w:t>
      </w:r>
      <w:r>
        <w:rPr>
          <w:rFonts w:hint="eastAsia"/>
          <w:szCs w:val="32"/>
          <w:lang w:val="en-US" w:eastAsia="zh-CN"/>
        </w:rPr>
        <w:t>17.35</w:t>
      </w:r>
      <w:r>
        <w:rPr>
          <w:szCs w:val="32"/>
        </w:rPr>
        <w:t>%。</w:t>
      </w:r>
    </w:p>
    <w:p>
      <w:pPr>
        <w:spacing w:line="520" w:lineRule="exact"/>
        <w:ind w:firstLine="640" w:firstLineChars="200"/>
        <w:rPr>
          <w:szCs w:val="32"/>
        </w:rPr>
      </w:pPr>
      <w:r>
        <w:rPr>
          <w:szCs w:val="32"/>
        </w:rPr>
        <w:t>一般公共服务（类）支出</w:t>
      </w:r>
      <w:r>
        <w:rPr>
          <w:rFonts w:hint="eastAsia"/>
          <w:szCs w:val="32"/>
        </w:rPr>
        <w:t>97.96</w:t>
      </w:r>
      <w:r>
        <w:rPr>
          <w:szCs w:val="32"/>
        </w:rPr>
        <w:t>万元，占</w:t>
      </w:r>
      <w:r>
        <w:rPr>
          <w:rFonts w:hint="eastAsia"/>
          <w:szCs w:val="32"/>
          <w:lang w:val="en-US" w:eastAsia="zh-CN"/>
        </w:rPr>
        <w:t>71.56</w:t>
      </w:r>
      <w:r>
        <w:rPr>
          <w:szCs w:val="32"/>
        </w:rPr>
        <w:t>%，主要用于</w:t>
      </w:r>
      <w:r>
        <w:rPr>
          <w:rFonts w:hint="eastAsia"/>
          <w:szCs w:val="32"/>
        </w:rPr>
        <w:t>保障职工工资正常发放，维持机关正常运转，完成年度统计工作任务</w:t>
      </w:r>
      <w:r>
        <w:rPr>
          <w:szCs w:val="32"/>
        </w:rPr>
        <w:t>。</w:t>
      </w:r>
    </w:p>
    <w:p>
      <w:pPr>
        <w:spacing w:line="520" w:lineRule="exact"/>
        <w:ind w:firstLine="640" w:firstLineChars="200"/>
        <w:rPr>
          <w:szCs w:val="32"/>
        </w:rPr>
      </w:pPr>
      <w:r>
        <w:rPr>
          <w:szCs w:val="32"/>
        </w:rPr>
        <w:t>社会保障和就业（类）支出</w:t>
      </w:r>
      <w:r>
        <w:rPr>
          <w:rFonts w:hint="eastAsia"/>
          <w:szCs w:val="32"/>
        </w:rPr>
        <w:t>24.53</w:t>
      </w:r>
      <w:r>
        <w:rPr>
          <w:szCs w:val="32"/>
        </w:rPr>
        <w:t>万元，占</w:t>
      </w:r>
      <w:r>
        <w:rPr>
          <w:rFonts w:hint="eastAsia"/>
          <w:szCs w:val="32"/>
          <w:lang w:val="en-US" w:eastAsia="zh-CN"/>
        </w:rPr>
        <w:t>17.92</w:t>
      </w:r>
      <w:r>
        <w:rPr>
          <w:szCs w:val="32"/>
        </w:rPr>
        <w:t>%，主要用于</w:t>
      </w:r>
      <w:r>
        <w:rPr>
          <w:rFonts w:hint="eastAsia"/>
          <w:szCs w:val="32"/>
        </w:rPr>
        <w:t>保障退休职工工资及机关事业单位基本养老保险缴费支出。</w:t>
      </w:r>
    </w:p>
    <w:p>
      <w:pPr>
        <w:spacing w:line="520" w:lineRule="exact"/>
        <w:ind w:firstLine="640" w:firstLineChars="200"/>
        <w:rPr>
          <w:szCs w:val="32"/>
        </w:rPr>
      </w:pPr>
      <w:r>
        <w:rPr>
          <w:rFonts w:hint="eastAsia"/>
          <w:szCs w:val="32"/>
        </w:rPr>
        <w:t>卫生健康</w:t>
      </w:r>
      <w:r>
        <w:rPr>
          <w:szCs w:val="32"/>
        </w:rPr>
        <w:t>支出（类）支出</w:t>
      </w:r>
      <w:r>
        <w:rPr>
          <w:rFonts w:hint="eastAsia"/>
          <w:szCs w:val="32"/>
        </w:rPr>
        <w:t>3.39</w:t>
      </w:r>
      <w:r>
        <w:rPr>
          <w:szCs w:val="32"/>
        </w:rPr>
        <w:t>万元，占</w:t>
      </w:r>
      <w:r>
        <w:rPr>
          <w:rFonts w:hint="eastAsia"/>
          <w:szCs w:val="32"/>
          <w:lang w:val="en-US" w:eastAsia="zh-CN"/>
        </w:rPr>
        <w:t>2.48</w:t>
      </w:r>
      <w:r>
        <w:rPr>
          <w:szCs w:val="32"/>
        </w:rPr>
        <w:t>%，主要用于</w:t>
      </w:r>
      <w:r>
        <w:rPr>
          <w:rFonts w:hint="eastAsia"/>
          <w:szCs w:val="32"/>
        </w:rPr>
        <w:t>缴纳职工医疗保险</w:t>
      </w:r>
      <w:r>
        <w:rPr>
          <w:szCs w:val="32"/>
        </w:rPr>
        <w:t>。</w:t>
      </w:r>
    </w:p>
    <w:p>
      <w:pPr>
        <w:spacing w:line="520" w:lineRule="exact"/>
        <w:ind w:firstLine="640" w:firstLineChars="200"/>
        <w:rPr>
          <w:rFonts w:hint="eastAsia"/>
          <w:szCs w:val="32"/>
        </w:rPr>
      </w:pPr>
      <w:r>
        <w:rPr>
          <w:szCs w:val="32"/>
        </w:rPr>
        <w:t>住房保障（类）支出</w:t>
      </w:r>
      <w:r>
        <w:rPr>
          <w:rFonts w:hint="eastAsia"/>
          <w:szCs w:val="32"/>
        </w:rPr>
        <w:t>11.01</w:t>
      </w:r>
      <w:r>
        <w:rPr>
          <w:szCs w:val="32"/>
        </w:rPr>
        <w:t>万元，占</w:t>
      </w:r>
      <w:r>
        <w:rPr>
          <w:rFonts w:hint="eastAsia"/>
          <w:szCs w:val="32"/>
          <w:lang w:val="en-US" w:eastAsia="zh-CN"/>
        </w:rPr>
        <w:t>8.04</w:t>
      </w:r>
      <w:r>
        <w:rPr>
          <w:szCs w:val="32"/>
        </w:rPr>
        <w:t>%，主要用于</w:t>
      </w:r>
      <w:r>
        <w:rPr>
          <w:rFonts w:hint="eastAsia"/>
          <w:szCs w:val="32"/>
        </w:rPr>
        <w:t>缴纳职工住房公积金</w:t>
      </w:r>
      <w:r>
        <w:rPr>
          <w:szCs w:val="32"/>
        </w:rPr>
        <w:t>。</w:t>
      </w:r>
    </w:p>
    <w:p>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4</w:t>
      </w:r>
      <w:r>
        <w:rPr>
          <w:rFonts w:eastAsia="黑体"/>
          <w:szCs w:val="32"/>
        </w:rPr>
        <w:t>年一般公共预算基本支出情况</w:t>
      </w:r>
    </w:p>
    <w:p>
      <w:pPr>
        <w:ind w:firstLine="640"/>
        <w:rPr>
          <w:szCs w:val="32"/>
        </w:rPr>
      </w:pPr>
      <w:r>
        <w:rPr>
          <w:szCs w:val="32"/>
        </w:rPr>
        <w:t>20</w:t>
      </w:r>
      <w:r>
        <w:rPr>
          <w:rFonts w:hint="eastAsia"/>
          <w:szCs w:val="32"/>
        </w:rPr>
        <w:t>2</w:t>
      </w:r>
      <w:r>
        <w:rPr>
          <w:rFonts w:hint="eastAsia"/>
          <w:szCs w:val="32"/>
          <w:lang w:val="en-US" w:eastAsia="zh-CN"/>
        </w:rPr>
        <w:t>4</w:t>
      </w:r>
      <w:r>
        <w:rPr>
          <w:szCs w:val="32"/>
        </w:rPr>
        <w:t>年一般公共预算基本支出</w:t>
      </w:r>
      <w:r>
        <w:rPr>
          <w:rFonts w:hint="eastAsia"/>
          <w:szCs w:val="32"/>
          <w:lang w:val="en-US" w:eastAsia="zh-CN"/>
        </w:rPr>
        <w:t>136.88</w:t>
      </w:r>
      <w:r>
        <w:rPr>
          <w:szCs w:val="32"/>
        </w:rPr>
        <w:t>万元，其中：</w:t>
      </w:r>
    </w:p>
    <w:p>
      <w:pPr>
        <w:ind w:firstLine="640" w:firstLineChars="200"/>
        <w:rPr>
          <w:kern w:val="0"/>
          <w:szCs w:val="32"/>
        </w:rPr>
      </w:pPr>
      <w:r>
        <w:rPr>
          <w:szCs w:val="32"/>
        </w:rPr>
        <w:t>人员经费</w:t>
      </w:r>
      <w:r>
        <w:rPr>
          <w:rFonts w:hint="eastAsia"/>
          <w:szCs w:val="32"/>
        </w:rPr>
        <w:t>113.14</w:t>
      </w:r>
      <w:r>
        <w:rPr>
          <w:szCs w:val="32"/>
        </w:rPr>
        <w:t>万元，主要包括：</w:t>
      </w:r>
      <w:r>
        <w:rPr>
          <w:kern w:val="0"/>
          <w:szCs w:val="32"/>
        </w:rPr>
        <w:t>基本工资、津贴补贴</w:t>
      </w:r>
      <w:r>
        <w:rPr>
          <w:szCs w:val="32"/>
        </w:rPr>
        <w:t>、</w:t>
      </w:r>
      <w:r>
        <w:rPr>
          <w:kern w:val="0"/>
          <w:szCs w:val="32"/>
        </w:rPr>
        <w:t>奖金</w:t>
      </w:r>
      <w:r>
        <w:rPr>
          <w:szCs w:val="32"/>
        </w:rPr>
        <w:t>、</w:t>
      </w:r>
      <w:r>
        <w:rPr>
          <w:kern w:val="0"/>
          <w:szCs w:val="32"/>
        </w:rPr>
        <w:t>社会保障缴费</w:t>
      </w:r>
      <w:r>
        <w:rPr>
          <w:szCs w:val="32"/>
        </w:rPr>
        <w:t>、</w:t>
      </w:r>
      <w:r>
        <w:rPr>
          <w:kern w:val="0"/>
          <w:szCs w:val="32"/>
        </w:rPr>
        <w:t>其他工资福利支出</w:t>
      </w:r>
      <w:r>
        <w:rPr>
          <w:szCs w:val="32"/>
        </w:rPr>
        <w:t>、</w:t>
      </w:r>
      <w:r>
        <w:rPr>
          <w:kern w:val="0"/>
          <w:szCs w:val="32"/>
        </w:rPr>
        <w:t>退休费</w:t>
      </w:r>
      <w:r>
        <w:rPr>
          <w:szCs w:val="32"/>
        </w:rPr>
        <w:t>、</w:t>
      </w:r>
      <w:r>
        <w:rPr>
          <w:kern w:val="0"/>
          <w:szCs w:val="32"/>
        </w:rPr>
        <w:t>住房公积金</w:t>
      </w:r>
      <w:r>
        <w:rPr>
          <w:szCs w:val="32"/>
        </w:rPr>
        <w:t>、</w:t>
      </w:r>
      <w:r>
        <w:rPr>
          <w:rFonts w:hint="eastAsia"/>
          <w:kern w:val="0"/>
          <w:szCs w:val="32"/>
        </w:rPr>
        <w:t>医疗费</w:t>
      </w:r>
      <w:r>
        <w:rPr>
          <w:szCs w:val="32"/>
        </w:rPr>
        <w:t>、</w:t>
      </w:r>
      <w:r>
        <w:rPr>
          <w:kern w:val="0"/>
          <w:szCs w:val="32"/>
        </w:rPr>
        <w:t>其他对个人和家庭的补助支出。</w:t>
      </w:r>
    </w:p>
    <w:p>
      <w:pPr>
        <w:ind w:firstLine="640" w:firstLineChars="200"/>
        <w:rPr>
          <w:szCs w:val="32"/>
        </w:rPr>
      </w:pPr>
      <w:r>
        <w:rPr>
          <w:kern w:val="0"/>
          <w:szCs w:val="32"/>
        </w:rPr>
        <w:t>公用经费</w:t>
      </w:r>
      <w:r>
        <w:rPr>
          <w:rFonts w:hint="eastAsia"/>
          <w:szCs w:val="32"/>
        </w:rPr>
        <w:t>23.74</w:t>
      </w:r>
      <w:r>
        <w:rPr>
          <w:szCs w:val="32"/>
        </w:rPr>
        <w:t>万元，主要包括：</w:t>
      </w:r>
      <w:r>
        <w:rPr>
          <w:kern w:val="0"/>
          <w:szCs w:val="32"/>
        </w:rPr>
        <w:t>差旅费</w:t>
      </w:r>
      <w:r>
        <w:rPr>
          <w:szCs w:val="32"/>
        </w:rPr>
        <w:t>、</w:t>
      </w:r>
      <w:r>
        <w:rPr>
          <w:kern w:val="0"/>
          <w:szCs w:val="32"/>
        </w:rPr>
        <w:t>会议费</w:t>
      </w:r>
      <w:r>
        <w:rPr>
          <w:szCs w:val="32"/>
        </w:rPr>
        <w:t>、</w:t>
      </w:r>
      <w:r>
        <w:rPr>
          <w:kern w:val="0"/>
          <w:szCs w:val="32"/>
        </w:rPr>
        <w:t>培训费</w:t>
      </w:r>
      <w:r>
        <w:rPr>
          <w:szCs w:val="32"/>
        </w:rPr>
        <w:t>、</w:t>
      </w:r>
      <w:r>
        <w:rPr>
          <w:kern w:val="0"/>
          <w:szCs w:val="32"/>
        </w:rPr>
        <w:t>工会经费、福利费</w:t>
      </w:r>
      <w:r>
        <w:rPr>
          <w:szCs w:val="32"/>
        </w:rPr>
        <w:t>、</w:t>
      </w:r>
      <w:r>
        <w:rPr>
          <w:kern w:val="0"/>
          <w:szCs w:val="32"/>
        </w:rPr>
        <w:t>其他交通补助</w:t>
      </w:r>
      <w:r>
        <w:rPr>
          <w:szCs w:val="32"/>
        </w:rPr>
        <w:t>、</w:t>
      </w:r>
      <w:r>
        <w:rPr>
          <w:kern w:val="0"/>
          <w:szCs w:val="32"/>
        </w:rPr>
        <w:t>其他商品和服务支出</w:t>
      </w:r>
      <w:r>
        <w:rPr>
          <w:rFonts w:hint="eastAsia"/>
          <w:kern w:val="0"/>
          <w:szCs w:val="32"/>
          <w:lang w:eastAsia="zh-CN"/>
        </w:rPr>
        <w:t>、办公设备购置</w:t>
      </w:r>
      <w:r>
        <w:rPr>
          <w:kern w:val="0"/>
          <w:szCs w:val="32"/>
        </w:rPr>
        <w:t>。</w:t>
      </w:r>
    </w:p>
    <w:p>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年“三公”经费预算数为</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val="en-US" w:eastAsia="zh-CN"/>
        </w:rPr>
        <w:t>持平</w:t>
      </w:r>
      <w:r>
        <w:rPr>
          <w:szCs w:val="32"/>
        </w:rPr>
        <w:t>。其中：</w:t>
      </w:r>
    </w:p>
    <w:p>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rPr>
        <w:t>持平</w:t>
      </w:r>
      <w:r>
        <w:rPr>
          <w:rFonts w:hint="eastAsia"/>
          <w:szCs w:val="32"/>
          <w:lang w:eastAsia="zh-CN"/>
        </w:rPr>
        <w:t>。</w:t>
      </w:r>
    </w:p>
    <w:p>
      <w:pPr>
        <w:ind w:firstLine="640" w:firstLineChars="200"/>
        <w:rPr>
          <w:rFonts w:hint="eastAsia" w:eastAsia="仿宋_GB2312"/>
          <w:szCs w:val="32"/>
          <w:lang w:eastAsia="zh-CN"/>
        </w:rPr>
      </w:pPr>
      <w:r>
        <w:rPr>
          <w:szCs w:val="32"/>
        </w:rPr>
        <w:t>2.公务接待费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val="en-US" w:eastAsia="zh-CN"/>
        </w:rPr>
        <w:t>持平</w:t>
      </w:r>
      <w:r>
        <w:rPr>
          <w:rFonts w:hint="eastAsia"/>
          <w:szCs w:val="32"/>
          <w:lang w:eastAsia="zh-CN"/>
        </w:rPr>
        <w:t>。</w:t>
      </w:r>
    </w:p>
    <w:p>
      <w:pPr>
        <w:ind w:firstLine="640" w:firstLineChars="200"/>
        <w:jc w:val="both"/>
        <w:rPr>
          <w:rFonts w:hint="eastAsia"/>
          <w:szCs w:val="32"/>
          <w:lang w:val="en-US" w:eastAsia="zh-CN"/>
        </w:rPr>
      </w:pPr>
      <w:r>
        <w:rPr>
          <w:szCs w:val="32"/>
        </w:rPr>
        <w:t>3.公务用车购置及运行费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val="en-US" w:eastAsia="zh-CN"/>
        </w:rPr>
        <w:t>持平</w:t>
      </w:r>
      <w:r>
        <w:rPr>
          <w:szCs w:val="32"/>
        </w:rPr>
        <w:t>；公务用车购置费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2024年当年预算数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val="en-US" w:eastAsia="zh-CN"/>
        </w:rPr>
        <w:t>持平</w:t>
      </w:r>
      <w:r>
        <w:rPr>
          <w:szCs w:val="32"/>
        </w:rPr>
        <w:t>。</w:t>
      </w:r>
      <w:r>
        <w:rPr>
          <w:rFonts w:hint="eastAsia"/>
          <w:szCs w:val="32"/>
          <w:lang w:val="en-US" w:eastAsia="zh-CN"/>
        </w:rPr>
        <w:t xml:space="preserve">         </w:t>
      </w:r>
    </w:p>
    <w:p>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4</w:t>
      </w:r>
      <w:r>
        <w:rPr>
          <w:rFonts w:eastAsia="黑体"/>
          <w:szCs w:val="32"/>
        </w:rPr>
        <w:t>年政府性基金预算支出情况</w:t>
      </w:r>
    </w:p>
    <w:p>
      <w:pPr>
        <w:ind w:firstLine="640" w:firstLineChars="200"/>
        <w:jc w:val="both"/>
        <w:rPr>
          <w:rFonts w:hint="eastAsia" w:eastAsia="仿宋_GB2312"/>
          <w:szCs w:val="32"/>
          <w:lang w:eastAsia="zh-CN"/>
        </w:rPr>
      </w:pPr>
      <w:r>
        <w:rPr>
          <w:szCs w:val="32"/>
        </w:rPr>
        <w:t>本</w:t>
      </w:r>
      <w:r>
        <w:rPr>
          <w:rFonts w:hint="eastAsia"/>
          <w:szCs w:val="32"/>
          <w:lang w:eastAsia="zh-CN"/>
        </w:rPr>
        <w:t>单位</w:t>
      </w:r>
      <w:r>
        <w:rPr>
          <w:szCs w:val="32"/>
        </w:rPr>
        <w:t>无政府性基金预算拨款</w:t>
      </w:r>
      <w:r>
        <w:rPr>
          <w:rFonts w:hint="eastAsia"/>
          <w:szCs w:val="32"/>
          <w:lang w:eastAsia="zh-CN"/>
        </w:rPr>
        <w:t>。</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4</w:t>
      </w:r>
      <w:r>
        <w:rPr>
          <w:rFonts w:eastAsia="黑体"/>
          <w:szCs w:val="32"/>
        </w:rPr>
        <w:t>年</w:t>
      </w:r>
      <w:r>
        <w:rPr>
          <w:rFonts w:hint="eastAsia" w:eastAsia="黑体"/>
          <w:szCs w:val="32"/>
        </w:rPr>
        <w:t>国有资本经营</w:t>
      </w:r>
      <w:r>
        <w:rPr>
          <w:rFonts w:eastAsia="黑体"/>
          <w:szCs w:val="32"/>
        </w:rPr>
        <w:t>预算支出情况</w:t>
      </w:r>
    </w:p>
    <w:p>
      <w:pPr>
        <w:spacing w:line="540" w:lineRule="exact"/>
        <w:ind w:firstLine="640" w:firstLineChars="200"/>
        <w:rPr>
          <w:rFonts w:hint="eastAsia"/>
          <w:szCs w:val="32"/>
          <w:lang w:eastAsia="zh-CN"/>
        </w:rPr>
      </w:pPr>
      <w:r>
        <w:rPr>
          <w:szCs w:val="32"/>
        </w:rPr>
        <w:t>本</w:t>
      </w:r>
      <w:r>
        <w:rPr>
          <w:rFonts w:hint="eastAsia"/>
          <w:szCs w:val="32"/>
          <w:lang w:eastAsia="zh-CN"/>
        </w:rPr>
        <w:t>单位</w:t>
      </w:r>
      <w:r>
        <w:rPr>
          <w:szCs w:val="32"/>
        </w:rPr>
        <w:t>无</w:t>
      </w:r>
      <w:r>
        <w:rPr>
          <w:rFonts w:hint="eastAsia"/>
          <w:szCs w:val="32"/>
        </w:rPr>
        <w:t>国有资本经营</w:t>
      </w:r>
      <w:r>
        <w:rPr>
          <w:szCs w:val="32"/>
        </w:rPr>
        <w:t>预算拨款</w:t>
      </w:r>
      <w:r>
        <w:rPr>
          <w:rFonts w:hint="eastAsia"/>
          <w:szCs w:val="32"/>
          <w:lang w:eastAsia="zh-CN"/>
        </w:rPr>
        <w:t>。</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w:t>
      </w:r>
      <w:r>
        <w:rPr>
          <w:rFonts w:hint="eastAsia"/>
          <w:szCs w:val="32"/>
          <w:lang w:eastAsia="zh-CN"/>
        </w:rPr>
        <w:t>单位</w:t>
      </w:r>
      <w:r>
        <w:rPr>
          <w:szCs w:val="32"/>
        </w:rPr>
        <w:t>本级</w:t>
      </w:r>
      <w:r>
        <w:rPr>
          <w:rFonts w:hint="eastAsia"/>
          <w:szCs w:val="32"/>
          <w:lang w:val="en-US" w:eastAsia="zh-CN"/>
        </w:rPr>
        <w:t>1</w:t>
      </w:r>
      <w:r>
        <w:rPr>
          <w:szCs w:val="32"/>
        </w:rPr>
        <w:t>家行政单位的机关运行经费财政拨款预算</w:t>
      </w:r>
      <w:r>
        <w:rPr>
          <w:rFonts w:hint="eastAsia"/>
          <w:szCs w:val="32"/>
          <w:lang w:val="en-US" w:eastAsia="zh-CN"/>
        </w:rPr>
        <w:t>23.74</w:t>
      </w:r>
      <w:r>
        <w:rPr>
          <w:szCs w:val="32"/>
        </w:rPr>
        <w:t>万元，比20</w:t>
      </w:r>
      <w:r>
        <w:rPr>
          <w:rFonts w:hint="eastAsia"/>
          <w:szCs w:val="32"/>
        </w:rPr>
        <w:t>2</w:t>
      </w:r>
      <w:r>
        <w:rPr>
          <w:rFonts w:hint="eastAsia"/>
          <w:szCs w:val="32"/>
          <w:lang w:val="en-US" w:eastAsia="zh-CN"/>
        </w:rPr>
        <w:t>3</w:t>
      </w:r>
      <w:r>
        <w:rPr>
          <w:szCs w:val="32"/>
        </w:rPr>
        <w:t>年预算减少</w:t>
      </w:r>
      <w:r>
        <w:rPr>
          <w:rFonts w:hint="eastAsia"/>
          <w:szCs w:val="32"/>
          <w:lang w:val="en-US" w:eastAsia="zh-CN"/>
        </w:rPr>
        <w:t>4.47</w:t>
      </w:r>
      <w:r>
        <w:rPr>
          <w:szCs w:val="32"/>
        </w:rPr>
        <w:t>万元，下降</w:t>
      </w:r>
      <w:r>
        <w:rPr>
          <w:rFonts w:hint="eastAsia"/>
          <w:szCs w:val="32"/>
          <w:lang w:val="en-US" w:eastAsia="zh-CN"/>
        </w:rPr>
        <w:t>15.85</w:t>
      </w:r>
      <w:r>
        <w:rPr>
          <w:szCs w:val="32"/>
        </w:rPr>
        <w:t>%</w:t>
      </w:r>
      <w:r>
        <w:rPr>
          <w:rFonts w:hint="eastAsia"/>
          <w:szCs w:val="32"/>
        </w:rPr>
        <w:t>，主要原因是贯彻落实省财政厅“过紧日子”的工作要求，压减机关运行经费预算</w:t>
      </w:r>
      <w:r>
        <w:rPr>
          <w:szCs w:val="32"/>
        </w:rPr>
        <w:t>。</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szCs w:val="32"/>
        </w:rPr>
      </w:pPr>
      <w:r>
        <w:rPr>
          <w:rFonts w:hint="eastAsia"/>
          <w:szCs w:val="32"/>
        </w:rPr>
        <w:t>本</w:t>
      </w:r>
      <w:r>
        <w:rPr>
          <w:rFonts w:hint="eastAsia"/>
          <w:szCs w:val="32"/>
          <w:lang w:eastAsia="zh-CN"/>
        </w:rPr>
        <w:t>单位</w:t>
      </w:r>
      <w:r>
        <w:rPr>
          <w:rFonts w:hint="eastAsia"/>
          <w:szCs w:val="32"/>
        </w:rPr>
        <w:t>无政府采购。</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rFonts w:hint="eastAsia"/>
          <w:szCs w:val="32"/>
        </w:rPr>
      </w:pPr>
      <w:r>
        <w:rPr>
          <w:rFonts w:hint="eastAsia"/>
          <w:szCs w:val="32"/>
        </w:rPr>
        <w:t>截至202</w:t>
      </w:r>
      <w:r>
        <w:rPr>
          <w:rFonts w:hint="eastAsia"/>
          <w:szCs w:val="32"/>
          <w:lang w:val="en-US" w:eastAsia="zh-CN"/>
        </w:rPr>
        <w:t>3</w:t>
      </w:r>
      <w:r>
        <w:rPr>
          <w:rFonts w:hint="eastAsia"/>
          <w:szCs w:val="32"/>
        </w:rPr>
        <w:t>年8月底，</w:t>
      </w:r>
      <w:r>
        <w:rPr>
          <w:rFonts w:hint="eastAsia"/>
          <w:szCs w:val="32"/>
          <w:lang w:eastAsia="zh-CN"/>
        </w:rPr>
        <w:t>单位</w:t>
      </w:r>
      <w:r>
        <w:rPr>
          <w:rFonts w:hint="eastAsia"/>
          <w:szCs w:val="32"/>
        </w:rPr>
        <w:t>本级共有车辆</w:t>
      </w:r>
      <w:r>
        <w:rPr>
          <w:rFonts w:hint="eastAsia"/>
          <w:szCs w:val="32"/>
          <w:lang w:val="en-US" w:eastAsia="zh-CN"/>
        </w:rPr>
        <w:t>0</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0</w:t>
      </w:r>
      <w:r>
        <w:rPr>
          <w:rFonts w:hint="eastAsia"/>
          <w:szCs w:val="32"/>
        </w:rPr>
        <w:t>平方米，单价50万元以上设备</w:t>
      </w:r>
      <w:r>
        <w:rPr>
          <w:rFonts w:hint="eastAsia"/>
          <w:szCs w:val="32"/>
          <w:lang w:val="en-US" w:eastAsia="zh-CN"/>
        </w:rPr>
        <w:t>0</w:t>
      </w:r>
      <w:r>
        <w:rPr>
          <w:rFonts w:hint="eastAsia"/>
          <w:szCs w:val="32"/>
        </w:rPr>
        <w:t>台/套。</w:t>
      </w:r>
    </w:p>
    <w:p>
      <w:pPr>
        <w:spacing w:line="540" w:lineRule="exact"/>
        <w:ind w:firstLine="640" w:firstLineChars="200"/>
        <w:rPr>
          <w:szCs w:val="32"/>
        </w:rPr>
      </w:pPr>
      <w:r>
        <w:rPr>
          <w:rFonts w:hint="eastAsia"/>
          <w:szCs w:val="32"/>
        </w:rPr>
        <w:t>202</w:t>
      </w:r>
      <w:r>
        <w:rPr>
          <w:rFonts w:hint="eastAsia"/>
          <w:szCs w:val="32"/>
          <w:lang w:val="en-US" w:eastAsia="zh-CN"/>
        </w:rPr>
        <w:t>4</w:t>
      </w:r>
      <w:r>
        <w:rPr>
          <w:rFonts w:hint="eastAsia"/>
          <w:szCs w:val="32"/>
        </w:rPr>
        <w:t>年</w:t>
      </w:r>
      <w:r>
        <w:rPr>
          <w:rFonts w:hint="eastAsia"/>
          <w:szCs w:val="32"/>
          <w:lang w:eastAsia="zh-CN"/>
        </w:rPr>
        <w:t>单位</w:t>
      </w:r>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pPr>
        <w:spacing w:line="540" w:lineRule="exact"/>
        <w:ind w:firstLine="640" w:firstLineChars="200"/>
      </w:pPr>
      <w:r>
        <w:t>202</w:t>
      </w:r>
      <w:r>
        <w:rPr>
          <w:rFonts w:hint="eastAsia"/>
          <w:lang w:val="en-US" w:eastAsia="zh-CN"/>
        </w:rPr>
        <w:t>4</w:t>
      </w:r>
      <w:r>
        <w:t>年</w:t>
      </w:r>
      <w:r>
        <w:rPr>
          <w:rFonts w:hint="eastAsia"/>
          <w:lang w:eastAsia="zh-CN"/>
        </w:rPr>
        <w:t>单位</w:t>
      </w:r>
      <w:r>
        <w:t>项目支出</w:t>
      </w:r>
      <w:r>
        <w:rPr>
          <w:rFonts w:hint="eastAsia"/>
          <w:lang w:val="en-US" w:eastAsia="zh-CN"/>
        </w:rPr>
        <w:t>0</w:t>
      </w:r>
      <w:r>
        <w:rPr>
          <w:szCs w:val="32"/>
        </w:rPr>
        <w:t>万元，其中：一级项目</w:t>
      </w:r>
      <w:r>
        <w:rPr>
          <w:rFonts w:hint="eastAsia"/>
          <w:szCs w:val="32"/>
          <w:lang w:val="en-US" w:eastAsia="zh-CN"/>
        </w:rPr>
        <w:t>0</w:t>
      </w:r>
      <w:r>
        <w:rPr>
          <w:szCs w:val="32"/>
        </w:rPr>
        <w:t>个，二级项目</w:t>
      </w:r>
      <w:r>
        <w:rPr>
          <w:rFonts w:hint="eastAsia"/>
          <w:szCs w:val="32"/>
          <w:lang w:val="en-US" w:eastAsia="zh-CN"/>
        </w:rPr>
        <w:t>0</w:t>
      </w:r>
      <w:r>
        <w:rPr>
          <w:szCs w:val="32"/>
        </w:rPr>
        <w:t>个；使用</w:t>
      </w:r>
      <w:r>
        <w:rPr>
          <w:rFonts w:hint="eastAsia"/>
          <w:szCs w:val="32"/>
        </w:rPr>
        <w:t>本年拨款</w:t>
      </w:r>
      <w:r>
        <w:rPr>
          <w:rFonts w:hint="eastAsia"/>
          <w:szCs w:val="32"/>
          <w:lang w:val="en-US" w:eastAsia="zh-CN"/>
        </w:rPr>
        <w:t>0</w:t>
      </w:r>
      <w:r>
        <w:rPr>
          <w:szCs w:val="32"/>
        </w:rPr>
        <w:t>万元，</w:t>
      </w:r>
      <w:r>
        <w:rPr>
          <w:rFonts w:hint="eastAsia"/>
          <w:szCs w:val="32"/>
        </w:rPr>
        <w:t>财政拨款结转</w:t>
      </w:r>
      <w:r>
        <w:rPr>
          <w:rFonts w:hint="eastAsia"/>
          <w:szCs w:val="32"/>
          <w:lang w:val="en-US" w:eastAsia="zh-CN"/>
        </w:rPr>
        <w:t>0</w:t>
      </w:r>
      <w:r>
        <w:rPr>
          <w:szCs w:val="32"/>
        </w:rPr>
        <w:t>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eastAsia="楷体"/>
          <w:szCs w:val="32"/>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职能和重点工作，202</w:t>
      </w:r>
      <w:r>
        <w:rPr>
          <w:rFonts w:hint="eastAsia" w:ascii="宋体" w:hAnsi="宋体"/>
          <w:lang w:val="en-US" w:eastAsia="zh-CN"/>
        </w:rPr>
        <w:t>4</w:t>
      </w:r>
      <w:r>
        <w:rPr>
          <w:rFonts w:hint="eastAsia" w:ascii="宋体" w:hAnsi="宋体"/>
        </w:rPr>
        <w:t>年</w:t>
      </w:r>
      <w:r>
        <w:rPr>
          <w:rFonts w:hint="eastAsia" w:ascii="宋体" w:hAnsi="宋体"/>
          <w:lang w:eastAsia="zh-CN"/>
        </w:rPr>
        <w:t>将</w:t>
      </w:r>
      <w:r>
        <w:rPr>
          <w:rFonts w:hint="eastAsia"/>
          <w:szCs w:val="32"/>
          <w:lang w:val="en-US" w:eastAsia="zh-CN"/>
        </w:rPr>
        <w:t>0</w:t>
      </w:r>
      <w:r>
        <w:rPr>
          <w:rFonts w:hint="eastAsia" w:ascii="宋体" w:hAnsi="宋体"/>
        </w:rPr>
        <w:t>个项目支出的绩效目标和指标向社会公开，涉及金额</w:t>
      </w:r>
      <w:r>
        <w:rPr>
          <w:rFonts w:hint="eastAsia"/>
          <w:szCs w:val="32"/>
          <w:lang w:val="en-US" w:eastAsia="zh-CN"/>
        </w:rPr>
        <w:t>0</w:t>
      </w:r>
      <w:r>
        <w:rPr>
          <w:rFonts w:hint="eastAsia" w:ascii="宋体" w:hAnsi="宋体"/>
        </w:rPr>
        <w:t>万元。</w:t>
      </w:r>
    </w:p>
    <w:p>
      <w:pPr>
        <w:ind w:firstLine="645"/>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footerReference r:id="rId10" w:type="first"/>
      <w:footerReference r:id="rId9"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wMGQ5NjkwMjgwYzBjNzNhNTQ4MTkyMzE5ODQ0MmIifQ=="/>
  </w:docVars>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3B2107"/>
    <w:rsid w:val="019B69D8"/>
    <w:rsid w:val="01B7145A"/>
    <w:rsid w:val="02033000"/>
    <w:rsid w:val="020E6D2C"/>
    <w:rsid w:val="02C44267"/>
    <w:rsid w:val="031D7D4B"/>
    <w:rsid w:val="037F2004"/>
    <w:rsid w:val="0486486A"/>
    <w:rsid w:val="04954460"/>
    <w:rsid w:val="04B818D1"/>
    <w:rsid w:val="050D06DA"/>
    <w:rsid w:val="05310B72"/>
    <w:rsid w:val="05513E94"/>
    <w:rsid w:val="056F5A6D"/>
    <w:rsid w:val="059B3770"/>
    <w:rsid w:val="063949A0"/>
    <w:rsid w:val="06B011CB"/>
    <w:rsid w:val="06BD5BC7"/>
    <w:rsid w:val="06F008FF"/>
    <w:rsid w:val="079E5032"/>
    <w:rsid w:val="09015F14"/>
    <w:rsid w:val="091C5C63"/>
    <w:rsid w:val="09421190"/>
    <w:rsid w:val="09A0082A"/>
    <w:rsid w:val="0A00435B"/>
    <w:rsid w:val="0AAA1697"/>
    <w:rsid w:val="0ABA06FE"/>
    <w:rsid w:val="0B49202F"/>
    <w:rsid w:val="0B5F5ADA"/>
    <w:rsid w:val="0C2A5C84"/>
    <w:rsid w:val="0C4F64D9"/>
    <w:rsid w:val="0C583939"/>
    <w:rsid w:val="0C6D1BAE"/>
    <w:rsid w:val="0C8F3D96"/>
    <w:rsid w:val="0D2A2435"/>
    <w:rsid w:val="0DA001B0"/>
    <w:rsid w:val="0DEB170B"/>
    <w:rsid w:val="0E4C7841"/>
    <w:rsid w:val="0E97506F"/>
    <w:rsid w:val="0F3E0406"/>
    <w:rsid w:val="0F403B64"/>
    <w:rsid w:val="0F980230"/>
    <w:rsid w:val="0FD62F63"/>
    <w:rsid w:val="0FDE2A27"/>
    <w:rsid w:val="10486BF9"/>
    <w:rsid w:val="10AE7F82"/>
    <w:rsid w:val="10C50B85"/>
    <w:rsid w:val="10C93B35"/>
    <w:rsid w:val="10D719AD"/>
    <w:rsid w:val="11177619"/>
    <w:rsid w:val="112605C8"/>
    <w:rsid w:val="11A6707B"/>
    <w:rsid w:val="11B35B2F"/>
    <w:rsid w:val="12E711B7"/>
    <w:rsid w:val="136D62BD"/>
    <w:rsid w:val="136E4388"/>
    <w:rsid w:val="13F21722"/>
    <w:rsid w:val="1441443C"/>
    <w:rsid w:val="14C12787"/>
    <w:rsid w:val="15593E10"/>
    <w:rsid w:val="159F7E25"/>
    <w:rsid w:val="15F848D0"/>
    <w:rsid w:val="160E1FA5"/>
    <w:rsid w:val="160F2600"/>
    <w:rsid w:val="16C829AB"/>
    <w:rsid w:val="16DD34F5"/>
    <w:rsid w:val="17765BCA"/>
    <w:rsid w:val="17A027D8"/>
    <w:rsid w:val="17CC2625"/>
    <w:rsid w:val="19132BE0"/>
    <w:rsid w:val="191F4716"/>
    <w:rsid w:val="1954649C"/>
    <w:rsid w:val="1A817DF8"/>
    <w:rsid w:val="1A8A6135"/>
    <w:rsid w:val="1ADC594E"/>
    <w:rsid w:val="1AE8308C"/>
    <w:rsid w:val="1AEB5252"/>
    <w:rsid w:val="1B8A03E4"/>
    <w:rsid w:val="1B9C1459"/>
    <w:rsid w:val="1C852172"/>
    <w:rsid w:val="1CA40C0C"/>
    <w:rsid w:val="1CFF4A32"/>
    <w:rsid w:val="1D833200"/>
    <w:rsid w:val="1E3A3FD0"/>
    <w:rsid w:val="1EB55C07"/>
    <w:rsid w:val="1F351A10"/>
    <w:rsid w:val="1F857EA5"/>
    <w:rsid w:val="1FED47E9"/>
    <w:rsid w:val="206816AC"/>
    <w:rsid w:val="21134335"/>
    <w:rsid w:val="226E581D"/>
    <w:rsid w:val="22A4003E"/>
    <w:rsid w:val="23135C25"/>
    <w:rsid w:val="23EC61F6"/>
    <w:rsid w:val="244C543C"/>
    <w:rsid w:val="24624768"/>
    <w:rsid w:val="259B5BC5"/>
    <w:rsid w:val="25F62C4E"/>
    <w:rsid w:val="2644009D"/>
    <w:rsid w:val="26643D6C"/>
    <w:rsid w:val="26FE109D"/>
    <w:rsid w:val="27073E1E"/>
    <w:rsid w:val="27B04AB3"/>
    <w:rsid w:val="282C3BA1"/>
    <w:rsid w:val="28A63332"/>
    <w:rsid w:val="28C96E8E"/>
    <w:rsid w:val="29C45F24"/>
    <w:rsid w:val="2B8B2DC8"/>
    <w:rsid w:val="2D9038E4"/>
    <w:rsid w:val="2DF8796C"/>
    <w:rsid w:val="2E914811"/>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793D7F"/>
    <w:rsid w:val="32CF2C5D"/>
    <w:rsid w:val="32EE2C61"/>
    <w:rsid w:val="335402B5"/>
    <w:rsid w:val="339466B2"/>
    <w:rsid w:val="34555AF5"/>
    <w:rsid w:val="34FF687B"/>
    <w:rsid w:val="354C4987"/>
    <w:rsid w:val="35616772"/>
    <w:rsid w:val="35EA1663"/>
    <w:rsid w:val="364C598E"/>
    <w:rsid w:val="368A3622"/>
    <w:rsid w:val="36A26ED5"/>
    <w:rsid w:val="36B543E5"/>
    <w:rsid w:val="36CC2B0F"/>
    <w:rsid w:val="36FC762F"/>
    <w:rsid w:val="3838492F"/>
    <w:rsid w:val="383A009B"/>
    <w:rsid w:val="3887374F"/>
    <w:rsid w:val="38CB0ABC"/>
    <w:rsid w:val="39041A07"/>
    <w:rsid w:val="39043B77"/>
    <w:rsid w:val="39670895"/>
    <w:rsid w:val="397B4EE2"/>
    <w:rsid w:val="397E3528"/>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F23324"/>
    <w:rsid w:val="3EA14040"/>
    <w:rsid w:val="3EE8108D"/>
    <w:rsid w:val="3F8201A3"/>
    <w:rsid w:val="402675EA"/>
    <w:rsid w:val="40B80EFF"/>
    <w:rsid w:val="41A35364"/>
    <w:rsid w:val="41C31686"/>
    <w:rsid w:val="41C837BC"/>
    <w:rsid w:val="421643AC"/>
    <w:rsid w:val="42982B4E"/>
    <w:rsid w:val="429F5D0C"/>
    <w:rsid w:val="42D83665"/>
    <w:rsid w:val="434A6B47"/>
    <w:rsid w:val="436B1E42"/>
    <w:rsid w:val="456D114B"/>
    <w:rsid w:val="45EB670F"/>
    <w:rsid w:val="46AB7C0D"/>
    <w:rsid w:val="46D44808"/>
    <w:rsid w:val="46ED776B"/>
    <w:rsid w:val="479D2523"/>
    <w:rsid w:val="47CF49E6"/>
    <w:rsid w:val="48674ED2"/>
    <w:rsid w:val="487708E6"/>
    <w:rsid w:val="48B540F2"/>
    <w:rsid w:val="493F6F72"/>
    <w:rsid w:val="49645F71"/>
    <w:rsid w:val="499F5C68"/>
    <w:rsid w:val="4A52465C"/>
    <w:rsid w:val="4A5C4AC6"/>
    <w:rsid w:val="4A662FBF"/>
    <w:rsid w:val="4ABE7A6C"/>
    <w:rsid w:val="4AF16062"/>
    <w:rsid w:val="4B0A57E5"/>
    <w:rsid w:val="4B646DDD"/>
    <w:rsid w:val="4B7F44F8"/>
    <w:rsid w:val="4BAC24C5"/>
    <w:rsid w:val="4BFA0656"/>
    <w:rsid w:val="4D3439E8"/>
    <w:rsid w:val="4D4E2809"/>
    <w:rsid w:val="4D730507"/>
    <w:rsid w:val="4D741DD3"/>
    <w:rsid w:val="4DC93207"/>
    <w:rsid w:val="4E010C4C"/>
    <w:rsid w:val="4E214B2B"/>
    <w:rsid w:val="4E8D5761"/>
    <w:rsid w:val="4EF54A85"/>
    <w:rsid w:val="4EF972C6"/>
    <w:rsid w:val="501B3C66"/>
    <w:rsid w:val="504B40C5"/>
    <w:rsid w:val="50987DC2"/>
    <w:rsid w:val="50A4703E"/>
    <w:rsid w:val="51282B99"/>
    <w:rsid w:val="5136104F"/>
    <w:rsid w:val="51465EDE"/>
    <w:rsid w:val="52071113"/>
    <w:rsid w:val="52085509"/>
    <w:rsid w:val="522774C4"/>
    <w:rsid w:val="522A7431"/>
    <w:rsid w:val="525A440D"/>
    <w:rsid w:val="52626449"/>
    <w:rsid w:val="537541AB"/>
    <w:rsid w:val="544E511A"/>
    <w:rsid w:val="54741940"/>
    <w:rsid w:val="54810E66"/>
    <w:rsid w:val="54C063E4"/>
    <w:rsid w:val="54C2556E"/>
    <w:rsid w:val="55480EEF"/>
    <w:rsid w:val="569B7F91"/>
    <w:rsid w:val="56D21BED"/>
    <w:rsid w:val="572651B2"/>
    <w:rsid w:val="57AE5C26"/>
    <w:rsid w:val="57DD75A9"/>
    <w:rsid w:val="5801059F"/>
    <w:rsid w:val="58256ABD"/>
    <w:rsid w:val="58454B73"/>
    <w:rsid w:val="58C27FDB"/>
    <w:rsid w:val="59472AC7"/>
    <w:rsid w:val="59D514A6"/>
    <w:rsid w:val="59EC6E09"/>
    <w:rsid w:val="5AB343F7"/>
    <w:rsid w:val="5ABF50F2"/>
    <w:rsid w:val="5AF25D13"/>
    <w:rsid w:val="5AF76904"/>
    <w:rsid w:val="5B052E7A"/>
    <w:rsid w:val="5B3D7F7E"/>
    <w:rsid w:val="5B7C7777"/>
    <w:rsid w:val="5BEC6771"/>
    <w:rsid w:val="5C7B7AC8"/>
    <w:rsid w:val="5CA506B9"/>
    <w:rsid w:val="5CF74CE4"/>
    <w:rsid w:val="5D5A7C63"/>
    <w:rsid w:val="5E256F6F"/>
    <w:rsid w:val="5F6235A9"/>
    <w:rsid w:val="60315C3C"/>
    <w:rsid w:val="60DC439E"/>
    <w:rsid w:val="614125C2"/>
    <w:rsid w:val="61AA1D1F"/>
    <w:rsid w:val="61B35795"/>
    <w:rsid w:val="624C5C52"/>
    <w:rsid w:val="63DF08E4"/>
    <w:rsid w:val="63EE37FF"/>
    <w:rsid w:val="64C04AFD"/>
    <w:rsid w:val="655B219F"/>
    <w:rsid w:val="661A7B69"/>
    <w:rsid w:val="66455323"/>
    <w:rsid w:val="664909C1"/>
    <w:rsid w:val="66635AE4"/>
    <w:rsid w:val="66C63EB5"/>
    <w:rsid w:val="67592674"/>
    <w:rsid w:val="679461D3"/>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C834DAA"/>
    <w:rsid w:val="6C993CCE"/>
    <w:rsid w:val="6CF120A8"/>
    <w:rsid w:val="6D72413D"/>
    <w:rsid w:val="6FF50B81"/>
    <w:rsid w:val="70330B9C"/>
    <w:rsid w:val="714213DD"/>
    <w:rsid w:val="717F272E"/>
    <w:rsid w:val="72783A23"/>
    <w:rsid w:val="728027C6"/>
    <w:rsid w:val="72AD692A"/>
    <w:rsid w:val="73D62FA6"/>
    <w:rsid w:val="73FE7ACC"/>
    <w:rsid w:val="74556746"/>
    <w:rsid w:val="74743258"/>
    <w:rsid w:val="761B13C4"/>
    <w:rsid w:val="764B6A8A"/>
    <w:rsid w:val="76A60DBD"/>
    <w:rsid w:val="76C17E06"/>
    <w:rsid w:val="76CA67BD"/>
    <w:rsid w:val="774E6400"/>
    <w:rsid w:val="775B0046"/>
    <w:rsid w:val="79700BEF"/>
    <w:rsid w:val="798D552B"/>
    <w:rsid w:val="7A090695"/>
    <w:rsid w:val="7A1D5951"/>
    <w:rsid w:val="7AE175F4"/>
    <w:rsid w:val="7B417685"/>
    <w:rsid w:val="7B5220F0"/>
    <w:rsid w:val="7BA169C0"/>
    <w:rsid w:val="7BC55243"/>
    <w:rsid w:val="7C1C7E76"/>
    <w:rsid w:val="7C2F4A9A"/>
    <w:rsid w:val="7CAD595B"/>
    <w:rsid w:val="7CF65D07"/>
    <w:rsid w:val="7D2975D1"/>
    <w:rsid w:val="7D2F3083"/>
    <w:rsid w:val="7D906046"/>
    <w:rsid w:val="7DCC0CD6"/>
    <w:rsid w:val="7F112E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autoRedefine/>
    <w:qFormat/>
    <w:uiPriority w:val="0"/>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tabs>
        <w:tab w:val="left" w:pos="8372"/>
      </w:tabs>
      <w:spacing w:line="540" w:lineRule="exact"/>
      <w:ind w:firstLine="630"/>
    </w:pPr>
    <w:rPr>
      <w:rFonts w:eastAsia="黑体"/>
    </w:rPr>
  </w:style>
  <w:style w:type="paragraph" w:styleId="3">
    <w:name w:val="Date"/>
    <w:basedOn w:val="1"/>
    <w:next w:val="1"/>
    <w:autoRedefine/>
    <w:qFormat/>
    <w:uiPriority w:val="0"/>
  </w:style>
  <w:style w:type="paragraph" w:styleId="4">
    <w:name w:val="Body Text Indent 2"/>
    <w:basedOn w:val="1"/>
    <w:autoRedefine/>
    <w:qFormat/>
    <w:uiPriority w:val="0"/>
    <w:pPr>
      <w:tabs>
        <w:tab w:val="left" w:pos="8372"/>
      </w:tabs>
      <w:spacing w:line="540" w:lineRule="exact"/>
      <w:ind w:firstLine="630"/>
    </w:pPr>
    <w:rPr>
      <w:b/>
      <w:bCs/>
    </w:rPr>
  </w:style>
  <w:style w:type="paragraph" w:styleId="5">
    <w:name w:val="Balloon Text"/>
    <w:basedOn w:val="1"/>
    <w:link w:val="17"/>
    <w:autoRedefine/>
    <w:qFormat/>
    <w:uiPriority w:val="0"/>
    <w:rPr>
      <w:sz w:val="18"/>
      <w:szCs w:val="18"/>
    </w:rPr>
  </w:style>
  <w:style w:type="paragraph" w:styleId="6">
    <w:name w:val="footer"/>
    <w:basedOn w:val="1"/>
    <w:link w:val="16"/>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autoRedefine/>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autoRedefine/>
    <w:qFormat/>
    <w:uiPriority w:val="0"/>
  </w:style>
  <w:style w:type="character" w:customStyle="1" w:styleId="13">
    <w:name w:val="font61"/>
    <w:autoRedefine/>
    <w:qFormat/>
    <w:uiPriority w:val="0"/>
    <w:rPr>
      <w:rFonts w:hint="eastAsia" w:ascii="宋体" w:hAnsi="宋体" w:eastAsia="宋体" w:cs="宋体"/>
      <w:color w:val="000000"/>
      <w:sz w:val="24"/>
      <w:szCs w:val="24"/>
      <w:u w:val="none"/>
    </w:rPr>
  </w:style>
  <w:style w:type="character" w:customStyle="1" w:styleId="14">
    <w:name w:val="font41"/>
    <w:autoRedefine/>
    <w:qFormat/>
    <w:uiPriority w:val="0"/>
    <w:rPr>
      <w:rFonts w:hint="default" w:ascii="华文细黑" w:hAnsi="华文细黑" w:eastAsia="华文细黑" w:cs="华文细黑"/>
      <w:color w:val="000000"/>
      <w:sz w:val="20"/>
      <w:szCs w:val="20"/>
      <w:u w:val="none"/>
    </w:rPr>
  </w:style>
  <w:style w:type="character" w:customStyle="1" w:styleId="15">
    <w:name w:val="font11"/>
    <w:autoRedefine/>
    <w:qFormat/>
    <w:uiPriority w:val="0"/>
    <w:rPr>
      <w:rFonts w:hint="default" w:ascii="Arial" w:hAnsi="Arial" w:cs="Arial"/>
      <w:color w:val="000000"/>
      <w:sz w:val="24"/>
      <w:szCs w:val="24"/>
      <w:u w:val="none"/>
    </w:rPr>
  </w:style>
  <w:style w:type="character" w:customStyle="1" w:styleId="16">
    <w:name w:val="页脚 字符"/>
    <w:link w:val="6"/>
    <w:autoRedefine/>
    <w:qFormat/>
    <w:uiPriority w:val="0"/>
    <w:rPr>
      <w:rFonts w:eastAsia="仿宋_GB2312"/>
      <w:kern w:val="2"/>
      <w:sz w:val="18"/>
    </w:rPr>
  </w:style>
  <w:style w:type="character" w:customStyle="1" w:styleId="17">
    <w:name w:val="批注框文本 字符"/>
    <w:link w:val="5"/>
    <w:autoRedefine/>
    <w:qFormat/>
    <w:uiPriority w:val="0"/>
    <w:rPr>
      <w:rFonts w:eastAsia="仿宋_GB2312"/>
      <w:kern w:val="2"/>
      <w:sz w:val="18"/>
      <w:szCs w:val="18"/>
    </w:rPr>
  </w:style>
  <w:style w:type="character" w:customStyle="1" w:styleId="18">
    <w:name w:val="font21"/>
    <w:autoRedefine/>
    <w:qFormat/>
    <w:uiPriority w:val="0"/>
    <w:rPr>
      <w:rFonts w:hint="default" w:ascii="Arial" w:hAnsi="Arial" w:cs="Arial"/>
      <w:color w:val="000000"/>
      <w:sz w:val="20"/>
      <w:szCs w:val="20"/>
      <w:u w:val="none"/>
    </w:rPr>
  </w:style>
  <w:style w:type="character" w:customStyle="1" w:styleId="19">
    <w:name w:val="font01"/>
    <w:autoRedefine/>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6">
    <w:name w:val="页眉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8">
    <w:name w:val="页脚 New"/>
    <w:basedOn w:val="1"/>
    <w:autoRedefine/>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3">
    <w:name w:val="页脚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autoRedefine/>
    <w:qFormat/>
    <w:uiPriority w:val="0"/>
    <w:pPr>
      <w:widowControl/>
    </w:pPr>
    <w:rPr>
      <w:rFonts w:eastAsia="宋体"/>
      <w:kern w:val="0"/>
      <w:szCs w:val="32"/>
    </w:rPr>
  </w:style>
  <w:style w:type="paragraph" w:customStyle="1" w:styleId="49">
    <w:name w:val="页脚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0">
    <w:name w:val="页脚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autoRedefine/>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6">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2">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8">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autoRedefine/>
    <w:qFormat/>
    <w:uiPriority w:val="0"/>
    <w:rPr>
      <w:rFonts w:eastAsia="宋体"/>
      <w:sz w:val="21"/>
      <w:szCs w:val="21"/>
    </w:rPr>
  </w:style>
  <w:style w:type="paragraph" w:customStyle="1" w:styleId="80">
    <w:name w:val="页脚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1">
    <w:name w:val="页脚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25</Pages>
  <Words>6239</Words>
  <Characters>7519</Characters>
  <Lines>71</Lines>
  <Paragraphs>20</Paragraphs>
  <TotalTime>2</TotalTime>
  <ScaleCrop>false</ScaleCrop>
  <LinksUpToDate>false</LinksUpToDate>
  <CharactersWithSpaces>8098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董dongdong</cp:lastModifiedBy>
  <cp:lastPrinted>2024-01-23T03:39:00Z</cp:lastPrinted>
  <dcterms:modified xsi:type="dcterms:W3CDTF">2024-02-26T01:47:37Z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AF6E554CAEEA4C5DB106D111D32CD1D8_13</vt:lpwstr>
  </property>
</Properties>
</file>