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jc w:val="center"/>
        <w:rPr>
          <w:rFonts w:eastAsia="方正小标宋简体"/>
          <w:sz w:val="44"/>
          <w:szCs w:val="44"/>
        </w:rPr>
      </w:pPr>
      <w:r>
        <w:rPr>
          <w:rFonts w:hint="eastAsia" w:eastAsia="方正小标宋简体"/>
          <w:sz w:val="44"/>
          <w:szCs w:val="44"/>
        </w:rPr>
        <w:t>白城市统计局（本级）</w:t>
      </w: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4</w:t>
      </w:r>
      <w:r>
        <w:rPr>
          <w:rFonts w:eastAsia="方正小标宋简体"/>
          <w:sz w:val="44"/>
          <w:szCs w:val="44"/>
        </w:rPr>
        <w:t>年</w:t>
      </w:r>
      <w:r>
        <w:rPr>
          <w:rFonts w:hint="eastAsia" w:eastAsia="方正小标宋简体"/>
          <w:sz w:val="44"/>
          <w:szCs w:val="44"/>
          <w:lang w:val="en-US" w:eastAsia="zh-CN"/>
        </w:rPr>
        <w:t>单位</w:t>
      </w:r>
      <w:r>
        <w:rPr>
          <w:rFonts w:eastAsia="方正小标宋简体"/>
          <w:sz w:val="44"/>
          <w:szCs w:val="44"/>
        </w:rPr>
        <w:t>预算</w:t>
      </w:r>
    </w:p>
    <w:p>
      <w:pPr>
        <w:jc w:val="left"/>
      </w:pPr>
      <w:r>
        <w:tab/>
      </w:r>
      <w:r>
        <w:tab/>
      </w:r>
      <w:r>
        <w:tab/>
      </w:r>
      <w:r>
        <w:tab/>
      </w:r>
      <w:r>
        <w:tab/>
      </w:r>
      <w:r>
        <w:tab/>
      </w:r>
    </w:p>
    <w:p>
      <w:pPr>
        <w:jc w:val="left"/>
      </w:pPr>
    </w:p>
    <w:p>
      <w:pPr>
        <w:jc w:val="left"/>
      </w:pPr>
    </w:p>
    <w:p>
      <w:pPr>
        <w:jc w:val="left"/>
      </w:pPr>
    </w:p>
    <w:p>
      <w:pPr>
        <w:jc w:val="left"/>
      </w:pPr>
    </w:p>
    <w:p>
      <w:pPr>
        <w:jc w:val="left"/>
      </w:pPr>
      <w:r>
        <w:tab/>
      </w:r>
      <w:r>
        <w:tab/>
      </w:r>
      <w:r>
        <w:tab/>
      </w:r>
      <w:r>
        <w:tab/>
      </w:r>
      <w:r>
        <w:tab/>
      </w:r>
      <w:r>
        <w:tab/>
      </w:r>
    </w:p>
    <w:p>
      <w:pPr>
        <w:jc w:val="left"/>
      </w:pPr>
    </w:p>
    <w:p>
      <w:pPr>
        <w:jc w:val="left"/>
      </w:pPr>
    </w:p>
    <w:p>
      <w:pPr>
        <w:jc w:val="left"/>
      </w:pPr>
    </w:p>
    <w:p>
      <w:pPr>
        <w:jc w:val="center"/>
        <w:rPr>
          <w:rFonts w:eastAsia="华文细黑"/>
        </w:rPr>
      </w:pPr>
      <w:r>
        <w:rPr>
          <w:rFonts w:eastAsia="华文细黑"/>
        </w:rPr>
        <w:t>二〇二</w:t>
      </w:r>
      <w:r>
        <w:rPr>
          <w:rFonts w:hint="eastAsia" w:eastAsia="华文细黑"/>
          <w:lang w:eastAsia="zh-CN"/>
        </w:rPr>
        <w:t>四</w:t>
      </w:r>
      <w:r>
        <w:rPr>
          <w:rFonts w:eastAsia="华文细黑"/>
        </w:rPr>
        <w:t>年</w:t>
      </w:r>
      <w:r>
        <w:rPr>
          <w:rFonts w:hint="eastAsia" w:eastAsia="华文细黑"/>
          <w:lang w:val="en-US" w:eastAsia="zh-CN"/>
        </w:rPr>
        <w:t>二</w:t>
      </w:r>
      <w:r>
        <w:rPr>
          <w:rFonts w:eastAsia="华文细黑"/>
        </w:rPr>
        <w:t>月</w:t>
      </w:r>
      <w:r>
        <w:rPr>
          <w:rFonts w:hint="eastAsia" w:eastAsia="华文细黑"/>
        </w:rPr>
        <w:t>二十</w:t>
      </w:r>
      <w:r>
        <w:rPr>
          <w:rFonts w:hint="eastAsia" w:eastAsia="华文细黑"/>
          <w:lang w:eastAsia="zh-CN"/>
        </w:rPr>
        <w:t>六</w:t>
      </w:r>
      <w:r>
        <w:rPr>
          <w:rFonts w:eastAsia="华文细黑"/>
        </w:rPr>
        <w:t>日</w:t>
      </w:r>
    </w:p>
    <w:p>
      <w:pPr>
        <w:rPr>
          <w:rFonts w:eastAsia="黑体"/>
        </w:rPr>
      </w:pPr>
    </w:p>
    <w:p>
      <w:pPr>
        <w:ind w:firstLine="640" w:firstLineChars="200"/>
        <w:rPr>
          <w:rFonts w:eastAsia="黑体"/>
        </w:rPr>
      </w:pPr>
    </w:p>
    <w:p>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pPr>
        <w:ind w:firstLine="640" w:firstLineChars="200"/>
        <w:rPr>
          <w:rFonts w:eastAsia="黑体"/>
        </w:rPr>
      </w:pPr>
    </w:p>
    <w:p>
      <w:pPr>
        <w:jc w:val="center"/>
        <w:rPr>
          <w:rFonts w:eastAsia="方正小标宋简体"/>
          <w:sz w:val="44"/>
          <w:szCs w:val="44"/>
        </w:rPr>
      </w:pPr>
      <w:r>
        <w:rPr>
          <w:rFonts w:eastAsia="方正小标宋简体"/>
          <w:sz w:val="44"/>
          <w:szCs w:val="44"/>
        </w:rPr>
        <w:t>目  录</w:t>
      </w:r>
    </w:p>
    <w:p>
      <w:pPr>
        <w:rPr>
          <w:rFonts w:eastAsia="黑体"/>
        </w:rPr>
      </w:pPr>
    </w:p>
    <w:p>
      <w:pPr>
        <w:rPr>
          <w:rFonts w:eastAsia="黑体"/>
        </w:rPr>
      </w:pPr>
      <w:r>
        <w:rPr>
          <w:rFonts w:eastAsia="黑体"/>
        </w:rPr>
        <w:t xml:space="preserve">第一部分  </w:t>
      </w:r>
      <w:r>
        <w:rPr>
          <w:rFonts w:hint="eastAsia" w:eastAsia="黑体"/>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pPr>
        <w:ind w:left="320" w:leftChars="100" w:firstLine="320" w:firstLineChars="100"/>
      </w:pPr>
      <w:r>
        <w:t>一、主要职能</w:t>
      </w:r>
    </w:p>
    <w:p>
      <w:pPr>
        <w:ind w:left="320" w:leftChars="100" w:firstLine="320" w:firstLineChars="100"/>
      </w:pPr>
      <w:r>
        <w:t>二、机构设置</w:t>
      </w:r>
    </w:p>
    <w:p>
      <w:pPr>
        <w:rPr>
          <w:rFonts w:eastAsia="黑体"/>
        </w:rPr>
      </w:pPr>
      <w:r>
        <w:rPr>
          <w:rFonts w:eastAsia="黑体"/>
        </w:rPr>
        <w:t>第二部分  预算表格</w:t>
      </w:r>
    </w:p>
    <w:p>
      <w:pPr>
        <w:ind w:left="320" w:leftChars="100" w:firstLine="320" w:firstLineChars="100"/>
      </w:pPr>
      <w:r>
        <w:t>一、收支</w:t>
      </w:r>
      <w:r>
        <w:rPr>
          <w:rFonts w:hint="eastAsia"/>
          <w:lang w:eastAsia="zh-CN"/>
        </w:rPr>
        <w:t>预算</w:t>
      </w:r>
      <w:r>
        <w:rPr>
          <w:rFonts w:hint="eastAsia"/>
        </w:rPr>
        <w:t>总</w:t>
      </w:r>
      <w:r>
        <w:t>表</w:t>
      </w:r>
    </w:p>
    <w:p>
      <w:pPr>
        <w:ind w:left="320" w:leftChars="100" w:firstLine="320" w:firstLineChars="100"/>
      </w:pPr>
      <w:r>
        <w:t>二、收入</w:t>
      </w:r>
      <w:r>
        <w:rPr>
          <w:rFonts w:hint="eastAsia"/>
          <w:lang w:eastAsia="zh-CN"/>
        </w:rPr>
        <w:t>预算</w:t>
      </w:r>
      <w:r>
        <w:rPr>
          <w:rFonts w:hint="eastAsia"/>
        </w:rPr>
        <w:t>总</w:t>
      </w:r>
      <w:r>
        <w:t>表</w:t>
      </w:r>
    </w:p>
    <w:p>
      <w:pPr>
        <w:ind w:left="320" w:leftChars="100" w:firstLine="320" w:firstLineChars="100"/>
      </w:pPr>
      <w:r>
        <w:t>三、支出</w:t>
      </w:r>
      <w:r>
        <w:rPr>
          <w:rFonts w:hint="eastAsia"/>
          <w:lang w:eastAsia="zh-CN"/>
        </w:rPr>
        <w:t>预算</w:t>
      </w:r>
      <w:r>
        <w:rPr>
          <w:rFonts w:hint="eastAsia"/>
        </w:rPr>
        <w:t>总</w:t>
      </w:r>
      <w:r>
        <w:t>表</w:t>
      </w:r>
    </w:p>
    <w:p>
      <w:pPr>
        <w:ind w:left="320" w:leftChars="100" w:firstLine="320" w:firstLineChars="100"/>
      </w:pPr>
      <w:r>
        <w:t>四、财政拨款收支</w:t>
      </w:r>
      <w:r>
        <w:rPr>
          <w:rFonts w:hint="eastAsia"/>
          <w:lang w:eastAsia="zh-CN"/>
        </w:rPr>
        <w:t>预算</w:t>
      </w:r>
      <w:r>
        <w:rPr>
          <w:rFonts w:hint="eastAsia"/>
        </w:rPr>
        <w:t>总</w:t>
      </w:r>
      <w:r>
        <w:t>表</w:t>
      </w:r>
    </w:p>
    <w:p>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pPr>
        <w:ind w:left="320" w:leftChars="100" w:firstLine="320" w:firstLineChars="100"/>
      </w:pPr>
      <w:r>
        <w:t>七、一般公共预算“三公”经费支出</w:t>
      </w:r>
      <w:r>
        <w:rPr>
          <w:rFonts w:hint="eastAsia"/>
          <w:lang w:eastAsia="zh-CN"/>
        </w:rPr>
        <w:t>预算</w:t>
      </w:r>
      <w:r>
        <w:t>表</w:t>
      </w:r>
    </w:p>
    <w:p>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pPr>
        <w:ind w:left="320" w:leftChars="100" w:firstLine="320" w:firstLineChars="100"/>
      </w:pPr>
      <w:r>
        <w:rPr>
          <w:rFonts w:hint="eastAsia"/>
        </w:rPr>
        <w:t>九、国有资本经营</w:t>
      </w:r>
      <w:r>
        <w:t>预算支出</w:t>
      </w:r>
      <w:r>
        <w:rPr>
          <w:rFonts w:hint="eastAsia"/>
          <w:lang w:eastAsia="zh-CN"/>
        </w:rPr>
        <w:t>预算</w:t>
      </w:r>
      <w:r>
        <w:t>表</w:t>
      </w:r>
    </w:p>
    <w:p>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pPr>
        <w:ind w:left="320" w:leftChars="100" w:firstLine="320" w:firstLineChars="100"/>
        <w:rPr>
          <w:rFonts w:hint="eastAsia" w:eastAsia="仿宋_GB2312"/>
          <w:lang w:eastAsia="zh-CN"/>
        </w:rPr>
      </w:pPr>
      <w:r>
        <w:rPr>
          <w:rFonts w:hint="eastAsia"/>
          <w:lang w:eastAsia="zh-CN"/>
        </w:rPr>
        <w:t>十一、财政拨款委托业务费支出预算表</w:t>
      </w:r>
    </w:p>
    <w:p>
      <w:pPr>
        <w:ind w:firstLine="640" w:firstLineChars="200"/>
        <w:rPr>
          <w:rFonts w:hint="eastAsia"/>
        </w:rPr>
      </w:pPr>
      <w:r>
        <w:rPr>
          <w:rFonts w:hint="eastAsia"/>
        </w:rPr>
        <w:t>十</w:t>
      </w:r>
      <w:r>
        <w:rPr>
          <w:rFonts w:hint="eastAsia"/>
          <w:lang w:eastAsia="zh-CN"/>
        </w:rPr>
        <w:t>二</w:t>
      </w:r>
      <w:r>
        <w:rPr>
          <w:rFonts w:hint="eastAsia"/>
        </w:rPr>
        <w:t>、项目支出绩效目标表</w:t>
      </w:r>
    </w:p>
    <w:p>
      <w:pPr>
        <w:rPr>
          <w:rFonts w:eastAsia="黑体"/>
        </w:rPr>
      </w:pPr>
      <w:r>
        <w:rPr>
          <w:rFonts w:eastAsia="黑体"/>
        </w:rPr>
        <w:t>第三部分  情况说明</w:t>
      </w:r>
    </w:p>
    <w:p>
      <w:pPr>
        <w:rPr>
          <w:rFonts w:eastAsia="黑体"/>
        </w:rPr>
      </w:pPr>
      <w:r>
        <w:rPr>
          <w:rFonts w:eastAsia="黑体"/>
        </w:rPr>
        <w:t>第四部分  名词解释</w:t>
      </w:r>
    </w:p>
    <w:p>
      <w:pPr>
        <w:rPr>
          <w:rFonts w:eastAsia="黑体"/>
        </w:rPr>
      </w:pPr>
      <w:r>
        <w:rPr>
          <w:rFonts w:eastAsia="黑体"/>
        </w:rPr>
        <w:br w:type="page"/>
      </w:r>
    </w:p>
    <w:p>
      <w:pPr>
        <w:ind w:firstLine="640" w:firstLineChars="200"/>
        <w:jc w:val="center"/>
        <w:rPr>
          <w:rFonts w:eastAsia="黑体"/>
        </w:rPr>
      </w:pPr>
      <w:r>
        <w:rPr>
          <w:rFonts w:eastAsia="黑体"/>
        </w:rPr>
        <w:t xml:space="preserve">第一部分 </w:t>
      </w:r>
      <w:r>
        <w:rPr>
          <w:rFonts w:hint="eastAsia" w:eastAsia="黑体"/>
        </w:rPr>
        <w:t>单位</w:t>
      </w:r>
      <w:r>
        <w:rPr>
          <w:rFonts w:eastAsia="黑体"/>
        </w:rPr>
        <w:t>概况</w:t>
      </w:r>
    </w:p>
    <w:p>
      <w:pPr>
        <w:ind w:firstLine="640" w:firstLineChars="200"/>
        <w:rPr>
          <w:rFonts w:eastAsia="楷体_GB2312"/>
        </w:rPr>
      </w:pPr>
    </w:p>
    <w:p>
      <w:pPr>
        <w:ind w:firstLine="640" w:firstLineChars="200"/>
        <w:rPr>
          <w:rFonts w:eastAsia="楷体_GB2312"/>
        </w:rPr>
      </w:pPr>
      <w:r>
        <w:rPr>
          <w:rFonts w:eastAsia="楷体_GB2312"/>
        </w:rPr>
        <w:t>一、主要职能</w:t>
      </w:r>
    </w:p>
    <w:p>
      <w:pPr>
        <w:ind w:firstLine="640" w:firstLineChars="200"/>
        <w:jc w:val="left"/>
        <w:rPr>
          <w:rFonts w:hint="eastAsia" w:ascii="仿宋" w:hAnsi="仿宋" w:eastAsia="仿宋" w:cs="仿宋"/>
          <w:szCs w:val="32"/>
        </w:rPr>
      </w:pPr>
      <w:r>
        <w:rPr>
          <w:rFonts w:hint="eastAsia" w:ascii="仿宋" w:hAnsi="仿宋" w:eastAsia="仿宋" w:cs="仿宋"/>
          <w:szCs w:val="32"/>
        </w:rPr>
        <w:t>(一)贯彻执行国家统计方针、政策和法律、法规，制定全市统计规划以及统计调查计划:监督检查统计法律、法规的实施。组织领导全市统计工作，承担确保统计数据真实、准确、及时的责任。</w:t>
      </w:r>
    </w:p>
    <w:p>
      <w:pPr>
        <w:ind w:firstLine="640" w:firstLineChars="200"/>
        <w:jc w:val="left"/>
        <w:rPr>
          <w:rFonts w:hint="eastAsia" w:ascii="仿宋" w:hAnsi="仿宋" w:eastAsia="仿宋" w:cs="仿宋"/>
          <w:szCs w:val="32"/>
        </w:rPr>
      </w:pPr>
      <w:r>
        <w:rPr>
          <w:rFonts w:hint="eastAsia" w:ascii="仿宋" w:hAnsi="仿宋" w:eastAsia="仿宋" w:cs="仿宋"/>
          <w:szCs w:val="32"/>
        </w:rPr>
        <w:t>(二)根据国家统一的基本统计制度，建立健全全市国民经济核算体系和统计指标体系，贯彻执行全省统一的基本统计报表制度和统计标准；汇编提供全市国民经济核算资料，监督管理各县(市、区)统计机关国民经济核算工作。</w:t>
      </w:r>
    </w:p>
    <w:p>
      <w:pPr>
        <w:ind w:firstLine="640" w:firstLineChars="200"/>
        <w:jc w:val="left"/>
        <w:rPr>
          <w:rFonts w:hint="eastAsia" w:ascii="仿宋" w:hAnsi="仿宋" w:eastAsia="仿宋" w:cs="仿宋"/>
          <w:szCs w:val="32"/>
        </w:rPr>
      </w:pPr>
      <w:r>
        <w:rPr>
          <w:rFonts w:hint="eastAsia" w:ascii="仿宋" w:hAnsi="仿宋" w:eastAsia="仿宋" w:cs="仿宋"/>
          <w:szCs w:val="32"/>
        </w:rPr>
        <w:t>(三)组织实施重大省情省力普查计划；统一组织协调全市社会经济统计调查；汇总全市的统计资料；对国民经济各行业、科技、资源环境和社会发展等情况进行统计分析、统计预测预警和统计监督，向省局及市委、市政府和有关单位提供统计信息和咨询建议；收集、整理、提供国家及省和外市(州)的统计资料，并进行对比分析和研究。</w:t>
      </w:r>
    </w:p>
    <w:p>
      <w:pPr>
        <w:ind w:firstLine="640" w:firstLineChars="200"/>
        <w:jc w:val="left"/>
        <w:rPr>
          <w:rFonts w:hint="eastAsia" w:ascii="仿宋" w:hAnsi="仿宋" w:eastAsia="仿宋" w:cs="仿宋"/>
          <w:szCs w:val="32"/>
        </w:rPr>
      </w:pPr>
      <w:r>
        <w:rPr>
          <w:rFonts w:hint="eastAsia" w:ascii="仿宋" w:hAnsi="仿宋" w:eastAsia="仿宋" w:cs="仿宋"/>
          <w:szCs w:val="32"/>
        </w:rPr>
        <w:t>(四)统一核定、管理、公布全市基本统计资料、定期向社会公布全市国民经济和社会发展情况的统计信息。</w:t>
      </w:r>
    </w:p>
    <w:p>
      <w:pPr>
        <w:ind w:firstLine="640" w:firstLineChars="200"/>
        <w:jc w:val="left"/>
        <w:rPr>
          <w:rFonts w:hint="eastAsia" w:ascii="仿宋" w:hAnsi="仿宋" w:eastAsia="仿宋" w:cs="仿宋"/>
          <w:szCs w:val="32"/>
        </w:rPr>
      </w:pPr>
      <w:r>
        <w:rPr>
          <w:rFonts w:hint="eastAsia" w:ascii="仿宋" w:hAnsi="仿宋" w:eastAsia="仿宋" w:cs="仿宋"/>
          <w:szCs w:val="32"/>
        </w:rPr>
        <w:t>(五)建立、完善和管理全市统计信息化系统和统计数据体系；组织指导各县(市、区)统计信息化网络和数据库系统建设。</w:t>
      </w:r>
    </w:p>
    <w:p>
      <w:pPr>
        <w:ind w:firstLine="640" w:firstLineChars="200"/>
        <w:jc w:val="left"/>
        <w:rPr>
          <w:rFonts w:hint="eastAsia" w:ascii="仿宋" w:hAnsi="仿宋" w:eastAsia="仿宋" w:cs="仿宋"/>
          <w:szCs w:val="32"/>
        </w:rPr>
      </w:pPr>
      <w:r>
        <w:rPr>
          <w:rFonts w:hint="eastAsia" w:ascii="仿宋" w:hAnsi="仿宋" w:eastAsia="仿宋" w:cs="仿宋"/>
          <w:szCs w:val="32"/>
        </w:rPr>
        <w:t>(六)依法管理全市统计调查项目和统计标准，指导专业统计基础工作、统计基层业务基础建设；建立健全统计数据质量审核、监控和评估制度，负责重要统计数据的审核、监控和评估，依法监督管理涉外调查活动。</w:t>
      </w:r>
    </w:p>
    <w:p>
      <w:pPr>
        <w:ind w:firstLine="640" w:firstLineChars="200"/>
        <w:jc w:val="left"/>
        <w:rPr>
          <w:rFonts w:hint="eastAsia" w:ascii="仿宋" w:hAnsi="仿宋" w:eastAsia="仿宋" w:cs="仿宋"/>
          <w:szCs w:val="32"/>
        </w:rPr>
      </w:pPr>
      <w:r>
        <w:rPr>
          <w:rFonts w:hint="eastAsia" w:ascii="仿宋" w:hAnsi="仿宋" w:eastAsia="仿宋" w:cs="仿宋"/>
          <w:szCs w:val="32"/>
        </w:rPr>
        <w:t>(七)负责全市统计系统的干部人事、劳动工资、机构编制和财务经费、审计监督及资产设施管理。</w:t>
      </w:r>
    </w:p>
    <w:p>
      <w:pPr>
        <w:ind w:left="640"/>
        <w:jc w:val="left"/>
        <w:rPr>
          <w:rFonts w:hint="eastAsia" w:ascii="仿宋" w:hAnsi="仿宋" w:eastAsia="仿宋" w:cs="仿宋"/>
          <w:szCs w:val="32"/>
        </w:rPr>
      </w:pPr>
      <w:r>
        <w:rPr>
          <w:rFonts w:hint="eastAsia" w:ascii="仿宋" w:hAnsi="仿宋" w:eastAsia="仿宋" w:cs="仿宋"/>
          <w:szCs w:val="32"/>
        </w:rPr>
        <w:t>(八)领导局属事业单位。</w:t>
      </w:r>
    </w:p>
    <w:p>
      <w:pPr>
        <w:ind w:left="640"/>
        <w:jc w:val="left"/>
        <w:rPr>
          <w:rFonts w:hint="eastAsia" w:ascii="仿宋" w:hAnsi="仿宋" w:eastAsia="仿宋" w:cs="仿宋"/>
          <w:color w:val="000000"/>
          <w:szCs w:val="32"/>
        </w:rPr>
      </w:pPr>
      <w:r>
        <w:rPr>
          <w:rFonts w:hint="eastAsia" w:ascii="仿宋" w:hAnsi="仿宋" w:eastAsia="仿宋" w:cs="仿宋"/>
          <w:szCs w:val="32"/>
        </w:rPr>
        <w:t>(九)承办省统计局和市政府交办的其他事项。</w:t>
      </w:r>
    </w:p>
    <w:p>
      <w:pPr>
        <w:ind w:firstLine="640" w:firstLineChars="200"/>
      </w:pPr>
      <w:r>
        <w:rPr>
          <w:rFonts w:eastAsia="楷体_GB2312"/>
        </w:rPr>
        <w:t>二、机构设置</w:t>
      </w:r>
    </w:p>
    <w:p>
      <w:pPr>
        <w:ind w:left="640"/>
        <w:jc w:val="left"/>
        <w:rPr>
          <w:rFonts w:hint="eastAsia" w:ascii="仿宋" w:hAnsi="仿宋" w:eastAsia="仿宋" w:cs="仿宋"/>
          <w:szCs w:val="32"/>
        </w:rPr>
      </w:pPr>
      <w:r>
        <w:rPr>
          <w:rFonts w:hint="eastAsia" w:ascii="仿宋" w:hAnsi="仿宋" w:eastAsia="仿宋" w:cs="仿宋"/>
          <w:szCs w:val="32"/>
        </w:rPr>
        <w:t>根据上述职责，白城市统计局内设6个机构，分别为：</w:t>
      </w:r>
    </w:p>
    <w:p>
      <w:pPr>
        <w:ind w:left="640"/>
        <w:jc w:val="left"/>
        <w:rPr>
          <w:rFonts w:hint="eastAsia" w:ascii="仿宋" w:hAnsi="仿宋" w:eastAsia="仿宋" w:cs="仿宋"/>
          <w:szCs w:val="32"/>
        </w:rPr>
      </w:pPr>
      <w:r>
        <w:rPr>
          <w:rFonts w:hint="eastAsia" w:ascii="仿宋" w:hAnsi="仿宋" w:eastAsia="仿宋" w:cs="仿宋"/>
          <w:szCs w:val="32"/>
        </w:rPr>
        <w:t>(一)办公室。</w:t>
      </w:r>
    </w:p>
    <w:p>
      <w:pPr>
        <w:ind w:firstLine="640" w:firstLineChars="200"/>
        <w:jc w:val="left"/>
        <w:rPr>
          <w:rFonts w:hint="eastAsia" w:ascii="仿宋" w:hAnsi="仿宋" w:eastAsia="仿宋" w:cs="仿宋"/>
          <w:szCs w:val="32"/>
        </w:rPr>
      </w:pPr>
      <w:r>
        <w:rPr>
          <w:rFonts w:hint="eastAsia" w:ascii="仿宋" w:hAnsi="仿宋" w:eastAsia="仿宋" w:cs="仿宋"/>
          <w:szCs w:val="32"/>
        </w:rPr>
        <w:t>负责综合协调、管理局内行政工作；负责全局公文处理、档案、保密、信访、保卫、后勤管理等工作；负责起草局工作计划、总结及重要文件；政务信息搜集、整理及报送；负责市局、县(市、区)局财务和固定资产管理工作；负责县(市、区)统计局财务审计监督工作。</w:t>
      </w:r>
    </w:p>
    <w:p>
      <w:pPr>
        <w:ind w:left="640"/>
        <w:jc w:val="left"/>
        <w:rPr>
          <w:rFonts w:hint="eastAsia" w:ascii="仿宋" w:hAnsi="仿宋" w:eastAsia="仿宋" w:cs="仿宋"/>
          <w:szCs w:val="32"/>
        </w:rPr>
      </w:pPr>
      <w:r>
        <w:rPr>
          <w:rFonts w:hint="eastAsia" w:ascii="仿宋" w:hAnsi="仿宋" w:eastAsia="仿宋" w:cs="仿宋"/>
          <w:szCs w:val="32"/>
        </w:rPr>
        <w:t>(二)国民经济综合核算与法规科。</w:t>
      </w:r>
    </w:p>
    <w:p>
      <w:pPr>
        <w:ind w:firstLine="640" w:firstLineChars="200"/>
        <w:jc w:val="left"/>
        <w:rPr>
          <w:rFonts w:hint="eastAsia" w:ascii="仿宋" w:hAnsi="仿宋" w:eastAsia="仿宋" w:cs="仿宋"/>
          <w:szCs w:val="32"/>
        </w:rPr>
      </w:pPr>
      <w:r>
        <w:rPr>
          <w:rFonts w:hint="eastAsia" w:ascii="仿宋" w:hAnsi="仿宋" w:eastAsia="仿宋" w:cs="仿宋"/>
          <w:szCs w:val="32"/>
        </w:rPr>
        <w:t>依据职责分工，对全市国民经济运行情况进行监测预警和综合分析，提出相关咨询建议；对统计数据的使用和提供进行统一审查和管理；整理和提供全市及各县(市、区))经济社会综合数据；整理、编印年度统计年鉴及各类统计数据资料;负责统计数据发布、政务信息和统计新闻宣传；负责全局统计业务的综合协调和统计分析资料以及社会经济统计信息的审核。组织实施国民经济核算制度，负责全市国内生产总值、资金流量、资产负债核算工作；负责组织开展投入产出调查；开展分析研究，提供全市国民经济核算资料及有关平衡情况的分析研究报告；对县(市、区)统计单位的国民经济核算资料进行审核、评估和认定。负责组织全市统计法律、法规的宣传贯彻和监督检查，依法查处重大统计违法案件，办理行政复议、应诉和其他法律性事务。组织统计培训和统计从业资格认定工作。</w:t>
      </w:r>
    </w:p>
    <w:p>
      <w:pPr>
        <w:ind w:left="640"/>
        <w:jc w:val="left"/>
        <w:rPr>
          <w:rFonts w:hint="eastAsia" w:ascii="仿宋" w:hAnsi="仿宋" w:eastAsia="仿宋" w:cs="仿宋"/>
          <w:szCs w:val="32"/>
        </w:rPr>
      </w:pPr>
      <w:r>
        <w:rPr>
          <w:rFonts w:hint="eastAsia" w:ascii="仿宋" w:hAnsi="仿宋" w:eastAsia="仿宋" w:cs="仿宋"/>
          <w:szCs w:val="32"/>
        </w:rPr>
        <w:t>(三)工业交通与能源统计科。</w:t>
      </w:r>
    </w:p>
    <w:p>
      <w:pPr>
        <w:ind w:firstLine="640" w:firstLineChars="200"/>
        <w:jc w:val="left"/>
        <w:rPr>
          <w:rFonts w:hint="eastAsia" w:ascii="仿宋" w:hAnsi="仿宋" w:eastAsia="仿宋" w:cs="仿宋"/>
          <w:szCs w:val="32"/>
        </w:rPr>
      </w:pPr>
      <w:r>
        <w:rPr>
          <w:rFonts w:hint="eastAsia" w:ascii="仿宋" w:hAnsi="仿宋" w:eastAsia="仿宋" w:cs="仿宋"/>
          <w:szCs w:val="32"/>
        </w:rPr>
        <w:t>负责组织全市工业、交通和能源统计调查，收集、整理和提供有关调查统计数据，对统计数据质量进行检查和评估；组织指导县(市、区)和市直有关单位的统计基础建设；建立、完善、管理全市工业和能源统计数据库；组织实施全市及各县(市、区)全社会能源消耗总量核算，为地方政府节能降耗进行跟踪监测和提供服务；开展全市工业、交通、邮电、电讯和能源的统计分析和咨询服务。指导各县(市、区)开展相关统计工作。</w:t>
      </w:r>
    </w:p>
    <w:p>
      <w:pPr>
        <w:ind w:left="640"/>
        <w:jc w:val="left"/>
        <w:rPr>
          <w:rFonts w:hint="eastAsia" w:ascii="仿宋" w:hAnsi="仿宋" w:eastAsia="仿宋" w:cs="仿宋"/>
          <w:bCs/>
          <w:szCs w:val="32"/>
        </w:rPr>
      </w:pPr>
      <w:r>
        <w:rPr>
          <w:rFonts w:hint="eastAsia" w:ascii="仿宋" w:hAnsi="仿宋" w:eastAsia="仿宋" w:cs="仿宋"/>
          <w:bCs/>
          <w:szCs w:val="32"/>
        </w:rPr>
        <w:t>(四)农业贸易与服务业统计科。</w:t>
      </w:r>
    </w:p>
    <w:p>
      <w:pPr>
        <w:ind w:left="640"/>
        <w:jc w:val="left"/>
        <w:rPr>
          <w:rFonts w:hint="eastAsia" w:ascii="仿宋" w:hAnsi="仿宋" w:eastAsia="仿宋" w:cs="仿宋"/>
          <w:szCs w:val="32"/>
        </w:rPr>
      </w:pPr>
      <w:r>
        <w:rPr>
          <w:rFonts w:hint="eastAsia" w:ascii="仿宋" w:hAnsi="仿宋" w:eastAsia="仿宋" w:cs="仿宋"/>
          <w:szCs w:val="32"/>
        </w:rPr>
        <w:t>负责组织安施全市农业(包括林、牧、渔业等)、服务业、</w:t>
      </w:r>
    </w:p>
    <w:p>
      <w:pPr>
        <w:jc w:val="left"/>
        <w:rPr>
          <w:rFonts w:hint="eastAsia" w:ascii="仿宋" w:hAnsi="仿宋" w:eastAsia="仿宋" w:cs="仿宋"/>
          <w:szCs w:val="32"/>
        </w:rPr>
      </w:pPr>
      <w:r>
        <w:rPr>
          <w:rFonts w:hint="eastAsia" w:ascii="仿宋" w:hAnsi="仿宋" w:eastAsia="仿宋" w:cs="仿宋"/>
          <w:szCs w:val="32"/>
        </w:rPr>
        <w:t>批发零售贸易业、住宿餐饮业以及商品市场运行状况的统计调查制度；收集、整理和提供统计调查数据;对有关统计数据质量进行检查和评估；组织指导有关专业统计基础工作；进行统计分析研究。</w:t>
      </w:r>
    </w:p>
    <w:p>
      <w:pPr>
        <w:ind w:left="640"/>
        <w:jc w:val="left"/>
        <w:rPr>
          <w:rFonts w:hint="eastAsia" w:ascii="仿宋" w:hAnsi="仿宋" w:eastAsia="仿宋" w:cs="仿宋"/>
          <w:szCs w:val="32"/>
        </w:rPr>
      </w:pPr>
      <w:r>
        <w:rPr>
          <w:rFonts w:hint="eastAsia" w:ascii="仿宋" w:hAnsi="仿宋" w:eastAsia="仿宋" w:cs="仿宋"/>
          <w:szCs w:val="32"/>
        </w:rPr>
        <w:t>(五)固定资产投资统计科。</w:t>
      </w:r>
    </w:p>
    <w:p>
      <w:pPr>
        <w:ind w:firstLine="627" w:firstLineChars="196"/>
        <w:jc w:val="left"/>
        <w:rPr>
          <w:rFonts w:hint="eastAsia" w:ascii="仿宋" w:hAnsi="仿宋" w:eastAsia="仿宋" w:cs="仿宋"/>
          <w:szCs w:val="32"/>
        </w:rPr>
      </w:pPr>
      <w:r>
        <w:rPr>
          <w:rFonts w:hint="eastAsia" w:ascii="仿宋" w:hAnsi="仿宋" w:eastAsia="仿宋" w:cs="仿宋"/>
          <w:szCs w:val="32"/>
        </w:rPr>
        <w:t>组织实施固定资产投资、建筑业、房地产业、招商引资的统计调查，收集、整理和提供有关调查统计数据；综合整理和提供地质勘探、城市住宅、公用事业和固定资产投资项目管理等统计数据；对有关统计数据质量进行检查和评估；组织指导有关专业统计基础工作；进行统计分析。</w:t>
      </w:r>
    </w:p>
    <w:p>
      <w:pPr>
        <w:ind w:left="640"/>
        <w:jc w:val="left"/>
        <w:rPr>
          <w:rFonts w:hint="eastAsia" w:ascii="仿宋" w:hAnsi="仿宋" w:eastAsia="仿宋" w:cs="仿宋"/>
          <w:szCs w:val="32"/>
        </w:rPr>
      </w:pPr>
      <w:r>
        <w:rPr>
          <w:rFonts w:hint="eastAsia" w:ascii="仿宋" w:hAnsi="仿宋" w:eastAsia="仿宋" w:cs="仿宋"/>
          <w:szCs w:val="32"/>
        </w:rPr>
        <w:t>(六)人口就业与社会科技统计科。</w:t>
      </w:r>
    </w:p>
    <w:p>
      <w:pPr>
        <w:ind w:firstLine="640" w:firstLineChars="200"/>
        <w:jc w:val="left"/>
        <w:rPr>
          <w:rFonts w:hint="eastAsia" w:ascii="仿宋" w:hAnsi="仿宋" w:eastAsia="仿宋" w:cs="仿宋"/>
          <w:szCs w:val="32"/>
        </w:rPr>
      </w:pPr>
      <w:r>
        <w:rPr>
          <w:rFonts w:hint="eastAsia" w:ascii="仿宋" w:hAnsi="仿宋" w:eastAsia="仿宋" w:cs="仿宋"/>
          <w:szCs w:val="32"/>
        </w:rPr>
        <w:t>负责组织实施全市人口、劳动就业、社会、科技统计调查和妇女儿童发展规划监测；收集、整理和提供有关调查统计数据，建立、完善、管理相关的统计数据库；指导有关专业统计基础工作，对统计数据质量进行检查评估；进行统计分析和统计咨询。</w:t>
      </w:r>
    </w:p>
    <w:p>
      <w:pPr>
        <w:ind w:firstLine="640" w:firstLineChars="200"/>
        <w:jc w:val="left"/>
        <w:rPr>
          <w:rFonts w:hint="eastAsia" w:ascii="仿宋" w:hAnsi="仿宋" w:eastAsia="仿宋" w:cs="仿宋"/>
          <w:szCs w:val="32"/>
        </w:rPr>
      </w:pPr>
      <w:r>
        <w:rPr>
          <w:rFonts w:hint="eastAsia" w:ascii="仿宋" w:hAnsi="仿宋" w:eastAsia="仿宋" w:cs="仿宋"/>
          <w:szCs w:val="32"/>
        </w:rPr>
        <w:t>人事监察科。负责全市统计系统机关、直属单位的干部人事、劳动工资、机构编制的管理以及离退休干部的管理服务工作;负责全市统计系统干部党风廉政建设和纪检监察工作。</w:t>
      </w:r>
    </w:p>
    <w:p>
      <w:pPr>
        <w:ind w:firstLine="640" w:firstLineChars="200"/>
        <w:jc w:val="left"/>
        <w:rPr>
          <w:rFonts w:hint="eastAsia" w:ascii="仿宋" w:hAnsi="仿宋" w:eastAsia="仿宋" w:cs="仿宋"/>
          <w:szCs w:val="32"/>
        </w:rPr>
      </w:pPr>
      <w:r>
        <w:rPr>
          <w:rFonts w:hint="eastAsia" w:ascii="仿宋" w:hAnsi="仿宋" w:eastAsia="仿宋" w:cs="仿宋"/>
          <w:szCs w:val="32"/>
        </w:rPr>
        <w:t>机关党总支。负责局机关、派出机构和直属单位的党群工作。</w:t>
      </w:r>
    </w:p>
    <w:p>
      <w:pPr>
        <w:pStyle w:val="48"/>
        <w:ind w:firstLine="640" w:firstLineChars="200"/>
        <w:rPr>
          <w:rFonts w:hAnsi="楷体" w:eastAsia="楷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both"/>
        <w:rPr>
          <w:rFonts w:eastAsia="黑体"/>
        </w:rPr>
      </w:pPr>
    </w:p>
    <w:p>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9908" w:type="dxa"/>
        <w:tblInd w:w="0" w:type="dxa"/>
        <w:tblLayout w:type="fixed"/>
        <w:tblCellMar>
          <w:top w:w="0" w:type="dxa"/>
          <w:left w:w="108" w:type="dxa"/>
          <w:bottom w:w="0" w:type="dxa"/>
          <w:right w:w="108" w:type="dxa"/>
        </w:tblCellMar>
      </w:tblPr>
      <w:tblGrid>
        <w:gridCol w:w="2113"/>
        <w:gridCol w:w="985"/>
        <w:gridCol w:w="772"/>
        <w:gridCol w:w="213"/>
        <w:gridCol w:w="987"/>
        <w:gridCol w:w="1342"/>
        <w:gridCol w:w="1156"/>
        <w:gridCol w:w="9"/>
        <w:gridCol w:w="1173"/>
        <w:gridCol w:w="1158"/>
      </w:tblGrid>
      <w:tr>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noWrap w:val="0"/>
            <w:vAlign w:val="center"/>
          </w:tcPr>
          <w:p>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pPr>
              <w:widowControl/>
              <w:jc w:val="center"/>
              <w:rPr>
                <w:rFonts w:eastAsia="宋体"/>
                <w:kern w:val="0"/>
                <w:sz w:val="20"/>
              </w:rPr>
            </w:pPr>
          </w:p>
        </w:tc>
        <w:tc>
          <w:tcPr>
            <w:tcW w:w="1200" w:type="dxa"/>
            <w:gridSpan w:val="2"/>
            <w:tcBorders>
              <w:top w:val="nil"/>
              <w:left w:val="nil"/>
              <w:bottom w:val="nil"/>
              <w:right w:val="nil"/>
            </w:tcBorders>
            <w:noWrap w:val="0"/>
            <w:vAlign w:val="center"/>
          </w:tcPr>
          <w:p>
            <w:pPr>
              <w:widowControl/>
              <w:jc w:val="center"/>
              <w:rPr>
                <w:rFonts w:eastAsia="宋体"/>
                <w:kern w:val="0"/>
                <w:sz w:val="20"/>
              </w:rPr>
            </w:pPr>
          </w:p>
        </w:tc>
        <w:tc>
          <w:tcPr>
            <w:tcW w:w="2498" w:type="dxa"/>
            <w:gridSpan w:val="2"/>
            <w:tcBorders>
              <w:top w:val="nil"/>
              <w:left w:val="nil"/>
              <w:bottom w:val="nil"/>
              <w:right w:val="nil"/>
            </w:tcBorders>
            <w:noWrap w:val="0"/>
            <w:vAlign w:val="center"/>
          </w:tcPr>
          <w:p>
            <w:pPr>
              <w:widowControl/>
              <w:jc w:val="center"/>
              <w:rPr>
                <w:rFonts w:eastAsia="宋体"/>
                <w:kern w:val="0"/>
                <w:sz w:val="20"/>
              </w:rPr>
            </w:pPr>
          </w:p>
        </w:tc>
        <w:tc>
          <w:tcPr>
            <w:tcW w:w="2340" w:type="dxa"/>
            <w:gridSpan w:val="3"/>
            <w:tcBorders>
              <w:top w:val="nil"/>
              <w:left w:val="nil"/>
              <w:bottom w:val="nil"/>
              <w:right w:val="nil"/>
            </w:tcBorders>
            <w:noWrap w:val="0"/>
            <w:vAlign w:val="bottom"/>
          </w:tcPr>
          <w:p>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tblPrEx>
          <w:tblCellMar>
            <w:top w:w="0" w:type="dxa"/>
            <w:left w:w="108" w:type="dxa"/>
            <w:bottom w:w="0" w:type="dxa"/>
            <w:right w:w="108" w:type="dxa"/>
          </w:tblCellMar>
        </w:tblPrEx>
        <w:trPr>
          <w:trHeight w:val="435" w:hRule="atLeast"/>
        </w:trPr>
        <w:tc>
          <w:tcPr>
            <w:tcW w:w="2113"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985"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85"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987"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73"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tblPrEx>
          <w:tblCellMar>
            <w:top w:w="0" w:type="dxa"/>
            <w:left w:w="108" w:type="dxa"/>
            <w:bottom w:w="0" w:type="dxa"/>
            <w:right w:w="108" w:type="dxa"/>
          </w:tblCellMar>
        </w:tblPrEx>
        <w:trPr>
          <w:trHeight w:val="360" w:hRule="atLeast"/>
        </w:trPr>
        <w:tc>
          <w:tcPr>
            <w:tcW w:w="2113" w:type="dxa"/>
            <w:tcBorders>
              <w:top w:val="nil"/>
              <w:left w:val="single" w:color="auto" w:sz="4" w:space="0"/>
              <w:bottom w:val="single" w:color="auto" w:sz="4" w:space="0"/>
              <w:right w:val="single" w:color="auto" w:sz="4" w:space="0"/>
            </w:tcBorders>
            <w:noWrap w:val="0"/>
            <w:vAlign w:val="center"/>
          </w:tcPr>
          <w:p>
            <w:pPr>
              <w:jc w:val="both"/>
              <w:rPr>
                <w:rFonts w:hint="eastAsia" w:eastAsia="宋体"/>
                <w:sz w:val="20"/>
              </w:rPr>
            </w:pPr>
            <w:r>
              <w:rPr>
                <w:rFonts w:hint="eastAsia" w:eastAsia="宋体"/>
                <w:sz w:val="20"/>
              </w:rPr>
              <w:t>一、财政拨款收入</w:t>
            </w:r>
          </w:p>
        </w:tc>
        <w:tc>
          <w:tcPr>
            <w:tcW w:w="985"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rPr>
              <w:t>427.62</w:t>
            </w:r>
          </w:p>
        </w:tc>
        <w:tc>
          <w:tcPr>
            <w:tcW w:w="985"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rPr>
              <w:t>377.36</w:t>
            </w:r>
          </w:p>
        </w:tc>
        <w:tc>
          <w:tcPr>
            <w:tcW w:w="987" w:type="dxa"/>
            <w:tcBorders>
              <w:top w:val="nil"/>
              <w:left w:val="single" w:color="auto" w:sz="4" w:space="0"/>
              <w:bottom w:val="single" w:color="auto" w:sz="4" w:space="0"/>
              <w:right w:val="nil"/>
            </w:tcBorders>
            <w:noWrap w:val="0"/>
            <w:vAlign w:val="center"/>
          </w:tcPr>
          <w:p>
            <w:pPr>
              <w:widowControl/>
              <w:jc w:val="right"/>
              <w:rPr>
                <w:rFonts w:eastAsia="宋体"/>
                <w:kern w:val="0"/>
                <w:sz w:val="20"/>
              </w:rPr>
            </w:pPr>
            <w:r>
              <w:rPr>
                <w:rFonts w:hint="eastAsia" w:eastAsia="宋体"/>
                <w:kern w:val="0"/>
                <w:sz w:val="20"/>
              </w:rPr>
              <w:t>50.26</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r>
              <w:rPr>
                <w:rFonts w:eastAsia="宋体"/>
                <w:color w:val="000000"/>
                <w:kern w:val="0"/>
                <w:sz w:val="20"/>
              </w:rPr>
              <w:t>一、一般公共服务</w:t>
            </w: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color w:val="000000"/>
                <w:kern w:val="0"/>
                <w:sz w:val="20"/>
              </w:rPr>
            </w:pPr>
            <w:r>
              <w:rPr>
                <w:rFonts w:hint="eastAsia" w:eastAsia="宋体"/>
                <w:color w:val="000000"/>
                <w:kern w:val="0"/>
                <w:sz w:val="20"/>
              </w:rPr>
              <w:t>328.68</w:t>
            </w:r>
          </w:p>
        </w:tc>
        <w:tc>
          <w:tcPr>
            <w:tcW w:w="1182"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rPr>
              <w:t>293.79</w:t>
            </w:r>
          </w:p>
        </w:tc>
        <w:tc>
          <w:tcPr>
            <w:tcW w:w="1158"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rPr>
              <w:t>34.89</w:t>
            </w:r>
          </w:p>
        </w:tc>
      </w:tr>
      <w:tr>
        <w:tblPrEx>
          <w:tblCellMar>
            <w:top w:w="0" w:type="dxa"/>
            <w:left w:w="108" w:type="dxa"/>
            <w:bottom w:w="0" w:type="dxa"/>
            <w:right w:w="108" w:type="dxa"/>
          </w:tblCellMar>
        </w:tblPrEx>
        <w:trPr>
          <w:trHeight w:val="360" w:hRule="atLeast"/>
        </w:trPr>
        <w:tc>
          <w:tcPr>
            <w:tcW w:w="2113" w:type="dxa"/>
            <w:tcBorders>
              <w:top w:val="nil"/>
              <w:left w:val="single" w:color="auto" w:sz="4" w:space="0"/>
              <w:bottom w:val="single" w:color="auto" w:sz="4" w:space="0"/>
              <w:right w:val="single" w:color="auto" w:sz="4" w:space="0"/>
            </w:tcBorders>
            <w:noWrap w:val="0"/>
            <w:vAlign w:val="center"/>
          </w:tcPr>
          <w:p>
            <w:pPr>
              <w:ind w:firstLine="200" w:firstLineChars="100"/>
              <w:jc w:val="both"/>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985" w:type="dxa"/>
            <w:tcBorders>
              <w:top w:val="nil"/>
              <w:left w:val="nil"/>
              <w:bottom w:val="single" w:color="auto" w:sz="4" w:space="0"/>
              <w:right w:val="single" w:color="auto" w:sz="4" w:space="0"/>
            </w:tcBorders>
            <w:noWrap w:val="0"/>
            <w:vAlign w:val="center"/>
          </w:tcPr>
          <w:p>
            <w:pPr>
              <w:widowControl/>
              <w:jc w:val="right"/>
              <w:rPr>
                <w:rFonts w:ascii="Times New Roman" w:hAnsi="Times New Roman" w:eastAsia="宋体" w:cs="Times New Roman"/>
                <w:kern w:val="0"/>
                <w:sz w:val="20"/>
                <w:lang w:val="en-US" w:eastAsia="zh-CN" w:bidi="ar-SA"/>
              </w:rPr>
            </w:pPr>
            <w:r>
              <w:rPr>
                <w:rFonts w:hint="eastAsia" w:eastAsia="宋体"/>
                <w:kern w:val="0"/>
                <w:sz w:val="20"/>
              </w:rPr>
              <w:t>427.62</w:t>
            </w:r>
          </w:p>
        </w:tc>
        <w:tc>
          <w:tcPr>
            <w:tcW w:w="985" w:type="dxa"/>
            <w:gridSpan w:val="2"/>
            <w:tcBorders>
              <w:top w:val="nil"/>
              <w:left w:val="nil"/>
              <w:bottom w:val="single" w:color="auto" w:sz="4" w:space="0"/>
              <w:right w:val="single" w:color="auto" w:sz="4" w:space="0"/>
            </w:tcBorders>
            <w:noWrap w:val="0"/>
            <w:vAlign w:val="center"/>
          </w:tcPr>
          <w:p>
            <w:pPr>
              <w:widowControl/>
              <w:jc w:val="right"/>
              <w:rPr>
                <w:rFonts w:ascii="Times New Roman" w:hAnsi="Times New Roman" w:eastAsia="宋体" w:cs="Times New Roman"/>
                <w:kern w:val="0"/>
                <w:sz w:val="20"/>
                <w:lang w:val="en-US" w:eastAsia="zh-CN" w:bidi="ar-SA"/>
              </w:rPr>
            </w:pPr>
            <w:r>
              <w:rPr>
                <w:rFonts w:hint="eastAsia" w:eastAsia="宋体"/>
                <w:kern w:val="0"/>
                <w:sz w:val="20"/>
              </w:rPr>
              <w:t>377.36</w:t>
            </w:r>
          </w:p>
        </w:tc>
        <w:tc>
          <w:tcPr>
            <w:tcW w:w="987" w:type="dxa"/>
            <w:tcBorders>
              <w:top w:val="nil"/>
              <w:left w:val="single" w:color="auto" w:sz="4" w:space="0"/>
              <w:bottom w:val="single" w:color="auto" w:sz="4" w:space="0"/>
              <w:right w:val="nil"/>
            </w:tcBorders>
            <w:noWrap w:val="0"/>
            <w:vAlign w:val="center"/>
          </w:tcPr>
          <w:p>
            <w:pPr>
              <w:widowControl/>
              <w:jc w:val="right"/>
              <w:rPr>
                <w:rFonts w:ascii="Times New Roman" w:hAnsi="Times New Roman" w:eastAsia="宋体" w:cs="Times New Roman"/>
                <w:kern w:val="0"/>
                <w:sz w:val="20"/>
                <w:lang w:val="en-US" w:eastAsia="zh-CN" w:bidi="ar-SA"/>
              </w:rPr>
            </w:pPr>
            <w:r>
              <w:rPr>
                <w:rFonts w:hint="eastAsia" w:eastAsia="宋体"/>
                <w:kern w:val="0"/>
                <w:sz w:val="20"/>
              </w:rPr>
              <w:t>50.26</w:t>
            </w: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eastAsia="宋体"/>
                <w:color w:val="000000"/>
                <w:kern w:val="0"/>
                <w:sz w:val="20"/>
              </w:rPr>
            </w:pPr>
            <w:r>
              <w:rPr>
                <w:rFonts w:eastAsia="宋体"/>
                <w:color w:val="000000"/>
                <w:sz w:val="20"/>
              </w:rPr>
              <w:t>二、</w:t>
            </w:r>
            <w:r>
              <w:rPr>
                <w:rFonts w:hint="eastAsia" w:eastAsia="宋体"/>
                <w:color w:val="000000"/>
                <w:sz w:val="20"/>
              </w:rPr>
              <w:t>社会保障和就业支出　</w:t>
            </w:r>
          </w:p>
        </w:tc>
        <w:tc>
          <w:tcPr>
            <w:tcW w:w="1156" w:type="dxa"/>
            <w:tcBorders>
              <w:top w:val="nil"/>
              <w:left w:val="single" w:color="auto" w:sz="4" w:space="0"/>
              <w:bottom w:val="single" w:color="auto" w:sz="4" w:space="0"/>
              <w:right w:val="single" w:color="auto" w:sz="4" w:space="0"/>
            </w:tcBorders>
            <w:noWrap w:val="0"/>
            <w:vAlign w:val="center"/>
          </w:tcPr>
          <w:p>
            <w:pPr>
              <w:autoSpaceDN w:val="0"/>
              <w:jc w:val="right"/>
              <w:textAlignment w:val="center"/>
              <w:rPr>
                <w:rFonts w:hint="eastAsia" w:eastAsia="宋体"/>
                <w:color w:val="000000"/>
                <w:kern w:val="0"/>
                <w:sz w:val="20"/>
                <w:lang w:val="en-US" w:eastAsia="zh-CN"/>
              </w:rPr>
            </w:pPr>
            <w:r>
              <w:rPr>
                <w:rFonts w:hint="eastAsia" w:eastAsia="宋体"/>
                <w:color w:val="000000"/>
                <w:kern w:val="0"/>
                <w:sz w:val="20"/>
              </w:rPr>
              <w:t>58.5</w:t>
            </w:r>
            <w:r>
              <w:rPr>
                <w:rFonts w:hint="eastAsia" w:eastAsia="宋体"/>
                <w:color w:val="000000"/>
                <w:kern w:val="0"/>
                <w:sz w:val="20"/>
                <w:lang w:val="en-US" w:eastAsia="zh-CN"/>
              </w:rPr>
              <w:t>4</w:t>
            </w:r>
          </w:p>
        </w:tc>
        <w:tc>
          <w:tcPr>
            <w:tcW w:w="1182"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r>
              <w:rPr>
                <w:rFonts w:hint="eastAsia" w:eastAsia="宋体"/>
                <w:kern w:val="0"/>
                <w:sz w:val="20"/>
              </w:rPr>
              <w:t>49.12</w:t>
            </w:r>
          </w:p>
        </w:tc>
        <w:tc>
          <w:tcPr>
            <w:tcW w:w="1158" w:type="dxa"/>
            <w:tcBorders>
              <w:top w:val="nil"/>
              <w:left w:val="nil"/>
              <w:bottom w:val="single" w:color="auto" w:sz="4" w:space="0"/>
              <w:right w:val="single" w:color="auto" w:sz="4" w:space="0"/>
            </w:tcBorders>
            <w:noWrap w:val="0"/>
            <w:vAlign w:val="center"/>
          </w:tcPr>
          <w:p>
            <w:pPr>
              <w:jc w:val="right"/>
              <w:rPr>
                <w:rFonts w:hint="eastAsia" w:eastAsia="宋体"/>
                <w:kern w:val="0"/>
                <w:sz w:val="20"/>
                <w:lang w:val="en-US" w:eastAsia="zh-CN"/>
              </w:rPr>
            </w:pPr>
            <w:r>
              <w:rPr>
                <w:rFonts w:hint="eastAsia" w:eastAsia="宋体"/>
                <w:kern w:val="0"/>
                <w:sz w:val="20"/>
              </w:rPr>
              <w:t>9.4</w:t>
            </w:r>
            <w:r>
              <w:rPr>
                <w:rFonts w:hint="eastAsia" w:eastAsia="宋体"/>
                <w:kern w:val="0"/>
                <w:sz w:val="20"/>
                <w:lang w:val="en-US" w:eastAsia="zh-CN"/>
              </w:rPr>
              <w:t>2</w:t>
            </w:r>
          </w:p>
        </w:tc>
      </w:tr>
      <w:tr>
        <w:tblPrEx>
          <w:tblCellMar>
            <w:top w:w="0" w:type="dxa"/>
            <w:left w:w="108" w:type="dxa"/>
            <w:bottom w:w="0" w:type="dxa"/>
            <w:right w:w="108" w:type="dxa"/>
          </w:tblCellMar>
        </w:tblPrEx>
        <w:trPr>
          <w:trHeight w:val="360" w:hRule="atLeast"/>
        </w:trPr>
        <w:tc>
          <w:tcPr>
            <w:tcW w:w="2113"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985"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5"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987" w:type="dxa"/>
            <w:tcBorders>
              <w:top w:val="nil"/>
              <w:left w:val="single" w:color="auto" w:sz="4" w:space="0"/>
              <w:bottom w:val="single" w:color="auto" w:sz="4" w:space="0"/>
              <w:right w:val="nil"/>
            </w:tcBorders>
            <w:noWrap w:val="0"/>
            <w:vAlign w:val="center"/>
          </w:tcPr>
          <w:p>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eastAsia="宋体"/>
                <w:color w:val="000000"/>
                <w:kern w:val="0"/>
                <w:sz w:val="20"/>
              </w:rPr>
            </w:pPr>
            <w:r>
              <w:rPr>
                <w:rFonts w:eastAsia="宋体"/>
                <w:color w:val="000000"/>
                <w:sz w:val="20"/>
              </w:rPr>
              <w:t>三、</w:t>
            </w:r>
            <w:r>
              <w:rPr>
                <w:rFonts w:hint="eastAsia" w:eastAsia="宋体"/>
                <w:color w:val="000000"/>
                <w:sz w:val="20"/>
              </w:rPr>
              <w:t>卫生健康支出</w:t>
            </w:r>
          </w:p>
        </w:tc>
        <w:tc>
          <w:tcPr>
            <w:tcW w:w="1156" w:type="dxa"/>
            <w:tcBorders>
              <w:top w:val="nil"/>
              <w:left w:val="single" w:color="auto" w:sz="4" w:space="0"/>
              <w:bottom w:val="single" w:color="auto" w:sz="4" w:space="0"/>
              <w:right w:val="single" w:color="auto" w:sz="4" w:space="0"/>
            </w:tcBorders>
            <w:noWrap w:val="0"/>
            <w:vAlign w:val="center"/>
          </w:tcPr>
          <w:p>
            <w:pPr>
              <w:autoSpaceDN w:val="0"/>
              <w:jc w:val="right"/>
              <w:textAlignment w:val="center"/>
              <w:rPr>
                <w:rFonts w:eastAsia="宋体"/>
                <w:color w:val="000000"/>
                <w:kern w:val="0"/>
                <w:sz w:val="20"/>
              </w:rPr>
            </w:pPr>
            <w:r>
              <w:rPr>
                <w:rFonts w:hint="eastAsia" w:eastAsia="宋体"/>
                <w:color w:val="000000"/>
                <w:kern w:val="0"/>
                <w:sz w:val="20"/>
              </w:rPr>
              <w:t>8.92</w:t>
            </w:r>
          </w:p>
        </w:tc>
        <w:tc>
          <w:tcPr>
            <w:tcW w:w="1182"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r>
              <w:rPr>
                <w:rFonts w:hint="eastAsia" w:eastAsia="宋体"/>
                <w:kern w:val="0"/>
                <w:sz w:val="20"/>
              </w:rPr>
              <w:t>8.64</w:t>
            </w:r>
          </w:p>
        </w:tc>
        <w:tc>
          <w:tcPr>
            <w:tcW w:w="1158" w:type="dxa"/>
            <w:tcBorders>
              <w:top w:val="nil"/>
              <w:left w:val="nil"/>
              <w:bottom w:val="single" w:color="auto" w:sz="4" w:space="0"/>
              <w:right w:val="single" w:color="auto" w:sz="4" w:space="0"/>
            </w:tcBorders>
            <w:noWrap w:val="0"/>
            <w:vAlign w:val="center"/>
          </w:tcPr>
          <w:p>
            <w:pPr>
              <w:jc w:val="right"/>
              <w:rPr>
                <w:rFonts w:eastAsia="宋体"/>
                <w:kern w:val="0"/>
                <w:sz w:val="20"/>
              </w:rPr>
            </w:pPr>
            <w:r>
              <w:rPr>
                <w:rFonts w:hint="eastAsia" w:eastAsia="宋体"/>
                <w:kern w:val="0"/>
                <w:sz w:val="20"/>
              </w:rPr>
              <w:t>0.28</w:t>
            </w:r>
          </w:p>
        </w:tc>
      </w:tr>
      <w:tr>
        <w:tblPrEx>
          <w:tblCellMar>
            <w:top w:w="0" w:type="dxa"/>
            <w:left w:w="108" w:type="dxa"/>
            <w:bottom w:w="0" w:type="dxa"/>
            <w:right w:w="108" w:type="dxa"/>
          </w:tblCellMar>
        </w:tblPrEx>
        <w:trPr>
          <w:trHeight w:val="360" w:hRule="atLeast"/>
        </w:trPr>
        <w:tc>
          <w:tcPr>
            <w:tcW w:w="2113" w:type="dxa"/>
            <w:tcBorders>
              <w:top w:val="nil"/>
              <w:left w:val="single" w:color="auto" w:sz="4" w:space="0"/>
              <w:bottom w:val="single" w:color="auto" w:sz="4" w:space="0"/>
              <w:right w:val="single" w:color="auto" w:sz="4" w:space="0"/>
            </w:tcBorders>
            <w:noWrap w:val="0"/>
            <w:vAlign w:val="center"/>
          </w:tcPr>
          <w:p>
            <w:pPr>
              <w:ind w:firstLine="200" w:firstLineChars="100"/>
              <w:jc w:val="both"/>
              <w:rPr>
                <w:rFonts w:hint="eastAsia" w:eastAsia="宋体"/>
                <w:sz w:val="20"/>
              </w:rPr>
            </w:pPr>
            <w:r>
              <w:rPr>
                <w:rFonts w:hint="eastAsia" w:eastAsia="宋体"/>
                <w:sz w:val="20"/>
              </w:rPr>
              <w:t>国有资本经营预算拨款收入</w:t>
            </w:r>
          </w:p>
        </w:tc>
        <w:tc>
          <w:tcPr>
            <w:tcW w:w="985"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5"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987" w:type="dxa"/>
            <w:tcBorders>
              <w:top w:val="nil"/>
              <w:left w:val="single" w:color="auto" w:sz="4" w:space="0"/>
              <w:bottom w:val="single" w:color="auto" w:sz="4" w:space="0"/>
              <w:right w:val="nil"/>
            </w:tcBorders>
            <w:noWrap w:val="0"/>
            <w:vAlign w:val="center"/>
          </w:tcPr>
          <w:p>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eastAsia="宋体"/>
                <w:color w:val="000000"/>
                <w:kern w:val="0"/>
                <w:sz w:val="20"/>
              </w:rPr>
            </w:pPr>
            <w:r>
              <w:rPr>
                <w:rFonts w:hint="eastAsia" w:eastAsia="宋体"/>
                <w:color w:val="000000"/>
                <w:kern w:val="0"/>
                <w:sz w:val="20"/>
                <w:lang w:val="en-US" w:eastAsia="zh-CN"/>
              </w:rPr>
              <w:t>四、</w:t>
            </w:r>
            <w:r>
              <w:rPr>
                <w:rFonts w:hint="eastAsia" w:eastAsia="宋体"/>
                <w:color w:val="000000"/>
                <w:kern w:val="0"/>
                <w:sz w:val="20"/>
              </w:rPr>
              <w:t>住房保障支出</w:t>
            </w:r>
          </w:p>
        </w:tc>
        <w:tc>
          <w:tcPr>
            <w:tcW w:w="1156" w:type="dxa"/>
            <w:tcBorders>
              <w:top w:val="nil"/>
              <w:left w:val="single" w:color="auto" w:sz="4" w:space="0"/>
              <w:bottom w:val="single" w:color="auto" w:sz="4" w:space="0"/>
              <w:right w:val="single" w:color="auto" w:sz="4" w:space="0"/>
            </w:tcBorders>
            <w:noWrap w:val="0"/>
            <w:vAlign w:val="center"/>
          </w:tcPr>
          <w:p>
            <w:pPr>
              <w:autoSpaceDN w:val="0"/>
              <w:jc w:val="right"/>
              <w:textAlignment w:val="center"/>
              <w:rPr>
                <w:rFonts w:eastAsia="宋体"/>
                <w:color w:val="000000"/>
                <w:kern w:val="0"/>
                <w:sz w:val="20"/>
              </w:rPr>
            </w:pPr>
            <w:r>
              <w:rPr>
                <w:rFonts w:hint="eastAsia" w:eastAsia="宋体"/>
                <w:color w:val="000000"/>
                <w:kern w:val="0"/>
                <w:sz w:val="20"/>
              </w:rPr>
              <w:t>31.48</w:t>
            </w:r>
          </w:p>
        </w:tc>
        <w:tc>
          <w:tcPr>
            <w:tcW w:w="1182"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r>
              <w:rPr>
                <w:rFonts w:hint="eastAsia" w:eastAsia="宋体"/>
                <w:kern w:val="0"/>
                <w:sz w:val="20"/>
              </w:rPr>
              <w:t>25.81</w:t>
            </w:r>
          </w:p>
        </w:tc>
        <w:tc>
          <w:tcPr>
            <w:tcW w:w="1158" w:type="dxa"/>
            <w:tcBorders>
              <w:top w:val="nil"/>
              <w:left w:val="nil"/>
              <w:bottom w:val="single" w:color="auto" w:sz="4" w:space="0"/>
              <w:right w:val="single" w:color="auto" w:sz="4" w:space="0"/>
            </w:tcBorders>
            <w:noWrap w:val="0"/>
            <w:vAlign w:val="center"/>
          </w:tcPr>
          <w:p>
            <w:pPr>
              <w:jc w:val="right"/>
              <w:rPr>
                <w:rFonts w:eastAsia="宋体"/>
                <w:kern w:val="0"/>
                <w:sz w:val="20"/>
              </w:rPr>
            </w:pPr>
            <w:r>
              <w:rPr>
                <w:rFonts w:hint="eastAsia" w:eastAsia="宋体"/>
                <w:kern w:val="0"/>
                <w:sz w:val="20"/>
              </w:rPr>
              <w:t>5.67</w:t>
            </w:r>
          </w:p>
        </w:tc>
      </w:tr>
      <w:tr>
        <w:tblPrEx>
          <w:tblCellMar>
            <w:top w:w="0" w:type="dxa"/>
            <w:left w:w="108" w:type="dxa"/>
            <w:bottom w:w="0" w:type="dxa"/>
            <w:right w:w="108" w:type="dxa"/>
          </w:tblCellMar>
        </w:tblPrEx>
        <w:trPr>
          <w:trHeight w:val="360" w:hRule="atLeast"/>
        </w:trPr>
        <w:tc>
          <w:tcPr>
            <w:tcW w:w="2113" w:type="dxa"/>
            <w:tcBorders>
              <w:top w:val="nil"/>
              <w:left w:val="single" w:color="auto" w:sz="4" w:space="0"/>
              <w:bottom w:val="single" w:color="auto" w:sz="4" w:space="0"/>
              <w:right w:val="single" w:color="auto" w:sz="4" w:space="0"/>
            </w:tcBorders>
            <w:shd w:val="solid" w:color="FFFFFF" w:fill="auto"/>
            <w:noWrap w:val="0"/>
            <w:vAlign w:val="center"/>
          </w:tcPr>
          <w:p>
            <w:pPr>
              <w:jc w:val="both"/>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985"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5"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7" w:type="dxa"/>
            <w:tcBorders>
              <w:top w:val="nil"/>
              <w:left w:val="single" w:color="auto" w:sz="4" w:space="0"/>
              <w:bottom w:val="single" w:color="auto" w:sz="4" w:space="0"/>
              <w:right w:val="nil"/>
            </w:tcBorders>
            <w:noWrap w:val="0"/>
            <w:vAlign w:val="center"/>
          </w:tcPr>
          <w:p>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360" w:hRule="atLeast"/>
        </w:trPr>
        <w:tc>
          <w:tcPr>
            <w:tcW w:w="2113" w:type="dxa"/>
            <w:tcBorders>
              <w:top w:val="nil"/>
              <w:left w:val="single" w:color="auto" w:sz="4" w:space="0"/>
              <w:bottom w:val="single" w:color="auto" w:sz="4" w:space="0"/>
              <w:right w:val="single" w:color="auto" w:sz="4" w:space="0"/>
            </w:tcBorders>
            <w:shd w:val="clear" w:color="auto" w:fill="FFFFFF"/>
            <w:noWrap w:val="0"/>
            <w:vAlign w:val="center"/>
          </w:tcPr>
          <w:p>
            <w:pPr>
              <w:jc w:val="both"/>
              <w:rPr>
                <w:rFonts w:hint="eastAsia" w:eastAsia="宋体"/>
                <w:sz w:val="20"/>
              </w:rPr>
            </w:pPr>
            <w:r>
              <w:rPr>
                <w:rFonts w:hint="eastAsia" w:eastAsia="宋体"/>
                <w:sz w:val="20"/>
              </w:rPr>
              <w:t>三、单位资金收入</w:t>
            </w:r>
          </w:p>
        </w:tc>
        <w:tc>
          <w:tcPr>
            <w:tcW w:w="985"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5"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7" w:type="dxa"/>
            <w:tcBorders>
              <w:top w:val="nil"/>
              <w:left w:val="single" w:color="auto" w:sz="4" w:space="0"/>
              <w:bottom w:val="single" w:color="auto" w:sz="4" w:space="0"/>
              <w:right w:val="nil"/>
            </w:tcBorders>
            <w:noWrap w:val="0"/>
            <w:vAlign w:val="center"/>
          </w:tcPr>
          <w:p>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360" w:hRule="atLeast"/>
        </w:trPr>
        <w:tc>
          <w:tcPr>
            <w:tcW w:w="2113" w:type="dxa"/>
            <w:tcBorders>
              <w:top w:val="nil"/>
              <w:left w:val="single" w:color="auto" w:sz="4" w:space="0"/>
              <w:bottom w:val="single" w:color="auto" w:sz="4" w:space="0"/>
              <w:right w:val="single" w:color="auto" w:sz="4" w:space="0"/>
            </w:tcBorders>
            <w:noWrap w:val="0"/>
            <w:vAlign w:val="center"/>
          </w:tcPr>
          <w:p>
            <w:pPr>
              <w:ind w:firstLine="200" w:firstLineChars="100"/>
              <w:jc w:val="both"/>
              <w:rPr>
                <w:rFonts w:hint="eastAsia" w:eastAsia="宋体"/>
                <w:sz w:val="20"/>
              </w:rPr>
            </w:pPr>
            <w:r>
              <w:rPr>
                <w:rFonts w:hint="eastAsia" w:eastAsia="宋体"/>
                <w:sz w:val="20"/>
              </w:rPr>
              <w:t>事业收入</w:t>
            </w:r>
          </w:p>
        </w:tc>
        <w:tc>
          <w:tcPr>
            <w:tcW w:w="985"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5"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7" w:type="dxa"/>
            <w:tcBorders>
              <w:top w:val="nil"/>
              <w:left w:val="single" w:color="auto" w:sz="4" w:space="0"/>
              <w:bottom w:val="single" w:color="auto" w:sz="4" w:space="0"/>
              <w:right w:val="nil"/>
            </w:tcBorders>
            <w:noWrap w:val="0"/>
            <w:vAlign w:val="center"/>
          </w:tcPr>
          <w:p>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360" w:hRule="atLeast"/>
        </w:trPr>
        <w:tc>
          <w:tcPr>
            <w:tcW w:w="2113" w:type="dxa"/>
            <w:tcBorders>
              <w:top w:val="nil"/>
              <w:left w:val="single" w:color="auto" w:sz="4" w:space="0"/>
              <w:bottom w:val="single" w:color="auto" w:sz="4" w:space="0"/>
              <w:right w:val="single" w:color="auto" w:sz="4" w:space="0"/>
            </w:tcBorders>
            <w:noWrap w:val="0"/>
            <w:vAlign w:val="center"/>
          </w:tcPr>
          <w:p>
            <w:pPr>
              <w:ind w:firstLine="200" w:firstLineChars="100"/>
              <w:jc w:val="both"/>
              <w:rPr>
                <w:rFonts w:hint="eastAsia" w:eastAsia="宋体"/>
                <w:sz w:val="20"/>
              </w:rPr>
            </w:pPr>
            <w:r>
              <w:rPr>
                <w:rFonts w:hint="eastAsia" w:eastAsia="宋体"/>
                <w:sz w:val="20"/>
              </w:rPr>
              <w:t>事业单位经营收入</w:t>
            </w:r>
          </w:p>
        </w:tc>
        <w:tc>
          <w:tcPr>
            <w:tcW w:w="985"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5"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987" w:type="dxa"/>
            <w:tcBorders>
              <w:top w:val="nil"/>
              <w:left w:val="single" w:color="auto" w:sz="4" w:space="0"/>
              <w:bottom w:val="single" w:color="auto" w:sz="4" w:space="0"/>
              <w:right w:val="nil"/>
            </w:tcBorders>
            <w:noWrap w:val="0"/>
            <w:vAlign w:val="center"/>
          </w:tcPr>
          <w:p>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right"/>
              <w:rPr>
                <w:rFonts w:eastAsia="宋体"/>
                <w:kern w:val="0"/>
                <w:sz w:val="20"/>
              </w:rPr>
            </w:pPr>
          </w:p>
        </w:tc>
      </w:tr>
      <w:tr>
        <w:tblPrEx>
          <w:tblCellMar>
            <w:top w:w="0" w:type="dxa"/>
            <w:left w:w="108" w:type="dxa"/>
            <w:bottom w:w="0" w:type="dxa"/>
            <w:right w:w="108" w:type="dxa"/>
          </w:tblCellMar>
        </w:tblPrEx>
        <w:trPr>
          <w:trHeight w:val="360" w:hRule="atLeast"/>
        </w:trPr>
        <w:tc>
          <w:tcPr>
            <w:tcW w:w="2113" w:type="dxa"/>
            <w:tcBorders>
              <w:top w:val="nil"/>
              <w:left w:val="single" w:color="auto" w:sz="4" w:space="0"/>
              <w:bottom w:val="single" w:color="auto" w:sz="4" w:space="0"/>
              <w:right w:val="single" w:color="auto" w:sz="4" w:space="0"/>
            </w:tcBorders>
            <w:noWrap w:val="0"/>
            <w:vAlign w:val="center"/>
          </w:tcPr>
          <w:p>
            <w:pPr>
              <w:ind w:firstLine="200" w:firstLineChars="100"/>
              <w:jc w:val="both"/>
              <w:rPr>
                <w:rFonts w:hint="eastAsia" w:eastAsia="宋体"/>
                <w:sz w:val="20"/>
              </w:rPr>
            </w:pPr>
            <w:r>
              <w:rPr>
                <w:rFonts w:hint="eastAsia" w:eastAsia="宋体"/>
                <w:sz w:val="20"/>
              </w:rPr>
              <w:t>上级补助收入</w:t>
            </w:r>
          </w:p>
        </w:tc>
        <w:tc>
          <w:tcPr>
            <w:tcW w:w="985"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5"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987" w:type="dxa"/>
            <w:tcBorders>
              <w:top w:val="nil"/>
              <w:left w:val="single" w:color="auto" w:sz="4" w:space="0"/>
              <w:bottom w:val="single" w:color="auto" w:sz="4" w:space="0"/>
              <w:right w:val="nil"/>
            </w:tcBorders>
            <w:noWrap w:val="0"/>
            <w:vAlign w:val="center"/>
          </w:tcPr>
          <w:p>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right"/>
              <w:rPr>
                <w:rFonts w:eastAsia="宋体"/>
                <w:kern w:val="0"/>
                <w:sz w:val="20"/>
              </w:rPr>
            </w:pPr>
          </w:p>
        </w:tc>
      </w:tr>
      <w:tr>
        <w:tblPrEx>
          <w:tblCellMar>
            <w:top w:w="0" w:type="dxa"/>
            <w:left w:w="108" w:type="dxa"/>
            <w:bottom w:w="0" w:type="dxa"/>
            <w:right w:w="108" w:type="dxa"/>
          </w:tblCellMar>
        </w:tblPrEx>
        <w:trPr>
          <w:trHeight w:val="360" w:hRule="atLeast"/>
        </w:trPr>
        <w:tc>
          <w:tcPr>
            <w:tcW w:w="2113" w:type="dxa"/>
            <w:tcBorders>
              <w:top w:val="nil"/>
              <w:left w:val="single" w:color="auto" w:sz="4" w:space="0"/>
              <w:bottom w:val="single" w:color="auto" w:sz="4" w:space="0"/>
              <w:right w:val="single" w:color="auto" w:sz="4" w:space="0"/>
            </w:tcBorders>
            <w:noWrap w:val="0"/>
            <w:vAlign w:val="center"/>
          </w:tcPr>
          <w:p>
            <w:pPr>
              <w:ind w:firstLine="200" w:firstLineChars="100"/>
              <w:jc w:val="both"/>
              <w:rPr>
                <w:rFonts w:hint="eastAsia" w:eastAsia="宋体"/>
                <w:sz w:val="20"/>
              </w:rPr>
            </w:pPr>
            <w:r>
              <w:rPr>
                <w:rFonts w:hint="eastAsia" w:eastAsia="宋体"/>
                <w:sz w:val="20"/>
              </w:rPr>
              <w:t>附属单位上缴收入</w:t>
            </w:r>
          </w:p>
        </w:tc>
        <w:tc>
          <w:tcPr>
            <w:tcW w:w="985"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5"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987" w:type="dxa"/>
            <w:tcBorders>
              <w:top w:val="nil"/>
              <w:left w:val="single" w:color="auto" w:sz="4" w:space="0"/>
              <w:bottom w:val="single" w:color="auto" w:sz="4" w:space="0"/>
              <w:right w:val="nil"/>
            </w:tcBorders>
            <w:noWrap w:val="0"/>
            <w:vAlign w:val="center"/>
          </w:tcPr>
          <w:p>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right"/>
              <w:rPr>
                <w:rFonts w:eastAsia="宋体"/>
                <w:kern w:val="0"/>
                <w:sz w:val="20"/>
              </w:rPr>
            </w:pPr>
          </w:p>
        </w:tc>
      </w:tr>
      <w:tr>
        <w:tblPrEx>
          <w:tblCellMar>
            <w:top w:w="0" w:type="dxa"/>
            <w:left w:w="108" w:type="dxa"/>
            <w:bottom w:w="0" w:type="dxa"/>
            <w:right w:w="108" w:type="dxa"/>
          </w:tblCellMar>
        </w:tblPrEx>
        <w:trPr>
          <w:trHeight w:val="360" w:hRule="atLeast"/>
        </w:trPr>
        <w:tc>
          <w:tcPr>
            <w:tcW w:w="2113" w:type="dxa"/>
            <w:tcBorders>
              <w:top w:val="nil"/>
              <w:left w:val="single" w:color="auto" w:sz="4" w:space="0"/>
              <w:bottom w:val="single" w:color="auto" w:sz="4" w:space="0"/>
              <w:right w:val="single" w:color="auto" w:sz="4" w:space="0"/>
            </w:tcBorders>
            <w:noWrap w:val="0"/>
            <w:vAlign w:val="center"/>
          </w:tcPr>
          <w:p>
            <w:pPr>
              <w:ind w:firstLine="200" w:firstLineChars="100"/>
              <w:jc w:val="both"/>
              <w:rPr>
                <w:rFonts w:hint="eastAsia" w:eastAsia="宋体"/>
                <w:sz w:val="20"/>
              </w:rPr>
            </w:pPr>
            <w:r>
              <w:rPr>
                <w:rFonts w:hint="eastAsia" w:eastAsia="宋体"/>
                <w:sz w:val="20"/>
              </w:rPr>
              <w:t>其他收入</w:t>
            </w:r>
          </w:p>
        </w:tc>
        <w:tc>
          <w:tcPr>
            <w:tcW w:w="985" w:type="dxa"/>
            <w:tcBorders>
              <w:top w:val="nil"/>
              <w:left w:val="nil"/>
              <w:bottom w:val="single" w:color="auto" w:sz="4" w:space="0"/>
              <w:right w:val="single" w:color="auto" w:sz="4" w:space="0"/>
            </w:tcBorders>
            <w:noWrap w:val="0"/>
            <w:vAlign w:val="center"/>
          </w:tcPr>
          <w:p>
            <w:pPr>
              <w:jc w:val="right"/>
              <w:rPr>
                <w:rFonts w:hint="eastAsia" w:eastAsia="宋体"/>
                <w:sz w:val="20"/>
              </w:rPr>
            </w:pPr>
          </w:p>
        </w:tc>
        <w:tc>
          <w:tcPr>
            <w:tcW w:w="985" w:type="dxa"/>
            <w:gridSpan w:val="2"/>
            <w:tcBorders>
              <w:top w:val="nil"/>
              <w:left w:val="nil"/>
              <w:bottom w:val="single" w:color="auto" w:sz="4" w:space="0"/>
              <w:right w:val="single" w:color="auto" w:sz="4" w:space="0"/>
            </w:tcBorders>
            <w:noWrap w:val="0"/>
            <w:vAlign w:val="center"/>
          </w:tcPr>
          <w:p>
            <w:pPr>
              <w:jc w:val="right"/>
              <w:rPr>
                <w:rFonts w:hint="eastAsia" w:eastAsia="宋体"/>
                <w:sz w:val="20"/>
              </w:rPr>
            </w:pPr>
          </w:p>
        </w:tc>
        <w:tc>
          <w:tcPr>
            <w:tcW w:w="987" w:type="dxa"/>
            <w:tcBorders>
              <w:top w:val="nil"/>
              <w:left w:val="single" w:color="auto" w:sz="4" w:space="0"/>
              <w:bottom w:val="single" w:color="auto" w:sz="4" w:space="0"/>
              <w:right w:val="nil"/>
            </w:tcBorders>
            <w:noWrap w:val="0"/>
            <w:vAlign w:val="center"/>
          </w:tcPr>
          <w:p>
            <w:pPr>
              <w:jc w:val="right"/>
              <w:rPr>
                <w:rFonts w:hint="eastAsia" w:eastAsia="宋体"/>
                <w:sz w:val="20"/>
              </w:rPr>
            </w:pPr>
          </w:p>
        </w:tc>
        <w:tc>
          <w:tcPr>
            <w:tcW w:w="134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noWrap w:val="0"/>
            <w:vAlign w:val="center"/>
          </w:tcPr>
          <w:p>
            <w:pPr>
              <w:jc w:val="right"/>
              <w:rPr>
                <w:rFonts w:hint="eastAsia" w:eastAsia="宋体"/>
                <w:sz w:val="20"/>
              </w:rPr>
            </w:pPr>
          </w:p>
        </w:tc>
        <w:tc>
          <w:tcPr>
            <w:tcW w:w="1182" w:type="dxa"/>
            <w:gridSpan w:val="2"/>
            <w:tcBorders>
              <w:top w:val="nil"/>
              <w:left w:val="nil"/>
              <w:bottom w:val="single" w:color="auto" w:sz="4" w:space="0"/>
              <w:right w:val="single" w:color="auto" w:sz="4" w:space="0"/>
            </w:tcBorders>
            <w:noWrap w:val="0"/>
            <w:vAlign w:val="center"/>
          </w:tcPr>
          <w:p>
            <w:pPr>
              <w:jc w:val="right"/>
              <w:rPr>
                <w:rFonts w:hint="eastAsia" w:eastAsia="宋体"/>
                <w:sz w:val="20"/>
              </w:rPr>
            </w:pPr>
          </w:p>
        </w:tc>
        <w:tc>
          <w:tcPr>
            <w:tcW w:w="1158" w:type="dxa"/>
            <w:tcBorders>
              <w:top w:val="nil"/>
              <w:left w:val="nil"/>
              <w:bottom w:val="single" w:color="auto" w:sz="4" w:space="0"/>
              <w:right w:val="single" w:color="auto" w:sz="4" w:space="0"/>
            </w:tcBorders>
            <w:noWrap w:val="0"/>
            <w:vAlign w:val="center"/>
          </w:tcPr>
          <w:p>
            <w:pPr>
              <w:jc w:val="right"/>
              <w:rPr>
                <w:rFonts w:hint="eastAsia" w:eastAsia="宋体"/>
                <w:sz w:val="20"/>
              </w:rPr>
            </w:pPr>
          </w:p>
        </w:tc>
      </w:tr>
      <w:tr>
        <w:tblPrEx>
          <w:tblCellMar>
            <w:top w:w="0" w:type="dxa"/>
            <w:left w:w="108" w:type="dxa"/>
            <w:bottom w:w="0" w:type="dxa"/>
            <w:right w:w="108" w:type="dxa"/>
          </w:tblCellMar>
        </w:tblPrEx>
        <w:trPr>
          <w:trHeight w:val="504" w:hRule="atLeast"/>
        </w:trPr>
        <w:tc>
          <w:tcPr>
            <w:tcW w:w="2113"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985" w:type="dxa"/>
            <w:tcBorders>
              <w:top w:val="nil"/>
              <w:left w:val="nil"/>
              <w:bottom w:val="single" w:color="auto" w:sz="4" w:space="0"/>
              <w:right w:val="single" w:color="auto" w:sz="4" w:space="0"/>
            </w:tcBorders>
            <w:noWrap w:val="0"/>
            <w:vAlign w:val="center"/>
          </w:tcPr>
          <w:p>
            <w:pPr>
              <w:widowControl/>
              <w:jc w:val="right"/>
              <w:rPr>
                <w:rFonts w:hint="eastAsia" w:eastAsia="宋体"/>
                <w:kern w:val="0"/>
                <w:sz w:val="20"/>
                <w:lang w:val="en-US" w:eastAsia="zh-CN"/>
              </w:rPr>
            </w:pPr>
            <w:r>
              <w:rPr>
                <w:rFonts w:hint="eastAsia" w:eastAsia="宋体"/>
                <w:kern w:val="0"/>
                <w:sz w:val="20"/>
              </w:rPr>
              <w:t>427.62</w:t>
            </w:r>
          </w:p>
        </w:tc>
        <w:tc>
          <w:tcPr>
            <w:tcW w:w="985" w:type="dxa"/>
            <w:gridSpan w:val="2"/>
            <w:tcBorders>
              <w:top w:val="nil"/>
              <w:left w:val="nil"/>
              <w:bottom w:val="single" w:color="auto" w:sz="4" w:space="0"/>
              <w:right w:val="single" w:color="auto" w:sz="4" w:space="0"/>
            </w:tcBorders>
            <w:noWrap w:val="0"/>
            <w:vAlign w:val="center"/>
          </w:tcPr>
          <w:p>
            <w:pPr>
              <w:widowControl/>
              <w:jc w:val="right"/>
              <w:rPr>
                <w:rFonts w:hint="eastAsia" w:eastAsia="宋体"/>
                <w:kern w:val="0"/>
                <w:sz w:val="20"/>
                <w:lang w:val="en-US" w:eastAsia="zh-CN"/>
              </w:rPr>
            </w:pPr>
            <w:r>
              <w:rPr>
                <w:rFonts w:hint="eastAsia" w:eastAsia="宋体"/>
                <w:kern w:val="0"/>
                <w:sz w:val="20"/>
              </w:rPr>
              <w:t>377.36</w:t>
            </w:r>
          </w:p>
        </w:tc>
        <w:tc>
          <w:tcPr>
            <w:tcW w:w="987" w:type="dxa"/>
            <w:tcBorders>
              <w:top w:val="nil"/>
              <w:left w:val="single" w:color="auto" w:sz="4" w:space="0"/>
              <w:bottom w:val="single" w:color="auto" w:sz="4" w:space="0"/>
              <w:right w:val="nil"/>
            </w:tcBorders>
            <w:noWrap w:val="0"/>
            <w:vAlign w:val="center"/>
          </w:tcPr>
          <w:p>
            <w:pPr>
              <w:widowControl/>
              <w:jc w:val="right"/>
              <w:rPr>
                <w:rFonts w:hint="eastAsia" w:eastAsia="宋体"/>
                <w:kern w:val="0"/>
                <w:sz w:val="20"/>
                <w:lang w:val="en-US" w:eastAsia="zh-CN"/>
              </w:rPr>
            </w:pPr>
            <w:r>
              <w:rPr>
                <w:rFonts w:hint="eastAsia" w:eastAsia="宋体"/>
                <w:kern w:val="0"/>
                <w:sz w:val="20"/>
              </w:rPr>
              <w:t>50.26</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rPr>
            </w:pPr>
            <w:r>
              <w:rPr>
                <w:rFonts w:hint="eastAsia" w:eastAsia="宋体"/>
                <w:kern w:val="0"/>
                <w:sz w:val="20"/>
              </w:rPr>
              <w:t>427.62</w:t>
            </w:r>
          </w:p>
        </w:tc>
        <w:tc>
          <w:tcPr>
            <w:tcW w:w="1182" w:type="dxa"/>
            <w:gridSpan w:val="2"/>
            <w:tcBorders>
              <w:top w:val="nil"/>
              <w:left w:val="nil"/>
              <w:bottom w:val="single" w:color="auto" w:sz="4" w:space="0"/>
              <w:right w:val="single" w:color="auto" w:sz="4" w:space="0"/>
            </w:tcBorders>
            <w:noWrap w:val="0"/>
            <w:vAlign w:val="center"/>
          </w:tcPr>
          <w:p>
            <w:pPr>
              <w:widowControl/>
              <w:jc w:val="right"/>
              <w:rPr>
                <w:rFonts w:hint="eastAsia" w:eastAsia="宋体"/>
                <w:kern w:val="0"/>
                <w:sz w:val="20"/>
              </w:rPr>
            </w:pPr>
            <w:r>
              <w:rPr>
                <w:rFonts w:hint="eastAsia" w:eastAsia="宋体"/>
                <w:kern w:val="0"/>
                <w:sz w:val="20"/>
              </w:rPr>
              <w:t>377.36</w:t>
            </w:r>
          </w:p>
        </w:tc>
        <w:tc>
          <w:tcPr>
            <w:tcW w:w="1158" w:type="dxa"/>
            <w:tcBorders>
              <w:top w:val="nil"/>
              <w:left w:val="nil"/>
              <w:bottom w:val="single" w:color="auto" w:sz="4" w:space="0"/>
              <w:right w:val="single" w:color="auto" w:sz="4" w:space="0"/>
            </w:tcBorders>
            <w:noWrap w:val="0"/>
            <w:vAlign w:val="center"/>
          </w:tcPr>
          <w:p>
            <w:pPr>
              <w:widowControl/>
              <w:jc w:val="right"/>
              <w:rPr>
                <w:rFonts w:hint="eastAsia" w:eastAsia="宋体"/>
                <w:kern w:val="0"/>
                <w:sz w:val="20"/>
              </w:rPr>
            </w:pPr>
            <w:r>
              <w:rPr>
                <w:rFonts w:hint="eastAsia" w:eastAsia="宋体"/>
                <w:kern w:val="0"/>
                <w:sz w:val="20"/>
              </w:rPr>
              <w:t>50.26</w:t>
            </w:r>
          </w:p>
        </w:tc>
      </w:tr>
      <w:tr>
        <w:tblPrEx>
          <w:tblCellMar>
            <w:top w:w="0" w:type="dxa"/>
            <w:left w:w="108" w:type="dxa"/>
            <w:bottom w:w="0" w:type="dxa"/>
            <w:right w:w="108" w:type="dxa"/>
          </w:tblCellMar>
        </w:tblPrEx>
        <w:trPr>
          <w:trHeight w:val="360" w:hRule="atLeast"/>
        </w:trPr>
        <w:tc>
          <w:tcPr>
            <w:tcW w:w="2113" w:type="dxa"/>
            <w:tcBorders>
              <w:top w:val="nil"/>
              <w:left w:val="single" w:color="auto" w:sz="4" w:space="0"/>
              <w:bottom w:val="single" w:color="auto" w:sz="4" w:space="0"/>
              <w:right w:val="single" w:color="auto" w:sz="4" w:space="0"/>
            </w:tcBorders>
            <w:noWrap w:val="0"/>
            <w:vAlign w:val="center"/>
          </w:tcPr>
          <w:p>
            <w:pPr>
              <w:jc w:val="both"/>
              <w:rPr>
                <w:rFonts w:eastAsia="宋体"/>
                <w:sz w:val="20"/>
              </w:rPr>
            </w:pPr>
            <w:r>
              <w:rPr>
                <w:rFonts w:hint="eastAsia" w:eastAsia="宋体"/>
                <w:sz w:val="20"/>
              </w:rPr>
              <w:t>财政拨款结转</w:t>
            </w:r>
          </w:p>
        </w:tc>
        <w:tc>
          <w:tcPr>
            <w:tcW w:w="985" w:type="dxa"/>
            <w:tcBorders>
              <w:top w:val="nil"/>
              <w:left w:val="nil"/>
              <w:bottom w:val="single" w:color="auto" w:sz="4" w:space="0"/>
              <w:right w:val="single" w:color="auto" w:sz="4" w:space="0"/>
            </w:tcBorders>
            <w:noWrap w:val="0"/>
            <w:vAlign w:val="center"/>
          </w:tcPr>
          <w:p>
            <w:pPr>
              <w:widowControl/>
              <w:jc w:val="right"/>
              <w:rPr>
                <w:rFonts w:hint="eastAsia" w:eastAsia="宋体"/>
                <w:kern w:val="0"/>
                <w:sz w:val="20"/>
              </w:rPr>
            </w:pPr>
          </w:p>
        </w:tc>
        <w:tc>
          <w:tcPr>
            <w:tcW w:w="985" w:type="dxa"/>
            <w:gridSpan w:val="2"/>
            <w:tcBorders>
              <w:top w:val="nil"/>
              <w:left w:val="nil"/>
              <w:bottom w:val="single" w:color="auto" w:sz="4" w:space="0"/>
              <w:right w:val="single" w:color="auto" w:sz="4" w:space="0"/>
            </w:tcBorders>
            <w:noWrap w:val="0"/>
            <w:vAlign w:val="center"/>
          </w:tcPr>
          <w:p>
            <w:pPr>
              <w:widowControl/>
              <w:jc w:val="right"/>
              <w:rPr>
                <w:rFonts w:hint="eastAsia" w:eastAsia="宋体"/>
                <w:kern w:val="0"/>
                <w:sz w:val="20"/>
              </w:rPr>
            </w:pPr>
          </w:p>
        </w:tc>
        <w:tc>
          <w:tcPr>
            <w:tcW w:w="987" w:type="dxa"/>
            <w:tcBorders>
              <w:top w:val="nil"/>
              <w:left w:val="single" w:color="auto" w:sz="4" w:space="0"/>
              <w:bottom w:val="single" w:color="auto" w:sz="4" w:space="0"/>
              <w:right w:val="nil"/>
            </w:tcBorders>
            <w:noWrap w:val="0"/>
            <w:vAlign w:val="center"/>
          </w:tcPr>
          <w:p>
            <w:pPr>
              <w:widowControl/>
              <w:jc w:val="right"/>
              <w:rPr>
                <w:rFonts w:hint="eastAsia"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right"/>
              <w:rPr>
                <w:rFonts w:hint="eastAsia"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right"/>
              <w:rPr>
                <w:rFonts w:hint="eastAsia" w:eastAsia="宋体"/>
                <w:kern w:val="0"/>
                <w:sz w:val="20"/>
              </w:rPr>
            </w:pPr>
          </w:p>
        </w:tc>
      </w:tr>
      <w:tr>
        <w:tblPrEx>
          <w:tblCellMar>
            <w:top w:w="0" w:type="dxa"/>
            <w:left w:w="108" w:type="dxa"/>
            <w:bottom w:w="0" w:type="dxa"/>
            <w:right w:w="108" w:type="dxa"/>
          </w:tblCellMar>
        </w:tblPrEx>
        <w:trPr>
          <w:trHeight w:val="360" w:hRule="atLeast"/>
        </w:trPr>
        <w:tc>
          <w:tcPr>
            <w:tcW w:w="2113" w:type="dxa"/>
            <w:tcBorders>
              <w:top w:val="nil"/>
              <w:left w:val="single" w:color="auto" w:sz="4" w:space="0"/>
              <w:bottom w:val="single" w:color="auto" w:sz="4" w:space="0"/>
              <w:right w:val="single" w:color="auto" w:sz="4" w:space="0"/>
            </w:tcBorders>
            <w:noWrap w:val="0"/>
            <w:vAlign w:val="center"/>
          </w:tcPr>
          <w:p>
            <w:pPr>
              <w:jc w:val="both"/>
              <w:rPr>
                <w:rFonts w:eastAsia="宋体"/>
                <w:sz w:val="20"/>
              </w:rPr>
            </w:pPr>
            <w:r>
              <w:rPr>
                <w:rFonts w:hint="eastAsia" w:eastAsia="宋体"/>
                <w:sz w:val="20"/>
                <w:lang w:eastAsia="zh-CN"/>
              </w:rPr>
              <w:t>非财政拨款</w:t>
            </w:r>
            <w:r>
              <w:rPr>
                <w:rFonts w:hint="eastAsia" w:eastAsia="宋体"/>
                <w:sz w:val="20"/>
              </w:rPr>
              <w:t>结转结余</w:t>
            </w:r>
          </w:p>
        </w:tc>
        <w:tc>
          <w:tcPr>
            <w:tcW w:w="985" w:type="dxa"/>
            <w:tcBorders>
              <w:top w:val="nil"/>
              <w:left w:val="nil"/>
              <w:bottom w:val="single" w:color="auto" w:sz="4" w:space="0"/>
              <w:right w:val="single" w:color="auto" w:sz="4" w:space="0"/>
            </w:tcBorders>
            <w:noWrap w:val="0"/>
            <w:vAlign w:val="center"/>
          </w:tcPr>
          <w:p>
            <w:pPr>
              <w:widowControl/>
              <w:jc w:val="right"/>
              <w:rPr>
                <w:rFonts w:hint="eastAsia" w:eastAsia="宋体"/>
                <w:kern w:val="0"/>
                <w:sz w:val="20"/>
              </w:rPr>
            </w:pPr>
          </w:p>
        </w:tc>
        <w:tc>
          <w:tcPr>
            <w:tcW w:w="985" w:type="dxa"/>
            <w:gridSpan w:val="2"/>
            <w:tcBorders>
              <w:top w:val="nil"/>
              <w:left w:val="nil"/>
              <w:bottom w:val="single" w:color="auto" w:sz="4" w:space="0"/>
              <w:right w:val="single" w:color="auto" w:sz="4" w:space="0"/>
            </w:tcBorders>
            <w:noWrap w:val="0"/>
            <w:vAlign w:val="center"/>
          </w:tcPr>
          <w:p>
            <w:pPr>
              <w:widowControl/>
              <w:jc w:val="right"/>
              <w:rPr>
                <w:rFonts w:hint="eastAsia" w:eastAsia="宋体"/>
                <w:kern w:val="0"/>
                <w:sz w:val="20"/>
              </w:rPr>
            </w:pPr>
          </w:p>
        </w:tc>
        <w:tc>
          <w:tcPr>
            <w:tcW w:w="987" w:type="dxa"/>
            <w:tcBorders>
              <w:top w:val="nil"/>
              <w:left w:val="single" w:color="auto" w:sz="4" w:space="0"/>
              <w:bottom w:val="single" w:color="auto" w:sz="4" w:space="0"/>
              <w:right w:val="nil"/>
            </w:tcBorders>
            <w:noWrap w:val="0"/>
            <w:vAlign w:val="center"/>
          </w:tcPr>
          <w:p>
            <w:pPr>
              <w:widowControl/>
              <w:jc w:val="right"/>
              <w:rPr>
                <w:rFonts w:hint="eastAsia"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right"/>
              <w:rPr>
                <w:rFonts w:hint="eastAsia"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right"/>
              <w:rPr>
                <w:rFonts w:hint="eastAsia" w:eastAsia="宋体"/>
                <w:kern w:val="0"/>
                <w:sz w:val="20"/>
              </w:rPr>
            </w:pPr>
          </w:p>
        </w:tc>
      </w:tr>
      <w:tr>
        <w:tblPrEx>
          <w:tblCellMar>
            <w:top w:w="0" w:type="dxa"/>
            <w:left w:w="108" w:type="dxa"/>
            <w:bottom w:w="0" w:type="dxa"/>
            <w:right w:w="108" w:type="dxa"/>
          </w:tblCellMar>
        </w:tblPrEx>
        <w:trPr>
          <w:trHeight w:val="360" w:hRule="atLeast"/>
        </w:trPr>
        <w:tc>
          <w:tcPr>
            <w:tcW w:w="2113"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eastAsia="黑体"/>
                <w:b/>
                <w:bCs/>
                <w:kern w:val="0"/>
                <w:sz w:val="20"/>
              </w:rPr>
              <w:t>收入总计</w:t>
            </w:r>
          </w:p>
        </w:tc>
        <w:tc>
          <w:tcPr>
            <w:tcW w:w="985" w:type="dxa"/>
            <w:tcBorders>
              <w:top w:val="nil"/>
              <w:left w:val="nil"/>
              <w:bottom w:val="single" w:color="auto" w:sz="4" w:space="0"/>
              <w:right w:val="single" w:color="auto" w:sz="4" w:space="0"/>
            </w:tcBorders>
            <w:noWrap w:val="0"/>
            <w:vAlign w:val="center"/>
          </w:tcPr>
          <w:p>
            <w:pPr>
              <w:widowControl/>
              <w:jc w:val="right"/>
              <w:rPr>
                <w:rFonts w:hint="eastAsia" w:eastAsia="宋体"/>
                <w:kern w:val="0"/>
                <w:sz w:val="20"/>
                <w:lang w:val="en-US" w:eastAsia="zh-CN"/>
              </w:rPr>
            </w:pPr>
            <w:r>
              <w:rPr>
                <w:rFonts w:hint="eastAsia" w:eastAsia="宋体"/>
                <w:kern w:val="0"/>
                <w:sz w:val="20"/>
              </w:rPr>
              <w:t>427.62</w:t>
            </w:r>
          </w:p>
        </w:tc>
        <w:tc>
          <w:tcPr>
            <w:tcW w:w="985" w:type="dxa"/>
            <w:gridSpan w:val="2"/>
            <w:tcBorders>
              <w:top w:val="nil"/>
              <w:left w:val="nil"/>
              <w:bottom w:val="single" w:color="auto" w:sz="4" w:space="0"/>
              <w:right w:val="single" w:color="auto" w:sz="4" w:space="0"/>
            </w:tcBorders>
            <w:noWrap w:val="0"/>
            <w:vAlign w:val="center"/>
          </w:tcPr>
          <w:p>
            <w:pPr>
              <w:widowControl/>
              <w:jc w:val="right"/>
              <w:rPr>
                <w:rFonts w:hint="eastAsia" w:eastAsia="宋体"/>
                <w:kern w:val="0"/>
                <w:sz w:val="20"/>
                <w:lang w:val="en-US" w:eastAsia="zh-CN"/>
              </w:rPr>
            </w:pPr>
            <w:r>
              <w:rPr>
                <w:rFonts w:hint="eastAsia" w:eastAsia="宋体"/>
                <w:kern w:val="0"/>
                <w:sz w:val="20"/>
              </w:rPr>
              <w:t>377.36</w:t>
            </w:r>
          </w:p>
        </w:tc>
        <w:tc>
          <w:tcPr>
            <w:tcW w:w="987" w:type="dxa"/>
            <w:tcBorders>
              <w:top w:val="nil"/>
              <w:left w:val="single" w:color="auto" w:sz="4" w:space="0"/>
              <w:bottom w:val="single" w:color="auto" w:sz="4" w:space="0"/>
              <w:right w:val="nil"/>
            </w:tcBorders>
            <w:noWrap w:val="0"/>
            <w:vAlign w:val="center"/>
          </w:tcPr>
          <w:p>
            <w:pPr>
              <w:widowControl/>
              <w:jc w:val="right"/>
              <w:rPr>
                <w:rFonts w:hint="eastAsia" w:eastAsia="宋体"/>
                <w:kern w:val="0"/>
                <w:sz w:val="20"/>
                <w:lang w:val="en-US" w:eastAsia="zh-CN"/>
              </w:rPr>
            </w:pPr>
            <w:r>
              <w:rPr>
                <w:rFonts w:hint="eastAsia" w:eastAsia="宋体"/>
                <w:kern w:val="0"/>
                <w:sz w:val="20"/>
              </w:rPr>
              <w:t>50.26</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r>
              <w:rPr>
                <w:rFonts w:hint="eastAsia" w:eastAsia="宋体"/>
                <w:kern w:val="0"/>
                <w:sz w:val="20"/>
              </w:rPr>
              <w:t>427.62</w:t>
            </w:r>
          </w:p>
        </w:tc>
        <w:tc>
          <w:tcPr>
            <w:tcW w:w="1182" w:type="dxa"/>
            <w:gridSpan w:val="2"/>
            <w:tcBorders>
              <w:top w:val="nil"/>
              <w:left w:val="nil"/>
              <w:bottom w:val="single" w:color="auto" w:sz="4" w:space="0"/>
              <w:right w:val="single" w:color="auto" w:sz="4" w:space="0"/>
            </w:tcBorders>
            <w:noWrap w:val="0"/>
            <w:vAlign w:val="center"/>
          </w:tcPr>
          <w:p>
            <w:pPr>
              <w:widowControl/>
              <w:jc w:val="right"/>
              <w:rPr>
                <w:rFonts w:hint="eastAsia" w:eastAsia="宋体"/>
                <w:kern w:val="0"/>
                <w:sz w:val="20"/>
                <w:lang w:val="en-US" w:eastAsia="zh-CN"/>
              </w:rPr>
            </w:pPr>
            <w:r>
              <w:rPr>
                <w:rFonts w:hint="eastAsia" w:eastAsia="宋体"/>
                <w:kern w:val="0"/>
                <w:sz w:val="20"/>
              </w:rPr>
              <w:t>377.36</w:t>
            </w:r>
          </w:p>
        </w:tc>
        <w:tc>
          <w:tcPr>
            <w:tcW w:w="1158" w:type="dxa"/>
            <w:tcBorders>
              <w:top w:val="nil"/>
              <w:left w:val="nil"/>
              <w:bottom w:val="single" w:color="auto" w:sz="4" w:space="0"/>
              <w:right w:val="single" w:color="auto" w:sz="4" w:space="0"/>
            </w:tcBorders>
            <w:noWrap w:val="0"/>
            <w:vAlign w:val="center"/>
          </w:tcPr>
          <w:p>
            <w:pPr>
              <w:widowControl/>
              <w:jc w:val="right"/>
              <w:rPr>
                <w:rFonts w:hint="eastAsia" w:eastAsia="宋体"/>
                <w:kern w:val="0"/>
                <w:sz w:val="20"/>
                <w:lang w:val="en-US" w:eastAsia="zh-CN"/>
              </w:rPr>
            </w:pPr>
            <w:r>
              <w:rPr>
                <w:rFonts w:hint="eastAsia" w:eastAsia="宋体"/>
                <w:kern w:val="0"/>
                <w:sz w:val="20"/>
              </w:rPr>
              <w:t>50.26</w:t>
            </w:r>
          </w:p>
        </w:tc>
      </w:tr>
    </w:tbl>
    <w:p>
      <w:pPr>
        <w:ind w:firstLine="640" w:firstLineChars="200"/>
        <w:rPr>
          <w:rFonts w:eastAsia="楷体_GB2312"/>
          <w:strike/>
        </w:rPr>
      </w:pPr>
    </w:p>
    <w:p>
      <w:pPr>
        <w:ind w:firstLine="640" w:firstLineChars="200"/>
        <w:rPr>
          <w:rFonts w:eastAsia="楷体_GB2312"/>
        </w:rPr>
      </w:pPr>
    </w:p>
    <w:p>
      <w:pPr>
        <w:rPr>
          <w:rFonts w:hAnsi="楷体" w:eastAsia="楷体"/>
        </w:rPr>
      </w:pPr>
    </w:p>
    <w:p>
      <w:pPr>
        <w:jc w:val="center"/>
        <w:rPr>
          <w:rFonts w:eastAsia="方正小标宋简体"/>
          <w:sz w:val="44"/>
        </w:rPr>
      </w:pPr>
    </w:p>
    <w:p>
      <w:pPr>
        <w:jc w:val="center"/>
        <w:rPr>
          <w:rFonts w:eastAsia="方正小标宋简体"/>
          <w:sz w:val="44"/>
        </w:rPr>
      </w:pPr>
    </w:p>
    <w:p>
      <w:pPr>
        <w:jc w:val="center"/>
        <w:rPr>
          <w:rFonts w:eastAsia="方正小标宋简体"/>
          <w:sz w:val="44"/>
        </w:rPr>
      </w:pP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9838" w:type="dxa"/>
        <w:jc w:val="center"/>
        <w:tblLayout w:type="fixed"/>
        <w:tblCellMar>
          <w:top w:w="0" w:type="dxa"/>
          <w:left w:w="108" w:type="dxa"/>
          <w:bottom w:w="0" w:type="dxa"/>
          <w:right w:w="108" w:type="dxa"/>
        </w:tblCellMar>
      </w:tblPr>
      <w:tblGrid>
        <w:gridCol w:w="1351"/>
        <w:gridCol w:w="795"/>
        <w:gridCol w:w="825"/>
        <w:gridCol w:w="795"/>
        <w:gridCol w:w="360"/>
        <w:gridCol w:w="315"/>
        <w:gridCol w:w="315"/>
        <w:gridCol w:w="330"/>
        <w:gridCol w:w="167"/>
        <w:gridCol w:w="208"/>
        <w:gridCol w:w="375"/>
        <w:gridCol w:w="360"/>
        <w:gridCol w:w="51"/>
        <w:gridCol w:w="294"/>
        <w:gridCol w:w="204"/>
        <w:gridCol w:w="501"/>
        <w:gridCol w:w="684"/>
        <w:gridCol w:w="236"/>
        <w:gridCol w:w="159"/>
        <w:gridCol w:w="345"/>
        <w:gridCol w:w="345"/>
        <w:gridCol w:w="397"/>
        <w:gridCol w:w="426"/>
      </w:tblGrid>
      <w:tr>
        <w:tblPrEx>
          <w:tblCellMar>
            <w:top w:w="0" w:type="dxa"/>
            <w:left w:w="108" w:type="dxa"/>
            <w:bottom w:w="0" w:type="dxa"/>
            <w:right w:w="108" w:type="dxa"/>
          </w:tblCellMar>
        </w:tblPrEx>
        <w:trPr>
          <w:trHeight w:val="335" w:hRule="atLeast"/>
          <w:jc w:val="center"/>
        </w:trPr>
        <w:tc>
          <w:tcPr>
            <w:tcW w:w="1351" w:type="dxa"/>
            <w:tcBorders>
              <w:bottom w:val="single" w:color="000000" w:sz="4" w:space="0"/>
            </w:tcBorders>
            <w:noWrap w:val="0"/>
            <w:vAlign w:val="top"/>
          </w:tcPr>
          <w:p>
            <w:pPr>
              <w:autoSpaceDN w:val="0"/>
              <w:jc w:val="left"/>
              <w:textAlignment w:val="center"/>
              <w:rPr>
                <w:rFonts w:eastAsia="华文细黑"/>
                <w:color w:val="000000"/>
                <w:sz w:val="20"/>
              </w:rPr>
            </w:pPr>
          </w:p>
        </w:tc>
        <w:tc>
          <w:tcPr>
            <w:tcW w:w="3902" w:type="dxa"/>
            <w:gridSpan w:val="8"/>
            <w:tcBorders>
              <w:bottom w:val="single" w:color="000000" w:sz="4" w:space="0"/>
            </w:tcBorders>
            <w:noWrap w:val="0"/>
            <w:vAlign w:val="center"/>
          </w:tcPr>
          <w:p>
            <w:pPr>
              <w:autoSpaceDN w:val="0"/>
              <w:jc w:val="left"/>
              <w:textAlignment w:val="center"/>
              <w:rPr>
                <w:rFonts w:eastAsia="华文细黑"/>
                <w:color w:val="000000"/>
                <w:sz w:val="20"/>
              </w:rPr>
            </w:pPr>
          </w:p>
        </w:tc>
        <w:tc>
          <w:tcPr>
            <w:tcW w:w="994" w:type="dxa"/>
            <w:gridSpan w:val="4"/>
            <w:noWrap w:val="0"/>
            <w:vAlign w:val="center"/>
          </w:tcPr>
          <w:p>
            <w:pPr>
              <w:autoSpaceDN w:val="0"/>
              <w:jc w:val="left"/>
              <w:textAlignment w:val="center"/>
              <w:rPr>
                <w:rFonts w:eastAsia="华文细黑"/>
                <w:color w:val="000000"/>
                <w:sz w:val="20"/>
              </w:rPr>
            </w:pPr>
          </w:p>
        </w:tc>
        <w:tc>
          <w:tcPr>
            <w:tcW w:w="498" w:type="dxa"/>
            <w:gridSpan w:val="2"/>
            <w:noWrap w:val="0"/>
            <w:vAlign w:val="center"/>
          </w:tcPr>
          <w:p>
            <w:pPr>
              <w:autoSpaceDN w:val="0"/>
              <w:jc w:val="left"/>
              <w:textAlignment w:val="center"/>
              <w:rPr>
                <w:rFonts w:eastAsia="华文细黑"/>
                <w:color w:val="000000"/>
                <w:sz w:val="20"/>
              </w:rPr>
            </w:pPr>
          </w:p>
        </w:tc>
        <w:tc>
          <w:tcPr>
            <w:tcW w:w="1185" w:type="dxa"/>
            <w:gridSpan w:val="2"/>
            <w:noWrap w:val="0"/>
            <w:vAlign w:val="center"/>
          </w:tcPr>
          <w:p>
            <w:pPr>
              <w:autoSpaceDN w:val="0"/>
              <w:jc w:val="left"/>
              <w:textAlignment w:val="center"/>
              <w:rPr>
                <w:rFonts w:eastAsia="华文细黑"/>
                <w:color w:val="000000"/>
                <w:sz w:val="20"/>
              </w:rPr>
            </w:pPr>
          </w:p>
        </w:tc>
        <w:tc>
          <w:tcPr>
            <w:tcW w:w="236" w:type="dxa"/>
            <w:noWrap w:val="0"/>
            <w:vAlign w:val="bottom"/>
          </w:tcPr>
          <w:p>
            <w:pPr>
              <w:autoSpaceDN w:val="0"/>
              <w:jc w:val="right"/>
              <w:textAlignment w:val="bottom"/>
              <w:rPr>
                <w:rFonts w:eastAsia="宋体"/>
                <w:color w:val="000000"/>
                <w:sz w:val="20"/>
              </w:rPr>
            </w:pPr>
          </w:p>
        </w:tc>
        <w:tc>
          <w:tcPr>
            <w:tcW w:w="1672" w:type="dxa"/>
            <w:gridSpan w:val="5"/>
            <w:noWrap w:val="0"/>
            <w:vAlign w:val="bottom"/>
          </w:tcPr>
          <w:p>
            <w:pPr>
              <w:wordWrap/>
              <w:autoSpaceDN w:val="0"/>
              <w:jc w:val="both"/>
              <w:textAlignment w:val="center"/>
              <w:rPr>
                <w:rFonts w:eastAsia="宋体"/>
                <w:color w:val="000000"/>
                <w:sz w:val="20"/>
              </w:rPr>
            </w:pPr>
            <w:r>
              <w:rPr>
                <w:rFonts w:eastAsia="宋体"/>
                <w:color w:val="000000"/>
                <w:sz w:val="20"/>
              </w:rPr>
              <w:t>单位：万元</w:t>
            </w:r>
          </w:p>
        </w:tc>
      </w:tr>
      <w:tr>
        <w:tblPrEx>
          <w:tblCellMar>
            <w:top w:w="0" w:type="dxa"/>
            <w:left w:w="108" w:type="dxa"/>
            <w:bottom w:w="0" w:type="dxa"/>
            <w:right w:w="108" w:type="dxa"/>
          </w:tblCellMar>
        </w:tblPrEx>
        <w:trPr>
          <w:gridAfter w:val="1"/>
          <w:wAfter w:w="426" w:type="dxa"/>
          <w:trHeight w:val="517" w:hRule="atLeast"/>
          <w:jc w:val="center"/>
        </w:trPr>
        <w:tc>
          <w:tcPr>
            <w:tcW w:w="1351" w:type="dxa"/>
            <w:vMerge w:val="restart"/>
            <w:tcBorders>
              <w:left w:val="single" w:color="000000" w:sz="4" w:space="0"/>
              <w:right w:val="single" w:color="000000" w:sz="4" w:space="0"/>
            </w:tcBorders>
            <w:noWrap w:val="0"/>
            <w:vAlign w:val="center"/>
          </w:tcPr>
          <w:p>
            <w:pPr>
              <w:widowControl/>
              <w:jc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部门（单位）名称</w:t>
            </w:r>
          </w:p>
        </w:tc>
        <w:tc>
          <w:tcPr>
            <w:tcW w:w="795" w:type="dxa"/>
            <w:vMerge w:val="restart"/>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总计</w:t>
            </w:r>
          </w:p>
        </w:tc>
        <w:tc>
          <w:tcPr>
            <w:tcW w:w="4395" w:type="dxa"/>
            <w:gridSpan w:val="12"/>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lang w:eastAsia="zh-CN"/>
              </w:rPr>
              <w:t>本年预算</w:t>
            </w:r>
          </w:p>
        </w:tc>
        <w:tc>
          <w:tcPr>
            <w:tcW w:w="2871" w:type="dxa"/>
            <w:gridSpan w:val="8"/>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上年结转结余</w:t>
            </w:r>
          </w:p>
        </w:tc>
      </w:tr>
      <w:tr>
        <w:tblPrEx>
          <w:tblCellMar>
            <w:top w:w="0" w:type="dxa"/>
            <w:left w:w="108" w:type="dxa"/>
            <w:bottom w:w="0" w:type="dxa"/>
            <w:right w:w="108" w:type="dxa"/>
          </w:tblCellMar>
        </w:tblPrEx>
        <w:trPr>
          <w:gridAfter w:val="1"/>
          <w:wAfter w:w="426" w:type="dxa"/>
          <w:trHeight w:val="517" w:hRule="atLeast"/>
          <w:jc w:val="center"/>
        </w:trPr>
        <w:tc>
          <w:tcPr>
            <w:tcW w:w="1351" w:type="dxa"/>
            <w:vMerge w:val="continue"/>
            <w:tcBorders>
              <w:left w:val="single" w:color="000000" w:sz="4" w:space="0"/>
              <w:right w:val="single" w:color="000000" w:sz="4" w:space="0"/>
            </w:tcBorders>
            <w:noWrap w:val="0"/>
            <w:vAlign w:val="center"/>
          </w:tcPr>
          <w:p>
            <w:pPr>
              <w:widowControl/>
              <w:jc w:val="left"/>
              <w:rPr>
                <w:rFonts w:hint="eastAsia" w:ascii="宋体" w:hAnsi="宋体" w:eastAsia="宋体" w:cs="宋体"/>
                <w:color w:val="000000"/>
                <w:sz w:val="20"/>
                <w:lang w:eastAsia="zh-CN"/>
              </w:rPr>
            </w:pPr>
          </w:p>
        </w:tc>
        <w:tc>
          <w:tcPr>
            <w:tcW w:w="795" w:type="dxa"/>
            <w:vMerge w:val="continue"/>
            <w:tcBorders>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p>
        </w:tc>
        <w:tc>
          <w:tcPr>
            <w:tcW w:w="825" w:type="dxa"/>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470" w:type="dxa"/>
            <w:gridSpan w:val="3"/>
            <w:tcBorders>
              <w:top w:val="single" w:color="000000" w:sz="4" w:space="0"/>
              <w:left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财政拨款收入</w:t>
            </w:r>
          </w:p>
        </w:tc>
        <w:tc>
          <w:tcPr>
            <w:tcW w:w="315" w:type="dxa"/>
            <w:vMerge w:val="restart"/>
            <w:tcBorders>
              <w:top w:val="single" w:color="000000" w:sz="4" w:space="0"/>
              <w:left w:val="single" w:color="auto"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财政专户管理资金收入</w:t>
            </w:r>
          </w:p>
        </w:tc>
        <w:tc>
          <w:tcPr>
            <w:tcW w:w="1785" w:type="dxa"/>
            <w:gridSpan w:val="7"/>
            <w:tcBorders>
              <w:top w:val="single" w:color="000000" w:sz="4" w:space="0"/>
              <w:left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单位资</w:t>
            </w:r>
            <w:r>
              <w:rPr>
                <w:rFonts w:hint="eastAsia" w:ascii="宋体" w:hAnsi="宋体" w:eastAsia="宋体" w:cs="宋体"/>
                <w:color w:val="000000"/>
                <w:sz w:val="20"/>
                <w:lang w:val="en-US" w:eastAsia="zh-CN"/>
              </w:rPr>
              <w:t xml:space="preserve">            </w:t>
            </w:r>
            <w:r>
              <w:rPr>
                <w:rFonts w:hint="eastAsia" w:ascii="宋体" w:hAnsi="宋体" w:eastAsia="宋体" w:cs="宋体"/>
                <w:color w:val="000000"/>
                <w:sz w:val="20"/>
                <w:lang w:eastAsia="zh-CN"/>
              </w:rPr>
              <w:t>金收入</w:t>
            </w:r>
          </w:p>
        </w:tc>
        <w:tc>
          <w:tcPr>
            <w:tcW w:w="705" w:type="dxa"/>
            <w:gridSpan w:val="2"/>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424" w:type="dxa"/>
            <w:gridSpan w:val="4"/>
            <w:tcBorders>
              <w:top w:val="single" w:color="000000" w:sz="4" w:space="0"/>
              <w:left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w:t>
            </w:r>
          </w:p>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款结转</w:t>
            </w:r>
          </w:p>
        </w:tc>
        <w:tc>
          <w:tcPr>
            <w:tcW w:w="742" w:type="dxa"/>
            <w:gridSpan w:val="2"/>
            <w:tcBorders>
              <w:top w:val="single" w:color="000000" w:sz="4" w:space="0"/>
              <w:left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非财政拨款结转结余</w:t>
            </w:r>
          </w:p>
        </w:tc>
      </w:tr>
      <w:tr>
        <w:tblPrEx>
          <w:tblCellMar>
            <w:top w:w="0" w:type="dxa"/>
            <w:left w:w="108" w:type="dxa"/>
            <w:bottom w:w="0" w:type="dxa"/>
            <w:right w:w="108" w:type="dxa"/>
          </w:tblCellMar>
        </w:tblPrEx>
        <w:trPr>
          <w:gridAfter w:val="1"/>
          <w:wAfter w:w="426" w:type="dxa"/>
          <w:trHeight w:val="2818" w:hRule="atLeast"/>
          <w:jc w:val="center"/>
        </w:trPr>
        <w:tc>
          <w:tcPr>
            <w:tcW w:w="1351" w:type="dxa"/>
            <w:vMerge w:val="continue"/>
            <w:tcBorders>
              <w:left w:val="single" w:color="000000" w:sz="4" w:space="0"/>
              <w:bottom w:val="single" w:color="000000" w:sz="4" w:space="0"/>
              <w:right w:val="single" w:color="000000" w:sz="4" w:space="0"/>
            </w:tcBorders>
            <w:shd w:val="solid" w:color="FFFFFF" w:fill="auto"/>
            <w:noWrap w:val="0"/>
            <w:vAlign w:val="center"/>
          </w:tcPr>
          <w:p>
            <w:pPr>
              <w:widowControl/>
              <w:jc w:val="left"/>
              <w:rPr>
                <w:rFonts w:hint="eastAsia" w:ascii="宋体" w:hAnsi="宋体" w:eastAsia="宋体" w:cs="宋体"/>
                <w:color w:val="000000"/>
                <w:sz w:val="20"/>
                <w:shd w:val="clear" w:color="auto" w:fill="FFFFFF"/>
              </w:rPr>
            </w:pPr>
          </w:p>
        </w:tc>
        <w:tc>
          <w:tcPr>
            <w:tcW w:w="795" w:type="dxa"/>
            <w:vMerge w:val="continue"/>
            <w:tcBorders>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825"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795"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一般公共预算收入</w:t>
            </w:r>
          </w:p>
        </w:tc>
        <w:tc>
          <w:tcPr>
            <w:tcW w:w="360" w:type="dxa"/>
            <w:tcBorders>
              <w:top w:val="single" w:color="000000" w:sz="4" w:space="0"/>
              <w:left w:val="single" w:color="000000" w:sz="4" w:space="0"/>
              <w:bottom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政府性基金预算收入</w:t>
            </w: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国有资本经营预算收入</w:t>
            </w:r>
          </w:p>
        </w:tc>
        <w:tc>
          <w:tcPr>
            <w:tcW w:w="315" w:type="dxa"/>
            <w:vMerge w:val="continue"/>
            <w:tcBorders>
              <w:left w:val="single" w:color="auto" w:sz="4" w:space="0"/>
              <w:bottom w:val="single" w:color="000000" w:sz="4" w:space="0"/>
              <w:right w:val="single" w:color="auto" w:sz="4" w:space="0"/>
            </w:tcBorders>
            <w:shd w:val="solid" w:color="FFFFFF" w:fill="auto"/>
            <w:noWrap w:val="0"/>
            <w:textDirection w:val="tbLrV"/>
            <w:vAlign w:val="top"/>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33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事业收入</w:t>
            </w:r>
          </w:p>
        </w:tc>
        <w:tc>
          <w:tcPr>
            <w:tcW w:w="375"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事业单位经营收入</w:t>
            </w: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上级补助收入</w:t>
            </w: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附属单位上缴收入</w:t>
            </w:r>
          </w:p>
        </w:tc>
        <w:tc>
          <w:tcPr>
            <w:tcW w:w="345"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其他收入</w:t>
            </w:r>
          </w:p>
        </w:tc>
        <w:tc>
          <w:tcPr>
            <w:tcW w:w="705" w:type="dxa"/>
            <w:gridSpan w:val="2"/>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684"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一般公共预算拨款结转</w:t>
            </w:r>
          </w:p>
        </w:tc>
        <w:tc>
          <w:tcPr>
            <w:tcW w:w="395"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top"/>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政府性基金预算拨款结转</w:t>
            </w:r>
          </w:p>
        </w:tc>
        <w:tc>
          <w:tcPr>
            <w:tcW w:w="345" w:type="dxa"/>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国有资本经营预算拨款结转</w:t>
            </w:r>
          </w:p>
        </w:tc>
        <w:tc>
          <w:tcPr>
            <w:tcW w:w="345"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lang w:eastAsia="zh-CN"/>
              </w:rPr>
              <w:t>财政专户管理资金结转结余</w:t>
            </w:r>
          </w:p>
        </w:tc>
        <w:tc>
          <w:tcPr>
            <w:tcW w:w="397"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单位资金结转结余</w:t>
            </w:r>
          </w:p>
        </w:tc>
      </w:tr>
      <w:tr>
        <w:tblPrEx>
          <w:tblCellMar>
            <w:top w:w="0" w:type="dxa"/>
            <w:left w:w="108" w:type="dxa"/>
            <w:bottom w:w="0" w:type="dxa"/>
            <w:right w:w="108" w:type="dxa"/>
          </w:tblCellMar>
        </w:tblPrEx>
        <w:trPr>
          <w:gridAfter w:val="1"/>
          <w:wAfter w:w="426" w:type="dxa"/>
          <w:trHeight w:val="517" w:hRule="atLeast"/>
          <w:jc w:val="center"/>
        </w:trPr>
        <w:tc>
          <w:tcPr>
            <w:tcW w:w="1351" w:type="dxa"/>
            <w:tcBorders>
              <w:top w:val="single" w:color="000000" w:sz="4" w:space="0"/>
              <w:left w:val="single" w:color="000000" w:sz="4" w:space="0"/>
              <w:bottom w:val="single" w:color="000000" w:sz="4" w:space="0"/>
            </w:tcBorders>
            <w:shd w:val="solid" w:color="FFFFFF" w:fill="auto"/>
            <w:noWrap w:val="0"/>
            <w:vAlign w:val="center"/>
          </w:tcPr>
          <w:p>
            <w:pPr>
              <w:widowControl/>
              <w:jc w:val="center"/>
              <w:rPr>
                <w:rFonts w:hint="eastAsia" w:eastAsia="宋体"/>
                <w:color w:val="000000"/>
                <w:sz w:val="18"/>
                <w:szCs w:val="18"/>
                <w:shd w:val="clear" w:color="auto" w:fill="FFFFFF"/>
              </w:rPr>
            </w:pPr>
            <w:r>
              <w:rPr>
                <w:rFonts w:hint="eastAsia" w:eastAsia="宋体"/>
                <w:color w:val="000000"/>
                <w:sz w:val="18"/>
                <w:szCs w:val="18"/>
                <w:shd w:val="clear" w:color="auto" w:fill="FFFFFF"/>
              </w:rPr>
              <w:t>白城市统计局</w:t>
            </w:r>
          </w:p>
          <w:p>
            <w:pPr>
              <w:widowControl/>
              <w:jc w:val="center"/>
              <w:rPr>
                <w:rFonts w:eastAsia="宋体"/>
                <w:color w:val="000000"/>
                <w:sz w:val="18"/>
                <w:szCs w:val="18"/>
                <w:shd w:val="clear" w:color="auto" w:fill="FFFFFF"/>
              </w:rPr>
            </w:pPr>
            <w:r>
              <w:rPr>
                <w:rFonts w:hint="eastAsia" w:eastAsia="宋体"/>
                <w:color w:val="000000"/>
                <w:sz w:val="18"/>
                <w:szCs w:val="18"/>
                <w:shd w:val="clear" w:color="auto" w:fill="FFFFFF"/>
              </w:rPr>
              <w:t>（本级）</w:t>
            </w: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r>
              <w:rPr>
                <w:rFonts w:hint="default" w:ascii="Times New Roman" w:hAnsi="Times New Roman" w:eastAsia="宋体" w:cs="Times New Roman"/>
                <w:color w:val="000000"/>
                <w:sz w:val="20"/>
                <w:szCs w:val="20"/>
                <w:shd w:val="clear" w:color="auto" w:fill="FFFFFF"/>
              </w:rPr>
              <w:t>427.62</w:t>
            </w:r>
          </w:p>
        </w:tc>
        <w:tc>
          <w:tcPr>
            <w:tcW w:w="8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r>
              <w:rPr>
                <w:rFonts w:hint="default" w:ascii="Times New Roman" w:hAnsi="Times New Roman" w:eastAsia="宋体" w:cs="Times New Roman"/>
                <w:color w:val="000000"/>
                <w:sz w:val="20"/>
                <w:szCs w:val="20"/>
                <w:shd w:val="clear" w:color="auto" w:fill="FFFFFF"/>
              </w:rPr>
              <w:t>377.36</w:t>
            </w: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r>
              <w:rPr>
                <w:rFonts w:hint="default" w:ascii="Times New Roman" w:hAnsi="Times New Roman" w:eastAsia="宋体" w:cs="Times New Roman"/>
                <w:color w:val="000000"/>
                <w:sz w:val="20"/>
                <w:szCs w:val="20"/>
                <w:shd w:val="clear" w:color="auto" w:fill="FFFFFF"/>
              </w:rPr>
              <w:t>377.36</w:t>
            </w:r>
          </w:p>
        </w:tc>
        <w:tc>
          <w:tcPr>
            <w:tcW w:w="36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15"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7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4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7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r>
              <w:rPr>
                <w:rFonts w:hint="default" w:ascii="Times New Roman" w:hAnsi="Times New Roman" w:eastAsia="宋体" w:cs="Times New Roman"/>
                <w:color w:val="000000"/>
                <w:sz w:val="20"/>
                <w:szCs w:val="20"/>
                <w:shd w:val="clear" w:color="auto" w:fill="FFFFFF"/>
              </w:rPr>
              <w:t>50.26</w:t>
            </w:r>
          </w:p>
        </w:tc>
        <w:tc>
          <w:tcPr>
            <w:tcW w:w="68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r>
              <w:rPr>
                <w:rFonts w:hint="default" w:ascii="Times New Roman" w:hAnsi="Times New Roman" w:eastAsia="宋体" w:cs="Times New Roman"/>
                <w:color w:val="000000"/>
                <w:sz w:val="20"/>
                <w:szCs w:val="20"/>
                <w:shd w:val="clear" w:color="auto" w:fill="FFFFFF"/>
              </w:rPr>
              <w:t>50.26</w:t>
            </w:r>
          </w:p>
        </w:tc>
        <w:tc>
          <w:tcPr>
            <w:tcW w:w="39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18"/>
                <w:szCs w:val="18"/>
                <w:shd w:val="clear" w:color="auto" w:fill="FFFFFF"/>
              </w:rPr>
            </w:pPr>
          </w:p>
        </w:tc>
        <w:tc>
          <w:tcPr>
            <w:tcW w:w="39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18"/>
                <w:szCs w:val="18"/>
                <w:shd w:val="clear" w:color="auto" w:fill="FFFFFF"/>
              </w:rPr>
            </w:pPr>
          </w:p>
        </w:tc>
      </w:tr>
      <w:tr>
        <w:tblPrEx>
          <w:tblCellMar>
            <w:top w:w="0" w:type="dxa"/>
            <w:left w:w="108" w:type="dxa"/>
            <w:bottom w:w="0" w:type="dxa"/>
            <w:right w:w="108" w:type="dxa"/>
          </w:tblCellMar>
        </w:tblPrEx>
        <w:trPr>
          <w:gridAfter w:val="1"/>
          <w:wAfter w:w="426" w:type="dxa"/>
          <w:trHeight w:val="517" w:hRule="atLeast"/>
          <w:jc w:val="center"/>
        </w:trPr>
        <w:tc>
          <w:tcPr>
            <w:tcW w:w="1351"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2"/>
                <w:szCs w:val="22"/>
                <w:shd w:val="clear" w:color="auto" w:fill="FFFFFF"/>
              </w:rPr>
            </w:pP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8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6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15"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7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4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7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68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9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2"/>
                <w:szCs w:val="22"/>
                <w:shd w:val="clear" w:color="auto" w:fill="FFFFFF"/>
              </w:rPr>
            </w:pPr>
          </w:p>
        </w:tc>
        <w:tc>
          <w:tcPr>
            <w:tcW w:w="39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2"/>
                <w:szCs w:val="22"/>
                <w:shd w:val="clear" w:color="auto" w:fill="FFFFFF"/>
              </w:rPr>
            </w:pPr>
          </w:p>
        </w:tc>
      </w:tr>
      <w:tr>
        <w:tblPrEx>
          <w:tblCellMar>
            <w:top w:w="0" w:type="dxa"/>
            <w:left w:w="108" w:type="dxa"/>
            <w:bottom w:w="0" w:type="dxa"/>
            <w:right w:w="108" w:type="dxa"/>
          </w:tblCellMar>
        </w:tblPrEx>
        <w:trPr>
          <w:gridAfter w:val="1"/>
          <w:wAfter w:w="426" w:type="dxa"/>
          <w:trHeight w:val="517" w:hRule="atLeast"/>
          <w:jc w:val="center"/>
        </w:trPr>
        <w:tc>
          <w:tcPr>
            <w:tcW w:w="1351"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2"/>
                <w:szCs w:val="22"/>
                <w:shd w:val="clear" w:color="auto" w:fill="FFFFFF"/>
              </w:rPr>
            </w:pP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8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6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15"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7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4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7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68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9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2"/>
                <w:szCs w:val="22"/>
                <w:shd w:val="clear" w:color="auto" w:fill="FFFFFF"/>
              </w:rPr>
            </w:pPr>
          </w:p>
        </w:tc>
        <w:tc>
          <w:tcPr>
            <w:tcW w:w="39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2"/>
                <w:szCs w:val="22"/>
                <w:shd w:val="clear" w:color="auto" w:fill="FFFFFF"/>
              </w:rPr>
            </w:pPr>
          </w:p>
        </w:tc>
      </w:tr>
      <w:tr>
        <w:tblPrEx>
          <w:tblCellMar>
            <w:top w:w="0" w:type="dxa"/>
            <w:left w:w="108" w:type="dxa"/>
            <w:bottom w:w="0" w:type="dxa"/>
            <w:right w:w="108" w:type="dxa"/>
          </w:tblCellMar>
        </w:tblPrEx>
        <w:trPr>
          <w:gridAfter w:val="1"/>
          <w:wAfter w:w="426" w:type="dxa"/>
          <w:trHeight w:val="517" w:hRule="atLeast"/>
          <w:jc w:val="center"/>
        </w:trPr>
        <w:tc>
          <w:tcPr>
            <w:tcW w:w="1351"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2"/>
                <w:szCs w:val="22"/>
                <w:shd w:val="clear" w:color="auto" w:fill="FFFFFF"/>
              </w:rPr>
            </w:pP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8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6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15"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7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4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7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68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9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2"/>
                <w:szCs w:val="22"/>
                <w:shd w:val="clear" w:color="auto" w:fill="FFFFFF"/>
              </w:rPr>
            </w:pPr>
          </w:p>
        </w:tc>
        <w:tc>
          <w:tcPr>
            <w:tcW w:w="39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2"/>
                <w:szCs w:val="22"/>
                <w:shd w:val="clear" w:color="auto" w:fill="FFFFFF"/>
              </w:rPr>
            </w:pPr>
          </w:p>
        </w:tc>
      </w:tr>
      <w:tr>
        <w:tblPrEx>
          <w:tblCellMar>
            <w:top w:w="0" w:type="dxa"/>
            <w:left w:w="108" w:type="dxa"/>
            <w:bottom w:w="0" w:type="dxa"/>
            <w:right w:w="108" w:type="dxa"/>
          </w:tblCellMar>
        </w:tblPrEx>
        <w:trPr>
          <w:gridAfter w:val="1"/>
          <w:wAfter w:w="426" w:type="dxa"/>
          <w:trHeight w:val="530" w:hRule="atLeast"/>
          <w:jc w:val="center"/>
        </w:trPr>
        <w:tc>
          <w:tcPr>
            <w:tcW w:w="1351"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center"/>
              <w:textAlignment w:val="center"/>
              <w:rPr>
                <w:rFonts w:eastAsia="华文细黑"/>
                <w:color w:val="000000"/>
                <w:sz w:val="22"/>
                <w:szCs w:val="22"/>
                <w:shd w:val="clear" w:color="auto" w:fill="FFFFFF"/>
              </w:rPr>
            </w:pPr>
            <w:r>
              <w:rPr>
                <w:rFonts w:eastAsia="宋体"/>
                <w:kern w:val="0"/>
                <w:sz w:val="21"/>
                <w:szCs w:val="21"/>
              </w:rPr>
              <w:t>合计</w:t>
            </w: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kern w:val="2"/>
                <w:sz w:val="20"/>
                <w:szCs w:val="20"/>
                <w:shd w:val="clear" w:color="auto" w:fill="FFFFFF"/>
                <w:lang w:val="en-US" w:eastAsia="zh-CN" w:bidi="ar-SA"/>
              </w:rPr>
            </w:pPr>
            <w:r>
              <w:rPr>
                <w:rFonts w:hint="default" w:ascii="Times New Roman" w:hAnsi="Times New Roman" w:eastAsia="宋体" w:cs="Times New Roman"/>
                <w:color w:val="000000"/>
                <w:sz w:val="20"/>
                <w:szCs w:val="20"/>
                <w:shd w:val="clear" w:color="auto" w:fill="FFFFFF"/>
              </w:rPr>
              <w:t>427.62</w:t>
            </w:r>
          </w:p>
        </w:tc>
        <w:tc>
          <w:tcPr>
            <w:tcW w:w="8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kern w:val="2"/>
                <w:sz w:val="20"/>
                <w:szCs w:val="20"/>
                <w:shd w:val="clear" w:color="auto" w:fill="FFFFFF"/>
                <w:lang w:val="en-US" w:eastAsia="zh-CN" w:bidi="ar-SA"/>
              </w:rPr>
            </w:pPr>
            <w:r>
              <w:rPr>
                <w:rFonts w:hint="default" w:ascii="Times New Roman" w:hAnsi="Times New Roman" w:eastAsia="宋体" w:cs="Times New Roman"/>
                <w:color w:val="000000"/>
                <w:sz w:val="20"/>
                <w:szCs w:val="20"/>
                <w:shd w:val="clear" w:color="auto" w:fill="FFFFFF"/>
              </w:rPr>
              <w:t>377.36</w:t>
            </w: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kern w:val="2"/>
                <w:sz w:val="20"/>
                <w:szCs w:val="20"/>
                <w:shd w:val="clear" w:color="auto" w:fill="FFFFFF"/>
                <w:lang w:val="en-US" w:eastAsia="zh-CN" w:bidi="ar-SA"/>
              </w:rPr>
            </w:pPr>
            <w:r>
              <w:rPr>
                <w:rFonts w:hint="default" w:ascii="Times New Roman" w:hAnsi="Times New Roman" w:eastAsia="宋体" w:cs="Times New Roman"/>
                <w:color w:val="000000"/>
                <w:sz w:val="20"/>
                <w:szCs w:val="20"/>
                <w:shd w:val="clear" w:color="auto" w:fill="FFFFFF"/>
              </w:rPr>
              <w:t>377.36</w:t>
            </w:r>
          </w:p>
        </w:tc>
        <w:tc>
          <w:tcPr>
            <w:tcW w:w="36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kern w:val="2"/>
                <w:sz w:val="20"/>
                <w:szCs w:val="20"/>
                <w:shd w:val="clear" w:color="auto" w:fill="FFFFFF"/>
                <w:lang w:val="en-US" w:eastAsia="zh-CN" w:bidi="ar-SA"/>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kern w:val="2"/>
                <w:sz w:val="20"/>
                <w:szCs w:val="20"/>
                <w:shd w:val="clear" w:color="auto" w:fill="FFFFFF"/>
                <w:lang w:val="en-US" w:eastAsia="zh-CN" w:bidi="ar-SA"/>
              </w:rPr>
            </w:pPr>
          </w:p>
        </w:tc>
        <w:tc>
          <w:tcPr>
            <w:tcW w:w="315"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default" w:ascii="Times New Roman" w:hAnsi="Times New Roman" w:eastAsia="宋体" w:cs="Times New Roman"/>
                <w:color w:val="000000"/>
                <w:kern w:val="2"/>
                <w:sz w:val="20"/>
                <w:szCs w:val="20"/>
                <w:shd w:val="clear" w:color="auto" w:fill="FFFFFF"/>
                <w:lang w:val="en-US" w:eastAsia="zh-CN" w:bidi="ar-SA"/>
              </w:rPr>
            </w:pPr>
          </w:p>
        </w:tc>
        <w:tc>
          <w:tcPr>
            <w:tcW w:w="3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kern w:val="2"/>
                <w:sz w:val="20"/>
                <w:szCs w:val="20"/>
                <w:shd w:val="clear" w:color="auto" w:fill="FFFFFF"/>
                <w:lang w:val="en-US" w:eastAsia="zh-CN" w:bidi="ar-SA"/>
              </w:rPr>
            </w:pPr>
          </w:p>
        </w:tc>
        <w:tc>
          <w:tcPr>
            <w:tcW w:w="37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kern w:val="2"/>
                <w:sz w:val="20"/>
                <w:szCs w:val="20"/>
                <w:shd w:val="clear" w:color="auto" w:fill="FFFFFF"/>
                <w:lang w:val="en-US" w:eastAsia="zh-CN" w:bidi="ar-SA"/>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kern w:val="2"/>
                <w:sz w:val="20"/>
                <w:szCs w:val="20"/>
                <w:shd w:val="clear" w:color="auto" w:fill="FFFFFF"/>
                <w:lang w:val="en-US" w:eastAsia="zh-CN" w:bidi="ar-SA"/>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kern w:val="2"/>
                <w:sz w:val="20"/>
                <w:szCs w:val="20"/>
                <w:shd w:val="clear" w:color="auto" w:fill="FFFFFF"/>
                <w:lang w:val="en-US" w:eastAsia="zh-CN" w:bidi="ar-SA"/>
              </w:rPr>
            </w:pPr>
          </w:p>
        </w:tc>
        <w:tc>
          <w:tcPr>
            <w:tcW w:w="34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kern w:val="2"/>
                <w:sz w:val="20"/>
                <w:szCs w:val="20"/>
                <w:shd w:val="clear" w:color="auto" w:fill="FFFFFF"/>
                <w:lang w:val="en-US" w:eastAsia="zh-CN" w:bidi="ar-SA"/>
              </w:rPr>
            </w:pPr>
          </w:p>
        </w:tc>
        <w:tc>
          <w:tcPr>
            <w:tcW w:w="7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kern w:val="2"/>
                <w:sz w:val="20"/>
                <w:szCs w:val="20"/>
                <w:shd w:val="clear" w:color="auto" w:fill="FFFFFF"/>
                <w:lang w:val="en-US" w:eastAsia="zh-CN" w:bidi="ar-SA"/>
              </w:rPr>
            </w:pPr>
            <w:r>
              <w:rPr>
                <w:rFonts w:hint="default" w:ascii="Times New Roman" w:hAnsi="Times New Roman" w:eastAsia="宋体" w:cs="Times New Roman"/>
                <w:color w:val="000000"/>
                <w:sz w:val="20"/>
                <w:szCs w:val="20"/>
                <w:shd w:val="clear" w:color="auto" w:fill="FFFFFF"/>
              </w:rPr>
              <w:t>50.26</w:t>
            </w:r>
          </w:p>
        </w:tc>
        <w:tc>
          <w:tcPr>
            <w:tcW w:w="68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kern w:val="2"/>
                <w:sz w:val="20"/>
                <w:szCs w:val="20"/>
                <w:shd w:val="clear" w:color="auto" w:fill="FFFFFF"/>
                <w:lang w:val="en-US" w:eastAsia="zh-CN" w:bidi="ar-SA"/>
              </w:rPr>
            </w:pPr>
            <w:r>
              <w:rPr>
                <w:rFonts w:hint="default" w:ascii="Times New Roman" w:hAnsi="Times New Roman" w:eastAsia="宋体" w:cs="Times New Roman"/>
                <w:color w:val="000000"/>
                <w:sz w:val="20"/>
                <w:szCs w:val="20"/>
                <w:shd w:val="clear" w:color="auto" w:fill="FFFFFF"/>
              </w:rPr>
              <w:t>50.26</w:t>
            </w:r>
          </w:p>
        </w:tc>
        <w:tc>
          <w:tcPr>
            <w:tcW w:w="39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default" w:ascii="Times New Roman" w:hAnsi="Times New Roman" w:eastAsia="宋体" w:cs="Times New Roman"/>
                <w:color w:val="000000"/>
                <w:kern w:val="2"/>
                <w:sz w:val="20"/>
                <w:szCs w:val="20"/>
                <w:shd w:val="clear" w:color="auto" w:fill="FFFFFF"/>
                <w:lang w:val="en-US" w:eastAsia="zh-CN" w:bidi="ar-SA"/>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color w:val="000000"/>
                <w:sz w:val="20"/>
                <w:szCs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2"/>
                <w:szCs w:val="22"/>
                <w:shd w:val="clear" w:color="auto" w:fill="FFFFFF"/>
              </w:rPr>
            </w:pPr>
          </w:p>
        </w:tc>
        <w:tc>
          <w:tcPr>
            <w:tcW w:w="39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2"/>
                <w:szCs w:val="22"/>
                <w:shd w:val="clear" w:color="auto" w:fill="FFFFFF"/>
              </w:rPr>
            </w:pPr>
          </w:p>
        </w:tc>
      </w:tr>
    </w:tbl>
    <w:p>
      <w:pPr>
        <w:rPr>
          <w:rFonts w:hAnsi="楷体" w:eastAsia="楷体"/>
          <w:sz w:val="36"/>
          <w:szCs w:val="21"/>
        </w:rPr>
      </w:pPr>
    </w:p>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tbl>
      <w:tblPr>
        <w:tblStyle w:val="9"/>
        <w:tblW w:w="10655" w:type="dxa"/>
        <w:jc w:val="center"/>
        <w:tblLayout w:type="fixed"/>
        <w:tblCellMar>
          <w:top w:w="0" w:type="dxa"/>
          <w:left w:w="108" w:type="dxa"/>
          <w:bottom w:w="0" w:type="dxa"/>
          <w:right w:w="108" w:type="dxa"/>
        </w:tblCellMar>
      </w:tblPr>
      <w:tblGrid>
        <w:gridCol w:w="10655"/>
      </w:tblGrid>
      <w:tr>
        <w:tblPrEx>
          <w:tblCellMar>
            <w:top w:w="0" w:type="dxa"/>
            <w:left w:w="108" w:type="dxa"/>
            <w:bottom w:w="0" w:type="dxa"/>
            <w:right w:w="108" w:type="dxa"/>
          </w:tblCellMar>
        </w:tblPrEx>
        <w:trPr>
          <w:trHeight w:val="5102" w:hRule="atLeast"/>
          <w:jc w:val="center"/>
        </w:trPr>
        <w:tc>
          <w:tcPr>
            <w:tcW w:w="10655" w:type="dxa"/>
            <w:tcBorders>
              <w:top w:val="nil"/>
              <w:left w:val="nil"/>
              <w:bottom w:val="nil"/>
              <w:right w:val="nil"/>
            </w:tcBorders>
            <w:noWrap w:val="0"/>
            <w:vAlign w:val="bottom"/>
          </w:tcPr>
          <w:p>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9958" w:type="dxa"/>
              <w:tblInd w:w="442" w:type="dxa"/>
              <w:tblLayout w:type="fixed"/>
              <w:tblCellMar>
                <w:top w:w="15" w:type="dxa"/>
                <w:left w:w="15" w:type="dxa"/>
                <w:bottom w:w="15" w:type="dxa"/>
                <w:right w:w="15" w:type="dxa"/>
              </w:tblCellMar>
            </w:tblPr>
            <w:tblGrid>
              <w:gridCol w:w="3756"/>
              <w:gridCol w:w="1033"/>
              <w:gridCol w:w="1033"/>
              <w:gridCol w:w="1033"/>
              <w:gridCol w:w="1033"/>
              <w:gridCol w:w="1033"/>
              <w:gridCol w:w="1037"/>
            </w:tblGrid>
            <w:tr>
              <w:tblPrEx>
                <w:tblCellMar>
                  <w:top w:w="15" w:type="dxa"/>
                  <w:left w:w="15" w:type="dxa"/>
                  <w:bottom w:w="15" w:type="dxa"/>
                  <w:right w:w="15" w:type="dxa"/>
                </w:tblCellMar>
              </w:tblPrEx>
              <w:trPr>
                <w:trHeight w:val="567" w:hRule="exact"/>
              </w:trPr>
              <w:tc>
                <w:tcPr>
                  <w:tcW w:w="6855" w:type="dxa"/>
                  <w:gridSpan w:val="4"/>
                  <w:tcBorders>
                    <w:bottom w:val="single" w:color="000000" w:sz="4" w:space="0"/>
                  </w:tcBorders>
                  <w:noWrap w:val="0"/>
                  <w:vAlign w:val="center"/>
                </w:tcPr>
                <w:p>
                  <w:pPr>
                    <w:widowControl/>
                    <w:jc w:val="left"/>
                    <w:rPr>
                      <w:rFonts w:eastAsia="华文细黑"/>
                      <w:color w:val="000000"/>
                      <w:kern w:val="0"/>
                      <w:sz w:val="20"/>
                    </w:rPr>
                  </w:pPr>
                </w:p>
              </w:tc>
              <w:tc>
                <w:tcPr>
                  <w:tcW w:w="1033" w:type="dxa"/>
                  <w:tcBorders>
                    <w:bottom w:val="single" w:color="000000" w:sz="4" w:space="0"/>
                  </w:tcBorders>
                  <w:noWrap w:val="0"/>
                  <w:vAlign w:val="center"/>
                </w:tcPr>
                <w:p>
                  <w:pPr>
                    <w:widowControl/>
                    <w:jc w:val="right"/>
                    <w:rPr>
                      <w:rFonts w:eastAsia="华文细黑"/>
                      <w:color w:val="000000"/>
                      <w:kern w:val="0"/>
                      <w:sz w:val="20"/>
                    </w:rPr>
                  </w:pPr>
                </w:p>
              </w:tc>
              <w:tc>
                <w:tcPr>
                  <w:tcW w:w="1033" w:type="dxa"/>
                  <w:tcBorders>
                    <w:bottom w:val="single" w:color="000000" w:sz="4" w:space="0"/>
                  </w:tcBorders>
                  <w:noWrap w:val="0"/>
                  <w:vAlign w:val="center"/>
                </w:tcPr>
                <w:p>
                  <w:pPr>
                    <w:widowControl/>
                    <w:jc w:val="right"/>
                    <w:rPr>
                      <w:rFonts w:eastAsia="华文细黑"/>
                      <w:color w:val="000000"/>
                      <w:kern w:val="0"/>
                      <w:sz w:val="20"/>
                    </w:rPr>
                  </w:pPr>
                </w:p>
              </w:tc>
              <w:tc>
                <w:tcPr>
                  <w:tcW w:w="1037" w:type="dxa"/>
                  <w:tcBorders>
                    <w:bottom w:val="single" w:color="000000" w:sz="4" w:space="0"/>
                  </w:tcBorders>
                  <w:noWrap w:val="0"/>
                  <w:vAlign w:val="bottom"/>
                </w:tcPr>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567" w:hRule="exact"/>
              </w:trPr>
              <w:tc>
                <w:tcPr>
                  <w:tcW w:w="3756"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033" w:type="dxa"/>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总计</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w:t>
                  </w:r>
                </w:p>
                <w:p>
                  <w:pPr>
                    <w:widowControl/>
                    <w:jc w:val="center"/>
                    <w:rPr>
                      <w:rFonts w:eastAsia="华文细黑"/>
                      <w:color w:val="000000"/>
                      <w:kern w:val="0"/>
                      <w:sz w:val="20"/>
                    </w:rPr>
                  </w:pPr>
                  <w:r>
                    <w:rPr>
                      <w:rFonts w:eastAsia="华文细黑"/>
                      <w:color w:val="000000"/>
                      <w:kern w:val="0"/>
                      <w:sz w:val="20"/>
                    </w:rPr>
                    <w:t>支出</w:t>
                  </w:r>
                </w:p>
                <w:p>
                  <w:pPr>
                    <w:widowControl/>
                    <w:jc w:val="center"/>
                    <w:rPr>
                      <w:rFonts w:eastAsia="华文细黑"/>
                      <w:color w:val="000000"/>
                      <w:kern w:val="0"/>
                      <w:sz w:val="20"/>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项目                                                               支出</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事业单位</w:t>
                  </w:r>
                </w:p>
                <w:p>
                  <w:pPr>
                    <w:widowControl/>
                    <w:jc w:val="center"/>
                    <w:rPr>
                      <w:rFonts w:hint="eastAsia" w:eastAsia="华文细黑"/>
                      <w:color w:val="000000"/>
                      <w:kern w:val="0"/>
                      <w:sz w:val="20"/>
                    </w:rPr>
                  </w:pPr>
                  <w:r>
                    <w:rPr>
                      <w:rFonts w:hint="eastAsia" w:eastAsia="华文细黑"/>
                      <w:color w:val="000000"/>
                      <w:kern w:val="0"/>
                      <w:sz w:val="20"/>
                    </w:rPr>
                    <w:t>经营支出</w:t>
                  </w:r>
                </w:p>
              </w:tc>
              <w:tc>
                <w:tcPr>
                  <w:tcW w:w="1033"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rPr>
                      <w:rFonts w:eastAsia="华文细黑"/>
                      <w:color w:val="000000"/>
                      <w:kern w:val="0"/>
                      <w:sz w:val="20"/>
                    </w:rPr>
                  </w:pPr>
                  <w:r>
                    <w:rPr>
                      <w:rFonts w:eastAsia="华文细黑"/>
                      <w:color w:val="000000"/>
                      <w:kern w:val="0"/>
                      <w:sz w:val="20"/>
                    </w:rPr>
                    <w:t>上缴                                            上级                                                         支出</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华文细黑"/>
                      <w:color w:val="000000"/>
                      <w:kern w:val="0"/>
                      <w:sz w:val="20"/>
                    </w:rPr>
                  </w:pPr>
                  <w:r>
                    <w:rPr>
                      <w:rFonts w:eastAsia="华文细黑"/>
                      <w:color w:val="000000"/>
                      <w:kern w:val="0"/>
                      <w:sz w:val="20"/>
                    </w:rPr>
                    <w:t>对附属                                           单位补                                      助支出</w:t>
                  </w:r>
                </w:p>
              </w:tc>
            </w:tr>
            <w:tr>
              <w:tblPrEx>
                <w:tblCellMar>
                  <w:top w:w="15" w:type="dxa"/>
                  <w:left w:w="15" w:type="dxa"/>
                  <w:bottom w:w="15" w:type="dxa"/>
                  <w:right w:w="15" w:type="dxa"/>
                </w:tblCellMar>
              </w:tblPrEx>
              <w:trPr>
                <w:trHeight w:val="567" w:hRule="exact"/>
              </w:trPr>
              <w:tc>
                <w:tcPr>
                  <w:tcW w:w="3756" w:type="dxa"/>
                  <w:tcBorders>
                    <w:top w:val="single" w:color="000000" w:sz="4" w:space="0"/>
                    <w:left w:val="single" w:color="000000" w:sz="4" w:space="0"/>
                    <w:bottom w:val="single" w:color="000000" w:sz="4" w:space="0"/>
                  </w:tcBorders>
                  <w:shd w:val="clear" w:color="000000" w:fill="FFFFFF"/>
                  <w:noWrap w:val="0"/>
                  <w:vAlign w:val="center"/>
                </w:tcPr>
                <w:p>
                  <w:pPr>
                    <w:widowControl/>
                    <w:jc w:val="both"/>
                    <w:rPr>
                      <w:rFonts w:eastAsia="华文细黑"/>
                      <w:color w:val="000000"/>
                      <w:kern w:val="0"/>
                      <w:sz w:val="20"/>
                    </w:rPr>
                  </w:pPr>
                  <w:r>
                    <w:rPr>
                      <w:rFonts w:eastAsia="宋体"/>
                      <w:color w:val="000000"/>
                      <w:kern w:val="0"/>
                      <w:sz w:val="20"/>
                    </w:rPr>
                    <w:t>一、</w:t>
                  </w:r>
                  <w:r>
                    <w:rPr>
                      <w:rFonts w:hint="eastAsia" w:eastAsia="宋体"/>
                      <w:color w:val="000000"/>
                      <w:kern w:val="0"/>
                      <w:sz w:val="20"/>
                    </w:rPr>
                    <w:t>一般公共服务支出</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328.68</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287.39</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41.29</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szCs w:val="20"/>
                    </w:rPr>
                  </w:pPr>
                </w:p>
              </w:tc>
              <w:tc>
                <w:tcPr>
                  <w:tcW w:w="103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567" w:hRule="exact"/>
              </w:trPr>
              <w:tc>
                <w:tcPr>
                  <w:tcW w:w="3756"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r>
                    <w:rPr>
                      <w:rFonts w:eastAsia="宋体"/>
                      <w:color w:val="000000"/>
                      <w:kern w:val="0"/>
                      <w:sz w:val="20"/>
                    </w:rPr>
                    <w:t xml:space="preserve">   </w:t>
                  </w:r>
                  <w:r>
                    <w:rPr>
                      <w:rFonts w:hint="eastAsia" w:eastAsia="宋体"/>
                      <w:color w:val="000000"/>
                      <w:kern w:val="0"/>
                      <w:sz w:val="20"/>
                    </w:rPr>
                    <w:t>统计信息事务</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eastAsia="宋体" w:cs="Times New Roman"/>
                      <w:color w:val="000000"/>
                      <w:kern w:val="0"/>
                      <w:sz w:val="20"/>
                      <w:szCs w:val="20"/>
                    </w:rPr>
                    <w:t>328.68</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287.39</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41.29</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7" w:type="dxa"/>
                  <w:tcBorders>
                    <w:top w:val="single" w:color="auto" w:sz="4" w:space="0"/>
                    <w:left w:val="single" w:color="auto" w:sz="4" w:space="0"/>
                    <w:bottom w:val="single" w:color="000000"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567" w:hRule="exact"/>
              </w:trPr>
              <w:tc>
                <w:tcPr>
                  <w:tcW w:w="3756"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rPr>
                    <w:t>行政运行</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287.39</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287.39</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7" w:type="dxa"/>
                  <w:tcBorders>
                    <w:top w:val="single" w:color="000000" w:sz="4" w:space="0"/>
                    <w:left w:val="single" w:color="auto" w:sz="4" w:space="0"/>
                    <w:bottom w:val="single" w:color="000000"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567" w:hRule="exact"/>
              </w:trPr>
              <w:tc>
                <w:tcPr>
                  <w:tcW w:w="3756"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eastAsia="宋体"/>
                      <w:color w:val="000000"/>
                      <w:kern w:val="0"/>
                      <w:sz w:val="20"/>
                    </w:rPr>
                  </w:pPr>
                  <w:r>
                    <w:rPr>
                      <w:rFonts w:hint="eastAsia" w:eastAsia="宋体"/>
                      <w:color w:val="000000"/>
                      <w:kern w:val="0"/>
                      <w:sz w:val="20"/>
                    </w:rPr>
                    <w:t>一般行政管理事务</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21.33</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21.33</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7" w:type="dxa"/>
                  <w:tcBorders>
                    <w:top w:val="single" w:color="000000" w:sz="4" w:space="0"/>
                    <w:left w:val="single" w:color="auto" w:sz="4" w:space="0"/>
                    <w:bottom w:val="single" w:color="000000"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567" w:hRule="exact"/>
              </w:trPr>
              <w:tc>
                <w:tcPr>
                  <w:tcW w:w="3756"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eastAsia="宋体"/>
                      <w:color w:val="000000"/>
                      <w:kern w:val="0"/>
                      <w:sz w:val="20"/>
                    </w:rPr>
                  </w:pPr>
                  <w:r>
                    <w:rPr>
                      <w:rFonts w:hint="eastAsia" w:eastAsia="宋体"/>
                      <w:color w:val="000000"/>
                      <w:kern w:val="0"/>
                      <w:sz w:val="20"/>
                    </w:rPr>
                    <w:t>机关服务</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10.34</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10.34</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7" w:type="dxa"/>
                  <w:tcBorders>
                    <w:top w:val="single" w:color="000000" w:sz="4" w:space="0"/>
                    <w:left w:val="single" w:color="auto" w:sz="4" w:space="0"/>
                    <w:bottom w:val="single" w:color="000000"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567" w:hRule="exact"/>
              </w:trPr>
              <w:tc>
                <w:tcPr>
                  <w:tcW w:w="3756"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rPr>
                    <w:t>专项普查活动</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9.62</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9.62</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7" w:type="dxa"/>
                  <w:tcBorders>
                    <w:top w:val="single" w:color="000000" w:sz="4" w:space="0"/>
                    <w:left w:val="single" w:color="auto" w:sz="4" w:space="0"/>
                    <w:bottom w:val="single" w:color="000000"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567" w:hRule="exact"/>
              </w:trPr>
              <w:tc>
                <w:tcPr>
                  <w:tcW w:w="3756"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r>
                    <w:rPr>
                      <w:rFonts w:eastAsia="宋体"/>
                      <w:color w:val="000000"/>
                      <w:kern w:val="0"/>
                      <w:sz w:val="20"/>
                    </w:rPr>
                    <w:t>二、</w:t>
                  </w:r>
                  <w:r>
                    <w:rPr>
                      <w:rFonts w:hint="eastAsia" w:eastAsia="宋体"/>
                      <w:color w:val="000000"/>
                      <w:kern w:val="0"/>
                      <w:sz w:val="20"/>
                    </w:rPr>
                    <w:t>社会保障和就业支出</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58.54</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58.54</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7" w:type="dxa"/>
                  <w:tcBorders>
                    <w:top w:val="single" w:color="000000" w:sz="4" w:space="0"/>
                    <w:left w:val="single" w:color="auto" w:sz="4" w:space="0"/>
                    <w:bottom w:val="single" w:color="000000"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567" w:hRule="exact"/>
              </w:trPr>
              <w:tc>
                <w:tcPr>
                  <w:tcW w:w="3756" w:type="dxa"/>
                  <w:tcBorders>
                    <w:top w:val="single" w:color="000000" w:sz="4" w:space="0"/>
                    <w:left w:val="single" w:color="000000" w:sz="4" w:space="0"/>
                    <w:bottom w:val="single" w:color="000000" w:sz="4" w:space="0"/>
                  </w:tcBorders>
                  <w:shd w:val="clear" w:color="000000" w:fill="FFFFFF"/>
                  <w:noWrap w:val="0"/>
                  <w:vAlign w:val="center"/>
                </w:tcPr>
                <w:p>
                  <w:pPr>
                    <w:widowControl/>
                    <w:ind w:firstLine="300" w:firstLineChars="150"/>
                    <w:jc w:val="left"/>
                    <w:rPr>
                      <w:rFonts w:eastAsia="宋体"/>
                      <w:color w:val="000000"/>
                      <w:kern w:val="0"/>
                      <w:sz w:val="20"/>
                    </w:rPr>
                  </w:pPr>
                  <w:r>
                    <w:rPr>
                      <w:rFonts w:hint="eastAsia" w:eastAsia="宋体"/>
                      <w:color w:val="000000"/>
                      <w:kern w:val="0"/>
                      <w:sz w:val="20"/>
                    </w:rPr>
                    <w:t>行政事业单位养老支出</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58.54</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58.54</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7" w:type="dxa"/>
                  <w:tcBorders>
                    <w:top w:val="single" w:color="000000" w:sz="4" w:space="0"/>
                    <w:left w:val="single" w:color="auto" w:sz="4" w:space="0"/>
                    <w:bottom w:val="single" w:color="000000"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567" w:hRule="exact"/>
              </w:trPr>
              <w:tc>
                <w:tcPr>
                  <w:tcW w:w="3756"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eastAsia="宋体"/>
                      <w:color w:val="000000"/>
                      <w:kern w:val="0"/>
                      <w:sz w:val="20"/>
                    </w:rPr>
                  </w:pPr>
                  <w:r>
                    <w:rPr>
                      <w:rFonts w:hint="eastAsia" w:eastAsia="宋体"/>
                      <w:color w:val="000000"/>
                      <w:kern w:val="0"/>
                      <w:sz w:val="20"/>
                    </w:rPr>
                    <w:t>行政单位离退休</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22.08</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eastAsia="宋体" w:cs="Times New Roman"/>
                      <w:color w:val="000000"/>
                      <w:kern w:val="0"/>
                      <w:sz w:val="20"/>
                      <w:szCs w:val="20"/>
                    </w:rPr>
                    <w:t>22.08</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7" w:type="dxa"/>
                  <w:tcBorders>
                    <w:top w:val="single" w:color="000000" w:sz="4" w:space="0"/>
                    <w:left w:val="single" w:color="auto" w:sz="4" w:space="0"/>
                    <w:bottom w:val="single" w:color="000000"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567" w:hRule="exact"/>
              </w:trPr>
              <w:tc>
                <w:tcPr>
                  <w:tcW w:w="3756"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eastAsia="宋体"/>
                      <w:color w:val="000000"/>
                      <w:kern w:val="0"/>
                      <w:sz w:val="20"/>
                    </w:rPr>
                  </w:pPr>
                  <w:r>
                    <w:rPr>
                      <w:rFonts w:hint="eastAsia" w:eastAsia="宋体"/>
                      <w:color w:val="000000"/>
                      <w:kern w:val="0"/>
                      <w:sz w:val="20"/>
                    </w:rPr>
                    <w:t>机关事业单位基本养老保险缴费支出</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rPr>
                    <w:t>36.4</w:t>
                  </w:r>
                  <w:r>
                    <w:rPr>
                      <w:rFonts w:hint="default" w:ascii="Times New Roman" w:hAnsi="Times New Roman" w:eastAsia="宋体" w:cs="Times New Roman"/>
                      <w:color w:val="000000"/>
                      <w:kern w:val="0"/>
                      <w:sz w:val="20"/>
                      <w:szCs w:val="20"/>
                      <w:lang w:val="en-US" w:eastAsia="zh-CN"/>
                    </w:rPr>
                    <w:t>6</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eastAsia="宋体" w:cs="Times New Roman"/>
                      <w:color w:val="000000"/>
                      <w:kern w:val="0"/>
                      <w:sz w:val="20"/>
                      <w:szCs w:val="20"/>
                    </w:rPr>
                    <w:t>36.4</w:t>
                  </w:r>
                  <w:r>
                    <w:rPr>
                      <w:rFonts w:hint="default" w:ascii="Times New Roman" w:hAnsi="Times New Roman" w:eastAsia="宋体" w:cs="Times New Roman"/>
                      <w:color w:val="000000"/>
                      <w:kern w:val="0"/>
                      <w:sz w:val="20"/>
                      <w:szCs w:val="20"/>
                      <w:lang w:val="en-US" w:eastAsia="zh-CN"/>
                    </w:rPr>
                    <w:t>6</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7" w:type="dxa"/>
                  <w:tcBorders>
                    <w:top w:val="single" w:color="000000" w:sz="4" w:space="0"/>
                    <w:left w:val="single" w:color="auto" w:sz="4" w:space="0"/>
                    <w:bottom w:val="single" w:color="000000"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567" w:hRule="exact"/>
              </w:trPr>
              <w:tc>
                <w:tcPr>
                  <w:tcW w:w="3756"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hint="eastAsia" w:eastAsia="宋体"/>
                      <w:color w:val="000000"/>
                      <w:kern w:val="0"/>
                      <w:sz w:val="20"/>
                      <w:lang w:val="en-US" w:eastAsia="zh-CN"/>
                    </w:rPr>
                    <w:t>三、</w:t>
                  </w:r>
                  <w:r>
                    <w:rPr>
                      <w:rFonts w:hint="eastAsia" w:eastAsia="宋体"/>
                      <w:color w:val="000000"/>
                      <w:kern w:val="0"/>
                      <w:sz w:val="20"/>
                    </w:rPr>
                    <w:t>卫生健康支出</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8.92</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8.92</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7" w:type="dxa"/>
                  <w:tcBorders>
                    <w:top w:val="single" w:color="000000" w:sz="4" w:space="0"/>
                    <w:left w:val="single" w:color="auto" w:sz="4" w:space="0"/>
                    <w:bottom w:val="single" w:color="000000"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567" w:hRule="exact"/>
              </w:trPr>
              <w:tc>
                <w:tcPr>
                  <w:tcW w:w="3756" w:type="dxa"/>
                  <w:tcBorders>
                    <w:top w:val="single" w:color="000000" w:sz="4" w:space="0"/>
                    <w:left w:val="single" w:color="000000" w:sz="4" w:space="0"/>
                    <w:bottom w:val="single" w:color="000000" w:sz="4" w:space="0"/>
                  </w:tcBorders>
                  <w:shd w:val="clear" w:color="000000" w:fill="FFFFFF"/>
                  <w:noWrap w:val="0"/>
                  <w:vAlign w:val="center"/>
                </w:tcPr>
                <w:p>
                  <w:pPr>
                    <w:widowControl/>
                    <w:ind w:firstLine="200" w:firstLineChars="100"/>
                    <w:jc w:val="left"/>
                    <w:rPr>
                      <w:rFonts w:eastAsia="宋体"/>
                      <w:color w:val="000000"/>
                      <w:kern w:val="0"/>
                      <w:sz w:val="20"/>
                    </w:rPr>
                  </w:pPr>
                  <w:r>
                    <w:rPr>
                      <w:rFonts w:hint="eastAsia" w:eastAsia="宋体"/>
                      <w:color w:val="000000"/>
                      <w:kern w:val="0"/>
                      <w:sz w:val="20"/>
                    </w:rPr>
                    <w:t>行政事业单位医疗</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8.92</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8.92</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7" w:type="dxa"/>
                  <w:tcBorders>
                    <w:top w:val="single" w:color="000000" w:sz="4" w:space="0"/>
                    <w:left w:val="single" w:color="auto" w:sz="4" w:space="0"/>
                    <w:bottom w:val="single" w:color="000000"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567" w:hRule="exact"/>
              </w:trPr>
              <w:tc>
                <w:tcPr>
                  <w:tcW w:w="3756"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eastAsia="宋体"/>
                      <w:color w:val="000000"/>
                      <w:kern w:val="0"/>
                      <w:sz w:val="20"/>
                    </w:rPr>
                  </w:pPr>
                  <w:r>
                    <w:rPr>
                      <w:rFonts w:hint="eastAsia" w:eastAsia="宋体"/>
                      <w:color w:val="000000"/>
                      <w:kern w:val="0"/>
                      <w:sz w:val="20"/>
                    </w:rPr>
                    <w:t>行政单位医疗</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8.92</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8.92</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7" w:type="dxa"/>
                  <w:tcBorders>
                    <w:top w:val="single" w:color="000000" w:sz="4" w:space="0"/>
                    <w:left w:val="single" w:color="auto" w:sz="4" w:space="0"/>
                    <w:bottom w:val="single" w:color="000000"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567" w:hRule="exact"/>
              </w:trPr>
              <w:tc>
                <w:tcPr>
                  <w:tcW w:w="3756"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hint="eastAsia" w:eastAsia="宋体"/>
                      <w:color w:val="000000"/>
                      <w:kern w:val="0"/>
                      <w:sz w:val="20"/>
                      <w:lang w:val="en-US" w:eastAsia="zh-CN"/>
                    </w:rPr>
                    <w:t>四、</w:t>
                  </w:r>
                  <w:r>
                    <w:rPr>
                      <w:rFonts w:hint="eastAsia" w:eastAsia="宋体"/>
                      <w:color w:val="000000"/>
                      <w:kern w:val="0"/>
                      <w:sz w:val="20"/>
                    </w:rPr>
                    <w:t>住房保障支出　　</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31.48</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31.48</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7" w:type="dxa"/>
                  <w:tcBorders>
                    <w:top w:val="single" w:color="000000" w:sz="4" w:space="0"/>
                    <w:left w:val="single" w:color="auto" w:sz="4" w:space="0"/>
                    <w:bottom w:val="single" w:color="000000"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567" w:hRule="exact"/>
              </w:trPr>
              <w:tc>
                <w:tcPr>
                  <w:tcW w:w="3756" w:type="dxa"/>
                  <w:tcBorders>
                    <w:top w:val="single" w:color="000000" w:sz="4" w:space="0"/>
                    <w:left w:val="single" w:color="000000" w:sz="4" w:space="0"/>
                    <w:bottom w:val="single" w:color="000000" w:sz="4" w:space="0"/>
                  </w:tcBorders>
                  <w:shd w:val="clear" w:color="000000" w:fill="FFFFFF"/>
                  <w:noWrap w:val="0"/>
                  <w:vAlign w:val="center"/>
                </w:tcPr>
                <w:p>
                  <w:pPr>
                    <w:widowControl/>
                    <w:ind w:firstLine="200" w:firstLineChars="100"/>
                    <w:jc w:val="left"/>
                    <w:rPr>
                      <w:rFonts w:eastAsia="宋体"/>
                      <w:color w:val="000000"/>
                      <w:kern w:val="0"/>
                      <w:sz w:val="20"/>
                    </w:rPr>
                  </w:pPr>
                  <w:r>
                    <w:rPr>
                      <w:rFonts w:hint="eastAsia" w:eastAsia="宋体"/>
                      <w:color w:val="000000"/>
                      <w:kern w:val="0"/>
                      <w:sz w:val="20"/>
                    </w:rPr>
                    <w:t>住房改革支出</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31.48</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31.48</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7" w:type="dxa"/>
                  <w:tcBorders>
                    <w:top w:val="single" w:color="000000" w:sz="4" w:space="0"/>
                    <w:left w:val="single" w:color="auto" w:sz="4" w:space="0"/>
                    <w:bottom w:val="single" w:color="000000"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567" w:hRule="exact"/>
              </w:trPr>
              <w:tc>
                <w:tcPr>
                  <w:tcW w:w="3756"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eastAsia="宋体"/>
                      <w:color w:val="000000"/>
                      <w:kern w:val="0"/>
                      <w:sz w:val="20"/>
                    </w:rPr>
                  </w:pPr>
                  <w:r>
                    <w:rPr>
                      <w:rFonts w:hint="eastAsia" w:eastAsia="宋体"/>
                      <w:color w:val="000000"/>
                      <w:kern w:val="0"/>
                      <w:sz w:val="20"/>
                    </w:rPr>
                    <w:t>住房公积金</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31.48</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31.48</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7" w:type="dxa"/>
                  <w:tcBorders>
                    <w:top w:val="single" w:color="000000" w:sz="4" w:space="0"/>
                    <w:left w:val="single" w:color="auto" w:sz="4" w:space="0"/>
                    <w:bottom w:val="single" w:color="000000"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567" w:hRule="exact"/>
              </w:trPr>
              <w:tc>
                <w:tcPr>
                  <w:tcW w:w="3756"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427.61</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386.32</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41.29</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7" w:type="dxa"/>
                  <w:tcBorders>
                    <w:top w:val="single" w:color="000000"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bl>
          <w:p>
            <w:pPr>
              <w:widowControl/>
              <w:jc w:val="center"/>
              <w:rPr>
                <w:rFonts w:eastAsia="方正小标宋简体"/>
                <w:kern w:val="0"/>
                <w:sz w:val="44"/>
                <w:szCs w:val="44"/>
              </w:rPr>
            </w:pPr>
          </w:p>
        </w:tc>
      </w:tr>
    </w:tbl>
    <w:p>
      <w:pPr>
        <w:ind w:firstLine="640" w:firstLineChars="200"/>
      </w:pPr>
    </w:p>
    <w:tbl>
      <w:tblPr>
        <w:tblStyle w:val="9"/>
        <w:tblW w:w="10405" w:type="dxa"/>
        <w:jc w:val="center"/>
        <w:tblLayout w:type="fixed"/>
        <w:tblCellMar>
          <w:top w:w="0" w:type="dxa"/>
          <w:left w:w="108" w:type="dxa"/>
          <w:bottom w:w="0" w:type="dxa"/>
          <w:right w:w="108" w:type="dxa"/>
        </w:tblCellMar>
      </w:tblPr>
      <w:tblGrid>
        <w:gridCol w:w="9960"/>
        <w:gridCol w:w="445"/>
      </w:tblGrid>
      <w:tr>
        <w:tblPrEx>
          <w:tblCellMar>
            <w:top w:w="0" w:type="dxa"/>
            <w:left w:w="108" w:type="dxa"/>
            <w:bottom w:w="0" w:type="dxa"/>
            <w:right w:w="108" w:type="dxa"/>
          </w:tblCellMar>
        </w:tblPrEx>
        <w:trPr>
          <w:gridAfter w:val="1"/>
          <w:wAfter w:w="445" w:type="dxa"/>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238"/>
              <w:gridCol w:w="1330"/>
              <w:gridCol w:w="1126"/>
              <w:gridCol w:w="1126"/>
              <w:gridCol w:w="1374"/>
              <w:gridCol w:w="1148"/>
              <w:gridCol w:w="1148"/>
              <w:gridCol w:w="1150"/>
            </w:tblGrid>
            <w:tr>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0"/>
                  <w:vAlign w:val="center"/>
                </w:tcPr>
                <w:p>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支      出</w:t>
                  </w:r>
                </w:p>
              </w:tc>
            </w:tr>
            <w:tr>
              <w:tblPrEx>
                <w:tblCellMar>
                  <w:top w:w="0" w:type="dxa"/>
                  <w:left w:w="108" w:type="dxa"/>
                  <w:bottom w:w="0" w:type="dxa"/>
                  <w:right w:w="108" w:type="dxa"/>
                </w:tblCellMar>
              </w:tblPrEx>
              <w:trPr>
                <w:trHeight w:val="1363" w:hRule="atLeast"/>
              </w:trPr>
              <w:tc>
                <w:tcPr>
                  <w:tcW w:w="1238"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330" w:type="dxa"/>
                  <w:tcBorders>
                    <w:top w:val="single" w:color="auto" w:sz="4" w:space="0"/>
                    <w:left w:val="single" w:color="auto" w:sz="4" w:space="0"/>
                    <w:right w:val="single" w:color="auto" w:sz="4" w:space="0"/>
                  </w:tcBorders>
                  <w:noWrap w:val="0"/>
                  <w:vAlign w:val="center"/>
                </w:tcPr>
                <w:p>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26"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上年结转</w:t>
                  </w:r>
                </w:p>
              </w:tc>
              <w:tc>
                <w:tcPr>
                  <w:tcW w:w="1374"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48" w:type="dxa"/>
                  <w:tcBorders>
                    <w:top w:val="single" w:color="auto" w:sz="4" w:space="0"/>
                    <w:left w:val="single" w:color="auto" w:sz="4" w:space="0"/>
                    <w:right w:val="single" w:color="auto" w:sz="4" w:space="0"/>
                  </w:tcBorders>
                  <w:noWrap w:val="0"/>
                  <w:vAlign w:val="center"/>
                </w:tcPr>
                <w:p>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48"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上年结转</w:t>
                  </w:r>
                </w:p>
              </w:tc>
            </w:tr>
            <w:tr>
              <w:tblPrEx>
                <w:tblCellMar>
                  <w:top w:w="0" w:type="dxa"/>
                  <w:left w:w="108" w:type="dxa"/>
                  <w:bottom w:w="0" w:type="dxa"/>
                  <w:right w:w="108" w:type="dxa"/>
                </w:tblCellMar>
              </w:tblPrEx>
              <w:trPr>
                <w:trHeight w:val="433" w:hRule="atLeast"/>
              </w:trPr>
              <w:tc>
                <w:tcPr>
                  <w:tcW w:w="123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一、本年收入</w:t>
                  </w:r>
                </w:p>
              </w:tc>
              <w:tc>
                <w:tcPr>
                  <w:tcW w:w="133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lang w:val="en-US" w:eastAsia="zh-CN" w:bidi="ar-SA"/>
                    </w:rPr>
                  </w:pPr>
                  <w:r>
                    <w:rPr>
                      <w:rFonts w:hint="default" w:ascii="Times New Roman" w:hAnsi="Times New Roman" w:eastAsia="宋体" w:cs="Times New Roman"/>
                      <w:kern w:val="0"/>
                      <w:sz w:val="20"/>
                    </w:rPr>
                    <w:t>427.62</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lang w:val="en-US" w:eastAsia="zh-CN" w:bidi="ar-SA"/>
                    </w:rPr>
                  </w:pPr>
                  <w:r>
                    <w:rPr>
                      <w:rFonts w:hint="default" w:ascii="Times New Roman" w:hAnsi="Times New Roman" w:eastAsia="宋体" w:cs="Times New Roman"/>
                      <w:kern w:val="0"/>
                      <w:sz w:val="20"/>
                    </w:rPr>
                    <w:t>377.36</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lang w:val="en-US" w:eastAsia="zh-CN" w:bidi="ar-SA"/>
                    </w:rPr>
                  </w:pPr>
                  <w:r>
                    <w:rPr>
                      <w:rFonts w:hint="default" w:ascii="Times New Roman" w:hAnsi="Times New Roman" w:eastAsia="宋体" w:cs="Times New Roman"/>
                      <w:kern w:val="0"/>
                      <w:sz w:val="20"/>
                    </w:rPr>
                    <w:t>50.26</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eastAsia="宋体"/>
                      <w:color w:val="000000"/>
                      <w:kern w:val="0"/>
                      <w:sz w:val="20"/>
                      <w:lang w:eastAsia="zh-CN"/>
                    </w:rPr>
                  </w:pPr>
                  <w:r>
                    <w:rPr>
                      <w:rFonts w:hint="eastAsia" w:eastAsia="宋体"/>
                      <w:color w:val="000000"/>
                      <w:kern w:val="0"/>
                      <w:sz w:val="20"/>
                      <w:lang w:eastAsia="zh-CN"/>
                    </w:rPr>
                    <w:t>一、本年支出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lang w:val="en-US" w:eastAsia="zh-CN" w:bidi="ar-SA"/>
                    </w:rPr>
                  </w:pPr>
                  <w:r>
                    <w:rPr>
                      <w:rFonts w:hint="default" w:ascii="Times New Roman" w:hAnsi="Times New Roman" w:eastAsia="宋体" w:cs="Times New Roman"/>
                      <w:kern w:val="0"/>
                      <w:sz w:val="20"/>
                    </w:rPr>
                    <w:t>427.62</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lang w:val="en-US" w:eastAsia="zh-CN" w:bidi="ar-SA"/>
                    </w:rPr>
                  </w:pPr>
                  <w:r>
                    <w:rPr>
                      <w:rFonts w:hint="default" w:ascii="Times New Roman" w:hAnsi="Times New Roman" w:eastAsia="宋体" w:cs="Times New Roman"/>
                      <w:kern w:val="0"/>
                      <w:sz w:val="20"/>
                    </w:rPr>
                    <w:t>377.36</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lang w:val="en-US" w:eastAsia="zh-CN" w:bidi="ar-SA"/>
                    </w:rPr>
                  </w:pPr>
                  <w:r>
                    <w:rPr>
                      <w:rFonts w:hint="default" w:ascii="Times New Roman" w:hAnsi="Times New Roman" w:eastAsia="宋体" w:cs="Times New Roman"/>
                      <w:kern w:val="0"/>
                      <w:sz w:val="20"/>
                    </w:rPr>
                    <w:t>50.26</w:t>
                  </w:r>
                </w:p>
              </w:tc>
            </w:tr>
            <w:tr>
              <w:tblPrEx>
                <w:tblCellMar>
                  <w:top w:w="0" w:type="dxa"/>
                  <w:left w:w="108" w:type="dxa"/>
                  <w:bottom w:w="0" w:type="dxa"/>
                  <w:right w:w="108" w:type="dxa"/>
                </w:tblCellMar>
              </w:tblPrEx>
              <w:trPr>
                <w:trHeight w:val="491" w:hRule="atLeast"/>
              </w:trPr>
              <w:tc>
                <w:tcPr>
                  <w:tcW w:w="123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一般公共预算拨款</w:t>
                  </w:r>
                </w:p>
              </w:tc>
              <w:tc>
                <w:tcPr>
                  <w:tcW w:w="133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lang w:val="en-US" w:eastAsia="zh-CN" w:bidi="ar-SA"/>
                    </w:rPr>
                  </w:pPr>
                  <w:r>
                    <w:rPr>
                      <w:rFonts w:hint="default" w:ascii="Times New Roman" w:hAnsi="Times New Roman" w:eastAsia="宋体" w:cs="Times New Roman"/>
                      <w:kern w:val="0"/>
                      <w:sz w:val="20"/>
                    </w:rPr>
                    <w:t>427.62</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lang w:val="en-US" w:eastAsia="zh-CN" w:bidi="ar-SA"/>
                    </w:rPr>
                  </w:pPr>
                  <w:r>
                    <w:rPr>
                      <w:rFonts w:hint="default" w:ascii="Times New Roman" w:hAnsi="Times New Roman" w:eastAsia="宋体" w:cs="Times New Roman"/>
                      <w:kern w:val="0"/>
                      <w:sz w:val="20"/>
                    </w:rPr>
                    <w:t>377.36</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lang w:val="en-US" w:eastAsia="zh-CN" w:bidi="ar-SA"/>
                    </w:rPr>
                  </w:pPr>
                  <w:r>
                    <w:rPr>
                      <w:rFonts w:hint="default" w:ascii="Times New Roman" w:hAnsi="Times New Roman" w:eastAsia="宋体" w:cs="Times New Roman"/>
                      <w:kern w:val="0"/>
                      <w:sz w:val="20"/>
                    </w:rPr>
                    <w:t>50.26</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lang w:eastAsia="zh-CN"/>
                    </w:rPr>
                    <w:t>（一）</w:t>
                  </w:r>
                  <w:r>
                    <w:rPr>
                      <w:rFonts w:eastAsia="宋体"/>
                      <w:color w:val="000000"/>
                      <w:kern w:val="0"/>
                      <w:sz w:val="20"/>
                    </w:rPr>
                    <w:t>一般公共服务</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default" w:ascii="Times New Roman" w:hAnsi="Times New Roman" w:eastAsia="宋体" w:cs="Times New Roman"/>
                      <w:color w:val="000000"/>
                      <w:kern w:val="0"/>
                      <w:sz w:val="20"/>
                    </w:rPr>
                    <w:t>328.68</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lang w:val="en-US" w:eastAsia="zh-CN" w:bidi="ar-SA"/>
                    </w:rPr>
                  </w:pPr>
                  <w:r>
                    <w:rPr>
                      <w:rFonts w:hint="default" w:ascii="Times New Roman" w:hAnsi="Times New Roman" w:eastAsia="宋体" w:cs="Times New Roman"/>
                      <w:kern w:val="0"/>
                      <w:sz w:val="20"/>
                    </w:rPr>
                    <w:t>293.79</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lang w:val="en-US" w:eastAsia="zh-CN" w:bidi="ar-SA"/>
                    </w:rPr>
                  </w:pPr>
                  <w:r>
                    <w:rPr>
                      <w:rFonts w:hint="default" w:ascii="Times New Roman" w:hAnsi="Times New Roman" w:eastAsia="宋体" w:cs="Times New Roman"/>
                      <w:kern w:val="0"/>
                      <w:sz w:val="20"/>
                    </w:rPr>
                    <w:t>34.89</w:t>
                  </w:r>
                </w:p>
              </w:tc>
            </w:tr>
            <w:tr>
              <w:tblPrEx>
                <w:tblCellMar>
                  <w:top w:w="0" w:type="dxa"/>
                  <w:left w:w="108" w:type="dxa"/>
                  <w:bottom w:w="0" w:type="dxa"/>
                  <w:right w:w="108" w:type="dxa"/>
                </w:tblCellMar>
              </w:tblPrEx>
              <w:trPr>
                <w:trHeight w:val="491" w:hRule="atLeast"/>
              </w:trPr>
              <w:tc>
                <w:tcPr>
                  <w:tcW w:w="123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政府性基金预算拨款</w:t>
                  </w:r>
                </w:p>
              </w:tc>
              <w:tc>
                <w:tcPr>
                  <w:tcW w:w="133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rPr>
                  </w:pPr>
                  <w:r>
                    <w:rPr>
                      <w:rFonts w:hint="default" w:ascii="Times New Roman" w:hAnsi="Times New Roman" w:eastAsia="宋体" w:cs="Times New Roman"/>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二</w:t>
                  </w:r>
                  <w:r>
                    <w:rPr>
                      <w:rFonts w:hint="eastAsia" w:eastAsia="宋体"/>
                      <w:color w:val="000000"/>
                      <w:sz w:val="20"/>
                      <w:lang w:eastAsia="zh-CN"/>
                    </w:rPr>
                    <w:t>）</w:t>
                  </w:r>
                  <w:r>
                    <w:rPr>
                      <w:rFonts w:hint="eastAsia" w:eastAsia="宋体"/>
                      <w:color w:val="000000"/>
                      <w:sz w:val="20"/>
                    </w:rPr>
                    <w:t>社会保障和就业支出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autoSpaceDN w:val="0"/>
                    <w:jc w:val="right"/>
                    <w:textAlignment w:val="center"/>
                    <w:rPr>
                      <w:rFonts w:hint="default" w:ascii="Times New Roman" w:hAnsi="Times New Roman" w:eastAsia="宋体" w:cs="Times New Roman"/>
                      <w:color w:val="000000"/>
                      <w:kern w:val="0"/>
                      <w:sz w:val="20"/>
                      <w:lang w:val="en-US" w:eastAsia="zh-CN" w:bidi="ar-SA"/>
                    </w:rPr>
                  </w:pPr>
                  <w:r>
                    <w:rPr>
                      <w:rFonts w:hint="default" w:ascii="Times New Roman" w:hAnsi="Times New Roman" w:eastAsia="宋体" w:cs="Times New Roman"/>
                      <w:color w:val="000000"/>
                      <w:kern w:val="0"/>
                      <w:sz w:val="20"/>
                    </w:rPr>
                    <w:t>58.5</w:t>
                  </w:r>
                  <w:r>
                    <w:rPr>
                      <w:rFonts w:hint="default" w:ascii="Times New Roman" w:hAnsi="Times New Roman" w:eastAsia="宋体" w:cs="Times New Roman"/>
                      <w:color w:val="000000"/>
                      <w:kern w:val="0"/>
                      <w:sz w:val="20"/>
                      <w:lang w:val="en-US" w:eastAsia="zh-CN"/>
                    </w:rPr>
                    <w:t>4</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lang w:val="en-US" w:eastAsia="zh-CN" w:bidi="ar-SA"/>
                    </w:rPr>
                  </w:pPr>
                  <w:r>
                    <w:rPr>
                      <w:rFonts w:hint="default" w:ascii="Times New Roman" w:hAnsi="Times New Roman" w:eastAsia="宋体" w:cs="Times New Roman"/>
                      <w:kern w:val="0"/>
                      <w:sz w:val="20"/>
                    </w:rPr>
                    <w:t>49.12</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lang w:val="en-US" w:eastAsia="zh-CN" w:bidi="ar-SA"/>
                    </w:rPr>
                  </w:pPr>
                  <w:r>
                    <w:rPr>
                      <w:rFonts w:hint="default" w:ascii="Times New Roman" w:hAnsi="Times New Roman" w:eastAsia="宋体" w:cs="Times New Roman"/>
                      <w:kern w:val="0"/>
                      <w:sz w:val="20"/>
                    </w:rPr>
                    <w:t>9.4</w:t>
                  </w:r>
                  <w:r>
                    <w:rPr>
                      <w:rFonts w:hint="default" w:ascii="Times New Roman" w:hAnsi="Times New Roman" w:eastAsia="宋体" w:cs="Times New Roman"/>
                      <w:kern w:val="0"/>
                      <w:sz w:val="20"/>
                      <w:lang w:val="en-US" w:eastAsia="zh-CN"/>
                    </w:rPr>
                    <w:t>2</w:t>
                  </w:r>
                </w:p>
              </w:tc>
            </w:tr>
            <w:tr>
              <w:tblPrEx>
                <w:tblCellMar>
                  <w:top w:w="0" w:type="dxa"/>
                  <w:left w:w="108" w:type="dxa"/>
                  <w:bottom w:w="0" w:type="dxa"/>
                  <w:right w:w="108" w:type="dxa"/>
                </w:tblCellMar>
              </w:tblPrEx>
              <w:trPr>
                <w:trHeight w:val="491" w:hRule="atLeast"/>
              </w:trPr>
              <w:tc>
                <w:tcPr>
                  <w:tcW w:w="123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国有资本经营预算拨款</w:t>
                  </w:r>
                </w:p>
              </w:tc>
              <w:tc>
                <w:tcPr>
                  <w:tcW w:w="133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rPr>
                  </w:pPr>
                  <w:r>
                    <w:rPr>
                      <w:rFonts w:hint="default" w:ascii="Times New Roman" w:hAnsi="Times New Roman" w:eastAsia="宋体" w:cs="Times New Roman"/>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三</w:t>
                  </w:r>
                  <w:r>
                    <w:rPr>
                      <w:rFonts w:hint="eastAsia" w:eastAsia="宋体"/>
                      <w:color w:val="000000"/>
                      <w:sz w:val="20"/>
                      <w:lang w:eastAsia="zh-CN"/>
                    </w:rPr>
                    <w:t>）</w:t>
                  </w:r>
                  <w:r>
                    <w:rPr>
                      <w:rFonts w:hint="eastAsia" w:eastAsia="宋体"/>
                      <w:color w:val="000000"/>
                      <w:sz w:val="20"/>
                    </w:rPr>
                    <w:t>卫生健康支出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autoSpaceDN w:val="0"/>
                    <w:jc w:val="right"/>
                    <w:textAlignment w:val="center"/>
                    <w:rPr>
                      <w:rFonts w:hint="default" w:ascii="Times New Roman" w:hAnsi="Times New Roman" w:eastAsia="宋体" w:cs="Times New Roman"/>
                      <w:color w:val="000000"/>
                      <w:kern w:val="0"/>
                      <w:sz w:val="20"/>
                      <w:lang w:val="en-US" w:eastAsia="zh-CN" w:bidi="ar-SA"/>
                    </w:rPr>
                  </w:pPr>
                  <w:r>
                    <w:rPr>
                      <w:rFonts w:hint="default" w:ascii="Times New Roman" w:hAnsi="Times New Roman" w:eastAsia="宋体" w:cs="Times New Roman"/>
                      <w:color w:val="000000"/>
                      <w:kern w:val="0"/>
                      <w:sz w:val="20"/>
                    </w:rPr>
                    <w:t>8.92</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lang w:val="en-US" w:eastAsia="zh-CN" w:bidi="ar-SA"/>
                    </w:rPr>
                  </w:pPr>
                  <w:r>
                    <w:rPr>
                      <w:rFonts w:hint="default" w:ascii="Times New Roman" w:hAnsi="Times New Roman" w:eastAsia="宋体" w:cs="Times New Roman"/>
                      <w:kern w:val="0"/>
                      <w:sz w:val="20"/>
                    </w:rPr>
                    <w:t>8.64</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lang w:val="en-US" w:eastAsia="zh-CN" w:bidi="ar-SA"/>
                    </w:rPr>
                  </w:pPr>
                  <w:r>
                    <w:rPr>
                      <w:rFonts w:hint="default" w:ascii="Times New Roman" w:hAnsi="Times New Roman" w:eastAsia="宋体" w:cs="Times New Roman"/>
                      <w:kern w:val="0"/>
                      <w:sz w:val="20"/>
                    </w:rPr>
                    <w:t>0.28</w:t>
                  </w:r>
                </w:p>
              </w:tc>
            </w:tr>
            <w:tr>
              <w:tblPrEx>
                <w:tblCellMar>
                  <w:top w:w="0" w:type="dxa"/>
                  <w:left w:w="108" w:type="dxa"/>
                  <w:bottom w:w="0" w:type="dxa"/>
                  <w:right w:w="108" w:type="dxa"/>
                </w:tblCellMar>
              </w:tblPrEx>
              <w:trPr>
                <w:trHeight w:val="491" w:hRule="atLeast"/>
              </w:trPr>
              <w:tc>
                <w:tcPr>
                  <w:tcW w:w="123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sz w:val="20"/>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default" w:eastAsia="宋体"/>
                      <w:color w:val="000000"/>
                      <w:kern w:val="0"/>
                      <w:sz w:val="20"/>
                      <w:lang w:val="en-US" w:eastAsia="zh-CN"/>
                    </w:rPr>
                  </w:pPr>
                  <w:r>
                    <w:rPr>
                      <w:rFonts w:hint="eastAsia" w:eastAsia="宋体"/>
                      <w:color w:val="000000"/>
                      <w:kern w:val="0"/>
                      <w:sz w:val="20"/>
                      <w:lang w:eastAsia="zh-CN"/>
                    </w:rPr>
                    <w:t>（</w:t>
                  </w:r>
                  <w:r>
                    <w:rPr>
                      <w:rFonts w:hint="eastAsia" w:eastAsia="宋体"/>
                      <w:color w:val="000000"/>
                      <w:kern w:val="0"/>
                      <w:sz w:val="20"/>
                      <w:lang w:val="en-US" w:eastAsia="zh-CN"/>
                    </w:rPr>
                    <w:t>四）</w:t>
                  </w:r>
                  <w:r>
                    <w:rPr>
                      <w:rFonts w:hint="eastAsia" w:eastAsia="宋体"/>
                      <w:color w:val="000000"/>
                      <w:kern w:val="0"/>
                      <w:sz w:val="20"/>
                    </w:rPr>
                    <w:t>住房保障支出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autoSpaceDN w:val="0"/>
                    <w:jc w:val="right"/>
                    <w:textAlignment w:val="center"/>
                    <w:rPr>
                      <w:rFonts w:hint="default" w:ascii="Times New Roman" w:hAnsi="Times New Roman" w:eastAsia="宋体" w:cs="Times New Roman"/>
                      <w:color w:val="000000"/>
                      <w:kern w:val="0"/>
                      <w:sz w:val="20"/>
                      <w:lang w:val="en-US" w:eastAsia="zh-CN" w:bidi="ar-SA"/>
                    </w:rPr>
                  </w:pPr>
                  <w:r>
                    <w:rPr>
                      <w:rFonts w:hint="default" w:ascii="Times New Roman" w:hAnsi="Times New Roman" w:eastAsia="宋体" w:cs="Times New Roman"/>
                      <w:color w:val="000000"/>
                      <w:kern w:val="0"/>
                      <w:sz w:val="20"/>
                    </w:rPr>
                    <w:t>31.48</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lang w:val="en-US" w:eastAsia="zh-CN" w:bidi="ar-SA"/>
                    </w:rPr>
                  </w:pPr>
                  <w:r>
                    <w:rPr>
                      <w:rFonts w:hint="default" w:ascii="Times New Roman" w:hAnsi="Times New Roman" w:eastAsia="宋体" w:cs="Times New Roman"/>
                      <w:kern w:val="0"/>
                      <w:sz w:val="20"/>
                    </w:rPr>
                    <w:t>25.81</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lang w:val="en-US" w:eastAsia="zh-CN" w:bidi="ar-SA"/>
                    </w:rPr>
                  </w:pPr>
                  <w:r>
                    <w:rPr>
                      <w:rFonts w:hint="default" w:ascii="Times New Roman" w:hAnsi="Times New Roman" w:eastAsia="宋体" w:cs="Times New Roman"/>
                      <w:kern w:val="0"/>
                      <w:sz w:val="20"/>
                    </w:rPr>
                    <w:t>5.67</w:t>
                  </w:r>
                </w:p>
              </w:tc>
            </w:tr>
            <w:tr>
              <w:tblPrEx>
                <w:tblCellMar>
                  <w:top w:w="0" w:type="dxa"/>
                  <w:left w:w="108" w:type="dxa"/>
                  <w:bottom w:w="0" w:type="dxa"/>
                  <w:right w:w="108" w:type="dxa"/>
                </w:tblCellMar>
              </w:tblPrEx>
              <w:trPr>
                <w:trHeight w:val="491" w:hRule="atLeast"/>
              </w:trPr>
              <w:tc>
                <w:tcPr>
                  <w:tcW w:w="123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sz w:val="20"/>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kern w:val="0"/>
                      <w:sz w:val="20"/>
                    </w:rPr>
                  </w:pPr>
                </w:p>
              </w:tc>
            </w:tr>
            <w:tr>
              <w:tblPrEx>
                <w:tblCellMar>
                  <w:top w:w="0" w:type="dxa"/>
                  <w:left w:w="108" w:type="dxa"/>
                  <w:bottom w:w="0" w:type="dxa"/>
                  <w:right w:w="108" w:type="dxa"/>
                </w:tblCellMar>
              </w:tblPrEx>
              <w:trPr>
                <w:trHeight w:val="491" w:hRule="atLeast"/>
              </w:trPr>
              <w:tc>
                <w:tcPr>
                  <w:tcW w:w="1238"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rPr>
                  </w:pPr>
                  <w:r>
                    <w:rPr>
                      <w:rFonts w:hint="default" w:ascii="Times New Roman" w:hAnsi="Times New Roman" w:eastAsia="宋体" w:cs="Times New Roman"/>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rPr>
                  </w:pPr>
                  <w:r>
                    <w:rPr>
                      <w:rFonts w:hint="default" w:ascii="Times New Roman" w:hAnsi="Times New Roman" w:eastAsia="宋体" w:cs="Times New Roman"/>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kern w:val="0"/>
                      <w:sz w:val="20"/>
                    </w:rPr>
                  </w:pPr>
                </w:p>
              </w:tc>
            </w:tr>
            <w:tr>
              <w:tblPrEx>
                <w:tblCellMar>
                  <w:top w:w="0" w:type="dxa"/>
                  <w:left w:w="108" w:type="dxa"/>
                  <w:bottom w:w="0" w:type="dxa"/>
                  <w:right w:w="108" w:type="dxa"/>
                </w:tblCellMar>
              </w:tblPrEx>
              <w:trPr>
                <w:trHeight w:val="491" w:hRule="atLeast"/>
              </w:trPr>
              <w:tc>
                <w:tcPr>
                  <w:tcW w:w="1238"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rPr>
                  </w:pPr>
                  <w:r>
                    <w:rPr>
                      <w:rFonts w:hint="default" w:ascii="Times New Roman" w:hAnsi="Times New Roman" w:eastAsia="宋体" w:cs="Times New Roman"/>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rPr>
                  </w:pPr>
                  <w:r>
                    <w:rPr>
                      <w:rFonts w:hint="default" w:ascii="Times New Roman" w:hAnsi="Times New Roman" w:eastAsia="宋体" w:cs="Times New Roman"/>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kern w:val="0"/>
                      <w:sz w:val="20"/>
                    </w:rPr>
                  </w:pPr>
                </w:p>
              </w:tc>
            </w:tr>
            <w:tr>
              <w:tblPrEx>
                <w:tblCellMar>
                  <w:top w:w="0" w:type="dxa"/>
                  <w:left w:w="108" w:type="dxa"/>
                  <w:bottom w:w="0" w:type="dxa"/>
                  <w:right w:w="108" w:type="dxa"/>
                </w:tblCellMar>
              </w:tblPrEx>
              <w:trPr>
                <w:trHeight w:val="495" w:hRule="atLeast"/>
              </w:trPr>
              <w:tc>
                <w:tcPr>
                  <w:tcW w:w="1238"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rPr>
                  </w:pPr>
                  <w:r>
                    <w:rPr>
                      <w:rFonts w:hint="default" w:ascii="Times New Roman" w:hAnsi="Times New Roman" w:eastAsia="宋体" w:cs="Times New Roman"/>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eastAsia="宋体"/>
                      <w:color w:val="000000"/>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rPr>
                  </w:pPr>
                  <w:r>
                    <w:rPr>
                      <w:rFonts w:hint="default" w:ascii="Times New Roman" w:hAnsi="Times New Roman" w:eastAsia="宋体" w:cs="Times New Roman"/>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kern w:val="0"/>
                      <w:sz w:val="20"/>
                    </w:rPr>
                  </w:pPr>
                </w:p>
              </w:tc>
            </w:tr>
            <w:tr>
              <w:tblPrEx>
                <w:tblCellMar>
                  <w:top w:w="0" w:type="dxa"/>
                  <w:left w:w="108" w:type="dxa"/>
                  <w:bottom w:w="0" w:type="dxa"/>
                  <w:right w:w="108" w:type="dxa"/>
                </w:tblCellMar>
              </w:tblPrEx>
              <w:trPr>
                <w:trHeight w:val="491" w:hRule="atLeast"/>
              </w:trPr>
              <w:tc>
                <w:tcPr>
                  <w:tcW w:w="123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sz w:val="20"/>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rPr>
                  </w:pPr>
                  <w:r>
                    <w:rPr>
                      <w:rFonts w:hint="default" w:ascii="Times New Roman" w:hAnsi="Times New Roman" w:eastAsia="宋体" w:cs="Times New Roman"/>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kern w:val="0"/>
                      <w:sz w:val="20"/>
                    </w:rPr>
                  </w:pPr>
                </w:p>
              </w:tc>
            </w:tr>
            <w:tr>
              <w:tblPrEx>
                <w:tblCellMar>
                  <w:top w:w="0" w:type="dxa"/>
                  <w:left w:w="108" w:type="dxa"/>
                  <w:bottom w:w="0" w:type="dxa"/>
                  <w:right w:w="108" w:type="dxa"/>
                </w:tblCellMar>
              </w:tblPrEx>
              <w:trPr>
                <w:trHeight w:val="491" w:hRule="atLeast"/>
              </w:trPr>
              <w:tc>
                <w:tcPr>
                  <w:tcW w:w="123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bCs/>
                      <w:kern w:val="0"/>
                      <w:sz w:val="20"/>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rPr>
                  </w:pPr>
                  <w:r>
                    <w:rPr>
                      <w:rFonts w:hint="default" w:ascii="Times New Roman" w:hAnsi="Times New Roman" w:eastAsia="宋体" w:cs="Times New Roman"/>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宋体"/>
                      <w:b/>
                      <w:bCs/>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rPr>
                  </w:pPr>
                  <w:r>
                    <w:rPr>
                      <w:rFonts w:hint="default" w:ascii="Times New Roman" w:hAnsi="Times New Roman" w:eastAsia="宋体" w:cs="Times New Roman"/>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kern w:val="0"/>
                      <w:sz w:val="20"/>
                    </w:rPr>
                  </w:pPr>
                </w:p>
              </w:tc>
            </w:tr>
            <w:tr>
              <w:tblPrEx>
                <w:tblCellMar>
                  <w:top w:w="0" w:type="dxa"/>
                  <w:left w:w="108" w:type="dxa"/>
                  <w:bottom w:w="0" w:type="dxa"/>
                  <w:right w:w="108" w:type="dxa"/>
                </w:tblCellMar>
              </w:tblPrEx>
              <w:trPr>
                <w:trHeight w:val="491" w:hRule="atLeast"/>
              </w:trPr>
              <w:tc>
                <w:tcPr>
                  <w:tcW w:w="1238"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rPr>
                  </w:pPr>
                  <w:r>
                    <w:rPr>
                      <w:rFonts w:hint="default" w:ascii="Times New Roman" w:hAnsi="Times New Roman" w:eastAsia="宋体" w:cs="Times New Roman"/>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rPr>
                  </w:pPr>
                  <w:r>
                    <w:rPr>
                      <w:rFonts w:hint="default" w:ascii="Times New Roman" w:hAnsi="Times New Roman" w:eastAsia="宋体" w:cs="Times New Roman"/>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kern w:val="0"/>
                      <w:sz w:val="20"/>
                    </w:rPr>
                  </w:pPr>
                </w:p>
              </w:tc>
            </w:tr>
            <w:tr>
              <w:tblPrEx>
                <w:tblCellMar>
                  <w:top w:w="0" w:type="dxa"/>
                  <w:left w:w="108" w:type="dxa"/>
                  <w:bottom w:w="0" w:type="dxa"/>
                  <w:right w:w="108" w:type="dxa"/>
                </w:tblCellMar>
              </w:tblPrEx>
              <w:trPr>
                <w:trHeight w:val="491" w:hRule="atLeast"/>
              </w:trPr>
              <w:tc>
                <w:tcPr>
                  <w:tcW w:w="1238"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right"/>
                    <w:rPr>
                      <w:rFonts w:hint="default" w:ascii="Times New Roman" w:hAnsi="Times New Roman" w:eastAsia="宋体" w:cs="Times New Roman"/>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right"/>
                    <w:rPr>
                      <w:rFonts w:hint="default" w:ascii="Times New Roman" w:hAnsi="Times New Roman" w:eastAsia="宋体" w:cs="Times New Roman"/>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right"/>
                    <w:rPr>
                      <w:rFonts w:hint="default" w:ascii="Times New Roman" w:hAnsi="Times New Roman" w:eastAsia="宋体" w:cs="Times New Roman"/>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jc w:val="left"/>
                    <w:rPr>
                      <w:rFonts w:eastAsia="宋体"/>
                      <w:sz w:val="20"/>
                    </w:rPr>
                  </w:pPr>
                  <w:r>
                    <w:rPr>
                      <w:rFonts w:hint="eastAsia" w:eastAsia="宋体"/>
                      <w:kern w:val="0"/>
                      <w:sz w:val="20"/>
                      <w:lang w:eastAsia="zh-CN"/>
                    </w:rPr>
                    <w:t>二、</w:t>
                  </w:r>
                  <w:r>
                    <w:rPr>
                      <w:rFonts w:eastAsia="宋体"/>
                      <w:kern w:val="0"/>
                      <w:sz w:val="20"/>
                    </w:rPr>
                    <w:t>结转下年</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right"/>
                    <w:rPr>
                      <w:rFonts w:hint="default" w:ascii="Times New Roman" w:hAnsi="Times New Roman" w:eastAsia="宋体" w:cs="Times New Roman"/>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jc w:val="right"/>
                    <w:rPr>
                      <w:rFonts w:hint="default" w:ascii="Times New Roman" w:hAnsi="Times New Roman" w:eastAsia="宋体" w:cs="Times New Roman"/>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jc w:val="right"/>
                    <w:rPr>
                      <w:rFonts w:hint="default" w:ascii="Times New Roman" w:hAnsi="Times New Roman" w:eastAsia="宋体" w:cs="Times New Roman"/>
                      <w:sz w:val="20"/>
                    </w:rPr>
                  </w:pPr>
                </w:p>
              </w:tc>
            </w:tr>
            <w:tr>
              <w:tblPrEx>
                <w:tblCellMar>
                  <w:top w:w="0" w:type="dxa"/>
                  <w:left w:w="108" w:type="dxa"/>
                  <w:bottom w:w="0" w:type="dxa"/>
                  <w:right w:w="108" w:type="dxa"/>
                </w:tblCellMar>
              </w:tblPrEx>
              <w:trPr>
                <w:trHeight w:val="500" w:hRule="atLeast"/>
              </w:trPr>
              <w:tc>
                <w:tcPr>
                  <w:tcW w:w="123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bCs/>
                      <w:kern w:val="0"/>
                      <w:sz w:val="20"/>
                    </w:rPr>
                  </w:pPr>
                  <w:r>
                    <w:rPr>
                      <w:rFonts w:eastAsia="黑体"/>
                      <w:b/>
                      <w:bCs/>
                      <w:kern w:val="0"/>
                      <w:sz w:val="20"/>
                    </w:rPr>
                    <w:t>收入总计</w:t>
                  </w:r>
                </w:p>
              </w:tc>
              <w:tc>
                <w:tcPr>
                  <w:tcW w:w="133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lang w:val="en-US" w:eastAsia="zh-CN" w:bidi="ar-SA"/>
                    </w:rPr>
                  </w:pPr>
                  <w:r>
                    <w:rPr>
                      <w:rFonts w:hint="default" w:ascii="Times New Roman" w:hAnsi="Times New Roman" w:eastAsia="宋体" w:cs="Times New Roman"/>
                      <w:kern w:val="0"/>
                      <w:sz w:val="20"/>
                    </w:rPr>
                    <w:t>427.62</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lang w:val="en-US" w:eastAsia="zh-CN" w:bidi="ar-SA"/>
                    </w:rPr>
                  </w:pPr>
                  <w:r>
                    <w:rPr>
                      <w:rFonts w:hint="default" w:ascii="Times New Roman" w:hAnsi="Times New Roman" w:eastAsia="宋体" w:cs="Times New Roman"/>
                      <w:kern w:val="0"/>
                      <w:sz w:val="20"/>
                    </w:rPr>
                    <w:t>377.36</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lang w:val="en-US" w:eastAsia="zh-CN" w:bidi="ar-SA"/>
                    </w:rPr>
                  </w:pPr>
                  <w:r>
                    <w:rPr>
                      <w:rFonts w:hint="default" w:ascii="Times New Roman" w:hAnsi="Times New Roman" w:eastAsia="宋体" w:cs="Times New Roman"/>
                      <w:kern w:val="0"/>
                      <w:sz w:val="20"/>
                    </w:rPr>
                    <w:t>50.26</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bCs/>
                      <w:kern w:val="0"/>
                      <w:sz w:val="20"/>
                    </w:rPr>
                  </w:pPr>
                  <w:r>
                    <w:rPr>
                      <w:rFonts w:eastAsia="黑体"/>
                      <w:b/>
                      <w:bCs/>
                      <w:kern w:val="0"/>
                      <w:sz w:val="20"/>
                    </w:rPr>
                    <w:t>支出总计</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lang w:val="en-US" w:eastAsia="zh-CN" w:bidi="ar-SA"/>
                    </w:rPr>
                  </w:pPr>
                  <w:r>
                    <w:rPr>
                      <w:rFonts w:hint="default" w:ascii="Times New Roman" w:hAnsi="Times New Roman" w:eastAsia="宋体" w:cs="Times New Roman"/>
                      <w:kern w:val="0"/>
                      <w:sz w:val="20"/>
                    </w:rPr>
                    <w:t>427.62</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lang w:val="en-US" w:eastAsia="zh-CN" w:bidi="ar-SA"/>
                    </w:rPr>
                  </w:pPr>
                  <w:r>
                    <w:rPr>
                      <w:rFonts w:hint="default" w:ascii="Times New Roman" w:hAnsi="Times New Roman" w:eastAsia="宋体" w:cs="Times New Roman"/>
                      <w:kern w:val="0"/>
                      <w:sz w:val="20"/>
                    </w:rPr>
                    <w:t>377.36</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lang w:val="en-US" w:eastAsia="zh-CN" w:bidi="ar-SA"/>
                    </w:rPr>
                  </w:pPr>
                  <w:r>
                    <w:rPr>
                      <w:rFonts w:hint="default" w:ascii="Times New Roman" w:hAnsi="Times New Roman" w:eastAsia="宋体" w:cs="Times New Roman"/>
                      <w:kern w:val="0"/>
                      <w:sz w:val="20"/>
                    </w:rPr>
                    <w:t>50.26</w:t>
                  </w:r>
                </w:p>
              </w:tc>
            </w:tr>
          </w:tbl>
          <w:p>
            <w:pPr>
              <w:widowControl/>
              <w:rPr>
                <w:rFonts w:eastAsia="方正小标宋简体"/>
                <w:kern w:val="0"/>
                <w:sz w:val="44"/>
                <w:szCs w:val="44"/>
              </w:rPr>
            </w:pPr>
          </w:p>
        </w:tc>
      </w:tr>
      <w:tr>
        <w:tblPrEx>
          <w:tblCellMar>
            <w:top w:w="0" w:type="dxa"/>
            <w:left w:w="108" w:type="dxa"/>
            <w:bottom w:w="0" w:type="dxa"/>
            <w:right w:w="108" w:type="dxa"/>
          </w:tblCellMar>
        </w:tblPrEx>
        <w:trPr>
          <w:trHeight w:val="6081" w:hRule="atLeast"/>
          <w:jc w:val="center"/>
        </w:trPr>
        <w:tc>
          <w:tcPr>
            <w:tcW w:w="10405" w:type="dxa"/>
            <w:gridSpan w:val="2"/>
            <w:tcBorders>
              <w:top w:val="nil"/>
              <w:left w:val="nil"/>
              <w:bottom w:val="nil"/>
              <w:right w:val="nil"/>
            </w:tcBorders>
            <w:noWrap w:val="0"/>
            <w:vAlign w:val="bottom"/>
          </w:tcPr>
          <w:p>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2552"/>
              <w:gridCol w:w="1134"/>
              <w:gridCol w:w="1134"/>
              <w:gridCol w:w="1134"/>
              <w:gridCol w:w="1134"/>
              <w:gridCol w:w="1701"/>
            </w:tblGrid>
            <w:tr>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0"/>
                  <w:vAlign w:val="center"/>
                </w:tcPr>
                <w:p>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项目                                                               支出</w:t>
                  </w:r>
                </w:p>
              </w:tc>
            </w:tr>
            <w:tr>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both"/>
                    <w:rPr>
                      <w:rFonts w:ascii="Times New Roman" w:hAnsi="Times New Roman" w:eastAsia="华文细黑" w:cs="Times New Roman"/>
                      <w:color w:val="000000"/>
                      <w:kern w:val="0"/>
                      <w:sz w:val="20"/>
                      <w:lang w:val="en-US" w:eastAsia="zh-CN" w:bidi="ar-SA"/>
                    </w:rPr>
                  </w:pPr>
                  <w:r>
                    <w:rPr>
                      <w:rFonts w:eastAsia="宋体"/>
                      <w:color w:val="000000"/>
                      <w:kern w:val="0"/>
                      <w:sz w:val="20"/>
                    </w:rPr>
                    <w:t>一、</w:t>
                  </w:r>
                  <w:r>
                    <w:rPr>
                      <w:rFonts w:hint="eastAsia" w:eastAsia="宋体"/>
                      <w:color w:val="000000"/>
                      <w:kern w:val="0"/>
                      <w:sz w:val="20"/>
                    </w:rPr>
                    <w:t>一般公共服务支出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eastAsia="宋体" w:cs="Times New Roman"/>
                      <w:color w:val="000000"/>
                      <w:kern w:val="0"/>
                      <w:sz w:val="20"/>
                      <w:szCs w:val="20"/>
                    </w:rPr>
                    <w:t>328.68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287.39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210.21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77.18</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41.29</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ascii="Times New Roman" w:hAnsi="Times New Roman" w:eastAsia="华文细黑" w:cs="Times New Roman"/>
                      <w:color w:val="000000"/>
                      <w:kern w:val="0"/>
                      <w:sz w:val="20"/>
                      <w:lang w:val="en-US" w:eastAsia="zh-CN" w:bidi="ar-SA"/>
                    </w:rPr>
                  </w:pPr>
                  <w:r>
                    <w:rPr>
                      <w:rFonts w:eastAsia="宋体"/>
                      <w:color w:val="000000"/>
                      <w:kern w:val="0"/>
                      <w:sz w:val="20"/>
                    </w:rPr>
                    <w:t xml:space="preserve">   </w:t>
                  </w:r>
                  <w:r>
                    <w:rPr>
                      <w:rFonts w:hint="eastAsia" w:eastAsia="宋体"/>
                      <w:color w:val="000000"/>
                      <w:kern w:val="0"/>
                      <w:sz w:val="20"/>
                    </w:rPr>
                    <w:t>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eastAsia="宋体" w:cs="Times New Roman"/>
                      <w:color w:val="000000"/>
                      <w:kern w:val="0"/>
                      <w:sz w:val="20"/>
                      <w:szCs w:val="20"/>
                    </w:rPr>
                    <w:t>328.68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287.39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210.21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77.18</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41.29</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ascii="Times New Roman" w:hAnsi="Times New Roman" w:eastAsia="宋体" w:cs="Times New Roman"/>
                      <w:color w:val="000000"/>
                      <w:kern w:val="0"/>
                      <w:sz w:val="20"/>
                      <w:lang w:val="en-US" w:eastAsia="zh-CN" w:bidi="ar-SA"/>
                    </w:rPr>
                  </w:pPr>
                  <w:r>
                    <w:rPr>
                      <w:rFonts w:eastAsia="宋体"/>
                      <w:color w:val="000000"/>
                      <w:kern w:val="0"/>
                      <w:sz w:val="20"/>
                    </w:rPr>
                    <w:t xml:space="preserve">    </w:t>
                  </w:r>
                  <w:r>
                    <w:rPr>
                      <w:rFonts w:hint="eastAsia" w:eastAsia="宋体"/>
                      <w:color w:val="000000"/>
                      <w:kern w:val="0"/>
                      <w:sz w:val="20"/>
                    </w:rPr>
                    <w:t>行政运行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287.39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287.39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eastAsia="宋体" w:cs="Times New Roman"/>
                      <w:color w:val="000000"/>
                      <w:kern w:val="0"/>
                      <w:sz w:val="20"/>
                      <w:szCs w:val="20"/>
                      <w:lang w:val="en-US" w:eastAsia="zh-CN" w:bidi="ar-SA"/>
                    </w:rPr>
                    <w:t>210.21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77.18</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rPr>
                    <w:t>一般行政管理事务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21.33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21.33</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rPr>
                    <w:t>机关服务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10.34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10.34</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ascii="Times New Roman" w:hAnsi="Times New Roman" w:eastAsia="宋体" w:cs="Times New Roman"/>
                      <w:color w:val="000000"/>
                      <w:kern w:val="0"/>
                      <w:sz w:val="20"/>
                      <w:lang w:val="en-US" w:eastAsia="zh-CN" w:bidi="ar-SA"/>
                    </w:rPr>
                  </w:pPr>
                  <w:r>
                    <w:rPr>
                      <w:rFonts w:eastAsia="宋体"/>
                      <w:color w:val="000000"/>
                      <w:kern w:val="0"/>
                      <w:sz w:val="20"/>
                    </w:rPr>
                    <w:t xml:space="preserve">    </w:t>
                  </w:r>
                  <w:r>
                    <w:rPr>
                      <w:rFonts w:hint="eastAsia" w:eastAsia="宋体"/>
                      <w:color w:val="000000"/>
                      <w:kern w:val="0"/>
                      <w:sz w:val="20"/>
                    </w:rPr>
                    <w:t>专项普查活动</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9.62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9.62</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ascii="Times New Roman" w:hAnsi="Times New Roman" w:eastAsia="宋体" w:cs="Times New Roman"/>
                      <w:color w:val="000000"/>
                      <w:kern w:val="0"/>
                      <w:sz w:val="20"/>
                      <w:lang w:val="en-US" w:eastAsia="zh-CN" w:bidi="ar-SA"/>
                    </w:rPr>
                  </w:pPr>
                  <w:r>
                    <w:rPr>
                      <w:rFonts w:eastAsia="宋体"/>
                      <w:color w:val="000000"/>
                      <w:kern w:val="0"/>
                      <w:sz w:val="20"/>
                    </w:rPr>
                    <w:t>二、</w:t>
                  </w:r>
                  <w:r>
                    <w:rPr>
                      <w:rFonts w:hint="eastAsia" w:eastAsia="宋体"/>
                      <w:color w:val="000000"/>
                      <w:kern w:val="0"/>
                      <w:sz w:val="20"/>
                    </w:rPr>
                    <w:t>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58.54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58.54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58.54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200" w:firstLineChars="100"/>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rPr>
                    <w:t>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58.54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58.54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58.54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rPr>
                    <w:t>行政单位离退休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eastAsia="宋体" w:cs="Times New Roman"/>
                      <w:color w:val="000000"/>
                      <w:kern w:val="0"/>
                      <w:sz w:val="20"/>
                      <w:szCs w:val="20"/>
                    </w:rPr>
                    <w:t>22.08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eastAsia="宋体" w:cs="Times New Roman"/>
                      <w:color w:val="000000"/>
                      <w:kern w:val="0"/>
                      <w:sz w:val="20"/>
                      <w:szCs w:val="20"/>
                    </w:rPr>
                    <w:t>22.08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eastAsia="宋体" w:cs="Times New Roman"/>
                      <w:color w:val="000000"/>
                      <w:kern w:val="0"/>
                      <w:sz w:val="20"/>
                      <w:szCs w:val="20"/>
                    </w:rPr>
                    <w:t>22.08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rPr>
                    <w:t>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eastAsia="宋体" w:cs="Times New Roman"/>
                      <w:color w:val="000000"/>
                      <w:kern w:val="0"/>
                      <w:sz w:val="20"/>
                      <w:szCs w:val="20"/>
                    </w:rPr>
                    <w:t>36.4</w:t>
                  </w:r>
                  <w:r>
                    <w:rPr>
                      <w:rFonts w:hint="default" w:ascii="Times New Roman" w:hAnsi="Times New Roman" w:eastAsia="宋体" w:cs="Times New Roman"/>
                      <w:color w:val="000000"/>
                      <w:kern w:val="0"/>
                      <w:sz w:val="20"/>
                      <w:szCs w:val="20"/>
                      <w:lang w:val="en-US" w:eastAsia="zh-CN"/>
                    </w:rPr>
                    <w:t>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eastAsia="宋体" w:cs="Times New Roman"/>
                      <w:color w:val="000000"/>
                      <w:kern w:val="0"/>
                      <w:sz w:val="20"/>
                      <w:szCs w:val="20"/>
                    </w:rPr>
                    <w:t>36.4</w:t>
                  </w:r>
                  <w:r>
                    <w:rPr>
                      <w:rFonts w:hint="default" w:ascii="Times New Roman" w:hAnsi="Times New Roman" w:eastAsia="宋体" w:cs="Times New Roman"/>
                      <w:color w:val="000000"/>
                      <w:kern w:val="0"/>
                      <w:sz w:val="20"/>
                      <w:szCs w:val="20"/>
                      <w:lang w:val="en-US" w:eastAsia="zh-CN"/>
                    </w:rPr>
                    <w:t>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eastAsia="宋体" w:cs="Times New Roman"/>
                      <w:color w:val="000000"/>
                      <w:kern w:val="0"/>
                      <w:sz w:val="20"/>
                      <w:szCs w:val="20"/>
                    </w:rPr>
                    <w:t>36.4</w:t>
                  </w:r>
                  <w:r>
                    <w:rPr>
                      <w:rFonts w:hint="default" w:ascii="Times New Roman" w:hAnsi="Times New Roman" w:eastAsia="宋体" w:cs="Times New Roman"/>
                      <w:color w:val="000000"/>
                      <w:kern w:val="0"/>
                      <w:sz w:val="20"/>
                      <w:szCs w:val="20"/>
                      <w:lang w:val="en-US" w:eastAsia="zh-CN"/>
                    </w:rPr>
                    <w:t>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三、</w:t>
                  </w:r>
                  <w:r>
                    <w:rPr>
                      <w:rFonts w:hint="eastAsia" w:eastAsia="宋体"/>
                      <w:color w:val="000000"/>
                      <w:kern w:val="0"/>
                      <w:sz w:val="20"/>
                    </w:rPr>
                    <w:t>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8.92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8.92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8.92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200" w:firstLineChars="100"/>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rPr>
                    <w:t>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8.92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8.92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8.92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rPr>
                    <w:t>行政单位医疗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8.92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8.92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8.92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四、</w:t>
                  </w:r>
                  <w:r>
                    <w:rPr>
                      <w:rFonts w:hint="eastAsia" w:eastAsia="宋体"/>
                      <w:color w:val="000000"/>
                      <w:kern w:val="0"/>
                      <w:sz w:val="20"/>
                    </w:rPr>
                    <w:t>住房保障支出　　</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31.48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31.48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31.48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200" w:firstLineChars="100"/>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rPr>
                    <w:t>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31.48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31.48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31.48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rPr>
                    <w:t>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31.48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31.48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31.48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427.61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386.32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309.14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77.18</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41.29</w:t>
                  </w:r>
                </w:p>
              </w:tc>
            </w:tr>
          </w:tbl>
          <w:p>
            <w:pPr>
              <w:widowControl/>
              <w:jc w:val="center"/>
              <w:rPr>
                <w:rFonts w:eastAsia="方正小标宋简体"/>
                <w:kern w:val="0"/>
                <w:sz w:val="44"/>
                <w:szCs w:val="44"/>
              </w:rPr>
            </w:pPr>
          </w:p>
        </w:tc>
      </w:tr>
    </w:tbl>
    <w:p>
      <w:pPr>
        <w:ind w:firstLine="640" w:firstLineChars="200"/>
      </w:pPr>
    </w:p>
    <w:p>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3176"/>
        <w:gridCol w:w="2220"/>
        <w:gridCol w:w="1704"/>
        <w:gridCol w:w="1831"/>
      </w:tblGrid>
      <w:tr>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noWrap w:val="0"/>
            <w:vAlign w:val="bottom"/>
          </w:tcPr>
          <w:p>
            <w:pPr>
              <w:widowControl/>
              <w:jc w:val="center"/>
              <w:rPr>
                <w:rFonts w:eastAsia="方正小标宋简体"/>
                <w:kern w:val="0"/>
                <w:sz w:val="44"/>
                <w:szCs w:val="44"/>
              </w:rPr>
            </w:pPr>
          </w:p>
          <w:p>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tblPrEx>
          <w:tblCellMar>
            <w:top w:w="0" w:type="dxa"/>
            <w:left w:w="108" w:type="dxa"/>
            <w:bottom w:w="0" w:type="dxa"/>
            <w:right w:w="108" w:type="dxa"/>
          </w:tblCellMar>
        </w:tblPrEx>
        <w:trPr>
          <w:trHeight w:val="390" w:hRule="atLeast"/>
          <w:jc w:val="center"/>
        </w:trPr>
        <w:tc>
          <w:tcPr>
            <w:tcW w:w="3176" w:type="dxa"/>
            <w:tcBorders>
              <w:top w:val="nil"/>
              <w:left w:val="nil"/>
              <w:bottom w:val="single" w:color="auto" w:sz="4" w:space="0"/>
              <w:right w:val="nil"/>
            </w:tcBorders>
            <w:noWrap w:val="0"/>
            <w:vAlign w:val="center"/>
          </w:tcPr>
          <w:p>
            <w:pPr>
              <w:widowControl/>
              <w:jc w:val="left"/>
              <w:rPr>
                <w:rFonts w:eastAsia="宋体"/>
                <w:kern w:val="0"/>
                <w:sz w:val="20"/>
              </w:rPr>
            </w:pPr>
            <w:r>
              <w:rPr>
                <w:rFonts w:eastAsia="宋体"/>
                <w:kern w:val="0"/>
                <w:sz w:val="20"/>
              </w:rPr>
              <w:t>　</w:t>
            </w:r>
          </w:p>
        </w:tc>
        <w:tc>
          <w:tcPr>
            <w:tcW w:w="2220" w:type="dxa"/>
            <w:tcBorders>
              <w:top w:val="nil"/>
              <w:left w:val="nil"/>
              <w:bottom w:val="single" w:color="auto" w:sz="4" w:space="0"/>
              <w:right w:val="nil"/>
            </w:tcBorders>
            <w:noWrap w:val="0"/>
            <w:vAlign w:val="center"/>
          </w:tcPr>
          <w:p>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noWrap w:val="0"/>
            <w:vAlign w:val="bottom"/>
          </w:tcPr>
          <w:p>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tblPrEx>
          <w:tblCellMar>
            <w:top w:w="0" w:type="dxa"/>
            <w:left w:w="108" w:type="dxa"/>
            <w:bottom w:w="0" w:type="dxa"/>
            <w:right w:w="108" w:type="dxa"/>
          </w:tblCellMar>
        </w:tblPrEx>
        <w:trPr>
          <w:trHeight w:val="812" w:hRule="atLeast"/>
          <w:jc w:val="center"/>
        </w:trPr>
        <w:tc>
          <w:tcPr>
            <w:tcW w:w="3176" w:type="dxa"/>
            <w:tcBorders>
              <w:top w:val="single" w:color="auto" w:sz="4" w:space="0"/>
              <w:left w:val="single" w:color="auto" w:sz="4" w:space="0"/>
              <w:right w:val="single" w:color="auto" w:sz="4" w:space="0"/>
            </w:tcBorders>
            <w:noWrap w:val="0"/>
            <w:vAlign w:val="center"/>
          </w:tcPr>
          <w:p>
            <w:pPr>
              <w:widowControl/>
              <w:jc w:val="center"/>
              <w:rPr>
                <w:rFonts w:hAnsi="华文细黑" w:eastAsia="华文细黑"/>
                <w:kern w:val="0"/>
                <w:sz w:val="20"/>
              </w:rPr>
            </w:pPr>
            <w:r>
              <w:rPr>
                <w:rFonts w:hint="eastAsia" w:hAnsi="华文细黑" w:eastAsia="华文细黑"/>
                <w:kern w:val="0"/>
                <w:sz w:val="20"/>
                <w:lang w:eastAsia="zh-CN"/>
              </w:rPr>
              <w:t>单位预算支出</w:t>
            </w:r>
            <w:r>
              <w:rPr>
                <w:rFonts w:hAnsi="华文细黑" w:eastAsia="华文细黑"/>
                <w:kern w:val="0"/>
                <w:sz w:val="20"/>
              </w:rPr>
              <w:t>经济分类科目</w:t>
            </w:r>
          </w:p>
        </w:tc>
        <w:tc>
          <w:tcPr>
            <w:tcW w:w="2220" w:type="dxa"/>
            <w:tcBorders>
              <w:top w:val="single" w:color="auto" w:sz="4" w:space="0"/>
              <w:left w:val="single" w:color="auto" w:sz="4" w:space="0"/>
              <w:right w:val="single" w:color="auto" w:sz="4" w:space="0"/>
            </w:tcBorders>
            <w:noWrap w:val="0"/>
            <w:vAlign w:val="center"/>
          </w:tcPr>
          <w:p>
            <w:pPr>
              <w:widowControl/>
              <w:jc w:val="center"/>
              <w:rPr>
                <w:rFonts w:eastAsia="华文细黑"/>
                <w:kern w:val="0"/>
                <w:sz w:val="20"/>
              </w:rPr>
            </w:pPr>
            <w:r>
              <w:rPr>
                <w:rFonts w:eastAsia="华文细黑"/>
                <w:color w:val="000000"/>
                <w:kern w:val="0"/>
                <w:sz w:val="20"/>
              </w:rPr>
              <w:t>合计</w:t>
            </w:r>
          </w:p>
        </w:tc>
        <w:tc>
          <w:tcPr>
            <w:tcW w:w="1704" w:type="dxa"/>
            <w:tcBorders>
              <w:top w:val="single" w:color="auto" w:sz="4" w:space="0"/>
              <w:left w:val="single" w:color="auto" w:sz="4" w:space="0"/>
              <w:right w:val="single" w:color="auto" w:sz="4" w:space="0"/>
            </w:tcBorders>
            <w:noWrap w:val="0"/>
            <w:vAlign w:val="center"/>
          </w:tcPr>
          <w:p>
            <w:pPr>
              <w:widowControl/>
              <w:jc w:val="cente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eastAsia="华文细黑"/>
                <w:color w:val="000000"/>
                <w:kern w:val="0"/>
                <w:sz w:val="20"/>
              </w:rPr>
              <w:t>公用经费</w:t>
            </w:r>
          </w:p>
        </w:tc>
      </w:tr>
      <w:tr>
        <w:tblPrEx>
          <w:tblCellMar>
            <w:top w:w="0" w:type="dxa"/>
            <w:left w:w="108" w:type="dxa"/>
            <w:bottom w:w="0" w:type="dxa"/>
            <w:right w:w="108" w:type="dxa"/>
          </w:tblCellMar>
        </w:tblPrEx>
        <w:trPr>
          <w:trHeight w:val="614"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eastAsia="宋体"/>
                <w:color w:val="000000"/>
                <w:kern w:val="0"/>
                <w:sz w:val="20"/>
              </w:rPr>
            </w:pPr>
            <w:r>
              <w:rPr>
                <w:rFonts w:eastAsia="宋体"/>
                <w:color w:val="000000"/>
                <w:sz w:val="20"/>
              </w:rPr>
              <w:t>一、工资福利支出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285.93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285.93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kern w:val="0"/>
                <w:sz w:val="20"/>
              </w:rPr>
            </w:pPr>
            <w:r>
              <w:rPr>
                <w:rFonts w:eastAsia="宋体"/>
                <w:color w:val="000000"/>
                <w:sz w:val="20"/>
              </w:rPr>
              <w:t>基本工资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98.68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98.68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kern w:val="0"/>
                <w:sz w:val="20"/>
              </w:rPr>
            </w:pPr>
            <w:r>
              <w:rPr>
                <w:rFonts w:eastAsia="宋体"/>
                <w:color w:val="000000"/>
                <w:sz w:val="20"/>
              </w:rPr>
              <w:t>津贴补贴</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49.4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49.4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kern w:val="0"/>
                <w:sz w:val="20"/>
              </w:rPr>
            </w:pPr>
            <w:r>
              <w:rPr>
                <w:rFonts w:eastAsia="宋体"/>
                <w:color w:val="000000"/>
                <w:sz w:val="20"/>
              </w:rPr>
              <w:t>奖金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53.12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kern w:val="0"/>
                <w:sz w:val="20"/>
                <w:szCs w:val="20"/>
                <w:lang w:val="en-US" w:eastAsia="zh-CN" w:bidi="ar-SA"/>
              </w:rPr>
            </w:pPr>
            <w:r>
              <w:rPr>
                <w:rFonts w:hint="default" w:ascii="Times New Roman" w:hAnsi="Times New Roman" w:eastAsia="宋体" w:cs="Times New Roman"/>
                <w:kern w:val="0"/>
                <w:sz w:val="20"/>
                <w:szCs w:val="20"/>
              </w:rPr>
              <w:t>53.12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kern w:val="0"/>
                <w:sz w:val="20"/>
              </w:rPr>
            </w:pPr>
            <w:r>
              <w:rPr>
                <w:rFonts w:hint="eastAsia" w:eastAsia="宋体"/>
                <w:kern w:val="0"/>
                <w:sz w:val="20"/>
              </w:rPr>
              <w:t>机关事业单位基本养老保险缴费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36.45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36.45</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kern w:val="0"/>
                <w:sz w:val="20"/>
              </w:rPr>
            </w:pPr>
            <w:r>
              <w:rPr>
                <w:rFonts w:hint="eastAsia" w:eastAsia="宋体"/>
                <w:color w:val="000000"/>
                <w:sz w:val="20"/>
              </w:rPr>
              <w:t>职工基本医疗保险缴费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8.58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8.58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ascii="Times New Roman" w:hAnsi="Times New Roman" w:eastAsia="宋体" w:cs="Times New Roman"/>
                <w:kern w:val="0"/>
                <w:sz w:val="20"/>
                <w:lang w:val="en-US" w:eastAsia="zh-CN" w:bidi="ar-SA"/>
              </w:rPr>
            </w:pPr>
            <w:r>
              <w:rPr>
                <w:rFonts w:hint="eastAsia" w:eastAsia="宋体"/>
                <w:color w:val="000000"/>
                <w:sz w:val="20"/>
                <w:lang w:val="en-US" w:eastAsia="zh-CN"/>
              </w:rPr>
              <w:t>其他</w:t>
            </w:r>
            <w:r>
              <w:rPr>
                <w:rFonts w:eastAsia="宋体"/>
                <w:color w:val="000000"/>
                <w:sz w:val="20"/>
              </w:rPr>
              <w:t>社会保障缴费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2.43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2.43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ascii="Times New Roman" w:hAnsi="Times New Roman" w:eastAsia="宋体" w:cs="Times New Roman"/>
                <w:kern w:val="0"/>
                <w:sz w:val="20"/>
                <w:lang w:val="en-US" w:eastAsia="zh-CN" w:bidi="ar-SA"/>
              </w:rPr>
            </w:pPr>
            <w:r>
              <w:rPr>
                <w:rFonts w:hint="eastAsia" w:eastAsia="宋体"/>
                <w:color w:val="000000"/>
                <w:sz w:val="20"/>
              </w:rPr>
              <w:t>住房公积金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31.48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31.48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ascii="Times New Roman" w:hAnsi="Times New Roman" w:eastAsia="宋体" w:cs="Times New Roman"/>
                <w:kern w:val="0"/>
                <w:sz w:val="20"/>
                <w:lang w:val="en-US" w:eastAsia="zh-CN" w:bidi="ar-SA"/>
              </w:rPr>
            </w:pPr>
            <w:r>
              <w:rPr>
                <w:rFonts w:hint="eastAsia" w:eastAsia="宋体"/>
                <w:color w:val="000000"/>
                <w:sz w:val="20"/>
              </w:rPr>
              <w:t>医疗费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2.72</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2.72</w:t>
            </w:r>
          </w:p>
        </w:tc>
        <w:tc>
          <w:tcPr>
            <w:tcW w:w="1831"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ascii="Times New Roman" w:hAnsi="Times New Roman" w:eastAsia="宋体" w:cs="Times New Roman"/>
                <w:kern w:val="0"/>
                <w:sz w:val="20"/>
                <w:lang w:val="en-US" w:eastAsia="zh-CN" w:bidi="ar-SA"/>
              </w:rPr>
            </w:pPr>
            <w:r>
              <w:rPr>
                <w:rFonts w:eastAsia="宋体"/>
                <w:color w:val="000000"/>
                <w:sz w:val="20"/>
              </w:rPr>
              <w:t>其他工资福利支出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3.07</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3.07</w:t>
            </w:r>
          </w:p>
        </w:tc>
        <w:tc>
          <w:tcPr>
            <w:tcW w:w="1831"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ascii="Times New Roman" w:hAnsi="Times New Roman" w:eastAsia="宋体" w:cs="Times New Roman"/>
                <w:kern w:val="0"/>
                <w:sz w:val="20"/>
                <w:lang w:val="en-US" w:eastAsia="zh-CN" w:bidi="ar-SA"/>
              </w:rPr>
            </w:pPr>
            <w:r>
              <w:rPr>
                <w:rFonts w:eastAsia="宋体"/>
                <w:color w:val="000000"/>
                <w:sz w:val="20"/>
              </w:rPr>
              <w:t>二、商品和服务支出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75.82</w:t>
            </w:r>
          </w:p>
        </w:tc>
        <w:tc>
          <w:tcPr>
            <w:tcW w:w="17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75.82</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ascii="Times New Roman" w:hAnsi="Times New Roman" w:eastAsia="宋体" w:cs="Times New Roman"/>
                <w:kern w:val="0"/>
                <w:sz w:val="20"/>
                <w:lang w:val="en-US" w:eastAsia="zh-CN" w:bidi="ar-SA"/>
              </w:rPr>
            </w:pPr>
            <w:r>
              <w:rPr>
                <w:rFonts w:eastAsia="宋体"/>
                <w:color w:val="000000"/>
                <w:sz w:val="20"/>
              </w:rPr>
              <w:t>办公费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2.87</w:t>
            </w:r>
          </w:p>
        </w:tc>
        <w:tc>
          <w:tcPr>
            <w:tcW w:w="17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2.87</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eastAsia="宋体"/>
                <w:color w:val="000000"/>
                <w:kern w:val="0"/>
                <w:sz w:val="20"/>
              </w:rPr>
            </w:pPr>
            <w:r>
              <w:rPr>
                <w:rFonts w:hint="eastAsia" w:eastAsia="宋体"/>
                <w:color w:val="000000"/>
                <w:kern w:val="0"/>
                <w:sz w:val="20"/>
              </w:rPr>
              <w:t>电费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0.08</w:t>
            </w:r>
          </w:p>
        </w:tc>
        <w:tc>
          <w:tcPr>
            <w:tcW w:w="17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0.08</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eastAsia="宋体"/>
                <w:color w:val="000000"/>
                <w:kern w:val="0"/>
                <w:sz w:val="20"/>
              </w:rPr>
            </w:pPr>
            <w:r>
              <w:rPr>
                <w:rFonts w:hint="eastAsia" w:eastAsia="宋体"/>
                <w:color w:val="000000"/>
                <w:kern w:val="0"/>
                <w:sz w:val="20"/>
              </w:rPr>
              <w:t>取暖费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0.15</w:t>
            </w:r>
          </w:p>
        </w:tc>
        <w:tc>
          <w:tcPr>
            <w:tcW w:w="17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0.15</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firstLine="200" w:firstLineChars="100"/>
              <w:jc w:val="left"/>
              <w:textAlignment w:val="center"/>
              <w:rPr>
                <w:rFonts w:hint="eastAsia" w:eastAsia="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差旅费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4.83</w:t>
            </w:r>
          </w:p>
        </w:tc>
        <w:tc>
          <w:tcPr>
            <w:tcW w:w="17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4.83</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eastAsia="宋体"/>
                <w:color w:val="000000"/>
                <w:kern w:val="0"/>
                <w:sz w:val="20"/>
              </w:rPr>
            </w:pPr>
            <w:r>
              <w:rPr>
                <w:rFonts w:hint="eastAsia" w:eastAsia="宋体"/>
                <w:color w:val="000000"/>
                <w:kern w:val="0"/>
                <w:sz w:val="20"/>
              </w:rPr>
              <w:t>物业管理费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31.50</w:t>
            </w:r>
          </w:p>
        </w:tc>
        <w:tc>
          <w:tcPr>
            <w:tcW w:w="17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31.50</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iCs w:val="0"/>
                <w:color w:val="000000"/>
                <w:kern w:val="2"/>
                <w:sz w:val="20"/>
                <w:szCs w:val="20"/>
                <w:u w:val="none"/>
                <w:lang w:val="en-US" w:eastAsia="zh-CN" w:bidi="ar-SA"/>
              </w:rPr>
            </w:pPr>
            <w:r>
              <w:rPr>
                <w:rFonts w:hint="eastAsia" w:hAnsi="华文细黑" w:eastAsia="华文细黑"/>
                <w:kern w:val="0"/>
                <w:sz w:val="20"/>
                <w:lang w:eastAsia="zh-CN"/>
              </w:rPr>
              <w:t>单位预算支出</w:t>
            </w:r>
            <w:r>
              <w:rPr>
                <w:rFonts w:hAnsi="华文细黑" w:eastAsia="华文细黑"/>
                <w:kern w:val="0"/>
                <w:sz w:val="20"/>
              </w:rPr>
              <w:t>经济分类科目</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i w:val="0"/>
                <w:iCs w:val="0"/>
                <w:color w:val="000000"/>
                <w:kern w:val="2"/>
                <w:sz w:val="20"/>
                <w:szCs w:val="20"/>
                <w:u w:val="none"/>
                <w:lang w:val="en-US" w:eastAsia="zh-CN" w:bidi="ar-SA"/>
              </w:rPr>
            </w:pPr>
            <w:r>
              <w:rPr>
                <w:rFonts w:eastAsia="华文细黑"/>
                <w:color w:val="000000"/>
                <w:kern w:val="0"/>
                <w:sz w:val="20"/>
              </w:rPr>
              <w:t>合计</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sz w:val="20"/>
                <w:szCs w:val="20"/>
              </w:rP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i w:val="0"/>
                <w:iCs w:val="0"/>
                <w:color w:val="000000"/>
                <w:kern w:val="2"/>
                <w:sz w:val="20"/>
                <w:szCs w:val="20"/>
                <w:u w:val="none"/>
                <w:lang w:val="en-US" w:eastAsia="zh-CN" w:bidi="ar-SA"/>
              </w:rPr>
            </w:pPr>
            <w:r>
              <w:rPr>
                <w:rFonts w:eastAsia="华文细黑"/>
                <w:color w:val="000000"/>
                <w:kern w:val="0"/>
                <w:sz w:val="20"/>
              </w:rPr>
              <w:t>公用经费</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firstLine="200" w:firstLineChars="10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维修（护）费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17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1.00</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会议费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0.20</w:t>
            </w:r>
          </w:p>
        </w:tc>
        <w:tc>
          <w:tcPr>
            <w:tcW w:w="17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0.20</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培训费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0.12</w:t>
            </w:r>
          </w:p>
        </w:tc>
        <w:tc>
          <w:tcPr>
            <w:tcW w:w="17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0.12</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工会经费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2.62</w:t>
            </w:r>
          </w:p>
        </w:tc>
        <w:tc>
          <w:tcPr>
            <w:tcW w:w="17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2.62</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福利费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8.78</w:t>
            </w:r>
          </w:p>
        </w:tc>
        <w:tc>
          <w:tcPr>
            <w:tcW w:w="17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8.78</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公务用车运行维护费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3.33</w:t>
            </w:r>
          </w:p>
        </w:tc>
        <w:tc>
          <w:tcPr>
            <w:tcW w:w="17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3.33</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其他交通费用</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19.29</w:t>
            </w:r>
          </w:p>
        </w:tc>
        <w:tc>
          <w:tcPr>
            <w:tcW w:w="17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19.29</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其他商品和服务支出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1.05</w:t>
            </w:r>
          </w:p>
        </w:tc>
        <w:tc>
          <w:tcPr>
            <w:tcW w:w="17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1.05</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23.21</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23.21</w:t>
            </w:r>
          </w:p>
        </w:tc>
        <w:tc>
          <w:tcPr>
            <w:tcW w:w="1831"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firstLine="200" w:firstLineChars="10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退休费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22.08</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22.08</w:t>
            </w:r>
          </w:p>
        </w:tc>
        <w:tc>
          <w:tcPr>
            <w:tcW w:w="1831"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其他对个人和家庭的补助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1.13</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1.13</w:t>
            </w:r>
          </w:p>
        </w:tc>
        <w:tc>
          <w:tcPr>
            <w:tcW w:w="1831"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四、资本性支出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1.37</w:t>
            </w:r>
          </w:p>
        </w:tc>
        <w:tc>
          <w:tcPr>
            <w:tcW w:w="17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1.37</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firstLine="200" w:firstLineChars="10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办公设备购置</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1.37</w:t>
            </w:r>
          </w:p>
        </w:tc>
        <w:tc>
          <w:tcPr>
            <w:tcW w:w="17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1.37</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firstLine="200" w:firstLineChars="10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合计</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386.33</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309.14</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77.19</w:t>
            </w:r>
          </w:p>
        </w:tc>
      </w:tr>
    </w:tbl>
    <w:p>
      <w:pPr>
        <w:rPr>
          <w:rFonts w:hint="eastAsia" w:ascii="宋体" w:hAnsi="宋体" w:eastAsia="宋体" w:cs="宋体"/>
          <w:sz w:val="20"/>
          <w:szCs w:val="20"/>
        </w:rPr>
      </w:pPr>
    </w:p>
    <w:p>
      <w:pPr>
        <w:rPr>
          <w:sz w:val="16"/>
          <w:szCs w:val="16"/>
        </w:rPr>
      </w:pPr>
    </w:p>
    <w:p>
      <w:pPr>
        <w:rPr>
          <w:sz w:val="16"/>
          <w:szCs w:val="16"/>
        </w:rPr>
      </w:pPr>
    </w:p>
    <w:p>
      <w:pPr>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5769"/>
        <w:gridCol w:w="3371"/>
      </w:tblGrid>
      <w:tr>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pPr>
              <w:widowControl/>
              <w:jc w:val="right"/>
              <w:rPr>
                <w:rFonts w:eastAsia="华文细黑"/>
                <w:color w:val="000000"/>
                <w:kern w:val="0"/>
                <w:sz w:val="20"/>
              </w:rPr>
            </w:pPr>
            <w:r>
              <w:rPr>
                <w:rFonts w:hAnsi="华文细黑" w:eastAsia="华文细黑"/>
                <w:color w:val="000000"/>
                <w:kern w:val="0"/>
                <w:sz w:val="20"/>
              </w:rPr>
              <w:t>单位：万元</w:t>
            </w:r>
          </w:p>
        </w:tc>
      </w:tr>
      <w:tr>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noWrap w:val="0"/>
            <w:vAlign w:val="center"/>
          </w:tcPr>
          <w:p>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4</w:t>
            </w:r>
            <w:r>
              <w:rPr>
                <w:rFonts w:hAnsi="华文细黑" w:eastAsia="华文细黑"/>
                <w:color w:val="000000"/>
                <w:kern w:val="0"/>
                <w:sz w:val="20"/>
              </w:rPr>
              <w:t>年预算数</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pPr>
              <w:widowControl/>
              <w:jc w:val="right"/>
              <w:rPr>
                <w:rFonts w:eastAsia="宋体"/>
                <w:color w:val="000000"/>
                <w:kern w:val="0"/>
                <w:sz w:val="20"/>
              </w:rPr>
            </w:pPr>
            <w:r>
              <w:rPr>
                <w:rFonts w:hint="eastAsia" w:eastAsia="宋体"/>
                <w:color w:val="000000"/>
                <w:kern w:val="0"/>
                <w:sz w:val="20"/>
              </w:rPr>
              <w:t>3.33</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pPr>
              <w:widowControl/>
              <w:jc w:val="right"/>
              <w:rPr>
                <w:rFonts w:eastAsia="宋体"/>
                <w:color w:val="000000"/>
                <w:kern w:val="0"/>
                <w:sz w:val="20"/>
              </w:rPr>
            </w:pPr>
            <w:r>
              <w:rPr>
                <w:rFonts w:hint="eastAsia" w:eastAsia="宋体"/>
                <w:color w:val="000000"/>
                <w:kern w:val="0"/>
                <w:sz w:val="20"/>
              </w:rPr>
              <w:t>3.33</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pPr>
              <w:widowControl/>
              <w:jc w:val="right"/>
              <w:rPr>
                <w:rFonts w:eastAsia="宋体"/>
                <w:color w:val="000000"/>
                <w:kern w:val="0"/>
                <w:sz w:val="20"/>
              </w:rPr>
            </w:pPr>
            <w:r>
              <w:rPr>
                <w:rFonts w:hint="eastAsia" w:eastAsia="宋体"/>
                <w:color w:val="000000"/>
                <w:kern w:val="0"/>
                <w:sz w:val="20"/>
              </w:rPr>
              <w:t>3.33</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noWrap w:val="0"/>
            <w:vAlign w:val="center"/>
          </w:tcPr>
          <w:p>
            <w:pPr>
              <w:widowControl/>
              <w:jc w:val="both"/>
              <w:rPr>
                <w:rFonts w:hint="eastAsia" w:eastAsia="仿宋_GB2312"/>
                <w:color w:val="000000"/>
                <w:kern w:val="0"/>
                <w:sz w:val="28"/>
                <w:szCs w:val="28"/>
                <w:lang w:val="en-US" w:eastAsia="zh-CN"/>
              </w:rPr>
            </w:pPr>
          </w:p>
        </w:tc>
      </w:tr>
    </w:tbl>
    <w:p>
      <w:pPr>
        <w:ind w:firstLine="560" w:firstLineChars="200"/>
        <w:rPr>
          <w:rFonts w:hAnsi="楷体" w:eastAsia="楷体"/>
        </w:rPr>
      </w:pPr>
      <w:r>
        <w:rPr>
          <w:color w:val="000000"/>
          <w:kern w:val="0"/>
          <w:sz w:val="28"/>
          <w:szCs w:val="28"/>
        </w:rPr>
        <w:t>说明：</w:t>
      </w:r>
      <w:r>
        <w:rPr>
          <w:color w:val="000000"/>
          <w:kern w:val="0"/>
          <w:sz w:val="28"/>
          <w:szCs w:val="28"/>
        </w:rPr>
        <w:br w:type="textWrapping"/>
      </w:r>
      <w:r>
        <w:rPr>
          <w:rFonts w:eastAsia="宋体"/>
          <w:color w:val="000000"/>
          <w:kern w:val="0"/>
          <w:sz w:val="28"/>
          <w:szCs w:val="28"/>
        </w:rPr>
        <w:t xml:space="preserve">       1</w:t>
      </w:r>
      <w:r>
        <w:rPr>
          <w:color w:val="000000"/>
          <w:kern w:val="0"/>
          <w:sz w:val="28"/>
          <w:szCs w:val="28"/>
        </w:rPr>
        <w:t>、</w:t>
      </w:r>
      <w:r>
        <w:rPr>
          <w:rFonts w:eastAsia="宋体"/>
          <w:color w:val="000000"/>
          <w:kern w:val="0"/>
          <w:sz w:val="28"/>
          <w:szCs w:val="28"/>
        </w:rPr>
        <w:t>“20</w:t>
      </w:r>
      <w:r>
        <w:rPr>
          <w:rFonts w:hint="eastAsia" w:eastAsia="宋体"/>
          <w:color w:val="000000"/>
          <w:kern w:val="0"/>
          <w:sz w:val="28"/>
          <w:szCs w:val="28"/>
        </w:rPr>
        <w:t>2</w:t>
      </w:r>
      <w:r>
        <w:rPr>
          <w:rFonts w:hint="eastAsia" w:eastAsia="宋体"/>
          <w:color w:val="000000"/>
          <w:kern w:val="0"/>
          <w:sz w:val="28"/>
          <w:szCs w:val="28"/>
          <w:lang w:val="en-US" w:eastAsia="zh-CN"/>
        </w:rPr>
        <w:t>4</w:t>
      </w:r>
      <w:r>
        <w:rPr>
          <w:color w:val="000000"/>
          <w:kern w:val="0"/>
          <w:sz w:val="28"/>
          <w:szCs w:val="28"/>
        </w:rPr>
        <w:t>年预算数</w:t>
      </w:r>
      <w:r>
        <w:rPr>
          <w:rFonts w:eastAsia="宋体"/>
          <w:color w:val="000000"/>
          <w:kern w:val="0"/>
          <w:sz w:val="28"/>
          <w:szCs w:val="28"/>
        </w:rPr>
        <w:t>”</w:t>
      </w:r>
      <w:r>
        <w:rPr>
          <w:color w:val="000000"/>
          <w:kern w:val="0"/>
          <w:sz w:val="28"/>
          <w:szCs w:val="28"/>
        </w:rPr>
        <w:t>的单位范围包括</w:t>
      </w:r>
      <w:r>
        <w:rPr>
          <w:rFonts w:hint="eastAsia"/>
          <w:color w:val="000000"/>
          <w:kern w:val="0"/>
          <w:sz w:val="28"/>
          <w:szCs w:val="28"/>
        </w:rPr>
        <w:t>单位</w:t>
      </w:r>
      <w:r>
        <w:rPr>
          <w:color w:val="000000"/>
          <w:kern w:val="0"/>
          <w:sz w:val="28"/>
          <w:szCs w:val="28"/>
        </w:rPr>
        <w:t>本级</w:t>
      </w:r>
      <w:r>
        <w:rPr>
          <w:rFonts w:hint="eastAsia" w:eastAsia="宋体"/>
          <w:color w:val="000000"/>
          <w:kern w:val="0"/>
          <w:sz w:val="28"/>
          <w:szCs w:val="28"/>
        </w:rPr>
        <w:t>1</w:t>
      </w:r>
      <w:r>
        <w:rPr>
          <w:rFonts w:eastAsia="宋体"/>
          <w:color w:val="000000"/>
          <w:kern w:val="0"/>
          <w:sz w:val="28"/>
          <w:szCs w:val="28"/>
        </w:rPr>
        <w:t xml:space="preserve"> </w:t>
      </w:r>
      <w:r>
        <w:rPr>
          <w:color w:val="000000"/>
          <w:kern w:val="0"/>
          <w:sz w:val="28"/>
          <w:szCs w:val="28"/>
        </w:rPr>
        <w:t>个预算单位。</w:t>
      </w:r>
      <w:r>
        <w:rPr>
          <w:rFonts w:eastAsia="宋体"/>
          <w:color w:val="000000"/>
          <w:kern w:val="0"/>
          <w:sz w:val="28"/>
          <w:szCs w:val="28"/>
        </w:rPr>
        <w:t xml:space="preserve">   </w:t>
      </w:r>
      <w:r>
        <w:rPr>
          <w:rFonts w:eastAsia="宋体"/>
          <w:color w:val="000000"/>
          <w:kern w:val="0"/>
          <w:sz w:val="28"/>
          <w:szCs w:val="28"/>
        </w:rPr>
        <w:br w:type="textWrapping"/>
      </w:r>
      <w:r>
        <w:rPr>
          <w:rFonts w:eastAsia="宋体"/>
          <w:color w:val="000000"/>
          <w:kern w:val="0"/>
          <w:sz w:val="28"/>
          <w:szCs w:val="28"/>
        </w:rPr>
        <w:t xml:space="preserve">       2</w:t>
      </w:r>
      <w:r>
        <w:rPr>
          <w:color w:val="000000"/>
          <w:kern w:val="0"/>
          <w:sz w:val="28"/>
          <w:szCs w:val="28"/>
        </w:rPr>
        <w:t>、</w:t>
      </w:r>
      <w:r>
        <w:rPr>
          <w:rFonts w:eastAsia="宋体"/>
          <w:color w:val="000000"/>
          <w:kern w:val="0"/>
          <w:sz w:val="28"/>
          <w:szCs w:val="28"/>
        </w:rPr>
        <w:t>“20</w:t>
      </w:r>
      <w:r>
        <w:rPr>
          <w:rFonts w:hint="eastAsia" w:eastAsia="宋体"/>
          <w:color w:val="000000"/>
          <w:kern w:val="0"/>
          <w:sz w:val="28"/>
          <w:szCs w:val="28"/>
        </w:rPr>
        <w:t>2</w:t>
      </w:r>
      <w:r>
        <w:rPr>
          <w:rFonts w:hint="eastAsia" w:eastAsia="宋体"/>
          <w:color w:val="000000"/>
          <w:kern w:val="0"/>
          <w:sz w:val="28"/>
          <w:szCs w:val="28"/>
          <w:lang w:val="en-US" w:eastAsia="zh-CN"/>
        </w:rPr>
        <w:t>4</w:t>
      </w:r>
      <w:r>
        <w:rPr>
          <w:color w:val="000000"/>
          <w:kern w:val="0"/>
          <w:sz w:val="28"/>
          <w:szCs w:val="28"/>
        </w:rPr>
        <w:t>年预算数</w:t>
      </w:r>
      <w:r>
        <w:rPr>
          <w:rFonts w:eastAsia="宋体"/>
          <w:color w:val="000000"/>
          <w:kern w:val="0"/>
          <w:sz w:val="28"/>
          <w:szCs w:val="28"/>
        </w:rPr>
        <w:t>”</w:t>
      </w:r>
      <w:r>
        <w:rPr>
          <w:color w:val="000000"/>
          <w:kern w:val="0"/>
          <w:sz w:val="28"/>
          <w:szCs w:val="28"/>
        </w:rPr>
        <w:t>的实有人员</w:t>
      </w:r>
      <w:r>
        <w:rPr>
          <w:rFonts w:eastAsia="宋体"/>
          <w:color w:val="000000"/>
          <w:kern w:val="0"/>
          <w:sz w:val="28"/>
          <w:szCs w:val="28"/>
        </w:rPr>
        <w:t xml:space="preserve"> </w:t>
      </w:r>
      <w:r>
        <w:rPr>
          <w:rFonts w:hint="eastAsia" w:eastAsia="宋体"/>
          <w:color w:val="000000"/>
          <w:kern w:val="0"/>
          <w:sz w:val="28"/>
          <w:szCs w:val="28"/>
          <w:lang w:val="en-US" w:eastAsia="zh-CN"/>
        </w:rPr>
        <w:t>34</w:t>
      </w:r>
      <w:r>
        <w:rPr>
          <w:color w:val="000000"/>
          <w:kern w:val="0"/>
          <w:sz w:val="28"/>
          <w:szCs w:val="28"/>
        </w:rPr>
        <w:t>人，其中：在职人员</w:t>
      </w:r>
      <w:r>
        <w:rPr>
          <w:rFonts w:eastAsia="宋体"/>
          <w:color w:val="000000"/>
          <w:kern w:val="0"/>
          <w:sz w:val="28"/>
          <w:szCs w:val="28"/>
        </w:rPr>
        <w:t xml:space="preserve"> </w:t>
      </w:r>
      <w:r>
        <w:rPr>
          <w:rFonts w:hint="eastAsia" w:eastAsia="宋体"/>
          <w:color w:val="000000"/>
          <w:kern w:val="0"/>
          <w:sz w:val="28"/>
          <w:szCs w:val="28"/>
          <w:lang w:val="en-US" w:eastAsia="zh-CN"/>
        </w:rPr>
        <w:t>17</w:t>
      </w:r>
      <w:r>
        <w:rPr>
          <w:rFonts w:eastAsia="宋体"/>
          <w:color w:val="000000"/>
          <w:kern w:val="0"/>
          <w:sz w:val="28"/>
          <w:szCs w:val="28"/>
        </w:rPr>
        <w:t xml:space="preserve"> </w:t>
      </w:r>
      <w:r>
        <w:rPr>
          <w:color w:val="000000"/>
          <w:kern w:val="0"/>
          <w:sz w:val="28"/>
          <w:szCs w:val="28"/>
        </w:rPr>
        <w:t>人，离退休人员</w:t>
      </w:r>
      <w:r>
        <w:rPr>
          <w:rFonts w:eastAsia="宋体"/>
          <w:color w:val="000000"/>
          <w:kern w:val="0"/>
          <w:sz w:val="28"/>
          <w:szCs w:val="28"/>
        </w:rPr>
        <w:t xml:space="preserve"> </w:t>
      </w:r>
      <w:r>
        <w:rPr>
          <w:rFonts w:hint="eastAsia" w:eastAsia="宋体"/>
          <w:color w:val="000000"/>
          <w:kern w:val="0"/>
          <w:sz w:val="28"/>
          <w:szCs w:val="28"/>
          <w:lang w:val="en-US" w:eastAsia="zh-CN"/>
        </w:rPr>
        <w:t>17</w:t>
      </w:r>
      <w:r>
        <w:rPr>
          <w:color w:val="000000"/>
          <w:kern w:val="0"/>
          <w:sz w:val="28"/>
          <w:szCs w:val="28"/>
        </w:rPr>
        <w:t>人。</w:t>
      </w: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bl>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tbl>
      <w:tblPr>
        <w:tblStyle w:val="9"/>
        <w:tblpPr w:leftFromText="180" w:rightFromText="180" w:vertAnchor="page" w:horzAnchor="page" w:tblpX="1538" w:tblpY="2773"/>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bl>
    <w:p>
      <w:pPr>
        <w:tabs>
          <w:tab w:val="left" w:pos="526"/>
        </w:tabs>
        <w:spacing w:line="700" w:lineRule="exact"/>
        <w:rPr>
          <w:rFonts w:eastAsia="楷体_GB2312"/>
          <w:kern w:val="0"/>
          <w:szCs w:val="32"/>
        </w:rPr>
      </w:pPr>
      <w:r>
        <w:rPr>
          <w:rFonts w:eastAsia="楷体_GB2312"/>
          <w:kern w:val="0"/>
          <w:szCs w:val="32"/>
        </w:rPr>
        <w:t xml:space="preserve"> </w:t>
      </w: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tbl>
      <w:tblPr>
        <w:tblStyle w:val="9"/>
        <w:tblpPr w:leftFromText="180" w:rightFromText="180" w:vertAnchor="text" w:horzAnchor="page" w:tblpX="1685" w:tblpY="37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870"/>
        <w:gridCol w:w="380"/>
        <w:gridCol w:w="415"/>
        <w:gridCol w:w="1080"/>
        <w:gridCol w:w="615"/>
        <w:gridCol w:w="615"/>
        <w:gridCol w:w="450"/>
        <w:gridCol w:w="435"/>
        <w:gridCol w:w="435"/>
        <w:gridCol w:w="450"/>
        <w:gridCol w:w="405"/>
        <w:gridCol w:w="450"/>
        <w:gridCol w:w="540"/>
        <w:gridCol w:w="480"/>
        <w:gridCol w:w="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8676" w:type="dxa"/>
            <w:gridSpan w:val="16"/>
            <w:tcBorders>
              <w:top w:val="nil"/>
              <w:left w:val="nil"/>
              <w:bottom w:val="nil"/>
              <w:right w:val="nil"/>
            </w:tcBorders>
            <w:noWrap w:val="0"/>
            <w:vAlign w:val="center"/>
          </w:tcPr>
          <w:p>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pPr>
              <w:autoSpaceDN w:val="0"/>
              <w:jc w:val="center"/>
              <w:textAlignment w:val="center"/>
              <w:rPr>
                <w:rFonts w:hint="eastAsia" w:ascii="Calibri" w:hAnsi="Calibri" w:eastAsia="华文细黑"/>
                <w:color w:val="00000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89"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1250" w:type="dxa"/>
            <w:gridSpan w:val="2"/>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415"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1080"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615"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2385" w:type="dxa"/>
            <w:gridSpan w:val="5"/>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2342" w:type="dxa"/>
            <w:gridSpan w:val="5"/>
            <w:tcBorders>
              <w:top w:val="nil"/>
              <w:left w:val="nil"/>
              <w:right w:val="nil"/>
            </w:tcBorders>
            <w:noWrap w:val="0"/>
            <w:vAlign w:val="bottom"/>
          </w:tcPr>
          <w:p>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589" w:type="dxa"/>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类型</w:t>
            </w:r>
          </w:p>
        </w:tc>
        <w:tc>
          <w:tcPr>
            <w:tcW w:w="1665" w:type="dxa"/>
            <w:gridSpan w:val="3"/>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项目名称</w:t>
            </w:r>
          </w:p>
        </w:tc>
        <w:tc>
          <w:tcPr>
            <w:tcW w:w="1080" w:type="dxa"/>
            <w:vMerge w:val="restart"/>
            <w:noWrap w:val="0"/>
            <w:textDirection w:val="tbRl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部门（单位）名称</w:t>
            </w:r>
          </w:p>
        </w:tc>
        <w:tc>
          <w:tcPr>
            <w:tcW w:w="615" w:type="dxa"/>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2385" w:type="dxa"/>
            <w:gridSpan w:val="5"/>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lang w:eastAsia="zh-CN"/>
              </w:rPr>
              <w:t>本年预算</w:t>
            </w:r>
          </w:p>
        </w:tc>
        <w:tc>
          <w:tcPr>
            <w:tcW w:w="2342" w:type="dxa"/>
            <w:gridSpan w:val="5"/>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589" w:type="dxa"/>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870" w:type="dxa"/>
            <w:vMerge w:val="restart"/>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一级项目</w:t>
            </w:r>
          </w:p>
        </w:tc>
        <w:tc>
          <w:tcPr>
            <w:tcW w:w="795" w:type="dxa"/>
            <w:gridSpan w:val="2"/>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二级</w:t>
            </w:r>
            <w:r>
              <w:rPr>
                <w:rFonts w:hint="eastAsia" w:ascii="Calibri" w:hAnsi="Calibri" w:eastAsia="华文细黑"/>
                <w:color w:val="000000"/>
                <w:sz w:val="20"/>
                <w:szCs w:val="22"/>
                <w:lang w:val="en-US" w:eastAsia="zh-CN"/>
              </w:rPr>
              <w:t xml:space="preserve">  </w:t>
            </w:r>
            <w:r>
              <w:rPr>
                <w:rFonts w:hint="eastAsia" w:ascii="Calibri" w:hAnsi="Calibri" w:eastAsia="华文细黑"/>
                <w:color w:val="000000"/>
                <w:sz w:val="20"/>
                <w:szCs w:val="22"/>
              </w:rPr>
              <w:t>项目</w:t>
            </w:r>
          </w:p>
        </w:tc>
        <w:tc>
          <w:tcPr>
            <w:tcW w:w="1080"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p>
        </w:tc>
        <w:tc>
          <w:tcPr>
            <w:tcW w:w="615" w:type="dxa"/>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1500" w:type="dxa"/>
            <w:gridSpan w:val="3"/>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财政拨款</w:t>
            </w:r>
          </w:p>
        </w:tc>
        <w:tc>
          <w:tcPr>
            <w:tcW w:w="435" w:type="dxa"/>
            <w:vMerge w:val="restart"/>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财政专户管理资金</w:t>
            </w:r>
          </w:p>
        </w:tc>
        <w:tc>
          <w:tcPr>
            <w:tcW w:w="450" w:type="dxa"/>
            <w:vMerge w:val="restart"/>
            <w:noWrap w:val="0"/>
            <w:textDirection w:val="tbLrV"/>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lang w:eastAsia="zh-CN"/>
              </w:rPr>
              <w:t>单位资金</w:t>
            </w:r>
          </w:p>
        </w:tc>
        <w:tc>
          <w:tcPr>
            <w:tcW w:w="1395" w:type="dxa"/>
            <w:gridSpan w:val="3"/>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财政拨款结转</w:t>
            </w:r>
          </w:p>
        </w:tc>
        <w:tc>
          <w:tcPr>
            <w:tcW w:w="947" w:type="dxa"/>
            <w:gridSpan w:val="2"/>
            <w:noWrap w:val="0"/>
            <w:vAlign w:val="center"/>
          </w:tcPr>
          <w:p>
            <w:pPr>
              <w:tabs>
                <w:tab w:val="left" w:pos="492"/>
              </w:tabs>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非财政拨款结转结余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6" w:hRule="atLeast"/>
        </w:trPr>
        <w:tc>
          <w:tcPr>
            <w:tcW w:w="589" w:type="dxa"/>
            <w:vMerge w:val="continue"/>
            <w:noWrap w:val="0"/>
            <w:vAlign w:val="center"/>
          </w:tcPr>
          <w:p>
            <w:pPr>
              <w:autoSpaceDN w:val="0"/>
              <w:jc w:val="center"/>
              <w:textAlignment w:val="center"/>
              <w:rPr>
                <w:rFonts w:ascii="Calibri" w:hAnsi="Calibri" w:eastAsia="华文细黑"/>
                <w:color w:val="000000"/>
                <w:sz w:val="20"/>
                <w:szCs w:val="22"/>
              </w:rPr>
            </w:pPr>
          </w:p>
        </w:tc>
        <w:tc>
          <w:tcPr>
            <w:tcW w:w="870" w:type="dxa"/>
            <w:vMerge w:val="continue"/>
            <w:noWrap w:val="0"/>
            <w:vAlign w:val="center"/>
          </w:tcPr>
          <w:p>
            <w:pPr>
              <w:autoSpaceDN w:val="0"/>
              <w:jc w:val="center"/>
              <w:textAlignment w:val="center"/>
              <w:rPr>
                <w:rFonts w:ascii="Calibri" w:hAnsi="Calibri" w:eastAsia="华文细黑"/>
                <w:color w:val="000000"/>
                <w:sz w:val="20"/>
                <w:szCs w:val="22"/>
              </w:rPr>
            </w:pPr>
          </w:p>
        </w:tc>
        <w:tc>
          <w:tcPr>
            <w:tcW w:w="795" w:type="dxa"/>
            <w:gridSpan w:val="2"/>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1080" w:type="dxa"/>
            <w:vMerge w:val="continue"/>
            <w:noWrap w:val="0"/>
            <w:vAlign w:val="center"/>
          </w:tcPr>
          <w:p>
            <w:pPr>
              <w:autoSpaceDN w:val="0"/>
              <w:jc w:val="center"/>
              <w:textAlignment w:val="center"/>
              <w:rPr>
                <w:rFonts w:ascii="Calibri" w:hAnsi="Calibri" w:eastAsia="华文细黑"/>
                <w:color w:val="000000"/>
                <w:sz w:val="20"/>
                <w:szCs w:val="22"/>
              </w:rPr>
            </w:pPr>
          </w:p>
        </w:tc>
        <w:tc>
          <w:tcPr>
            <w:tcW w:w="615" w:type="dxa"/>
            <w:vMerge w:val="continue"/>
            <w:noWrap w:val="0"/>
            <w:vAlign w:val="center"/>
          </w:tcPr>
          <w:p>
            <w:pPr>
              <w:autoSpaceDN w:val="0"/>
              <w:jc w:val="center"/>
              <w:textAlignment w:val="center"/>
              <w:rPr>
                <w:rFonts w:ascii="Calibri" w:hAnsi="Calibri" w:eastAsia="华文细黑"/>
                <w:color w:val="000000"/>
                <w:sz w:val="20"/>
                <w:szCs w:val="22"/>
              </w:rPr>
            </w:pPr>
          </w:p>
        </w:tc>
        <w:tc>
          <w:tcPr>
            <w:tcW w:w="615"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一般公共预算</w:t>
            </w:r>
          </w:p>
        </w:tc>
        <w:tc>
          <w:tcPr>
            <w:tcW w:w="450" w:type="dxa"/>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政府性</w:t>
            </w:r>
          </w:p>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基金</w:t>
            </w:r>
          </w:p>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预算</w:t>
            </w:r>
          </w:p>
        </w:tc>
        <w:tc>
          <w:tcPr>
            <w:tcW w:w="435" w:type="dxa"/>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国有资本经营预算</w:t>
            </w:r>
          </w:p>
        </w:tc>
        <w:tc>
          <w:tcPr>
            <w:tcW w:w="435"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p>
        </w:tc>
        <w:tc>
          <w:tcPr>
            <w:tcW w:w="450"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rPr>
            </w:pPr>
          </w:p>
        </w:tc>
        <w:tc>
          <w:tcPr>
            <w:tcW w:w="405" w:type="dxa"/>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一般</w:t>
            </w:r>
          </w:p>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公共</w:t>
            </w:r>
          </w:p>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预算</w:t>
            </w:r>
          </w:p>
        </w:tc>
        <w:tc>
          <w:tcPr>
            <w:tcW w:w="450" w:type="dxa"/>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政府性</w:t>
            </w:r>
          </w:p>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基金</w:t>
            </w:r>
          </w:p>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预算</w:t>
            </w:r>
          </w:p>
        </w:tc>
        <w:tc>
          <w:tcPr>
            <w:tcW w:w="540" w:type="dxa"/>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国有资本经营</w:t>
            </w:r>
          </w:p>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预算</w:t>
            </w:r>
          </w:p>
        </w:tc>
        <w:tc>
          <w:tcPr>
            <w:tcW w:w="480" w:type="dxa"/>
            <w:noWrap w:val="0"/>
            <w:textDirection w:val="tbRl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财政专户管理资金</w:t>
            </w:r>
          </w:p>
        </w:tc>
        <w:tc>
          <w:tcPr>
            <w:tcW w:w="467" w:type="dxa"/>
            <w:noWrap w:val="0"/>
            <w:textDirection w:val="tbRlV"/>
            <w:vAlign w:val="center"/>
          </w:tcPr>
          <w:p>
            <w:pPr>
              <w:autoSpaceDN w:val="0"/>
              <w:ind w:left="113" w:right="113"/>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89"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专项业务支出</w:t>
            </w:r>
          </w:p>
        </w:tc>
        <w:tc>
          <w:tcPr>
            <w:tcW w:w="870"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atLeast"/>
              <w:jc w:val="center"/>
              <w:textAlignment w:val="auto"/>
              <w:rPr>
                <w:rFonts w:hint="default" w:ascii="Times New Roman" w:hAnsi="Times New Roman" w:eastAsia="宋体" w:cs="Times New Roman"/>
                <w:kern w:val="0"/>
                <w:sz w:val="16"/>
                <w:szCs w:val="16"/>
              </w:rPr>
            </w:pPr>
          </w:p>
        </w:tc>
        <w:tc>
          <w:tcPr>
            <w:tcW w:w="795" w:type="dxa"/>
            <w:gridSpan w:val="2"/>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108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61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i w:val="0"/>
                <w:iCs w:val="0"/>
                <w:color w:val="000000"/>
                <w:kern w:val="0"/>
                <w:sz w:val="16"/>
                <w:szCs w:val="16"/>
                <w:u w:val="none"/>
                <w:lang w:val="en-US" w:eastAsia="zh-CN" w:bidi="ar"/>
              </w:rPr>
            </w:pPr>
            <w:r>
              <w:rPr>
                <w:rFonts w:hint="eastAsia" w:eastAsia="宋体" w:cs="Times New Roman"/>
                <w:i w:val="0"/>
                <w:iCs w:val="0"/>
                <w:color w:val="000000"/>
                <w:kern w:val="0"/>
                <w:sz w:val="16"/>
                <w:szCs w:val="16"/>
                <w:u w:val="none"/>
                <w:lang w:val="en-US" w:eastAsia="zh-CN" w:bidi="ar"/>
              </w:rPr>
              <w:t>41.29</w:t>
            </w:r>
          </w:p>
        </w:tc>
        <w:tc>
          <w:tcPr>
            <w:tcW w:w="615" w:type="dxa"/>
            <w:noWrap w:val="0"/>
            <w:vAlign w:val="center"/>
          </w:tcPr>
          <w:p>
            <w:pPr>
              <w:keepNext w:val="0"/>
              <w:keepLines w:val="0"/>
              <w:pageBreakBefore w:val="0"/>
              <w:widowControl/>
              <w:suppressLineNumbers w:val="0"/>
              <w:kinsoku/>
              <w:wordWrap/>
              <w:overflowPunct/>
              <w:topLinePunct w:val="0"/>
              <w:autoSpaceDE/>
              <w:bidi w:val="0"/>
              <w:adjustRightInd/>
              <w:snapToGrid/>
              <w:spacing w:line="200" w:lineRule="atLeast"/>
              <w:jc w:val="right"/>
              <w:textAlignment w:val="center"/>
              <w:rPr>
                <w:rFonts w:hint="default" w:ascii="Times New Roman" w:hAnsi="Times New Roman" w:eastAsia="宋体" w:cs="Times New Roman"/>
                <w:i w:val="0"/>
                <w:iCs w:val="0"/>
                <w:color w:val="000000"/>
                <w:kern w:val="2"/>
                <w:sz w:val="16"/>
                <w:szCs w:val="16"/>
                <w:u w:val="none"/>
                <w:lang w:val="en-US" w:eastAsia="zh-CN" w:bidi="ar-SA"/>
              </w:rPr>
            </w:pPr>
            <w:r>
              <w:rPr>
                <w:rFonts w:hint="eastAsia" w:eastAsia="宋体" w:cs="Times New Roman"/>
                <w:i w:val="0"/>
                <w:iCs w:val="0"/>
                <w:color w:val="000000"/>
                <w:kern w:val="2"/>
                <w:sz w:val="16"/>
                <w:szCs w:val="16"/>
                <w:u w:val="none"/>
                <w:lang w:val="en-US" w:eastAsia="zh-CN" w:bidi="ar-SA"/>
              </w:rPr>
              <w:t>41.29</w:t>
            </w:r>
          </w:p>
        </w:tc>
        <w:tc>
          <w:tcPr>
            <w:tcW w:w="45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3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3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5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0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5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54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8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67"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89"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870"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atLeast"/>
              <w:jc w:val="center"/>
              <w:textAlignment w:val="auto"/>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专项普查活动</w:t>
            </w:r>
          </w:p>
        </w:tc>
        <w:tc>
          <w:tcPr>
            <w:tcW w:w="795" w:type="dxa"/>
            <w:gridSpan w:val="2"/>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108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61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r>
              <w:rPr>
                <w:rFonts w:hint="default" w:ascii="Times New Roman" w:hAnsi="Times New Roman" w:eastAsia="宋体" w:cs="Times New Roman"/>
                <w:i w:val="0"/>
                <w:iCs w:val="0"/>
                <w:color w:val="000000"/>
                <w:kern w:val="0"/>
                <w:sz w:val="16"/>
                <w:szCs w:val="16"/>
                <w:u w:val="none"/>
                <w:lang w:val="en-US" w:eastAsia="zh-CN" w:bidi="ar"/>
              </w:rPr>
              <w:t>9.62</w:t>
            </w:r>
          </w:p>
        </w:tc>
        <w:tc>
          <w:tcPr>
            <w:tcW w:w="615" w:type="dxa"/>
            <w:noWrap w:val="0"/>
            <w:vAlign w:val="center"/>
          </w:tcPr>
          <w:p>
            <w:pPr>
              <w:keepNext w:val="0"/>
              <w:keepLines w:val="0"/>
              <w:pageBreakBefore w:val="0"/>
              <w:widowControl/>
              <w:suppressLineNumbers w:val="0"/>
              <w:kinsoku/>
              <w:wordWrap/>
              <w:overflowPunct/>
              <w:topLinePunct w:val="0"/>
              <w:autoSpaceDE/>
              <w:bidi w:val="0"/>
              <w:adjustRightInd/>
              <w:snapToGrid/>
              <w:spacing w:line="200" w:lineRule="atLeast"/>
              <w:jc w:val="right"/>
              <w:textAlignment w:val="center"/>
              <w:rPr>
                <w:rFonts w:hint="default" w:ascii="Times New Roman" w:hAnsi="Times New Roman" w:eastAsia="宋体" w:cs="Times New Roman"/>
                <w:i w:val="0"/>
                <w:iCs w:val="0"/>
                <w:color w:val="000000"/>
                <w:kern w:val="2"/>
                <w:sz w:val="16"/>
                <w:szCs w:val="16"/>
                <w:u w:val="none"/>
                <w:lang w:val="en-US" w:eastAsia="zh-CN" w:bidi="ar-SA"/>
              </w:rPr>
            </w:pPr>
          </w:p>
        </w:tc>
        <w:tc>
          <w:tcPr>
            <w:tcW w:w="45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3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3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5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0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5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54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8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67"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89"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87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795" w:type="dxa"/>
            <w:gridSpan w:val="2"/>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第五次全国经济普查经费</w:t>
            </w:r>
          </w:p>
        </w:tc>
        <w:tc>
          <w:tcPr>
            <w:tcW w:w="108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白城市统计局（本级）</w:t>
            </w:r>
          </w:p>
        </w:tc>
        <w:tc>
          <w:tcPr>
            <w:tcW w:w="61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61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r>
              <w:rPr>
                <w:rFonts w:hint="default" w:ascii="Times New Roman" w:hAnsi="Times New Roman" w:eastAsia="宋体" w:cs="Times New Roman"/>
                <w:i w:val="0"/>
                <w:iCs w:val="0"/>
                <w:color w:val="000000"/>
                <w:kern w:val="0"/>
                <w:sz w:val="16"/>
                <w:szCs w:val="16"/>
                <w:u w:val="none"/>
                <w:lang w:val="en-US" w:eastAsia="zh-CN" w:bidi="ar"/>
              </w:rPr>
              <w:t>9.62</w:t>
            </w:r>
          </w:p>
        </w:tc>
        <w:tc>
          <w:tcPr>
            <w:tcW w:w="45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3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3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5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05" w:type="dxa"/>
            <w:noWrap w:val="0"/>
            <w:vAlign w:val="center"/>
          </w:tcPr>
          <w:p>
            <w:pPr>
              <w:keepNext w:val="0"/>
              <w:keepLines w:val="0"/>
              <w:pageBreakBefore w:val="0"/>
              <w:widowControl/>
              <w:suppressLineNumbers w:val="0"/>
              <w:kinsoku/>
              <w:wordWrap/>
              <w:overflowPunct/>
              <w:topLinePunct w:val="0"/>
              <w:autoSpaceDE/>
              <w:bidi w:val="0"/>
              <w:adjustRightInd/>
              <w:snapToGrid/>
              <w:spacing w:line="200" w:lineRule="atLeast"/>
              <w:jc w:val="right"/>
              <w:textAlignment w:val="center"/>
              <w:rPr>
                <w:rFonts w:hint="default" w:ascii="Times New Roman" w:hAnsi="Times New Roman" w:eastAsia="宋体" w:cs="Times New Roman"/>
                <w:i w:val="0"/>
                <w:iCs w:val="0"/>
                <w:color w:val="000000"/>
                <w:kern w:val="2"/>
                <w:sz w:val="16"/>
                <w:szCs w:val="16"/>
                <w:u w:val="none"/>
                <w:lang w:val="en-US" w:eastAsia="zh-CN" w:bidi="ar-SA"/>
              </w:rPr>
            </w:pPr>
          </w:p>
        </w:tc>
        <w:tc>
          <w:tcPr>
            <w:tcW w:w="45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54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8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67"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89"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870" w:type="dxa"/>
            <w:noWrap w:val="0"/>
            <w:vAlign w:val="center"/>
          </w:tcPr>
          <w:p>
            <w:pPr>
              <w:keepNext w:val="0"/>
              <w:keepLines w:val="0"/>
              <w:pageBreakBefore w:val="0"/>
              <w:widowControl/>
              <w:suppressLineNumbers w:val="0"/>
              <w:kinsoku/>
              <w:wordWrap/>
              <w:overflowPunct/>
              <w:topLinePunct w:val="0"/>
              <w:autoSpaceDE/>
              <w:bidi w:val="0"/>
              <w:adjustRightInd/>
              <w:snapToGrid/>
              <w:spacing w:line="200" w:lineRule="atLeast"/>
              <w:jc w:val="center"/>
              <w:textAlignment w:val="center"/>
              <w:rPr>
                <w:rFonts w:hint="default" w:ascii="Times New Roman" w:hAnsi="Times New Roman" w:eastAsia="宋体" w:cs="Times New Roman"/>
                <w:i w:val="0"/>
                <w:iCs w:val="0"/>
                <w:color w:val="000000"/>
                <w:kern w:val="2"/>
                <w:sz w:val="16"/>
                <w:szCs w:val="16"/>
                <w:u w:val="no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专项统计业务</w:t>
            </w:r>
          </w:p>
        </w:tc>
        <w:tc>
          <w:tcPr>
            <w:tcW w:w="795" w:type="dxa"/>
            <w:gridSpan w:val="2"/>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108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61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r>
              <w:rPr>
                <w:rFonts w:hint="default" w:ascii="Times New Roman" w:hAnsi="Times New Roman" w:eastAsia="宋体" w:cs="Times New Roman"/>
                <w:i w:val="0"/>
                <w:iCs w:val="0"/>
                <w:color w:val="000000"/>
                <w:kern w:val="0"/>
                <w:sz w:val="16"/>
                <w:szCs w:val="16"/>
                <w:u w:val="none"/>
                <w:lang w:val="en-US" w:eastAsia="zh-CN" w:bidi="ar"/>
              </w:rPr>
              <w:t>21.33</w:t>
            </w:r>
          </w:p>
        </w:tc>
        <w:tc>
          <w:tcPr>
            <w:tcW w:w="615" w:type="dxa"/>
            <w:noWrap w:val="0"/>
            <w:vAlign w:val="center"/>
          </w:tcPr>
          <w:p>
            <w:pPr>
              <w:keepNext w:val="0"/>
              <w:keepLines w:val="0"/>
              <w:pageBreakBefore w:val="0"/>
              <w:widowControl/>
              <w:suppressLineNumbers w:val="0"/>
              <w:kinsoku/>
              <w:wordWrap/>
              <w:overflowPunct/>
              <w:topLinePunct w:val="0"/>
              <w:autoSpaceDE/>
              <w:bidi w:val="0"/>
              <w:adjustRightInd/>
              <w:snapToGrid/>
              <w:spacing w:line="200" w:lineRule="atLeast"/>
              <w:jc w:val="right"/>
              <w:textAlignment w:val="center"/>
              <w:rPr>
                <w:rFonts w:hint="default" w:ascii="Times New Roman" w:hAnsi="Times New Roman" w:eastAsia="宋体" w:cs="Times New Roman"/>
                <w:i w:val="0"/>
                <w:iCs w:val="0"/>
                <w:color w:val="000000"/>
                <w:kern w:val="2"/>
                <w:sz w:val="16"/>
                <w:szCs w:val="16"/>
                <w:u w:val="none"/>
                <w:lang w:val="en-US" w:eastAsia="zh-CN" w:bidi="ar-SA"/>
              </w:rPr>
            </w:pPr>
          </w:p>
        </w:tc>
        <w:tc>
          <w:tcPr>
            <w:tcW w:w="45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3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3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5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0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5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54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8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67"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89"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87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795" w:type="dxa"/>
            <w:gridSpan w:val="2"/>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统计调查经费</w:t>
            </w:r>
          </w:p>
        </w:tc>
        <w:tc>
          <w:tcPr>
            <w:tcW w:w="108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白城市统计局（本级）</w:t>
            </w:r>
          </w:p>
        </w:tc>
        <w:tc>
          <w:tcPr>
            <w:tcW w:w="61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61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r>
              <w:rPr>
                <w:rFonts w:hint="default" w:ascii="Times New Roman" w:hAnsi="Times New Roman" w:eastAsia="宋体" w:cs="Times New Roman"/>
                <w:i w:val="0"/>
                <w:iCs w:val="0"/>
                <w:color w:val="000000"/>
                <w:kern w:val="0"/>
                <w:sz w:val="16"/>
                <w:szCs w:val="16"/>
                <w:u w:val="none"/>
                <w:lang w:val="en-US" w:eastAsia="zh-CN" w:bidi="ar"/>
              </w:rPr>
              <w:t>21.33</w:t>
            </w:r>
          </w:p>
        </w:tc>
        <w:tc>
          <w:tcPr>
            <w:tcW w:w="45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3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3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5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05" w:type="dxa"/>
            <w:noWrap w:val="0"/>
            <w:vAlign w:val="center"/>
          </w:tcPr>
          <w:p>
            <w:pPr>
              <w:keepNext w:val="0"/>
              <w:keepLines w:val="0"/>
              <w:pageBreakBefore w:val="0"/>
              <w:widowControl/>
              <w:suppressLineNumbers w:val="0"/>
              <w:kinsoku/>
              <w:wordWrap/>
              <w:overflowPunct/>
              <w:topLinePunct w:val="0"/>
              <w:autoSpaceDE/>
              <w:bidi w:val="0"/>
              <w:adjustRightInd/>
              <w:snapToGrid/>
              <w:spacing w:line="200" w:lineRule="atLeast"/>
              <w:jc w:val="right"/>
              <w:textAlignment w:val="center"/>
              <w:rPr>
                <w:rFonts w:hint="default" w:ascii="Times New Roman" w:hAnsi="Times New Roman" w:eastAsia="宋体" w:cs="Times New Roman"/>
                <w:i w:val="0"/>
                <w:iCs w:val="0"/>
                <w:color w:val="000000"/>
                <w:kern w:val="2"/>
                <w:sz w:val="16"/>
                <w:szCs w:val="16"/>
                <w:u w:val="none"/>
                <w:lang w:val="en-US" w:eastAsia="zh-CN" w:bidi="ar-SA"/>
              </w:rPr>
            </w:pPr>
          </w:p>
        </w:tc>
        <w:tc>
          <w:tcPr>
            <w:tcW w:w="45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54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8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67"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89" w:type="dxa"/>
            <w:noWrap w:val="0"/>
            <w:vAlign w:val="center"/>
          </w:tcPr>
          <w:p>
            <w:pPr>
              <w:keepNext w:val="0"/>
              <w:keepLines w:val="0"/>
              <w:pageBreakBefore w:val="0"/>
              <w:kinsoku/>
              <w:wordWrap/>
              <w:overflowPunct/>
              <w:topLinePunct w:val="0"/>
              <w:autoSpaceDE/>
              <w:autoSpaceDN w:val="0"/>
              <w:bidi w:val="0"/>
              <w:adjustRightInd/>
              <w:snapToGrid/>
              <w:spacing w:line="200" w:lineRule="atLeast"/>
              <w:jc w:val="center"/>
              <w:textAlignment w:val="center"/>
              <w:rPr>
                <w:rFonts w:hint="default" w:ascii="Times New Roman" w:hAnsi="Times New Roman" w:eastAsia="宋体" w:cs="Times New Roman"/>
                <w:color w:val="000000"/>
                <w:sz w:val="16"/>
                <w:szCs w:val="16"/>
              </w:rPr>
            </w:pPr>
          </w:p>
        </w:tc>
        <w:tc>
          <w:tcPr>
            <w:tcW w:w="870" w:type="dxa"/>
            <w:noWrap w:val="0"/>
            <w:vAlign w:val="center"/>
          </w:tcPr>
          <w:p>
            <w:pPr>
              <w:keepNext w:val="0"/>
              <w:keepLines w:val="0"/>
              <w:pageBreakBefore w:val="0"/>
              <w:kinsoku/>
              <w:wordWrap/>
              <w:overflowPunct/>
              <w:topLinePunct w:val="0"/>
              <w:autoSpaceDE/>
              <w:autoSpaceDN w:val="0"/>
              <w:bidi w:val="0"/>
              <w:adjustRightInd/>
              <w:snapToGrid/>
              <w:spacing w:line="200" w:lineRule="atLeast"/>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sz w:val="16"/>
                <w:szCs w:val="16"/>
              </w:rPr>
              <w:t>统计综合业务管理</w:t>
            </w:r>
          </w:p>
        </w:tc>
        <w:tc>
          <w:tcPr>
            <w:tcW w:w="795" w:type="dxa"/>
            <w:gridSpan w:val="2"/>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108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61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10.34</w:t>
            </w:r>
          </w:p>
        </w:tc>
        <w:tc>
          <w:tcPr>
            <w:tcW w:w="61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5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3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3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5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0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5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54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8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67"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89" w:type="dxa"/>
            <w:noWrap w:val="0"/>
            <w:vAlign w:val="center"/>
          </w:tcPr>
          <w:p>
            <w:pPr>
              <w:keepNext w:val="0"/>
              <w:keepLines w:val="0"/>
              <w:pageBreakBefore w:val="0"/>
              <w:kinsoku/>
              <w:wordWrap/>
              <w:overflowPunct/>
              <w:topLinePunct w:val="0"/>
              <w:autoSpaceDE/>
              <w:autoSpaceDN w:val="0"/>
              <w:bidi w:val="0"/>
              <w:adjustRightInd/>
              <w:snapToGrid/>
              <w:spacing w:line="200" w:lineRule="atLeast"/>
              <w:jc w:val="center"/>
              <w:textAlignment w:val="center"/>
              <w:rPr>
                <w:rFonts w:hint="default" w:ascii="Times New Roman" w:hAnsi="Times New Roman" w:eastAsia="宋体" w:cs="Times New Roman"/>
                <w:color w:val="000000"/>
                <w:sz w:val="16"/>
                <w:szCs w:val="16"/>
              </w:rPr>
            </w:pPr>
          </w:p>
        </w:tc>
        <w:tc>
          <w:tcPr>
            <w:tcW w:w="870" w:type="dxa"/>
            <w:noWrap w:val="0"/>
            <w:vAlign w:val="center"/>
          </w:tcPr>
          <w:p>
            <w:pPr>
              <w:keepNext w:val="0"/>
              <w:keepLines w:val="0"/>
              <w:pageBreakBefore w:val="0"/>
              <w:kinsoku/>
              <w:wordWrap/>
              <w:overflowPunct/>
              <w:topLinePunct w:val="0"/>
              <w:autoSpaceDE/>
              <w:autoSpaceDN w:val="0"/>
              <w:bidi w:val="0"/>
              <w:adjustRightInd/>
              <w:snapToGrid/>
              <w:spacing w:line="200" w:lineRule="atLeast"/>
              <w:jc w:val="center"/>
              <w:textAlignment w:val="center"/>
              <w:rPr>
                <w:rFonts w:hint="default" w:ascii="Times New Roman" w:hAnsi="Times New Roman" w:eastAsia="宋体" w:cs="Times New Roman"/>
                <w:color w:val="000000"/>
                <w:sz w:val="16"/>
                <w:szCs w:val="16"/>
              </w:rPr>
            </w:pPr>
          </w:p>
        </w:tc>
        <w:tc>
          <w:tcPr>
            <w:tcW w:w="795" w:type="dxa"/>
            <w:gridSpan w:val="2"/>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员额人员经费</w:t>
            </w:r>
          </w:p>
        </w:tc>
        <w:tc>
          <w:tcPr>
            <w:tcW w:w="108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白城市统计局（本级）</w:t>
            </w:r>
          </w:p>
        </w:tc>
        <w:tc>
          <w:tcPr>
            <w:tcW w:w="61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61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10.34</w:t>
            </w:r>
          </w:p>
        </w:tc>
        <w:tc>
          <w:tcPr>
            <w:tcW w:w="45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3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3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5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0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5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54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8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67"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89" w:type="dxa"/>
            <w:noWrap w:val="0"/>
            <w:vAlign w:val="center"/>
          </w:tcPr>
          <w:p>
            <w:pPr>
              <w:keepNext w:val="0"/>
              <w:keepLines w:val="0"/>
              <w:pageBreakBefore w:val="0"/>
              <w:kinsoku/>
              <w:wordWrap/>
              <w:overflowPunct/>
              <w:topLinePunct w:val="0"/>
              <w:autoSpaceDE/>
              <w:autoSpaceDN w:val="0"/>
              <w:bidi w:val="0"/>
              <w:adjustRightInd/>
              <w:snapToGrid/>
              <w:spacing w:line="200" w:lineRule="atLeast"/>
              <w:jc w:val="center"/>
              <w:textAlignment w:val="center"/>
              <w:rPr>
                <w:rFonts w:hint="eastAsia" w:ascii="Calibri" w:hAnsi="Calibri" w:eastAsia="华文细黑"/>
                <w:color w:val="000000"/>
                <w:sz w:val="16"/>
                <w:szCs w:val="16"/>
              </w:rPr>
            </w:pPr>
            <w:r>
              <w:rPr>
                <w:rFonts w:hint="eastAsia" w:ascii="Calibri" w:hAnsi="Calibri" w:eastAsia="华文细黑"/>
                <w:color w:val="000000"/>
                <w:sz w:val="16"/>
                <w:szCs w:val="16"/>
              </w:rPr>
              <w:t>合计</w:t>
            </w:r>
          </w:p>
        </w:tc>
        <w:tc>
          <w:tcPr>
            <w:tcW w:w="870" w:type="dxa"/>
            <w:noWrap w:val="0"/>
            <w:vAlign w:val="center"/>
          </w:tcPr>
          <w:p>
            <w:pPr>
              <w:keepNext w:val="0"/>
              <w:keepLines w:val="0"/>
              <w:pageBreakBefore w:val="0"/>
              <w:kinsoku/>
              <w:wordWrap/>
              <w:overflowPunct/>
              <w:topLinePunct w:val="0"/>
              <w:autoSpaceDE/>
              <w:autoSpaceDN w:val="0"/>
              <w:bidi w:val="0"/>
              <w:adjustRightInd/>
              <w:snapToGrid/>
              <w:spacing w:line="200" w:lineRule="atLeast"/>
              <w:jc w:val="center"/>
              <w:textAlignment w:val="center"/>
              <w:rPr>
                <w:rFonts w:ascii="Calibri" w:hAnsi="Calibri" w:eastAsia="华文细黑"/>
                <w:color w:val="000000"/>
                <w:sz w:val="16"/>
                <w:szCs w:val="16"/>
              </w:rPr>
            </w:pPr>
          </w:p>
        </w:tc>
        <w:tc>
          <w:tcPr>
            <w:tcW w:w="795" w:type="dxa"/>
            <w:gridSpan w:val="2"/>
            <w:noWrap w:val="0"/>
            <w:vAlign w:val="center"/>
          </w:tcPr>
          <w:p>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108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61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楷体" w:cs="Times New Roman"/>
                <w:kern w:val="0"/>
                <w:sz w:val="16"/>
                <w:szCs w:val="16"/>
              </w:rPr>
            </w:pPr>
            <w:r>
              <w:rPr>
                <w:rFonts w:hint="default" w:ascii="Times New Roman" w:hAnsi="Times New Roman" w:eastAsia="楷体" w:cs="Times New Roman"/>
                <w:kern w:val="0"/>
                <w:sz w:val="16"/>
                <w:szCs w:val="16"/>
              </w:rPr>
              <w:t>41.29</w:t>
            </w:r>
          </w:p>
        </w:tc>
        <w:tc>
          <w:tcPr>
            <w:tcW w:w="61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楷体" w:cs="Times New Roman"/>
                <w:kern w:val="0"/>
                <w:sz w:val="16"/>
                <w:szCs w:val="16"/>
              </w:rPr>
            </w:pPr>
            <w:r>
              <w:rPr>
                <w:rFonts w:hint="default" w:ascii="Times New Roman" w:hAnsi="Times New Roman" w:eastAsia="楷体" w:cs="Times New Roman"/>
                <w:kern w:val="0"/>
                <w:sz w:val="16"/>
                <w:szCs w:val="16"/>
              </w:rPr>
              <w:t>41.29</w:t>
            </w:r>
          </w:p>
        </w:tc>
        <w:tc>
          <w:tcPr>
            <w:tcW w:w="45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43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43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45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40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45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54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48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467"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89" w:type="dxa"/>
            <w:noWrap w:val="0"/>
            <w:vAlign w:val="center"/>
          </w:tcPr>
          <w:p>
            <w:pPr>
              <w:keepNext w:val="0"/>
              <w:keepLines w:val="0"/>
              <w:pageBreakBefore w:val="0"/>
              <w:kinsoku/>
              <w:wordWrap/>
              <w:overflowPunct/>
              <w:topLinePunct w:val="0"/>
              <w:autoSpaceDE/>
              <w:autoSpaceDN w:val="0"/>
              <w:bidi w:val="0"/>
              <w:adjustRightInd/>
              <w:snapToGrid/>
              <w:spacing w:line="200" w:lineRule="atLeast"/>
              <w:jc w:val="center"/>
              <w:textAlignment w:val="center"/>
              <w:rPr>
                <w:rFonts w:hint="eastAsia" w:ascii="Calibri" w:hAnsi="Calibri" w:eastAsia="华文细黑"/>
                <w:color w:val="000000"/>
                <w:sz w:val="16"/>
                <w:szCs w:val="16"/>
              </w:rPr>
            </w:pPr>
          </w:p>
        </w:tc>
        <w:tc>
          <w:tcPr>
            <w:tcW w:w="870" w:type="dxa"/>
            <w:noWrap w:val="0"/>
            <w:vAlign w:val="center"/>
          </w:tcPr>
          <w:p>
            <w:pPr>
              <w:keepNext w:val="0"/>
              <w:keepLines w:val="0"/>
              <w:pageBreakBefore w:val="0"/>
              <w:kinsoku/>
              <w:wordWrap/>
              <w:overflowPunct/>
              <w:topLinePunct w:val="0"/>
              <w:autoSpaceDE/>
              <w:autoSpaceDN w:val="0"/>
              <w:bidi w:val="0"/>
              <w:adjustRightInd/>
              <w:snapToGrid/>
              <w:spacing w:line="200" w:lineRule="atLeast"/>
              <w:jc w:val="center"/>
              <w:textAlignment w:val="center"/>
              <w:rPr>
                <w:rFonts w:ascii="Calibri" w:hAnsi="Calibri" w:eastAsia="华文细黑"/>
                <w:color w:val="000000"/>
                <w:sz w:val="16"/>
                <w:szCs w:val="16"/>
              </w:rPr>
            </w:pPr>
          </w:p>
        </w:tc>
        <w:tc>
          <w:tcPr>
            <w:tcW w:w="795" w:type="dxa"/>
            <w:gridSpan w:val="2"/>
            <w:noWrap w:val="0"/>
            <w:vAlign w:val="center"/>
          </w:tcPr>
          <w:p>
            <w:pPr>
              <w:keepNext w:val="0"/>
              <w:keepLines w:val="0"/>
              <w:pageBreakBefore w:val="0"/>
              <w:kinsoku/>
              <w:wordWrap/>
              <w:overflowPunct/>
              <w:topLinePunct w:val="0"/>
              <w:autoSpaceDE/>
              <w:bidi w:val="0"/>
              <w:adjustRightInd/>
              <w:snapToGrid/>
              <w:spacing w:line="200" w:lineRule="atLeast"/>
              <w:jc w:val="center"/>
              <w:rPr>
                <w:rFonts w:hint="eastAsia" w:ascii="Calibri" w:hAnsi="Calibri" w:eastAsia="楷体"/>
                <w:kern w:val="0"/>
                <w:sz w:val="16"/>
                <w:szCs w:val="16"/>
                <w:lang w:eastAsia="zh-CN"/>
              </w:rPr>
            </w:pPr>
          </w:p>
        </w:tc>
        <w:tc>
          <w:tcPr>
            <w:tcW w:w="108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61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楷体" w:cs="Times New Roman"/>
                <w:kern w:val="0"/>
                <w:sz w:val="16"/>
                <w:szCs w:val="16"/>
              </w:rPr>
            </w:pPr>
          </w:p>
        </w:tc>
        <w:tc>
          <w:tcPr>
            <w:tcW w:w="61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楷体" w:cs="Times New Roman"/>
                <w:kern w:val="0"/>
                <w:sz w:val="16"/>
                <w:szCs w:val="16"/>
              </w:rPr>
            </w:pPr>
          </w:p>
        </w:tc>
        <w:tc>
          <w:tcPr>
            <w:tcW w:w="45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43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43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45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40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45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54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48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467"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r>
    </w:tbl>
    <w:tbl>
      <w:tblPr>
        <w:tblStyle w:val="10"/>
        <w:tblpPr w:leftFromText="180" w:rightFromText="180" w:vertAnchor="text" w:horzAnchor="page" w:tblpX="1535" w:tblpY="6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eastAsia="zh-CN"/>
              </w:rPr>
              <w:t>部门</w:t>
            </w:r>
            <w:r>
              <w:rPr>
                <w:rFonts w:hint="eastAsia" w:ascii="华文细黑" w:hAnsi="华文细黑" w:eastAsia="华文细黑" w:cs="华文细黑"/>
                <w:color w:val="000000"/>
                <w:sz w:val="20"/>
                <w:szCs w:val="20"/>
                <w:lang w:val="en-US" w:eastAsia="zh-CN"/>
              </w:rPr>
              <w:t>/单位/</w:t>
            </w:r>
          </w:p>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jc w:val="both"/>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部门名称</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项目名称1</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项目名称2</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pPr>
              <w:spacing w:line="240" w:lineRule="auto"/>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bl>
    <w:p>
      <w:pPr>
        <w:spacing w:line="700" w:lineRule="exact"/>
        <w:jc w:val="both"/>
        <w:rPr>
          <w:rFonts w:eastAsia="楷体"/>
          <w:kern w:val="0"/>
          <w:szCs w:val="32"/>
        </w:rPr>
      </w:pPr>
    </w:p>
    <w:p>
      <w:pPr>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pPr>
    </w:p>
    <w:tbl>
      <w:tblPr>
        <w:tblStyle w:val="10"/>
        <w:tblpPr w:leftFromText="180" w:rightFromText="180" w:vertAnchor="text" w:horzAnchor="page" w:tblpX="1562" w:tblpY="31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038"/>
        <w:gridCol w:w="1038"/>
        <w:gridCol w:w="1038"/>
        <w:gridCol w:w="778"/>
        <w:gridCol w:w="1166"/>
        <w:gridCol w:w="736"/>
        <w:gridCol w:w="859"/>
        <w:gridCol w:w="609"/>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0"/>
            <w:tcBorders>
              <w:top w:val="nil"/>
              <w:left w:val="nil"/>
              <w:bottom w:val="single" w:color="000000" w:sz="4" w:space="0"/>
              <w:right w:val="nil"/>
            </w:tcBorders>
            <w:noWrap w:val="0"/>
            <w:vAlign w:val="top"/>
          </w:tcPr>
          <w:p>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效目标</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restart"/>
            <w:tcBorders>
              <w:top w:val="single" w:color="000000" w:sz="4" w:space="0"/>
              <w:left w:val="single" w:color="000000" w:sz="4" w:space="0"/>
              <w:right w:val="single" w:color="000000" w:sz="4" w:space="0"/>
            </w:tcBorders>
            <w:noWrap w:val="0"/>
            <w:vAlign w:val="center"/>
          </w:tcPr>
          <w:p>
            <w:pPr>
              <w:tabs>
                <w:tab w:val="left" w:pos="288"/>
              </w:tabs>
              <w:spacing w:line="240" w:lineRule="auto"/>
              <w:jc w:val="left"/>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白城市统计局（本级）</w:t>
            </w:r>
          </w:p>
        </w:tc>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员额人员经费</w:t>
            </w:r>
          </w:p>
        </w:tc>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10.34</w:t>
            </w:r>
          </w:p>
        </w:tc>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按月发放员额人员工资及缴纳“五险一金”，保障员额编制人员全年正常开展工作，员额人员经费支出合理合规。</w:t>
            </w:r>
          </w:p>
        </w:tc>
        <w:tc>
          <w:tcPr>
            <w:tcW w:w="77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成本指标</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经济成本指标</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166" w:type="dxa"/>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社会成本指标</w:t>
            </w:r>
          </w:p>
        </w:tc>
        <w:tc>
          <w:tcPr>
            <w:tcW w:w="736" w:type="dxa"/>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59" w:type="dxa"/>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09" w:type="dxa"/>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166"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生态环境成本指标</w:t>
            </w:r>
          </w:p>
        </w:tc>
        <w:tc>
          <w:tcPr>
            <w:tcW w:w="736"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59"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09"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restart"/>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产出指标</w:t>
            </w:r>
          </w:p>
        </w:tc>
        <w:tc>
          <w:tcPr>
            <w:tcW w:w="1166"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736" w:type="dxa"/>
            <w:noWrap w:val="0"/>
            <w:vAlign w:val="center"/>
          </w:tcPr>
          <w:p>
            <w:pPr>
              <w:spacing w:line="240" w:lineRule="auto"/>
              <w:jc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kern w:val="0"/>
                <w:sz w:val="20"/>
                <w:szCs w:val="20"/>
                <w:vertAlign w:val="baseline"/>
              </w:rPr>
              <w:t>员额人员经费发放人数</w:t>
            </w:r>
          </w:p>
        </w:tc>
        <w:tc>
          <w:tcPr>
            <w:tcW w:w="859" w:type="dxa"/>
            <w:noWrap w:val="0"/>
            <w:vAlign w:val="center"/>
          </w:tcPr>
          <w:p>
            <w:pPr>
              <w:spacing w:line="240" w:lineRule="auto"/>
              <w:jc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kern w:val="0"/>
                <w:sz w:val="20"/>
                <w:szCs w:val="20"/>
                <w:vertAlign w:val="baseline"/>
              </w:rPr>
              <w:t>反映发放员额人员经费的人数情况。</w:t>
            </w:r>
          </w:p>
        </w:tc>
        <w:tc>
          <w:tcPr>
            <w:tcW w:w="609" w:type="dxa"/>
            <w:noWrap w:val="0"/>
            <w:vAlign w:val="center"/>
          </w:tcPr>
          <w:p>
            <w:pPr>
              <w:spacing w:line="240" w:lineRule="auto"/>
              <w:jc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kern w:val="0"/>
                <w:sz w:val="20"/>
                <w:szCs w:val="20"/>
                <w:vertAlign w:val="baseline"/>
              </w:rPr>
              <w:t>=1人</w:t>
            </w:r>
          </w:p>
        </w:tc>
        <w:tc>
          <w:tcPr>
            <w:tcW w:w="641"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166"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质量指标</w:t>
            </w:r>
          </w:p>
        </w:tc>
        <w:tc>
          <w:tcPr>
            <w:tcW w:w="736"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59"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09"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166"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时效指标</w:t>
            </w:r>
          </w:p>
        </w:tc>
        <w:tc>
          <w:tcPr>
            <w:tcW w:w="736"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59"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09"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restart"/>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效益指标</w:t>
            </w:r>
          </w:p>
        </w:tc>
        <w:tc>
          <w:tcPr>
            <w:tcW w:w="1166"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经济效益指标</w:t>
            </w:r>
          </w:p>
        </w:tc>
        <w:tc>
          <w:tcPr>
            <w:tcW w:w="736"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59"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09"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166"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社会效益指标</w:t>
            </w:r>
          </w:p>
        </w:tc>
        <w:tc>
          <w:tcPr>
            <w:tcW w:w="736"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反应员额人员经费发放覆盖情况</w:t>
            </w:r>
          </w:p>
        </w:tc>
        <w:tc>
          <w:tcPr>
            <w:tcW w:w="859"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保障员额编制人员全年正常开展工作，机构正常运转。</w:t>
            </w:r>
          </w:p>
        </w:tc>
        <w:tc>
          <w:tcPr>
            <w:tcW w:w="609"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覆盖率100%</w:t>
            </w: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166"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生态效益指标</w:t>
            </w:r>
          </w:p>
        </w:tc>
        <w:tc>
          <w:tcPr>
            <w:tcW w:w="736"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59"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09"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满意度指标</w:t>
            </w:r>
          </w:p>
        </w:tc>
        <w:tc>
          <w:tcPr>
            <w:tcW w:w="1166"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服务对象满意度指标</w:t>
            </w:r>
          </w:p>
        </w:tc>
        <w:tc>
          <w:tcPr>
            <w:tcW w:w="736"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59"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09"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效目标</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restart"/>
            <w:tcBorders>
              <w:top w:val="single" w:color="000000" w:sz="4" w:space="0"/>
              <w:left w:val="single" w:color="000000" w:sz="4" w:space="0"/>
              <w:right w:val="single" w:color="000000" w:sz="4" w:space="0"/>
            </w:tcBorders>
            <w:noWrap w:val="0"/>
            <w:vAlign w:val="center"/>
          </w:tcPr>
          <w:p>
            <w:pPr>
              <w:tabs>
                <w:tab w:val="left" w:pos="288"/>
              </w:tabs>
              <w:spacing w:line="240" w:lineRule="auto"/>
              <w:jc w:val="left"/>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白城市统计局（本级）</w:t>
            </w:r>
          </w:p>
        </w:tc>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统计调查经费</w:t>
            </w:r>
          </w:p>
        </w:tc>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21.33</w:t>
            </w:r>
          </w:p>
        </w:tc>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围绕国家、省委省政府、市委市政府中心工作和重点工作，立足为政府中心工作服务，开展各类、各项统计调查，统计抽样调查，统计监测，提供经济社会发展所需要的统计数据，搜集整理提供全市的基本统计资料，全面、及时、准确地上报各专业统计报表，及时发布统计公报。</w:t>
            </w:r>
          </w:p>
        </w:tc>
        <w:tc>
          <w:tcPr>
            <w:tcW w:w="77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成本指标</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经济成本指标</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166" w:type="dxa"/>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社会成本指标</w:t>
            </w:r>
          </w:p>
        </w:tc>
        <w:tc>
          <w:tcPr>
            <w:tcW w:w="736" w:type="dxa"/>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59" w:type="dxa"/>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09" w:type="dxa"/>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166"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生态环境成本指标</w:t>
            </w:r>
          </w:p>
        </w:tc>
        <w:tc>
          <w:tcPr>
            <w:tcW w:w="736"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59"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09"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restart"/>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产出指标</w:t>
            </w:r>
          </w:p>
        </w:tc>
        <w:tc>
          <w:tcPr>
            <w:tcW w:w="1166"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736" w:type="dxa"/>
            <w:noWrap w:val="0"/>
            <w:vAlign w:val="center"/>
          </w:tcPr>
          <w:p>
            <w:pPr>
              <w:spacing w:line="240" w:lineRule="auto"/>
              <w:jc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kern w:val="0"/>
                <w:sz w:val="20"/>
                <w:szCs w:val="20"/>
                <w:vertAlign w:val="baseline"/>
                <w:lang w:val="en-US" w:eastAsia="zh-CN" w:bidi="ar-SA"/>
              </w:rPr>
              <w:t>统计培训人次</w:t>
            </w:r>
          </w:p>
        </w:tc>
        <w:tc>
          <w:tcPr>
            <w:tcW w:w="859" w:type="dxa"/>
            <w:noWrap w:val="0"/>
            <w:vAlign w:val="center"/>
          </w:tcPr>
          <w:p>
            <w:pPr>
              <w:spacing w:line="240" w:lineRule="auto"/>
              <w:jc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kern w:val="0"/>
                <w:sz w:val="20"/>
                <w:szCs w:val="20"/>
                <w:vertAlign w:val="baseline"/>
                <w:lang w:val="en-US" w:eastAsia="zh-CN" w:bidi="ar-SA"/>
              </w:rPr>
              <w:t>反应统计培训人次情况</w:t>
            </w:r>
          </w:p>
        </w:tc>
        <w:tc>
          <w:tcPr>
            <w:tcW w:w="609" w:type="dxa"/>
            <w:noWrap w:val="0"/>
            <w:vAlign w:val="center"/>
          </w:tcPr>
          <w:p>
            <w:pPr>
              <w:spacing w:line="240" w:lineRule="auto"/>
              <w:jc w:val="center"/>
              <w:rPr>
                <w:rFonts w:hint="eastAsia" w:ascii="华文细黑" w:hAnsi="华文细黑" w:eastAsia="华文细黑" w:cs="华文细黑"/>
                <w:kern w:val="0"/>
                <w:sz w:val="20"/>
                <w:szCs w:val="20"/>
                <w:vertAlign w:val="baseline"/>
                <w:lang w:val="en-US" w:eastAsia="zh-CN" w:bidi="ar-SA"/>
              </w:rPr>
            </w:pPr>
            <w:r>
              <w:rPr>
                <w:rFonts w:hint="eastAsia" w:ascii="微软雅黑" w:hAnsi="微软雅黑" w:eastAsia="微软雅黑" w:cs="微软雅黑"/>
                <w:kern w:val="0"/>
                <w:sz w:val="20"/>
                <w:szCs w:val="20"/>
                <w:vertAlign w:val="baseline"/>
                <w:lang w:val="en-US" w:eastAsia="zh-CN" w:bidi="ar-SA"/>
              </w:rPr>
              <w:t>≥</w:t>
            </w:r>
            <w:r>
              <w:rPr>
                <w:rFonts w:hint="eastAsia" w:ascii="华文细黑" w:hAnsi="华文细黑" w:eastAsia="华文细黑" w:cs="华文细黑"/>
                <w:kern w:val="0"/>
                <w:sz w:val="20"/>
                <w:szCs w:val="20"/>
                <w:vertAlign w:val="baseline"/>
                <w:lang w:val="en-US" w:eastAsia="zh-CN" w:bidi="ar-SA"/>
              </w:rPr>
              <w:t>50人</w:t>
            </w:r>
          </w:p>
        </w:tc>
        <w:tc>
          <w:tcPr>
            <w:tcW w:w="641"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2"/>
                <w:sz w:val="16"/>
                <w:szCs w:val="16"/>
                <w:u w:val="none"/>
                <w:lang w:val="en-US" w:eastAsia="zh-CN" w:bidi="ar-S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166"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质量指标</w:t>
            </w:r>
          </w:p>
        </w:tc>
        <w:tc>
          <w:tcPr>
            <w:tcW w:w="736"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采纳统计分析数据质量</w:t>
            </w:r>
          </w:p>
        </w:tc>
        <w:tc>
          <w:tcPr>
            <w:tcW w:w="859"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被采纳统计分析数量质量篇数</w:t>
            </w:r>
          </w:p>
        </w:tc>
        <w:tc>
          <w:tcPr>
            <w:tcW w:w="609"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微软雅黑" w:hAnsi="微软雅黑" w:eastAsia="微软雅黑" w:cs="微软雅黑"/>
                <w:kern w:val="0"/>
                <w:sz w:val="20"/>
                <w:szCs w:val="20"/>
                <w:vertAlign w:val="baseline"/>
              </w:rPr>
              <w:t>≥</w:t>
            </w:r>
            <w:r>
              <w:rPr>
                <w:rFonts w:hint="eastAsia" w:ascii="华文细黑" w:hAnsi="华文细黑" w:eastAsia="华文细黑" w:cs="华文细黑"/>
                <w:kern w:val="0"/>
                <w:sz w:val="20"/>
                <w:szCs w:val="20"/>
                <w:vertAlign w:val="baseline"/>
              </w:rPr>
              <w:t>2篇</w:t>
            </w: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166"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时效指标</w:t>
            </w:r>
          </w:p>
        </w:tc>
        <w:tc>
          <w:tcPr>
            <w:tcW w:w="736"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59"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09"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restart"/>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效益指标</w:t>
            </w:r>
          </w:p>
        </w:tc>
        <w:tc>
          <w:tcPr>
            <w:tcW w:w="1166"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经济效益指标</w:t>
            </w:r>
          </w:p>
        </w:tc>
        <w:tc>
          <w:tcPr>
            <w:tcW w:w="736"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59"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09"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166"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社会效益指标</w:t>
            </w:r>
          </w:p>
        </w:tc>
        <w:tc>
          <w:tcPr>
            <w:tcW w:w="736"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为白城市提供人口和就业主要数据</w:t>
            </w:r>
          </w:p>
        </w:tc>
        <w:tc>
          <w:tcPr>
            <w:tcW w:w="859"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为白城市提供人口和就业主要数据篇数</w:t>
            </w:r>
          </w:p>
        </w:tc>
        <w:tc>
          <w:tcPr>
            <w:tcW w:w="609"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微软雅黑" w:hAnsi="微软雅黑" w:eastAsia="微软雅黑" w:cs="微软雅黑"/>
                <w:kern w:val="0"/>
                <w:sz w:val="20"/>
                <w:szCs w:val="20"/>
                <w:vertAlign w:val="baseline"/>
              </w:rPr>
              <w:t>≥</w:t>
            </w:r>
            <w:r>
              <w:rPr>
                <w:rFonts w:hint="eastAsia" w:ascii="华文细黑" w:hAnsi="华文细黑" w:eastAsia="华文细黑" w:cs="华文细黑"/>
                <w:kern w:val="0"/>
                <w:sz w:val="20"/>
                <w:szCs w:val="20"/>
                <w:vertAlign w:val="baseline"/>
              </w:rPr>
              <w:t>2篇</w:t>
            </w: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166"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生态效益指标</w:t>
            </w:r>
          </w:p>
        </w:tc>
        <w:tc>
          <w:tcPr>
            <w:tcW w:w="736"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59"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09"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满意度指标</w:t>
            </w:r>
          </w:p>
        </w:tc>
        <w:tc>
          <w:tcPr>
            <w:tcW w:w="1166"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服务对象满意度指标</w:t>
            </w:r>
          </w:p>
        </w:tc>
        <w:tc>
          <w:tcPr>
            <w:tcW w:w="736"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59"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09"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效目标</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restart"/>
            <w:tcBorders>
              <w:top w:val="single" w:color="000000" w:sz="4" w:space="0"/>
              <w:left w:val="single" w:color="000000" w:sz="4" w:space="0"/>
              <w:right w:val="single" w:color="000000" w:sz="4" w:space="0"/>
            </w:tcBorders>
            <w:noWrap w:val="0"/>
            <w:vAlign w:val="center"/>
          </w:tcPr>
          <w:p>
            <w:pPr>
              <w:tabs>
                <w:tab w:val="left" w:pos="288"/>
              </w:tabs>
              <w:spacing w:line="240" w:lineRule="auto"/>
              <w:jc w:val="left"/>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白城市统计局（本级）</w:t>
            </w:r>
          </w:p>
        </w:tc>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第五次全国经济普查经费</w:t>
            </w:r>
          </w:p>
        </w:tc>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9.62</w:t>
            </w:r>
          </w:p>
        </w:tc>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负责全市经济普查的组织实施，具体包括全市各级领导和办公机构组建、普查细则制订、普查员选调及培训、普查区划分及电子地图绘制、PDA软件及地图加载、单位清查摸底并形成单位底册、入户登记、数据质量控制及抽查、数据处理等。通过投入产出调查，分析出白城市的社会需求和产业结果是否满足未来发展需求。</w:t>
            </w:r>
          </w:p>
        </w:tc>
        <w:tc>
          <w:tcPr>
            <w:tcW w:w="77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成本指标</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经济成本指标</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166" w:type="dxa"/>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社会成本指标</w:t>
            </w:r>
          </w:p>
        </w:tc>
        <w:tc>
          <w:tcPr>
            <w:tcW w:w="736" w:type="dxa"/>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59" w:type="dxa"/>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09" w:type="dxa"/>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166"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生态环境成本指标</w:t>
            </w:r>
          </w:p>
        </w:tc>
        <w:tc>
          <w:tcPr>
            <w:tcW w:w="736"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59"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09"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restart"/>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产出指标</w:t>
            </w:r>
          </w:p>
        </w:tc>
        <w:tc>
          <w:tcPr>
            <w:tcW w:w="1166"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736" w:type="dxa"/>
            <w:noWrap w:val="0"/>
            <w:vAlign w:val="center"/>
          </w:tcPr>
          <w:p>
            <w:pPr>
              <w:spacing w:line="240" w:lineRule="auto"/>
              <w:jc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kern w:val="0"/>
                <w:sz w:val="20"/>
                <w:szCs w:val="20"/>
                <w:vertAlign w:val="baseline"/>
                <w:lang w:val="en-US" w:eastAsia="zh-CN" w:bidi="ar-SA"/>
              </w:rPr>
              <w:t>普查员、普查指导员补贴发放人数</w:t>
            </w:r>
          </w:p>
        </w:tc>
        <w:tc>
          <w:tcPr>
            <w:tcW w:w="859" w:type="dxa"/>
            <w:noWrap w:val="0"/>
            <w:vAlign w:val="center"/>
          </w:tcPr>
          <w:p>
            <w:pPr>
              <w:spacing w:line="240" w:lineRule="auto"/>
              <w:jc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kern w:val="0"/>
                <w:sz w:val="20"/>
                <w:szCs w:val="20"/>
                <w:vertAlign w:val="baseline"/>
                <w:lang w:val="en-US" w:eastAsia="zh-CN" w:bidi="ar-SA"/>
              </w:rPr>
              <w:t>反映普查员、普查指导员补贴发放人数。</w:t>
            </w:r>
          </w:p>
        </w:tc>
        <w:tc>
          <w:tcPr>
            <w:tcW w:w="609" w:type="dxa"/>
            <w:noWrap w:val="0"/>
            <w:vAlign w:val="center"/>
          </w:tcPr>
          <w:p>
            <w:pPr>
              <w:spacing w:line="240" w:lineRule="auto"/>
              <w:jc w:val="center"/>
              <w:rPr>
                <w:rFonts w:hint="eastAsia" w:ascii="华文细黑" w:hAnsi="华文细黑" w:eastAsia="华文细黑" w:cs="华文细黑"/>
                <w:kern w:val="0"/>
                <w:sz w:val="20"/>
                <w:szCs w:val="20"/>
                <w:vertAlign w:val="baseline"/>
                <w:lang w:val="en-US" w:eastAsia="zh-CN" w:bidi="ar-SA"/>
              </w:rPr>
            </w:pPr>
            <w:r>
              <w:rPr>
                <w:rFonts w:hint="eastAsia" w:ascii="微软雅黑" w:hAnsi="微软雅黑" w:eastAsia="微软雅黑" w:cs="微软雅黑"/>
                <w:kern w:val="0"/>
                <w:sz w:val="20"/>
                <w:szCs w:val="20"/>
                <w:vertAlign w:val="baseline"/>
                <w:lang w:val="en-US" w:eastAsia="zh-CN" w:bidi="ar-SA"/>
              </w:rPr>
              <w:t>≥</w:t>
            </w:r>
            <w:r>
              <w:rPr>
                <w:rFonts w:hint="eastAsia" w:ascii="华文细黑" w:hAnsi="华文细黑" w:eastAsia="华文细黑" w:cs="华文细黑"/>
                <w:kern w:val="0"/>
                <w:sz w:val="20"/>
                <w:szCs w:val="20"/>
                <w:vertAlign w:val="baseline"/>
                <w:lang w:val="en-US" w:eastAsia="zh-CN" w:bidi="ar-SA"/>
              </w:rPr>
              <w:t>60人</w:t>
            </w:r>
          </w:p>
        </w:tc>
        <w:tc>
          <w:tcPr>
            <w:tcW w:w="641"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2"/>
                <w:sz w:val="16"/>
                <w:szCs w:val="16"/>
                <w:u w:val="none"/>
                <w:lang w:val="en-US" w:eastAsia="zh-CN" w:bidi="ar-SA"/>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166"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质量指标</w:t>
            </w:r>
          </w:p>
        </w:tc>
        <w:tc>
          <w:tcPr>
            <w:tcW w:w="736"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59"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09"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166"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时效指标</w:t>
            </w:r>
          </w:p>
        </w:tc>
        <w:tc>
          <w:tcPr>
            <w:tcW w:w="736"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59"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09"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restart"/>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效益指标</w:t>
            </w:r>
          </w:p>
        </w:tc>
        <w:tc>
          <w:tcPr>
            <w:tcW w:w="1166"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经济效益指标</w:t>
            </w:r>
          </w:p>
        </w:tc>
        <w:tc>
          <w:tcPr>
            <w:tcW w:w="736"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59"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09"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166"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社会效益指标</w:t>
            </w:r>
          </w:p>
        </w:tc>
        <w:tc>
          <w:tcPr>
            <w:tcW w:w="736"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提供投入产出基础数据，为全省宏观经济决策提供参考依据。</w:t>
            </w:r>
          </w:p>
        </w:tc>
        <w:tc>
          <w:tcPr>
            <w:tcW w:w="859"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通过投入产出调研，数据汇总分析，向上级机关提供本市投入产出数据，更好的为全省经济决策提供参考依据</w:t>
            </w:r>
          </w:p>
        </w:tc>
        <w:tc>
          <w:tcPr>
            <w:tcW w:w="609"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微软雅黑" w:hAnsi="微软雅黑" w:eastAsia="微软雅黑" w:cs="微软雅黑"/>
                <w:kern w:val="0"/>
                <w:sz w:val="20"/>
                <w:szCs w:val="20"/>
                <w:vertAlign w:val="baseline"/>
              </w:rPr>
              <w:t>≥</w:t>
            </w:r>
            <w:r>
              <w:rPr>
                <w:rFonts w:hint="eastAsia" w:ascii="华文细黑" w:hAnsi="华文细黑" w:eastAsia="华文细黑" w:cs="华文细黑"/>
                <w:kern w:val="0"/>
                <w:sz w:val="20"/>
                <w:szCs w:val="20"/>
                <w:vertAlign w:val="baseline"/>
              </w:rPr>
              <w:t>2篇</w:t>
            </w: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166"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生态效益指标</w:t>
            </w:r>
          </w:p>
        </w:tc>
        <w:tc>
          <w:tcPr>
            <w:tcW w:w="736"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59"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09"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满意度指标</w:t>
            </w:r>
          </w:p>
        </w:tc>
        <w:tc>
          <w:tcPr>
            <w:tcW w:w="1166"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服务对象满意度指标</w:t>
            </w:r>
          </w:p>
        </w:tc>
        <w:tc>
          <w:tcPr>
            <w:tcW w:w="736"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59"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09"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bl>
    <w:p>
      <w:pPr>
        <w:ind w:firstLine="640" w:firstLineChars="200"/>
        <w:rPr>
          <w:rFonts w:hAnsi="楷体" w:eastAsia="楷体"/>
        </w:rPr>
      </w:pPr>
    </w:p>
    <w:p>
      <w:pPr>
        <w:ind w:firstLine="640" w:firstLineChars="200"/>
        <w:rPr>
          <w:rFonts w:hAnsi="楷体" w:eastAsia="楷体"/>
        </w:rPr>
      </w:pPr>
    </w:p>
    <w:p>
      <w:pPr>
        <w:jc w:val="both"/>
        <w:rPr>
          <w:rFonts w:eastAsia="黑体"/>
        </w:rPr>
      </w:pPr>
    </w:p>
    <w:p>
      <w:pPr>
        <w:jc w:val="both"/>
        <w:rPr>
          <w:rFonts w:eastAsia="黑体"/>
        </w:rPr>
      </w:pPr>
    </w:p>
    <w:p>
      <w:pPr>
        <w:ind w:firstLine="640" w:firstLineChars="200"/>
        <w:jc w:val="center"/>
        <w:rPr>
          <w:rFonts w:eastAsia="黑体"/>
        </w:rPr>
      </w:pPr>
      <w:r>
        <w:rPr>
          <w:rFonts w:eastAsia="黑体"/>
        </w:rPr>
        <w:t>第三部分 情况说明</w:t>
      </w:r>
    </w:p>
    <w:p>
      <w:pPr>
        <w:rPr>
          <w:rFonts w:eastAsia="仿宋"/>
          <w:szCs w:val="32"/>
        </w:rPr>
      </w:pPr>
    </w:p>
    <w:p>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4</w:t>
      </w:r>
      <w:r>
        <w:rPr>
          <w:rFonts w:eastAsia="黑体"/>
          <w:szCs w:val="32"/>
        </w:rPr>
        <w:t>年收支预算总体情况</w:t>
      </w:r>
    </w:p>
    <w:p>
      <w:pPr>
        <w:ind w:firstLine="640" w:firstLineChars="200"/>
        <w:rPr>
          <w:szCs w:val="32"/>
        </w:rPr>
      </w:pPr>
      <w:r>
        <w:rPr>
          <w:szCs w:val="32"/>
        </w:rPr>
        <w:t>按照综合预算的原则，所有收入和支出全部纳入</w:t>
      </w:r>
      <w:r>
        <w:rPr>
          <w:rFonts w:hint="eastAsia"/>
          <w:szCs w:val="32"/>
          <w:lang w:eastAsia="zh-CN"/>
        </w:rPr>
        <w:t>单位</w:t>
      </w:r>
      <w:r>
        <w:rPr>
          <w:szCs w:val="32"/>
        </w:rPr>
        <w:t>预算管理。收入包括：一般公共预算拨款收入、上年结转</w:t>
      </w:r>
      <w:r>
        <w:rPr>
          <w:rFonts w:hint="eastAsia"/>
          <w:szCs w:val="32"/>
        </w:rPr>
        <w:t>结余</w:t>
      </w:r>
      <w:r>
        <w:rPr>
          <w:szCs w:val="32"/>
        </w:rPr>
        <w:t>；支出包括：一般公共服务支出、社会保障和就业支出、住房保障支出、</w:t>
      </w:r>
      <w:r>
        <w:rPr>
          <w:rFonts w:hint="eastAsia"/>
          <w:szCs w:val="32"/>
        </w:rPr>
        <w:t>卫生健康</w:t>
      </w:r>
      <w:r>
        <w:rPr>
          <w:szCs w:val="32"/>
        </w:rPr>
        <w:t>支出。20</w:t>
      </w:r>
      <w:r>
        <w:rPr>
          <w:rFonts w:hint="eastAsia"/>
          <w:szCs w:val="32"/>
        </w:rPr>
        <w:t>2</w:t>
      </w:r>
      <w:r>
        <w:rPr>
          <w:rFonts w:hint="eastAsia"/>
          <w:szCs w:val="32"/>
          <w:lang w:val="en-US" w:eastAsia="zh-CN"/>
        </w:rPr>
        <w:t>4</w:t>
      </w:r>
      <w:r>
        <w:rPr>
          <w:szCs w:val="32"/>
        </w:rPr>
        <w:t>年收支总预算</w:t>
      </w:r>
      <w:r>
        <w:rPr>
          <w:rFonts w:hint="eastAsia"/>
          <w:szCs w:val="32"/>
        </w:rPr>
        <w:t>427.62</w:t>
      </w:r>
      <w:r>
        <w:rPr>
          <w:szCs w:val="32"/>
        </w:rPr>
        <w:t>万元</w:t>
      </w:r>
      <w:r>
        <w:rPr>
          <w:rFonts w:hint="eastAsia"/>
          <w:szCs w:val="32"/>
          <w:lang w:eastAsia="zh-CN"/>
        </w:rPr>
        <w:t>，其中：本年预算</w:t>
      </w:r>
      <w:r>
        <w:rPr>
          <w:rFonts w:hint="eastAsia"/>
          <w:szCs w:val="32"/>
          <w:u w:val="none"/>
        </w:rPr>
        <w:t>377.36</w:t>
      </w:r>
      <w:r>
        <w:rPr>
          <w:rFonts w:hint="eastAsia"/>
          <w:szCs w:val="32"/>
          <w:lang w:eastAsia="zh-CN"/>
        </w:rPr>
        <w:t>万元；上年结转</w:t>
      </w:r>
      <w:r>
        <w:rPr>
          <w:rFonts w:hint="eastAsia"/>
          <w:szCs w:val="32"/>
        </w:rPr>
        <w:t>50.26</w:t>
      </w:r>
      <w:r>
        <w:rPr>
          <w:rFonts w:hint="eastAsia"/>
          <w:szCs w:val="32"/>
          <w:lang w:eastAsia="zh-CN"/>
        </w:rPr>
        <w:t>万元。</w:t>
      </w:r>
      <w:r>
        <w:rPr>
          <w:rFonts w:hint="eastAsia"/>
          <w:szCs w:val="32"/>
          <w:lang w:val="en-US" w:eastAsia="zh-CN"/>
        </w:rPr>
        <w:t>2024年本年预算</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预算增加</w:t>
      </w:r>
      <w:r>
        <w:rPr>
          <w:rFonts w:hint="eastAsia"/>
          <w:szCs w:val="32"/>
          <w:lang w:val="en-US" w:eastAsia="zh-CN"/>
        </w:rPr>
        <w:t>41.91</w:t>
      </w:r>
      <w:r>
        <w:rPr>
          <w:szCs w:val="32"/>
        </w:rPr>
        <w:t>万元，主要原因是</w:t>
      </w:r>
      <w:r>
        <w:rPr>
          <w:szCs w:val="32"/>
        </w:rPr>
        <w:softHyphen/>
      </w:r>
      <w:r>
        <w:rPr>
          <w:szCs w:val="32"/>
        </w:rPr>
        <w:softHyphen/>
      </w:r>
      <w:r>
        <w:rPr>
          <w:szCs w:val="32"/>
        </w:rPr>
        <w:softHyphen/>
      </w:r>
      <w:r>
        <w:rPr>
          <w:rFonts w:hint="eastAsia"/>
          <w:szCs w:val="32"/>
        </w:rPr>
        <w:t>本年人员经费</w:t>
      </w:r>
      <w:r>
        <w:rPr>
          <w:rFonts w:hint="eastAsia"/>
          <w:szCs w:val="32"/>
          <w:lang w:eastAsia="zh-CN"/>
        </w:rPr>
        <w:t>与项目经费均较上年</w:t>
      </w:r>
      <w:r>
        <w:rPr>
          <w:rFonts w:hint="eastAsia"/>
          <w:szCs w:val="32"/>
        </w:rPr>
        <w:t>增加，导致</w:t>
      </w:r>
      <w:r>
        <w:rPr>
          <w:rFonts w:hint="eastAsia"/>
          <w:szCs w:val="32"/>
          <w:lang w:eastAsia="zh-CN"/>
        </w:rPr>
        <w:t>本年预算</w:t>
      </w:r>
      <w:r>
        <w:rPr>
          <w:rFonts w:hint="eastAsia"/>
          <w:szCs w:val="32"/>
        </w:rPr>
        <w:t>较上年增加</w:t>
      </w:r>
      <w:r>
        <w:rPr>
          <w:szCs w:val="32"/>
        </w:rPr>
        <w:t>。</w:t>
      </w:r>
    </w:p>
    <w:p>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4</w:t>
      </w:r>
      <w:r>
        <w:rPr>
          <w:rFonts w:eastAsia="黑体"/>
          <w:szCs w:val="32"/>
        </w:rPr>
        <w:t>年收入预算情况</w:t>
      </w:r>
    </w:p>
    <w:p>
      <w:pPr>
        <w:ind w:firstLine="640" w:firstLineChars="200"/>
        <w:rPr>
          <w:rFonts w:eastAsia="楷体"/>
          <w:szCs w:val="30"/>
        </w:rPr>
      </w:pPr>
      <w:r>
        <w:rPr>
          <w:szCs w:val="32"/>
          <w:highlight w:val="none"/>
        </w:rPr>
        <w:t>20</w:t>
      </w:r>
      <w:r>
        <w:rPr>
          <w:rFonts w:hint="eastAsia"/>
          <w:szCs w:val="32"/>
          <w:highlight w:val="none"/>
        </w:rPr>
        <w:t>2</w:t>
      </w:r>
      <w:r>
        <w:rPr>
          <w:rFonts w:hint="eastAsia"/>
          <w:szCs w:val="32"/>
          <w:highlight w:val="none"/>
          <w:lang w:val="en-US" w:eastAsia="zh-CN"/>
        </w:rPr>
        <w:t>4</w:t>
      </w:r>
      <w:r>
        <w:rPr>
          <w:szCs w:val="32"/>
          <w:highlight w:val="none"/>
        </w:rPr>
        <w:t>年收入预算</w:t>
      </w:r>
      <w:r>
        <w:rPr>
          <w:rFonts w:hint="eastAsia"/>
          <w:szCs w:val="32"/>
          <w:highlight w:val="none"/>
        </w:rPr>
        <w:t>427.62</w:t>
      </w:r>
      <w:r>
        <w:rPr>
          <w:szCs w:val="32"/>
          <w:highlight w:val="none"/>
        </w:rPr>
        <w:t>万元</w:t>
      </w:r>
      <w:r>
        <w:rPr>
          <w:szCs w:val="32"/>
        </w:rPr>
        <w:t>，其中：本年收入</w:t>
      </w:r>
      <w:r>
        <w:rPr>
          <w:rFonts w:hint="eastAsia"/>
          <w:szCs w:val="32"/>
        </w:rPr>
        <w:t>377.36</w:t>
      </w:r>
      <w:r>
        <w:rPr>
          <w:szCs w:val="32"/>
        </w:rPr>
        <w:t>万元，占</w:t>
      </w:r>
      <w:r>
        <w:rPr>
          <w:rFonts w:hint="eastAsia"/>
          <w:szCs w:val="32"/>
          <w:lang w:val="en-US" w:eastAsia="zh-CN"/>
        </w:rPr>
        <w:t>88.25</w:t>
      </w:r>
      <w:r>
        <w:rPr>
          <w:szCs w:val="32"/>
        </w:rPr>
        <w:t>%；上年结转</w:t>
      </w:r>
      <w:r>
        <w:rPr>
          <w:rFonts w:hint="eastAsia"/>
          <w:szCs w:val="32"/>
          <w:lang w:eastAsia="zh-CN"/>
        </w:rPr>
        <w:t>结余</w:t>
      </w:r>
      <w:r>
        <w:rPr>
          <w:rFonts w:hint="eastAsia"/>
          <w:szCs w:val="32"/>
        </w:rPr>
        <w:t>50.26</w:t>
      </w:r>
      <w:r>
        <w:rPr>
          <w:szCs w:val="32"/>
        </w:rPr>
        <w:t>万元，占</w:t>
      </w:r>
      <w:r>
        <w:rPr>
          <w:rFonts w:hint="eastAsia"/>
          <w:szCs w:val="32"/>
          <w:lang w:val="en-US" w:eastAsia="zh-CN"/>
        </w:rPr>
        <w:t>11.75</w:t>
      </w:r>
      <w:r>
        <w:rPr>
          <w:szCs w:val="32"/>
        </w:rPr>
        <w:t>%。本年收入中，一般公共预算拨款收入</w:t>
      </w:r>
      <w:r>
        <w:rPr>
          <w:rFonts w:hint="eastAsia"/>
          <w:szCs w:val="32"/>
        </w:rPr>
        <w:t>377.36</w:t>
      </w:r>
      <w:r>
        <w:rPr>
          <w:szCs w:val="32"/>
        </w:rPr>
        <w:t>万元，占</w:t>
      </w:r>
      <w:r>
        <w:rPr>
          <w:rFonts w:hint="eastAsia"/>
          <w:szCs w:val="32"/>
          <w:lang w:val="en-US" w:eastAsia="zh-CN"/>
        </w:rPr>
        <w:t>100</w:t>
      </w:r>
      <w:r>
        <w:rPr>
          <w:szCs w:val="32"/>
        </w:rPr>
        <w:t>%</w:t>
      </w:r>
      <w:r>
        <w:rPr>
          <w:rFonts w:hint="eastAsia"/>
          <w:szCs w:val="32"/>
        </w:rPr>
        <w:t>。</w:t>
      </w:r>
      <w:r>
        <w:rPr>
          <w:szCs w:val="32"/>
        </w:rPr>
        <w:t>上年结转</w:t>
      </w:r>
      <w:r>
        <w:rPr>
          <w:rFonts w:hint="eastAsia"/>
          <w:szCs w:val="32"/>
        </w:rPr>
        <w:t>中，一般公共预算拨款结转50.26</w:t>
      </w:r>
      <w:r>
        <w:rPr>
          <w:szCs w:val="32"/>
        </w:rPr>
        <w:t>万元，占</w:t>
      </w:r>
      <w:r>
        <w:rPr>
          <w:rFonts w:hint="eastAsia"/>
          <w:szCs w:val="32"/>
          <w:lang w:val="en-US" w:eastAsia="zh-CN"/>
        </w:rPr>
        <w:t>100</w:t>
      </w:r>
      <w:r>
        <w:rPr>
          <w:szCs w:val="32"/>
        </w:rPr>
        <w:t>%</w:t>
      </w:r>
      <w:r>
        <w:rPr>
          <w:rFonts w:hint="eastAsia"/>
          <w:szCs w:val="32"/>
        </w:rPr>
        <w:t>。</w:t>
      </w:r>
    </w:p>
    <w:p>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4</w:t>
      </w:r>
      <w:r>
        <w:rPr>
          <w:rFonts w:eastAsia="黑体"/>
          <w:szCs w:val="32"/>
        </w:rPr>
        <w:t>年支出预算情况</w:t>
      </w:r>
    </w:p>
    <w:p>
      <w:pPr>
        <w:ind w:firstLine="640" w:firstLineChars="200"/>
        <w:rPr>
          <w:rFonts w:eastAsia="楷体"/>
          <w:szCs w:val="32"/>
        </w:rPr>
      </w:pPr>
      <w:r>
        <w:rPr>
          <w:szCs w:val="32"/>
          <w:highlight w:val="none"/>
        </w:rPr>
        <w:t>20</w:t>
      </w:r>
      <w:r>
        <w:rPr>
          <w:rFonts w:hint="eastAsia"/>
          <w:szCs w:val="32"/>
          <w:highlight w:val="none"/>
        </w:rPr>
        <w:t>2</w:t>
      </w:r>
      <w:r>
        <w:rPr>
          <w:rFonts w:hint="eastAsia"/>
          <w:szCs w:val="32"/>
          <w:highlight w:val="none"/>
          <w:lang w:val="en-US" w:eastAsia="zh-CN"/>
        </w:rPr>
        <w:t>4</w:t>
      </w:r>
      <w:r>
        <w:rPr>
          <w:szCs w:val="32"/>
          <w:highlight w:val="none"/>
        </w:rPr>
        <w:t>年支出预算</w:t>
      </w:r>
      <w:r>
        <w:rPr>
          <w:rFonts w:hint="eastAsia"/>
          <w:szCs w:val="32"/>
          <w:highlight w:val="none"/>
        </w:rPr>
        <w:t>427.61</w:t>
      </w:r>
      <w:r>
        <w:rPr>
          <w:szCs w:val="32"/>
          <w:highlight w:val="none"/>
        </w:rPr>
        <w:t>万元</w:t>
      </w:r>
      <w:r>
        <w:rPr>
          <w:szCs w:val="32"/>
        </w:rPr>
        <w:t>，其中：基本支出</w:t>
      </w:r>
      <w:r>
        <w:rPr>
          <w:rFonts w:hint="eastAsia"/>
          <w:szCs w:val="32"/>
        </w:rPr>
        <w:t>386.32</w:t>
      </w:r>
      <w:r>
        <w:rPr>
          <w:szCs w:val="32"/>
        </w:rPr>
        <w:t>万元，占</w:t>
      </w:r>
      <w:r>
        <w:rPr>
          <w:rFonts w:hint="eastAsia"/>
          <w:szCs w:val="32"/>
          <w:lang w:val="en-US" w:eastAsia="zh-CN"/>
        </w:rPr>
        <w:t>86.13</w:t>
      </w:r>
      <w:r>
        <w:rPr>
          <w:szCs w:val="32"/>
        </w:rPr>
        <w:t>%；项目支出</w:t>
      </w:r>
      <w:r>
        <w:rPr>
          <w:rFonts w:hint="eastAsia"/>
          <w:szCs w:val="32"/>
        </w:rPr>
        <w:t>41.29</w:t>
      </w:r>
      <w:r>
        <w:rPr>
          <w:szCs w:val="32"/>
        </w:rPr>
        <w:t>万元，占</w:t>
      </w:r>
      <w:r>
        <w:rPr>
          <w:rFonts w:hint="eastAsia"/>
          <w:szCs w:val="32"/>
          <w:lang w:val="en-US" w:eastAsia="zh-CN"/>
        </w:rPr>
        <w:t>13.87</w:t>
      </w:r>
      <w:r>
        <w:rPr>
          <w:szCs w:val="32"/>
        </w:rPr>
        <w:t>%。</w:t>
      </w:r>
    </w:p>
    <w:p>
      <w:pPr>
        <w:ind w:firstLine="600"/>
        <w:rPr>
          <w:rFonts w:eastAsia="黑体"/>
          <w:szCs w:val="32"/>
        </w:rPr>
      </w:pPr>
      <w:r>
        <w:rPr>
          <w:rFonts w:eastAsia="黑体"/>
          <w:szCs w:val="32"/>
        </w:rPr>
        <w:t>四、20</w:t>
      </w:r>
      <w:r>
        <w:rPr>
          <w:rFonts w:hint="eastAsia" w:eastAsia="黑体"/>
          <w:szCs w:val="32"/>
        </w:rPr>
        <w:t>2</w:t>
      </w:r>
      <w:r>
        <w:rPr>
          <w:rFonts w:hint="eastAsia"/>
          <w:szCs w:val="32"/>
          <w:lang w:val="en-US" w:eastAsia="zh-CN"/>
        </w:rPr>
        <w:t>4</w:t>
      </w:r>
      <w:r>
        <w:rPr>
          <w:rFonts w:eastAsia="黑体"/>
          <w:szCs w:val="32"/>
        </w:rPr>
        <w:t>年财政拨款收支预算情况</w:t>
      </w:r>
    </w:p>
    <w:p>
      <w:pPr>
        <w:ind w:firstLine="600"/>
        <w:rPr>
          <w:rFonts w:hint="eastAsia" w:eastAsia="仿宋_GB2312"/>
          <w:szCs w:val="32"/>
          <w:lang w:eastAsia="zh-CN"/>
        </w:rPr>
      </w:pPr>
      <w:r>
        <w:rPr>
          <w:szCs w:val="32"/>
        </w:rPr>
        <w:t>20</w:t>
      </w:r>
      <w:r>
        <w:rPr>
          <w:rFonts w:hint="eastAsia"/>
          <w:szCs w:val="32"/>
        </w:rPr>
        <w:t>2</w:t>
      </w:r>
      <w:r>
        <w:rPr>
          <w:rFonts w:hint="eastAsia"/>
          <w:szCs w:val="32"/>
          <w:lang w:val="en-US" w:eastAsia="zh-CN"/>
        </w:rPr>
        <w:t>4</w:t>
      </w:r>
      <w:r>
        <w:rPr>
          <w:szCs w:val="32"/>
        </w:rPr>
        <w:t>年财政拨款收支总预算</w:t>
      </w:r>
      <w:r>
        <w:rPr>
          <w:rFonts w:hint="eastAsia"/>
          <w:szCs w:val="32"/>
        </w:rPr>
        <w:t>427.62</w:t>
      </w:r>
      <w:r>
        <w:rPr>
          <w:szCs w:val="32"/>
        </w:rPr>
        <w:t>万元，其中：</w:t>
      </w:r>
      <w:r>
        <w:rPr>
          <w:rFonts w:hint="eastAsia"/>
          <w:szCs w:val="32"/>
        </w:rPr>
        <w:t>本年</w:t>
      </w:r>
      <w:r>
        <w:rPr>
          <w:rFonts w:hint="eastAsia"/>
          <w:szCs w:val="32"/>
          <w:lang w:eastAsia="zh-CN"/>
        </w:rPr>
        <w:t>预算</w:t>
      </w:r>
      <w:r>
        <w:rPr>
          <w:rFonts w:hint="eastAsia"/>
          <w:szCs w:val="32"/>
        </w:rPr>
        <w:t>377.36</w:t>
      </w:r>
      <w:r>
        <w:rPr>
          <w:szCs w:val="32"/>
        </w:rPr>
        <w:t>万元</w:t>
      </w:r>
      <w:r>
        <w:rPr>
          <w:rFonts w:hint="eastAsia"/>
          <w:szCs w:val="32"/>
        </w:rPr>
        <w:t>，上年结转50.26</w:t>
      </w:r>
      <w:r>
        <w:rPr>
          <w:szCs w:val="32"/>
        </w:rPr>
        <w:t>万元</w:t>
      </w:r>
      <w:r>
        <w:rPr>
          <w:rFonts w:hint="eastAsia"/>
          <w:szCs w:val="32"/>
        </w:rPr>
        <w:t>。</w:t>
      </w:r>
      <w:r>
        <w:rPr>
          <w:szCs w:val="32"/>
        </w:rPr>
        <w:t>支出包括：</w:t>
      </w:r>
      <w:r>
        <w:rPr>
          <w:kern w:val="0"/>
          <w:szCs w:val="32"/>
        </w:rPr>
        <w:t>一般公共服务支出</w:t>
      </w:r>
      <w:r>
        <w:rPr>
          <w:rFonts w:hint="eastAsia"/>
          <w:szCs w:val="32"/>
        </w:rPr>
        <w:t>328.68</w:t>
      </w:r>
      <w:r>
        <w:rPr>
          <w:szCs w:val="32"/>
        </w:rPr>
        <w:t>万元，</w:t>
      </w:r>
      <w:r>
        <w:rPr>
          <w:kern w:val="0"/>
          <w:szCs w:val="32"/>
        </w:rPr>
        <w:t>社会保障和就业支出</w:t>
      </w:r>
      <w:r>
        <w:rPr>
          <w:rFonts w:hint="eastAsia"/>
          <w:szCs w:val="32"/>
        </w:rPr>
        <w:t>58.5</w:t>
      </w:r>
      <w:r>
        <w:rPr>
          <w:rFonts w:hint="eastAsia"/>
          <w:szCs w:val="32"/>
          <w:lang w:val="en-US" w:eastAsia="zh-CN"/>
        </w:rPr>
        <w:t>4</w:t>
      </w:r>
      <w:r>
        <w:rPr>
          <w:szCs w:val="32"/>
        </w:rPr>
        <w:t>万元，</w:t>
      </w:r>
      <w:r>
        <w:rPr>
          <w:kern w:val="0"/>
          <w:szCs w:val="32"/>
        </w:rPr>
        <w:t>卫生</w:t>
      </w:r>
      <w:r>
        <w:rPr>
          <w:rFonts w:hint="eastAsia"/>
          <w:kern w:val="0"/>
          <w:szCs w:val="32"/>
        </w:rPr>
        <w:t>健康</w:t>
      </w:r>
      <w:r>
        <w:rPr>
          <w:kern w:val="0"/>
          <w:szCs w:val="32"/>
        </w:rPr>
        <w:t>支出</w:t>
      </w:r>
      <w:r>
        <w:rPr>
          <w:rFonts w:hint="eastAsia"/>
          <w:szCs w:val="32"/>
        </w:rPr>
        <w:t>8.92</w:t>
      </w:r>
      <w:r>
        <w:rPr>
          <w:szCs w:val="32"/>
        </w:rPr>
        <w:t>万元，</w:t>
      </w:r>
      <w:r>
        <w:rPr>
          <w:kern w:val="0"/>
          <w:szCs w:val="32"/>
        </w:rPr>
        <w:t>住房保障支出</w:t>
      </w:r>
      <w:r>
        <w:rPr>
          <w:rFonts w:hint="eastAsia"/>
          <w:szCs w:val="32"/>
        </w:rPr>
        <w:t>31.48</w:t>
      </w:r>
      <w:r>
        <w:rPr>
          <w:szCs w:val="32"/>
        </w:rPr>
        <w:t>万元</w:t>
      </w:r>
      <w:r>
        <w:rPr>
          <w:rFonts w:hint="eastAsia"/>
          <w:szCs w:val="32"/>
          <w:lang w:eastAsia="zh-CN"/>
        </w:rPr>
        <w:t>。</w:t>
      </w:r>
    </w:p>
    <w:p>
      <w:pPr>
        <w:ind w:firstLine="600"/>
        <w:rPr>
          <w:rFonts w:eastAsia="黑体"/>
          <w:szCs w:val="30"/>
        </w:rPr>
      </w:pPr>
      <w:r>
        <w:rPr>
          <w:rFonts w:eastAsia="黑体"/>
          <w:szCs w:val="30"/>
        </w:rPr>
        <w:t>五、20</w:t>
      </w:r>
      <w:r>
        <w:rPr>
          <w:rFonts w:hint="eastAsia" w:eastAsia="黑体"/>
          <w:szCs w:val="30"/>
        </w:rPr>
        <w:t>2</w:t>
      </w:r>
      <w:r>
        <w:rPr>
          <w:rFonts w:hint="eastAsia"/>
          <w:szCs w:val="32"/>
          <w:lang w:val="en-US" w:eastAsia="zh-CN"/>
        </w:rPr>
        <w:t>4</w:t>
      </w:r>
      <w:r>
        <w:rPr>
          <w:rFonts w:eastAsia="黑体"/>
          <w:szCs w:val="30"/>
        </w:rPr>
        <w:t>年一般公共预算</w:t>
      </w:r>
      <w:r>
        <w:rPr>
          <w:rFonts w:hint="eastAsia" w:eastAsia="黑体"/>
          <w:szCs w:val="30"/>
        </w:rPr>
        <w:t>支出</w:t>
      </w:r>
      <w:r>
        <w:rPr>
          <w:rFonts w:eastAsia="黑体"/>
          <w:szCs w:val="30"/>
        </w:rPr>
        <w:t>情况</w:t>
      </w:r>
    </w:p>
    <w:p>
      <w:pPr>
        <w:spacing w:line="520" w:lineRule="exact"/>
        <w:ind w:firstLine="640" w:firstLineChars="200"/>
        <w:rPr>
          <w:szCs w:val="32"/>
        </w:rPr>
      </w:pPr>
      <w:r>
        <w:rPr>
          <w:szCs w:val="32"/>
        </w:rPr>
        <w:t>20</w:t>
      </w:r>
      <w:r>
        <w:rPr>
          <w:rFonts w:hint="eastAsia"/>
          <w:szCs w:val="32"/>
        </w:rPr>
        <w:t>2</w:t>
      </w:r>
      <w:r>
        <w:rPr>
          <w:rFonts w:hint="eastAsia"/>
          <w:szCs w:val="32"/>
          <w:lang w:val="en-US" w:eastAsia="zh-CN"/>
        </w:rPr>
        <w:t>4</w:t>
      </w:r>
      <w:r>
        <w:rPr>
          <w:szCs w:val="32"/>
        </w:rPr>
        <w:t>年一般公共预算拨款</w:t>
      </w:r>
      <w:r>
        <w:rPr>
          <w:rFonts w:hint="eastAsia"/>
          <w:szCs w:val="32"/>
        </w:rPr>
        <w:t>427.61</w:t>
      </w:r>
      <w:r>
        <w:rPr>
          <w:szCs w:val="32"/>
        </w:rPr>
        <w:t>万元，其中：基本支出</w:t>
      </w:r>
      <w:r>
        <w:rPr>
          <w:rFonts w:hint="eastAsia"/>
          <w:szCs w:val="32"/>
        </w:rPr>
        <w:t>386.32</w:t>
      </w:r>
      <w:r>
        <w:rPr>
          <w:szCs w:val="32"/>
        </w:rPr>
        <w:t>万元，占</w:t>
      </w:r>
      <w:r>
        <w:rPr>
          <w:rFonts w:hint="eastAsia"/>
          <w:szCs w:val="32"/>
          <w:lang w:val="en-US" w:eastAsia="zh-CN"/>
        </w:rPr>
        <w:t>90.34</w:t>
      </w:r>
      <w:r>
        <w:rPr>
          <w:szCs w:val="32"/>
        </w:rPr>
        <w:t>%；项目支出</w:t>
      </w:r>
      <w:r>
        <w:rPr>
          <w:rFonts w:hint="eastAsia"/>
          <w:szCs w:val="32"/>
        </w:rPr>
        <w:t>41.29</w:t>
      </w:r>
      <w:r>
        <w:rPr>
          <w:szCs w:val="32"/>
        </w:rPr>
        <w:t>万元，占</w:t>
      </w:r>
      <w:r>
        <w:rPr>
          <w:rFonts w:hint="eastAsia"/>
          <w:szCs w:val="32"/>
          <w:lang w:val="en-US" w:eastAsia="zh-CN"/>
        </w:rPr>
        <w:t>9.66</w:t>
      </w:r>
      <w:r>
        <w:rPr>
          <w:szCs w:val="32"/>
        </w:rPr>
        <w:t>%。基本支出中，人员经费</w:t>
      </w:r>
      <w:r>
        <w:rPr>
          <w:rFonts w:hint="eastAsia"/>
          <w:szCs w:val="32"/>
        </w:rPr>
        <w:t>309.14</w:t>
      </w:r>
      <w:r>
        <w:rPr>
          <w:szCs w:val="32"/>
        </w:rPr>
        <w:t>万元，占</w:t>
      </w:r>
      <w:r>
        <w:rPr>
          <w:rFonts w:hint="eastAsia"/>
          <w:szCs w:val="32"/>
          <w:lang w:val="en-US" w:eastAsia="zh-CN"/>
        </w:rPr>
        <w:t>80.02</w:t>
      </w:r>
      <w:r>
        <w:rPr>
          <w:szCs w:val="32"/>
        </w:rPr>
        <w:t>%；公用经费</w:t>
      </w:r>
      <w:r>
        <w:rPr>
          <w:rFonts w:hint="eastAsia"/>
          <w:szCs w:val="32"/>
        </w:rPr>
        <w:t>77.18</w:t>
      </w:r>
      <w:r>
        <w:rPr>
          <w:szCs w:val="32"/>
        </w:rPr>
        <w:t>万元，占</w:t>
      </w:r>
      <w:r>
        <w:rPr>
          <w:rFonts w:hint="eastAsia"/>
          <w:szCs w:val="32"/>
          <w:lang w:val="en-US" w:eastAsia="zh-CN"/>
        </w:rPr>
        <w:t>19.98</w:t>
      </w:r>
      <w:r>
        <w:rPr>
          <w:szCs w:val="32"/>
        </w:rPr>
        <w:t>%。</w:t>
      </w:r>
    </w:p>
    <w:p>
      <w:pPr>
        <w:spacing w:line="520" w:lineRule="exact"/>
        <w:ind w:firstLine="640" w:firstLineChars="200"/>
        <w:rPr>
          <w:szCs w:val="32"/>
        </w:rPr>
      </w:pPr>
      <w:r>
        <w:rPr>
          <w:szCs w:val="32"/>
        </w:rPr>
        <w:t>一般公共服务（类）支出</w:t>
      </w:r>
      <w:r>
        <w:rPr>
          <w:rFonts w:hint="eastAsia"/>
          <w:szCs w:val="32"/>
        </w:rPr>
        <w:t>328.68</w:t>
      </w:r>
      <w:r>
        <w:rPr>
          <w:szCs w:val="32"/>
        </w:rPr>
        <w:t>万元，占</w:t>
      </w:r>
      <w:r>
        <w:rPr>
          <w:rFonts w:hint="eastAsia"/>
          <w:szCs w:val="32"/>
          <w:lang w:val="en-US" w:eastAsia="zh-CN"/>
        </w:rPr>
        <w:t>76.86</w:t>
      </w:r>
      <w:r>
        <w:rPr>
          <w:szCs w:val="32"/>
        </w:rPr>
        <w:t>%，主要用于</w:t>
      </w:r>
      <w:r>
        <w:rPr>
          <w:rFonts w:hint="eastAsia"/>
          <w:szCs w:val="32"/>
        </w:rPr>
        <w:t>保障职工工资正常发放，维持机关正常运转，完成年度统计工作任务</w:t>
      </w:r>
      <w:r>
        <w:rPr>
          <w:szCs w:val="32"/>
        </w:rPr>
        <w:t>。</w:t>
      </w:r>
    </w:p>
    <w:p>
      <w:pPr>
        <w:spacing w:line="520" w:lineRule="exact"/>
        <w:ind w:firstLine="640" w:firstLineChars="200"/>
        <w:rPr>
          <w:szCs w:val="32"/>
        </w:rPr>
      </w:pPr>
      <w:r>
        <w:rPr>
          <w:szCs w:val="32"/>
        </w:rPr>
        <w:t>社会保障和就业（类）支出</w:t>
      </w:r>
      <w:r>
        <w:rPr>
          <w:rFonts w:hint="eastAsia"/>
          <w:szCs w:val="32"/>
        </w:rPr>
        <w:t>58.53</w:t>
      </w:r>
      <w:r>
        <w:rPr>
          <w:szCs w:val="32"/>
        </w:rPr>
        <w:t>万元，占</w:t>
      </w:r>
      <w:r>
        <w:rPr>
          <w:rFonts w:hint="eastAsia"/>
          <w:szCs w:val="32"/>
          <w:lang w:val="en-US" w:eastAsia="zh-CN"/>
        </w:rPr>
        <w:t>13.69</w:t>
      </w:r>
      <w:r>
        <w:rPr>
          <w:szCs w:val="32"/>
        </w:rPr>
        <w:t>%，主要用于</w:t>
      </w:r>
      <w:r>
        <w:rPr>
          <w:rFonts w:hint="eastAsia"/>
          <w:szCs w:val="32"/>
        </w:rPr>
        <w:t>保障退休职工工资及机关事业单位基本养老保险缴费支出。</w:t>
      </w:r>
    </w:p>
    <w:p>
      <w:pPr>
        <w:spacing w:line="520" w:lineRule="exact"/>
        <w:ind w:firstLine="640" w:firstLineChars="200"/>
        <w:rPr>
          <w:szCs w:val="32"/>
        </w:rPr>
      </w:pPr>
      <w:r>
        <w:rPr>
          <w:rFonts w:hint="eastAsia"/>
          <w:szCs w:val="32"/>
        </w:rPr>
        <w:t>卫生健康</w:t>
      </w:r>
      <w:r>
        <w:rPr>
          <w:szCs w:val="32"/>
        </w:rPr>
        <w:t>支出（类）支出</w:t>
      </w:r>
      <w:r>
        <w:rPr>
          <w:rFonts w:hint="eastAsia"/>
          <w:szCs w:val="32"/>
        </w:rPr>
        <w:t>8.92</w:t>
      </w:r>
      <w:r>
        <w:rPr>
          <w:szCs w:val="32"/>
        </w:rPr>
        <w:t>万元，占</w:t>
      </w:r>
      <w:r>
        <w:rPr>
          <w:rFonts w:hint="eastAsia"/>
          <w:szCs w:val="32"/>
          <w:lang w:val="en-US" w:eastAsia="zh-CN"/>
        </w:rPr>
        <w:t>2.09</w:t>
      </w:r>
      <w:r>
        <w:rPr>
          <w:szCs w:val="32"/>
        </w:rPr>
        <w:t>%，主要用于</w:t>
      </w:r>
      <w:r>
        <w:rPr>
          <w:rFonts w:hint="eastAsia"/>
          <w:szCs w:val="32"/>
        </w:rPr>
        <w:t>缴纳职工医疗保险</w:t>
      </w:r>
      <w:r>
        <w:rPr>
          <w:szCs w:val="32"/>
        </w:rPr>
        <w:t>。</w:t>
      </w:r>
    </w:p>
    <w:p>
      <w:pPr>
        <w:spacing w:line="520" w:lineRule="exact"/>
        <w:ind w:firstLine="640" w:firstLineChars="200"/>
        <w:rPr>
          <w:rFonts w:hint="eastAsia"/>
          <w:szCs w:val="32"/>
        </w:rPr>
      </w:pPr>
      <w:r>
        <w:rPr>
          <w:szCs w:val="32"/>
        </w:rPr>
        <w:t>住房保障（类）支出</w:t>
      </w:r>
      <w:r>
        <w:rPr>
          <w:rFonts w:hint="eastAsia"/>
          <w:szCs w:val="32"/>
        </w:rPr>
        <w:t>31.48</w:t>
      </w:r>
      <w:r>
        <w:rPr>
          <w:szCs w:val="32"/>
        </w:rPr>
        <w:t>万元，占</w:t>
      </w:r>
      <w:r>
        <w:rPr>
          <w:rFonts w:hint="eastAsia"/>
          <w:szCs w:val="32"/>
          <w:lang w:val="en-US" w:eastAsia="zh-CN"/>
        </w:rPr>
        <w:t>7.36</w:t>
      </w:r>
      <w:r>
        <w:rPr>
          <w:szCs w:val="32"/>
        </w:rPr>
        <w:t>%，主要用于</w:t>
      </w:r>
      <w:r>
        <w:rPr>
          <w:rFonts w:hint="eastAsia"/>
          <w:szCs w:val="32"/>
        </w:rPr>
        <w:t>缴纳职工住房公积金</w:t>
      </w:r>
      <w:r>
        <w:rPr>
          <w:szCs w:val="32"/>
        </w:rPr>
        <w:t>。</w:t>
      </w:r>
    </w:p>
    <w:p>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lang w:val="en-US" w:eastAsia="zh-CN"/>
        </w:rPr>
        <w:t>4</w:t>
      </w:r>
      <w:r>
        <w:rPr>
          <w:rFonts w:eastAsia="黑体"/>
          <w:szCs w:val="32"/>
        </w:rPr>
        <w:t>年一般公共预算基本支出情况</w:t>
      </w:r>
    </w:p>
    <w:p>
      <w:pPr>
        <w:ind w:firstLine="640"/>
        <w:rPr>
          <w:szCs w:val="32"/>
        </w:rPr>
      </w:pPr>
      <w:r>
        <w:rPr>
          <w:szCs w:val="32"/>
        </w:rPr>
        <w:t>20</w:t>
      </w:r>
      <w:r>
        <w:rPr>
          <w:rFonts w:hint="eastAsia"/>
          <w:szCs w:val="32"/>
        </w:rPr>
        <w:t>2</w:t>
      </w:r>
      <w:r>
        <w:rPr>
          <w:rFonts w:hint="eastAsia"/>
          <w:szCs w:val="32"/>
          <w:lang w:val="en-US" w:eastAsia="zh-CN"/>
        </w:rPr>
        <w:t>4</w:t>
      </w:r>
      <w:r>
        <w:rPr>
          <w:szCs w:val="32"/>
        </w:rPr>
        <w:t>年一般公共预算基本支出</w:t>
      </w:r>
      <w:r>
        <w:rPr>
          <w:rFonts w:hint="eastAsia"/>
          <w:szCs w:val="32"/>
          <w:lang w:val="en-US" w:eastAsia="zh-CN"/>
        </w:rPr>
        <w:t>386.32</w:t>
      </w:r>
      <w:r>
        <w:rPr>
          <w:szCs w:val="32"/>
        </w:rPr>
        <w:t>万元，其中：</w:t>
      </w:r>
    </w:p>
    <w:p>
      <w:pPr>
        <w:ind w:firstLine="640" w:firstLineChars="200"/>
        <w:rPr>
          <w:kern w:val="0"/>
          <w:szCs w:val="32"/>
        </w:rPr>
      </w:pPr>
      <w:r>
        <w:rPr>
          <w:szCs w:val="32"/>
        </w:rPr>
        <w:t>人员经费</w:t>
      </w:r>
      <w:r>
        <w:rPr>
          <w:rFonts w:hint="eastAsia"/>
          <w:szCs w:val="32"/>
        </w:rPr>
        <w:t>309.14</w:t>
      </w:r>
      <w:r>
        <w:rPr>
          <w:szCs w:val="32"/>
        </w:rPr>
        <w:t>万元，主要包括：</w:t>
      </w:r>
      <w:r>
        <w:rPr>
          <w:kern w:val="0"/>
          <w:szCs w:val="32"/>
        </w:rPr>
        <w:t>基本工资、津贴补贴</w:t>
      </w:r>
      <w:r>
        <w:rPr>
          <w:szCs w:val="32"/>
        </w:rPr>
        <w:t>、</w:t>
      </w:r>
      <w:r>
        <w:rPr>
          <w:kern w:val="0"/>
          <w:szCs w:val="32"/>
        </w:rPr>
        <w:t>奖金</w:t>
      </w:r>
      <w:r>
        <w:rPr>
          <w:szCs w:val="32"/>
        </w:rPr>
        <w:t>、</w:t>
      </w:r>
      <w:r>
        <w:rPr>
          <w:kern w:val="0"/>
          <w:szCs w:val="32"/>
        </w:rPr>
        <w:t>社会保障缴费</w:t>
      </w:r>
      <w:r>
        <w:rPr>
          <w:szCs w:val="32"/>
        </w:rPr>
        <w:t>、</w:t>
      </w:r>
      <w:r>
        <w:rPr>
          <w:kern w:val="0"/>
          <w:szCs w:val="32"/>
        </w:rPr>
        <w:t>其他工资福利支出</w:t>
      </w:r>
      <w:r>
        <w:rPr>
          <w:szCs w:val="32"/>
        </w:rPr>
        <w:t>、</w:t>
      </w:r>
      <w:r>
        <w:rPr>
          <w:kern w:val="0"/>
          <w:szCs w:val="32"/>
        </w:rPr>
        <w:t>退休费</w:t>
      </w:r>
      <w:r>
        <w:rPr>
          <w:szCs w:val="32"/>
        </w:rPr>
        <w:t>、</w:t>
      </w:r>
      <w:r>
        <w:rPr>
          <w:kern w:val="0"/>
          <w:szCs w:val="32"/>
        </w:rPr>
        <w:t>住房公积金</w:t>
      </w:r>
      <w:r>
        <w:rPr>
          <w:szCs w:val="32"/>
        </w:rPr>
        <w:t>、</w:t>
      </w:r>
      <w:r>
        <w:rPr>
          <w:kern w:val="0"/>
          <w:szCs w:val="32"/>
        </w:rPr>
        <w:t>采暖补贴</w:t>
      </w:r>
      <w:r>
        <w:rPr>
          <w:szCs w:val="32"/>
        </w:rPr>
        <w:t>、</w:t>
      </w:r>
      <w:r>
        <w:rPr>
          <w:kern w:val="0"/>
          <w:szCs w:val="32"/>
        </w:rPr>
        <w:t>其他对个人和家庭的补助支出。</w:t>
      </w:r>
    </w:p>
    <w:p>
      <w:pPr>
        <w:ind w:firstLine="640" w:firstLineChars="200"/>
        <w:rPr>
          <w:szCs w:val="32"/>
        </w:rPr>
      </w:pPr>
      <w:r>
        <w:rPr>
          <w:kern w:val="0"/>
          <w:szCs w:val="32"/>
        </w:rPr>
        <w:t>公用经费</w:t>
      </w:r>
      <w:r>
        <w:rPr>
          <w:rFonts w:hint="eastAsia"/>
          <w:szCs w:val="32"/>
        </w:rPr>
        <w:t>77.18</w:t>
      </w:r>
      <w:r>
        <w:rPr>
          <w:szCs w:val="32"/>
        </w:rPr>
        <w:t>万元，主要包括：</w:t>
      </w:r>
      <w:r>
        <w:rPr>
          <w:kern w:val="0"/>
          <w:szCs w:val="32"/>
        </w:rPr>
        <w:t>办公费</w:t>
      </w:r>
      <w:r>
        <w:rPr>
          <w:szCs w:val="32"/>
        </w:rPr>
        <w:t>、</w:t>
      </w:r>
      <w:r>
        <w:rPr>
          <w:kern w:val="0"/>
          <w:szCs w:val="32"/>
        </w:rPr>
        <w:t>印刷费</w:t>
      </w:r>
      <w:r>
        <w:rPr>
          <w:szCs w:val="32"/>
        </w:rPr>
        <w:t>、</w:t>
      </w:r>
      <w:r>
        <w:rPr>
          <w:kern w:val="0"/>
          <w:szCs w:val="32"/>
        </w:rPr>
        <w:t>水费</w:t>
      </w:r>
      <w:r>
        <w:rPr>
          <w:szCs w:val="32"/>
        </w:rPr>
        <w:t>、</w:t>
      </w:r>
      <w:r>
        <w:rPr>
          <w:kern w:val="0"/>
          <w:szCs w:val="32"/>
        </w:rPr>
        <w:t>电费</w:t>
      </w:r>
      <w:r>
        <w:rPr>
          <w:szCs w:val="32"/>
        </w:rPr>
        <w:t>、</w:t>
      </w:r>
      <w:r>
        <w:rPr>
          <w:kern w:val="0"/>
          <w:szCs w:val="32"/>
        </w:rPr>
        <w:t>邮电费</w:t>
      </w:r>
      <w:r>
        <w:rPr>
          <w:szCs w:val="32"/>
        </w:rPr>
        <w:t>、</w:t>
      </w:r>
      <w:r>
        <w:rPr>
          <w:kern w:val="0"/>
          <w:szCs w:val="32"/>
        </w:rPr>
        <w:t>取暖费</w:t>
      </w:r>
      <w:r>
        <w:rPr>
          <w:szCs w:val="32"/>
        </w:rPr>
        <w:t>、</w:t>
      </w:r>
      <w:r>
        <w:rPr>
          <w:kern w:val="0"/>
          <w:szCs w:val="32"/>
        </w:rPr>
        <w:t>物业管理费</w:t>
      </w:r>
      <w:r>
        <w:rPr>
          <w:szCs w:val="32"/>
        </w:rPr>
        <w:t>、</w:t>
      </w:r>
      <w:r>
        <w:rPr>
          <w:kern w:val="0"/>
          <w:szCs w:val="32"/>
        </w:rPr>
        <w:t>差旅费</w:t>
      </w:r>
      <w:r>
        <w:rPr>
          <w:szCs w:val="32"/>
        </w:rPr>
        <w:t>、</w:t>
      </w:r>
      <w:r>
        <w:rPr>
          <w:kern w:val="0"/>
          <w:szCs w:val="32"/>
        </w:rPr>
        <w:t>维修（护）费</w:t>
      </w:r>
      <w:r>
        <w:rPr>
          <w:szCs w:val="32"/>
        </w:rPr>
        <w:t>、</w:t>
      </w:r>
      <w:r>
        <w:rPr>
          <w:kern w:val="0"/>
          <w:szCs w:val="32"/>
        </w:rPr>
        <w:t>会议费</w:t>
      </w:r>
      <w:r>
        <w:rPr>
          <w:szCs w:val="32"/>
        </w:rPr>
        <w:t>、</w:t>
      </w:r>
      <w:r>
        <w:rPr>
          <w:kern w:val="0"/>
          <w:szCs w:val="32"/>
        </w:rPr>
        <w:t>培训费</w:t>
      </w:r>
      <w:r>
        <w:rPr>
          <w:szCs w:val="32"/>
        </w:rPr>
        <w:t>、</w:t>
      </w:r>
      <w:r>
        <w:rPr>
          <w:kern w:val="0"/>
          <w:szCs w:val="32"/>
        </w:rPr>
        <w:t>工会经费、福利费</w:t>
      </w:r>
      <w:r>
        <w:rPr>
          <w:szCs w:val="32"/>
        </w:rPr>
        <w:t>、公</w:t>
      </w:r>
      <w:r>
        <w:rPr>
          <w:kern w:val="0"/>
          <w:szCs w:val="32"/>
        </w:rPr>
        <w:t>务用车运行维护费</w:t>
      </w:r>
      <w:r>
        <w:rPr>
          <w:szCs w:val="32"/>
        </w:rPr>
        <w:t>、</w:t>
      </w:r>
      <w:r>
        <w:rPr>
          <w:kern w:val="0"/>
          <w:szCs w:val="32"/>
        </w:rPr>
        <w:t>其他交通补助</w:t>
      </w:r>
      <w:r>
        <w:rPr>
          <w:szCs w:val="32"/>
        </w:rPr>
        <w:t>、</w:t>
      </w:r>
      <w:r>
        <w:rPr>
          <w:kern w:val="0"/>
          <w:szCs w:val="32"/>
        </w:rPr>
        <w:t>其他商品和服务支出</w:t>
      </w:r>
      <w:r>
        <w:rPr>
          <w:rFonts w:hint="eastAsia"/>
          <w:kern w:val="0"/>
          <w:szCs w:val="32"/>
          <w:lang w:eastAsia="zh-CN"/>
        </w:rPr>
        <w:t>、办公设备购置</w:t>
      </w:r>
      <w:r>
        <w:rPr>
          <w:kern w:val="0"/>
          <w:szCs w:val="32"/>
        </w:rPr>
        <w:t>。</w:t>
      </w:r>
    </w:p>
    <w:p>
      <w:pPr>
        <w:ind w:firstLine="640" w:firstLineChars="200"/>
        <w:rPr>
          <w:rFonts w:eastAsia="黑体"/>
          <w:szCs w:val="30"/>
        </w:rPr>
      </w:pPr>
      <w:r>
        <w:rPr>
          <w:rFonts w:eastAsia="黑体"/>
          <w:szCs w:val="30"/>
        </w:rPr>
        <w:t>七、20</w:t>
      </w:r>
      <w:r>
        <w:rPr>
          <w:rFonts w:hint="eastAsia" w:eastAsia="黑体"/>
          <w:szCs w:val="30"/>
        </w:rPr>
        <w:t>2</w:t>
      </w:r>
      <w:r>
        <w:rPr>
          <w:rFonts w:hint="eastAsia"/>
          <w:szCs w:val="32"/>
          <w:lang w:val="en-US" w:eastAsia="zh-CN"/>
        </w:rPr>
        <w:t>4</w:t>
      </w:r>
      <w:r>
        <w:rPr>
          <w:rFonts w:eastAsia="黑体"/>
          <w:szCs w:val="30"/>
        </w:rPr>
        <w:t>年一般公共预算</w:t>
      </w:r>
      <w:r>
        <w:rPr>
          <w:rFonts w:hint="eastAsia" w:eastAsia="黑体"/>
          <w:szCs w:val="30"/>
        </w:rPr>
        <w:t>财政拨款</w:t>
      </w:r>
      <w:r>
        <w:rPr>
          <w:rFonts w:eastAsia="黑体"/>
          <w:szCs w:val="30"/>
        </w:rPr>
        <w:t>“三公”经费情况</w:t>
      </w:r>
    </w:p>
    <w:p>
      <w:pPr>
        <w:ind w:firstLine="640" w:firstLineChars="200"/>
        <w:rPr>
          <w:szCs w:val="32"/>
        </w:rPr>
      </w:pPr>
      <w:r>
        <w:rPr>
          <w:szCs w:val="32"/>
        </w:rPr>
        <w:t>20</w:t>
      </w:r>
      <w:r>
        <w:rPr>
          <w:rFonts w:hint="eastAsia"/>
          <w:szCs w:val="32"/>
        </w:rPr>
        <w:t>2</w:t>
      </w:r>
      <w:r>
        <w:rPr>
          <w:rFonts w:hint="eastAsia"/>
          <w:szCs w:val="32"/>
          <w:lang w:val="en-US" w:eastAsia="zh-CN"/>
        </w:rPr>
        <w:t>4</w:t>
      </w:r>
      <w:r>
        <w:rPr>
          <w:szCs w:val="32"/>
        </w:rPr>
        <w:t>年“三公”经费预算数为</w:t>
      </w:r>
      <w:r>
        <w:rPr>
          <w:rFonts w:hint="eastAsia"/>
          <w:szCs w:val="32"/>
        </w:rPr>
        <w:t>3.33</w:t>
      </w:r>
      <w:r>
        <w:rPr>
          <w:szCs w:val="32"/>
        </w:rPr>
        <w:t>万元</w:t>
      </w:r>
      <w:r>
        <w:rPr>
          <w:rFonts w:hint="eastAsia"/>
          <w:szCs w:val="32"/>
          <w:lang w:eastAsia="zh-CN"/>
        </w:rPr>
        <w:t>。</w:t>
      </w:r>
      <w:r>
        <w:rPr>
          <w:rFonts w:hint="eastAsia"/>
          <w:szCs w:val="32"/>
          <w:lang w:val="en-US" w:eastAsia="zh-CN"/>
        </w:rPr>
        <w:t>2024年本年预算数</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预算数减少</w:t>
      </w:r>
      <w:r>
        <w:rPr>
          <w:rFonts w:hint="eastAsia"/>
          <w:szCs w:val="32"/>
          <w:lang w:val="en-US" w:eastAsia="zh-CN"/>
        </w:rPr>
        <w:t>0.47</w:t>
      </w:r>
      <w:r>
        <w:rPr>
          <w:szCs w:val="32"/>
        </w:rPr>
        <w:t>万元。其中：</w:t>
      </w:r>
    </w:p>
    <w:p>
      <w:pPr>
        <w:ind w:firstLine="640" w:firstLineChars="200"/>
        <w:jc w:val="both"/>
        <w:rPr>
          <w:rFonts w:hint="eastAsia" w:eastAsia="仿宋_GB2312"/>
          <w:szCs w:val="32"/>
          <w:lang w:val="en-US" w:eastAsia="zh-CN"/>
        </w:rPr>
      </w:pPr>
      <w:r>
        <w:rPr>
          <w:szCs w:val="32"/>
        </w:rPr>
        <w:t>1.因公出国（境）费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2024年本年预算数与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rPr>
        <w:t>持平</w:t>
      </w:r>
      <w:r>
        <w:rPr>
          <w:rFonts w:hint="eastAsia"/>
          <w:szCs w:val="32"/>
          <w:lang w:eastAsia="zh-CN"/>
        </w:rPr>
        <w:t>。</w:t>
      </w:r>
    </w:p>
    <w:p>
      <w:pPr>
        <w:ind w:firstLine="640" w:firstLineChars="200"/>
        <w:rPr>
          <w:rFonts w:hint="eastAsia" w:eastAsia="仿宋_GB2312"/>
          <w:szCs w:val="32"/>
          <w:lang w:eastAsia="zh-CN"/>
        </w:rPr>
      </w:pPr>
      <w:r>
        <w:rPr>
          <w:szCs w:val="32"/>
        </w:rPr>
        <w:t>2.公务接待费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2024年本年预算数</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预算数减少</w:t>
      </w:r>
      <w:r>
        <w:rPr>
          <w:rFonts w:hint="eastAsia"/>
          <w:szCs w:val="32"/>
          <w:lang w:val="en-US" w:eastAsia="zh-CN"/>
        </w:rPr>
        <w:t>0.47</w:t>
      </w:r>
      <w:r>
        <w:rPr>
          <w:szCs w:val="32"/>
        </w:rPr>
        <w:t>万元，主要原因是</w:t>
      </w:r>
      <w:r>
        <w:rPr>
          <w:rFonts w:hint="eastAsia"/>
          <w:szCs w:val="32"/>
        </w:rPr>
        <w:t>贯彻落实省财政厅“过紧日子”的工作要求，压减“三公”经费预算</w:t>
      </w:r>
      <w:r>
        <w:rPr>
          <w:rFonts w:hint="eastAsia"/>
          <w:szCs w:val="32"/>
          <w:lang w:eastAsia="zh-CN"/>
        </w:rPr>
        <w:t>。</w:t>
      </w:r>
    </w:p>
    <w:p>
      <w:pPr>
        <w:ind w:firstLine="640" w:firstLineChars="200"/>
        <w:jc w:val="both"/>
        <w:rPr>
          <w:rFonts w:hint="eastAsia"/>
          <w:szCs w:val="32"/>
          <w:lang w:val="en-US" w:eastAsia="zh-CN"/>
        </w:rPr>
      </w:pPr>
      <w:r>
        <w:rPr>
          <w:szCs w:val="32"/>
        </w:rPr>
        <w:t>3.公务用车购置及运行费</w:t>
      </w:r>
      <w:r>
        <w:rPr>
          <w:rFonts w:hint="eastAsia"/>
          <w:szCs w:val="32"/>
        </w:rPr>
        <w:t>3.33</w:t>
      </w:r>
      <w:r>
        <w:rPr>
          <w:szCs w:val="32"/>
        </w:rPr>
        <w:t>万元</w:t>
      </w:r>
      <w:r>
        <w:rPr>
          <w:rFonts w:hint="eastAsia"/>
          <w:szCs w:val="32"/>
          <w:lang w:eastAsia="zh-CN"/>
        </w:rPr>
        <w:t>，</w:t>
      </w:r>
      <w:r>
        <w:rPr>
          <w:rFonts w:hint="eastAsia"/>
          <w:szCs w:val="32"/>
          <w:lang w:val="en-US" w:eastAsia="zh-CN"/>
        </w:rPr>
        <w:t>2024年本年预算数</w:t>
      </w:r>
      <w:r>
        <w:rPr>
          <w:rFonts w:hint="eastAsia"/>
          <w:szCs w:val="32"/>
          <w:lang w:eastAsia="zh-CN"/>
        </w:rPr>
        <w:t>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val="en-US" w:eastAsia="zh-CN"/>
        </w:rPr>
        <w:t>持平</w:t>
      </w:r>
      <w:r>
        <w:rPr>
          <w:szCs w:val="32"/>
        </w:rPr>
        <w:t>；公务用车购置费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2024年当年预算数</w:t>
      </w:r>
      <w:r>
        <w:rPr>
          <w:rFonts w:hint="eastAsia"/>
          <w:szCs w:val="32"/>
          <w:lang w:eastAsia="zh-CN"/>
        </w:rPr>
        <w:t>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val="en-US" w:eastAsia="zh-CN"/>
        </w:rPr>
        <w:t>持平</w:t>
      </w:r>
      <w:r>
        <w:rPr>
          <w:szCs w:val="32"/>
        </w:rPr>
        <w:t>。</w:t>
      </w:r>
      <w:r>
        <w:rPr>
          <w:rFonts w:hint="eastAsia"/>
          <w:szCs w:val="32"/>
          <w:lang w:val="en-US" w:eastAsia="zh-CN"/>
        </w:rPr>
        <w:t xml:space="preserve">         </w:t>
      </w:r>
    </w:p>
    <w:p>
      <w:pPr>
        <w:ind w:firstLine="640" w:firstLineChars="200"/>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4</w:t>
      </w:r>
      <w:r>
        <w:rPr>
          <w:rFonts w:eastAsia="黑体"/>
          <w:szCs w:val="32"/>
        </w:rPr>
        <w:t>年政府性基金预算支出情况</w:t>
      </w:r>
    </w:p>
    <w:p>
      <w:pPr>
        <w:ind w:firstLine="640" w:firstLineChars="200"/>
        <w:jc w:val="both"/>
        <w:rPr>
          <w:rFonts w:hint="eastAsia" w:eastAsia="仿宋_GB2312"/>
          <w:szCs w:val="32"/>
          <w:lang w:eastAsia="zh-CN"/>
        </w:rPr>
      </w:pPr>
      <w:r>
        <w:rPr>
          <w:szCs w:val="32"/>
        </w:rPr>
        <w:t>本</w:t>
      </w:r>
      <w:r>
        <w:rPr>
          <w:rFonts w:hint="eastAsia"/>
          <w:szCs w:val="32"/>
          <w:lang w:eastAsia="zh-CN"/>
        </w:rPr>
        <w:t>单位</w:t>
      </w:r>
      <w:r>
        <w:rPr>
          <w:szCs w:val="32"/>
        </w:rPr>
        <w:t>无政府性基金预算拨款</w:t>
      </w:r>
      <w:r>
        <w:rPr>
          <w:rFonts w:hint="eastAsia"/>
          <w:szCs w:val="32"/>
          <w:lang w:eastAsia="zh-CN"/>
        </w:rPr>
        <w:t>。</w:t>
      </w:r>
    </w:p>
    <w:p>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4</w:t>
      </w:r>
      <w:r>
        <w:rPr>
          <w:rFonts w:eastAsia="黑体"/>
          <w:szCs w:val="32"/>
        </w:rPr>
        <w:t>年</w:t>
      </w:r>
      <w:r>
        <w:rPr>
          <w:rFonts w:hint="eastAsia" w:eastAsia="黑体"/>
          <w:szCs w:val="32"/>
        </w:rPr>
        <w:t>国有资本经营</w:t>
      </w:r>
      <w:r>
        <w:rPr>
          <w:rFonts w:eastAsia="黑体"/>
          <w:szCs w:val="32"/>
        </w:rPr>
        <w:t>预算支出情况</w:t>
      </w:r>
    </w:p>
    <w:p>
      <w:pPr>
        <w:spacing w:line="540" w:lineRule="exact"/>
        <w:ind w:firstLine="640" w:firstLineChars="200"/>
        <w:rPr>
          <w:rFonts w:hint="eastAsia"/>
          <w:szCs w:val="32"/>
          <w:lang w:eastAsia="zh-CN"/>
        </w:rPr>
      </w:pPr>
      <w:r>
        <w:rPr>
          <w:szCs w:val="32"/>
        </w:rPr>
        <w:t>本</w:t>
      </w:r>
      <w:r>
        <w:rPr>
          <w:rFonts w:hint="eastAsia"/>
          <w:szCs w:val="32"/>
          <w:lang w:eastAsia="zh-CN"/>
        </w:rPr>
        <w:t>单位</w:t>
      </w:r>
      <w:r>
        <w:rPr>
          <w:szCs w:val="32"/>
        </w:rPr>
        <w:t>无</w:t>
      </w:r>
      <w:r>
        <w:rPr>
          <w:rFonts w:hint="eastAsia"/>
          <w:szCs w:val="32"/>
        </w:rPr>
        <w:t>国有资本经营</w:t>
      </w:r>
      <w:r>
        <w:rPr>
          <w:szCs w:val="32"/>
        </w:rPr>
        <w:t>预算拨款</w:t>
      </w:r>
      <w:r>
        <w:rPr>
          <w:rFonts w:hint="eastAsia"/>
          <w:szCs w:val="32"/>
          <w:lang w:eastAsia="zh-CN"/>
        </w:rPr>
        <w:t>。</w:t>
      </w:r>
    </w:p>
    <w:p>
      <w:pPr>
        <w:ind w:firstLine="640"/>
        <w:rPr>
          <w:rFonts w:eastAsia="黑体"/>
          <w:szCs w:val="32"/>
        </w:rPr>
      </w:pPr>
      <w:r>
        <w:rPr>
          <w:rFonts w:hint="eastAsia" w:eastAsia="黑体"/>
          <w:szCs w:val="32"/>
        </w:rPr>
        <w:t>十</w:t>
      </w:r>
      <w:r>
        <w:rPr>
          <w:rFonts w:eastAsia="黑体"/>
          <w:szCs w:val="32"/>
        </w:rPr>
        <w:t>、其他重要事项的说明情况</w:t>
      </w:r>
    </w:p>
    <w:p>
      <w:pPr>
        <w:spacing w:line="540" w:lineRule="exact"/>
        <w:ind w:firstLine="640" w:firstLineChars="200"/>
        <w:rPr>
          <w:rFonts w:eastAsia="楷体"/>
          <w:szCs w:val="32"/>
        </w:rPr>
      </w:pPr>
      <w:r>
        <w:rPr>
          <w:rFonts w:eastAsia="楷体"/>
          <w:szCs w:val="32"/>
        </w:rPr>
        <w:t>（一）机关运行经费</w:t>
      </w:r>
    </w:p>
    <w:p>
      <w:pPr>
        <w:spacing w:line="540" w:lineRule="exact"/>
        <w:ind w:firstLine="640" w:firstLineChars="200"/>
        <w:rPr>
          <w:szCs w:val="32"/>
        </w:rPr>
      </w:pPr>
      <w:r>
        <w:rPr>
          <w:szCs w:val="32"/>
        </w:rPr>
        <w:t>20</w:t>
      </w:r>
      <w:r>
        <w:rPr>
          <w:rFonts w:hint="eastAsia"/>
          <w:szCs w:val="32"/>
        </w:rPr>
        <w:t>2</w:t>
      </w:r>
      <w:r>
        <w:rPr>
          <w:rFonts w:hint="eastAsia"/>
          <w:szCs w:val="32"/>
          <w:lang w:val="en-US" w:eastAsia="zh-CN"/>
        </w:rPr>
        <w:t>4</w:t>
      </w:r>
      <w:r>
        <w:rPr>
          <w:szCs w:val="32"/>
        </w:rPr>
        <w:t>年</w:t>
      </w:r>
      <w:r>
        <w:rPr>
          <w:rFonts w:hint="eastAsia"/>
          <w:szCs w:val="32"/>
          <w:lang w:eastAsia="zh-CN"/>
        </w:rPr>
        <w:t>单位</w:t>
      </w:r>
      <w:r>
        <w:rPr>
          <w:szCs w:val="32"/>
        </w:rPr>
        <w:t>本级</w:t>
      </w:r>
      <w:r>
        <w:rPr>
          <w:rFonts w:hint="eastAsia"/>
          <w:szCs w:val="32"/>
          <w:lang w:val="en-US" w:eastAsia="zh-CN"/>
        </w:rPr>
        <w:t>1</w:t>
      </w:r>
      <w:r>
        <w:rPr>
          <w:szCs w:val="32"/>
        </w:rPr>
        <w:t>家行政单位的机关运行经费财政拨款预算</w:t>
      </w:r>
      <w:r>
        <w:rPr>
          <w:rFonts w:hint="eastAsia"/>
          <w:szCs w:val="32"/>
          <w:lang w:val="en-US" w:eastAsia="zh-CN"/>
        </w:rPr>
        <w:t>77.18</w:t>
      </w:r>
      <w:r>
        <w:rPr>
          <w:szCs w:val="32"/>
        </w:rPr>
        <w:t>万元，比20</w:t>
      </w:r>
      <w:r>
        <w:rPr>
          <w:rFonts w:hint="eastAsia"/>
          <w:szCs w:val="32"/>
        </w:rPr>
        <w:t>2</w:t>
      </w:r>
      <w:r>
        <w:rPr>
          <w:rFonts w:hint="eastAsia"/>
          <w:szCs w:val="32"/>
          <w:lang w:val="en-US" w:eastAsia="zh-CN"/>
        </w:rPr>
        <w:t>3</w:t>
      </w:r>
      <w:r>
        <w:rPr>
          <w:szCs w:val="32"/>
        </w:rPr>
        <w:t>年预算减少</w:t>
      </w:r>
      <w:r>
        <w:rPr>
          <w:rFonts w:hint="eastAsia"/>
          <w:szCs w:val="32"/>
          <w:lang w:val="en-US" w:eastAsia="zh-CN"/>
        </w:rPr>
        <w:t>3.22</w:t>
      </w:r>
      <w:r>
        <w:rPr>
          <w:szCs w:val="32"/>
        </w:rPr>
        <w:t>万元，下降</w:t>
      </w:r>
      <w:r>
        <w:rPr>
          <w:rFonts w:hint="eastAsia"/>
          <w:szCs w:val="32"/>
          <w:lang w:val="en-US" w:eastAsia="zh-CN"/>
        </w:rPr>
        <w:t>4</w:t>
      </w:r>
      <w:r>
        <w:rPr>
          <w:szCs w:val="32"/>
        </w:rPr>
        <w:t>%</w:t>
      </w:r>
      <w:r>
        <w:rPr>
          <w:rFonts w:hint="eastAsia"/>
          <w:szCs w:val="32"/>
        </w:rPr>
        <w:t>，主要原因是贯彻落实省财政厅“过紧日子”的工作要求，压减机关运行经费预算</w:t>
      </w:r>
      <w:r>
        <w:rPr>
          <w:szCs w:val="32"/>
        </w:rPr>
        <w:t>。</w:t>
      </w:r>
    </w:p>
    <w:p>
      <w:pPr>
        <w:spacing w:line="540" w:lineRule="exact"/>
        <w:ind w:firstLine="640" w:firstLineChars="200"/>
        <w:rPr>
          <w:rFonts w:eastAsia="楷体"/>
          <w:szCs w:val="32"/>
        </w:rPr>
      </w:pPr>
      <w:r>
        <w:rPr>
          <w:rFonts w:eastAsia="楷体"/>
          <w:szCs w:val="32"/>
        </w:rPr>
        <w:t>（二）政府采购情况</w:t>
      </w:r>
    </w:p>
    <w:p>
      <w:pPr>
        <w:spacing w:line="540" w:lineRule="exact"/>
        <w:ind w:firstLine="640" w:firstLineChars="200"/>
        <w:rPr>
          <w:szCs w:val="32"/>
        </w:rPr>
      </w:pPr>
      <w:r>
        <w:rPr>
          <w:rFonts w:hint="eastAsia"/>
          <w:szCs w:val="32"/>
        </w:rPr>
        <w:t>本</w:t>
      </w:r>
      <w:r>
        <w:rPr>
          <w:rFonts w:hint="eastAsia"/>
          <w:szCs w:val="32"/>
          <w:lang w:eastAsia="zh-CN"/>
        </w:rPr>
        <w:t>单位</w:t>
      </w:r>
      <w:r>
        <w:rPr>
          <w:rFonts w:hint="eastAsia"/>
          <w:szCs w:val="32"/>
        </w:rPr>
        <w:t>无政府采购。</w:t>
      </w:r>
    </w:p>
    <w:p>
      <w:pPr>
        <w:spacing w:line="540" w:lineRule="exact"/>
        <w:ind w:firstLine="640" w:firstLineChars="200"/>
        <w:rPr>
          <w:rFonts w:eastAsia="楷体"/>
          <w:szCs w:val="32"/>
        </w:rPr>
      </w:pPr>
      <w:r>
        <w:rPr>
          <w:rFonts w:eastAsia="楷体"/>
          <w:szCs w:val="32"/>
        </w:rPr>
        <w:t>（三）国有资产占有使用情况</w:t>
      </w:r>
    </w:p>
    <w:p>
      <w:pPr>
        <w:spacing w:line="540" w:lineRule="exact"/>
        <w:ind w:firstLine="640" w:firstLineChars="200"/>
        <w:rPr>
          <w:rFonts w:hint="eastAsia"/>
          <w:szCs w:val="32"/>
        </w:rPr>
      </w:pPr>
      <w:r>
        <w:rPr>
          <w:rFonts w:hint="eastAsia"/>
          <w:szCs w:val="32"/>
        </w:rPr>
        <w:t>截至202</w:t>
      </w:r>
      <w:r>
        <w:rPr>
          <w:rFonts w:hint="eastAsia"/>
          <w:szCs w:val="32"/>
          <w:lang w:val="en-US" w:eastAsia="zh-CN"/>
        </w:rPr>
        <w:t>3</w:t>
      </w:r>
      <w:r>
        <w:rPr>
          <w:rFonts w:hint="eastAsia"/>
          <w:szCs w:val="32"/>
        </w:rPr>
        <w:t>年8月底，</w:t>
      </w:r>
      <w:r>
        <w:rPr>
          <w:rFonts w:hint="eastAsia"/>
          <w:szCs w:val="32"/>
          <w:lang w:eastAsia="zh-CN"/>
        </w:rPr>
        <w:t>单位</w:t>
      </w:r>
      <w:r>
        <w:rPr>
          <w:rFonts w:hint="eastAsia"/>
          <w:szCs w:val="32"/>
        </w:rPr>
        <w:t>本级共有车辆</w:t>
      </w:r>
      <w:r>
        <w:rPr>
          <w:rFonts w:hint="eastAsia"/>
          <w:szCs w:val="32"/>
          <w:lang w:val="en-US" w:eastAsia="zh-CN"/>
        </w:rPr>
        <w:t>1</w:t>
      </w:r>
      <w:r>
        <w:rPr>
          <w:rFonts w:hint="eastAsia"/>
          <w:szCs w:val="32"/>
        </w:rPr>
        <w:t>辆，土地</w:t>
      </w:r>
      <w:r>
        <w:rPr>
          <w:rFonts w:hint="eastAsia"/>
          <w:szCs w:val="32"/>
          <w:lang w:val="en-US" w:eastAsia="zh-CN"/>
        </w:rPr>
        <w:t>0</w:t>
      </w:r>
      <w:r>
        <w:rPr>
          <w:rFonts w:hint="eastAsia"/>
          <w:szCs w:val="32"/>
        </w:rPr>
        <w:t>平方米，房屋</w:t>
      </w:r>
      <w:r>
        <w:rPr>
          <w:rFonts w:hint="eastAsia"/>
          <w:szCs w:val="32"/>
          <w:lang w:val="en-US" w:eastAsia="zh-CN"/>
        </w:rPr>
        <w:t>0</w:t>
      </w:r>
      <w:r>
        <w:rPr>
          <w:rFonts w:hint="eastAsia"/>
          <w:szCs w:val="32"/>
        </w:rPr>
        <w:t>平方米，单价50万元以上设备</w:t>
      </w:r>
      <w:r>
        <w:rPr>
          <w:rFonts w:hint="eastAsia"/>
          <w:szCs w:val="32"/>
          <w:lang w:val="en-US" w:eastAsia="zh-CN"/>
        </w:rPr>
        <w:t>0</w:t>
      </w:r>
      <w:r>
        <w:rPr>
          <w:rFonts w:hint="eastAsia"/>
          <w:szCs w:val="32"/>
        </w:rPr>
        <w:t>台/套。</w:t>
      </w:r>
    </w:p>
    <w:p>
      <w:pPr>
        <w:spacing w:line="540" w:lineRule="exact"/>
        <w:ind w:firstLine="640" w:firstLineChars="200"/>
        <w:rPr>
          <w:szCs w:val="32"/>
        </w:rPr>
      </w:pPr>
      <w:r>
        <w:rPr>
          <w:rFonts w:hint="eastAsia"/>
          <w:szCs w:val="32"/>
        </w:rPr>
        <w:t>202</w:t>
      </w:r>
      <w:r>
        <w:rPr>
          <w:rFonts w:hint="eastAsia"/>
          <w:szCs w:val="32"/>
          <w:lang w:val="en-US" w:eastAsia="zh-CN"/>
        </w:rPr>
        <w:t>4</w:t>
      </w:r>
      <w:r>
        <w:rPr>
          <w:rFonts w:hint="eastAsia"/>
          <w:szCs w:val="32"/>
        </w:rPr>
        <w:t>年</w:t>
      </w:r>
      <w:r>
        <w:rPr>
          <w:rFonts w:hint="eastAsia"/>
          <w:szCs w:val="32"/>
          <w:lang w:eastAsia="zh-CN"/>
        </w:rPr>
        <w:t>单位</w:t>
      </w:r>
      <w:r>
        <w:rPr>
          <w:rFonts w:hint="eastAsia"/>
          <w:szCs w:val="32"/>
        </w:rPr>
        <w:t>预算安排购置车辆</w:t>
      </w:r>
      <w:r>
        <w:rPr>
          <w:rFonts w:hint="eastAsia"/>
          <w:szCs w:val="32"/>
          <w:lang w:val="en-US" w:eastAsia="zh-CN"/>
        </w:rPr>
        <w:t>0</w:t>
      </w:r>
      <w:r>
        <w:rPr>
          <w:rFonts w:hint="eastAsia"/>
          <w:szCs w:val="32"/>
        </w:rPr>
        <w:t>辆，安排购置土地</w:t>
      </w:r>
      <w:r>
        <w:rPr>
          <w:rFonts w:hint="eastAsia"/>
          <w:szCs w:val="32"/>
          <w:lang w:val="en-US" w:eastAsia="zh-CN"/>
        </w:rPr>
        <w:t>0</w:t>
      </w:r>
      <w:r>
        <w:rPr>
          <w:rFonts w:hint="eastAsia"/>
          <w:szCs w:val="32"/>
        </w:rPr>
        <w:t>平方米，安排购置房屋</w:t>
      </w:r>
      <w:r>
        <w:rPr>
          <w:rFonts w:hint="eastAsia"/>
          <w:szCs w:val="32"/>
          <w:lang w:val="en-US" w:eastAsia="zh-CN"/>
        </w:rPr>
        <w:t>0</w:t>
      </w:r>
      <w:r>
        <w:rPr>
          <w:rFonts w:hint="eastAsia"/>
          <w:szCs w:val="32"/>
        </w:rPr>
        <w:t>平方米，计划新增单价50万元以上设备</w:t>
      </w:r>
      <w:r>
        <w:rPr>
          <w:rFonts w:hint="eastAsia"/>
          <w:szCs w:val="32"/>
          <w:lang w:val="en-US" w:eastAsia="zh-CN"/>
        </w:rPr>
        <w:t>0</w:t>
      </w:r>
      <w:r>
        <w:rPr>
          <w:rFonts w:hint="eastAsia"/>
          <w:szCs w:val="32"/>
        </w:rPr>
        <w:t>台/套。</w:t>
      </w:r>
    </w:p>
    <w:p>
      <w:pPr>
        <w:numPr>
          <w:ilvl w:val="0"/>
          <w:numId w:val="1"/>
        </w:numPr>
        <w:spacing w:line="540" w:lineRule="exact"/>
        <w:ind w:firstLine="640" w:firstLineChars="200"/>
        <w:rPr>
          <w:rFonts w:hint="eastAsia" w:eastAsia="楷体"/>
          <w:szCs w:val="32"/>
        </w:rPr>
      </w:pPr>
      <w:r>
        <w:rPr>
          <w:rFonts w:hint="eastAsia" w:eastAsia="楷体"/>
          <w:szCs w:val="32"/>
        </w:rPr>
        <w:t>项目支出情况说明</w:t>
      </w:r>
    </w:p>
    <w:p>
      <w:pPr>
        <w:spacing w:line="540" w:lineRule="exact"/>
        <w:ind w:firstLine="640" w:firstLineChars="200"/>
      </w:pPr>
      <w:r>
        <w:t>202</w:t>
      </w:r>
      <w:r>
        <w:rPr>
          <w:rFonts w:hint="eastAsia"/>
          <w:lang w:val="en-US" w:eastAsia="zh-CN"/>
        </w:rPr>
        <w:t>4</w:t>
      </w:r>
      <w:r>
        <w:t>年</w:t>
      </w:r>
      <w:r>
        <w:rPr>
          <w:rFonts w:hint="eastAsia"/>
          <w:lang w:eastAsia="zh-CN"/>
        </w:rPr>
        <w:t>单位</w:t>
      </w:r>
      <w:r>
        <w:t>项目支出</w:t>
      </w:r>
      <w:r>
        <w:rPr>
          <w:rFonts w:hint="eastAsia"/>
          <w:lang w:val="en-US" w:eastAsia="zh-CN"/>
        </w:rPr>
        <w:t>41.29</w:t>
      </w:r>
      <w:r>
        <w:rPr>
          <w:szCs w:val="32"/>
        </w:rPr>
        <w:t>万元，其中：一级项目</w:t>
      </w:r>
      <w:r>
        <w:rPr>
          <w:rFonts w:hint="eastAsia"/>
          <w:szCs w:val="32"/>
          <w:lang w:val="en-US" w:eastAsia="zh-CN"/>
        </w:rPr>
        <w:t>3</w:t>
      </w:r>
      <w:r>
        <w:rPr>
          <w:szCs w:val="32"/>
        </w:rPr>
        <w:t>个，二级项目</w:t>
      </w:r>
      <w:r>
        <w:rPr>
          <w:rFonts w:hint="eastAsia"/>
          <w:szCs w:val="32"/>
          <w:lang w:val="en-US" w:eastAsia="zh-CN"/>
        </w:rPr>
        <w:t>3</w:t>
      </w:r>
      <w:r>
        <w:rPr>
          <w:szCs w:val="32"/>
        </w:rPr>
        <w:t>个；使用</w:t>
      </w:r>
      <w:r>
        <w:rPr>
          <w:rFonts w:hint="eastAsia"/>
          <w:szCs w:val="32"/>
        </w:rPr>
        <w:t>本年拨款</w:t>
      </w:r>
      <w:r>
        <w:rPr>
          <w:rFonts w:hint="eastAsia"/>
          <w:szCs w:val="32"/>
          <w:lang w:val="en-US" w:eastAsia="zh-CN"/>
        </w:rPr>
        <w:t>41.29</w:t>
      </w:r>
      <w:r>
        <w:rPr>
          <w:szCs w:val="32"/>
        </w:rPr>
        <w:t>万元，</w:t>
      </w:r>
      <w:r>
        <w:rPr>
          <w:rFonts w:hint="eastAsia"/>
          <w:szCs w:val="32"/>
        </w:rPr>
        <w:t>财政拨款结转</w:t>
      </w:r>
      <w:r>
        <w:rPr>
          <w:rFonts w:hint="eastAsia"/>
          <w:szCs w:val="32"/>
          <w:lang w:val="en-US" w:eastAsia="zh-CN"/>
        </w:rPr>
        <w:t>0</w:t>
      </w:r>
      <w:r>
        <w:rPr>
          <w:szCs w:val="32"/>
        </w:rPr>
        <w:t>万元。</w:t>
      </w:r>
    </w:p>
    <w:p>
      <w:pPr>
        <w:spacing w:line="540" w:lineRule="exact"/>
        <w:ind w:firstLine="640" w:firstLineChars="200"/>
        <w:rPr>
          <w:rFonts w:eastAsia="楷体"/>
          <w:szCs w:val="32"/>
        </w:rPr>
      </w:pPr>
      <w:r>
        <w:rPr>
          <w:rFonts w:hint="eastAsia" w:eastAsia="楷体"/>
          <w:szCs w:val="32"/>
        </w:rPr>
        <w:t>（五）项目支出绩效目标情况说明</w:t>
      </w:r>
    </w:p>
    <w:p>
      <w:pPr>
        <w:ind w:firstLine="645"/>
        <w:rPr>
          <w:rFonts w:eastAsia="楷体"/>
          <w:szCs w:val="32"/>
        </w:rPr>
      </w:pPr>
      <w:r>
        <w:rPr>
          <w:rFonts w:hint="eastAsia" w:ascii="宋体" w:hAnsi="宋体"/>
        </w:rPr>
        <w:t>按照全面实施预算绩效管理的要求，结合本</w:t>
      </w:r>
      <w:r>
        <w:rPr>
          <w:rFonts w:hint="eastAsia" w:ascii="宋体" w:hAnsi="宋体"/>
          <w:lang w:eastAsia="zh-CN"/>
        </w:rPr>
        <w:t>单位</w:t>
      </w:r>
      <w:r>
        <w:rPr>
          <w:rFonts w:hint="eastAsia" w:ascii="宋体" w:hAnsi="宋体"/>
        </w:rPr>
        <w:t>职能和重点工作，202</w:t>
      </w:r>
      <w:r>
        <w:rPr>
          <w:rFonts w:hint="eastAsia" w:ascii="宋体" w:hAnsi="宋体"/>
          <w:lang w:val="en-US" w:eastAsia="zh-CN"/>
        </w:rPr>
        <w:t>4</w:t>
      </w:r>
      <w:r>
        <w:rPr>
          <w:rFonts w:hint="eastAsia" w:ascii="宋体" w:hAnsi="宋体"/>
        </w:rPr>
        <w:t>年</w:t>
      </w:r>
      <w:r>
        <w:rPr>
          <w:rFonts w:hint="eastAsia" w:ascii="宋体" w:hAnsi="宋体"/>
          <w:lang w:eastAsia="zh-CN"/>
        </w:rPr>
        <w:t>将</w:t>
      </w:r>
      <w:r>
        <w:rPr>
          <w:rFonts w:hint="eastAsia"/>
          <w:szCs w:val="32"/>
          <w:lang w:val="en-US" w:eastAsia="zh-CN"/>
        </w:rPr>
        <w:t>3</w:t>
      </w:r>
      <w:r>
        <w:rPr>
          <w:rFonts w:hint="eastAsia" w:ascii="宋体" w:hAnsi="宋体"/>
        </w:rPr>
        <w:t>个项目支出的绩效目标和指标向社会公开，涉及金额</w:t>
      </w:r>
      <w:r>
        <w:rPr>
          <w:rFonts w:hint="eastAsia"/>
          <w:szCs w:val="32"/>
          <w:lang w:val="en-US" w:eastAsia="zh-CN"/>
        </w:rPr>
        <w:t>41.29</w:t>
      </w:r>
      <w:r>
        <w:rPr>
          <w:rFonts w:hint="eastAsia" w:ascii="宋体" w:hAnsi="宋体"/>
        </w:rPr>
        <w:t>万元。</w:t>
      </w:r>
    </w:p>
    <w:p>
      <w:pPr>
        <w:ind w:firstLine="645"/>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rPr>
          <w:rFonts w:eastAsia="楷体"/>
          <w:szCs w:val="32"/>
        </w:rPr>
      </w:pPr>
      <w:bookmarkStart w:id="0" w:name="_GoBack"/>
      <w:bookmarkEnd w:id="0"/>
    </w:p>
    <w:p>
      <w:pPr>
        <w:spacing w:line="540" w:lineRule="exact"/>
        <w:jc w:val="center"/>
        <w:rPr>
          <w:rFonts w:eastAsia="黑体"/>
        </w:rPr>
      </w:pPr>
      <w:r>
        <w:rPr>
          <w:rFonts w:eastAsia="黑体"/>
        </w:rPr>
        <w:t>第四部分 名词解释</w:t>
      </w:r>
    </w:p>
    <w:p>
      <w:pPr>
        <w:ind w:firstLine="640" w:firstLineChars="200"/>
        <w:jc w:val="center"/>
        <w:rPr>
          <w:rFonts w:eastAsia="黑体"/>
        </w:rPr>
      </w:pPr>
    </w:p>
    <w:p>
      <w:pPr>
        <w:ind w:firstLine="640" w:firstLineChars="200"/>
        <w:rPr>
          <w:szCs w:val="32"/>
        </w:rPr>
      </w:pPr>
      <w:r>
        <w:rPr>
          <w:rFonts w:eastAsia="楷体"/>
          <w:szCs w:val="32"/>
        </w:rPr>
        <w:t>（一）一般公共预算拨款收入：</w:t>
      </w:r>
      <w:r>
        <w:rPr>
          <w:szCs w:val="32"/>
        </w:rPr>
        <w:t>指省级财政通过当年一般公共预算拨付的资金。</w:t>
      </w:r>
    </w:p>
    <w:p>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pPr>
        <w:ind w:firstLine="640"/>
        <w:rPr>
          <w:szCs w:val="32"/>
        </w:rPr>
      </w:pPr>
      <w:r>
        <w:rPr>
          <w:rFonts w:hint="eastAsia" w:eastAsia="楷体"/>
          <w:szCs w:val="32"/>
        </w:rPr>
        <w:t>（五）</w:t>
      </w:r>
      <w:r>
        <w:rPr>
          <w:rFonts w:eastAsia="楷体"/>
          <w:szCs w:val="32"/>
        </w:rPr>
        <w:t>事业收入：</w:t>
      </w:r>
      <w:r>
        <w:rPr>
          <w:szCs w:val="32"/>
        </w:rPr>
        <w:t>指事业单位开展专业业务活动及辅助活动所取得的收入。</w:t>
      </w:r>
    </w:p>
    <w:p>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pPr>
        <w:ind w:firstLine="640"/>
        <w:rPr>
          <w:rFonts w:hint="eastAsia"/>
          <w:szCs w:val="32"/>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szCs w:val="32"/>
        </w:rPr>
        <w:t>指本单位所属下级单位（包含独立核算和非独立核算的，相关支出纳入和未纳入部门预算的下级单位）上缴给本单位的全部收入（包括下级事业单位上缴的事业收入、其他收入和下级企业单位上缴的利润等）。</w:t>
      </w:r>
    </w:p>
    <w:p>
      <w:pPr>
        <w:ind w:firstLine="64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pPr>
        <w:ind w:firstLine="640"/>
        <w:rPr>
          <w:szCs w:val="32"/>
        </w:rPr>
      </w:pPr>
      <w:r>
        <w:rPr>
          <w:rFonts w:eastAsia="楷体"/>
          <w:szCs w:val="32"/>
        </w:rPr>
        <w:t>（十）上年结转：</w:t>
      </w:r>
      <w:r>
        <w:rPr>
          <w:szCs w:val="32"/>
        </w:rPr>
        <w:t>指以前年度尚未完成、结转到本年仍按原规定用途继续使用的资金。</w:t>
      </w:r>
    </w:p>
    <w:p>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指为保障机构正常运转、完成日常工作任务而发生的人员支出和公用支出。</w:t>
      </w:r>
    </w:p>
    <w:p>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部门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pPr>
        <w:ind w:firstLine="640"/>
        <w:rPr>
          <w:szCs w:val="32"/>
        </w:rPr>
      </w:pPr>
    </w:p>
    <w:p>
      <w:pPr>
        <w:ind w:firstLine="640"/>
        <w:rPr>
          <w:szCs w:val="32"/>
        </w:rPr>
      </w:pPr>
    </w:p>
    <w:p>
      <w:pPr>
        <w:rPr>
          <w:szCs w:val="32"/>
        </w:rPr>
      </w:pPr>
    </w:p>
    <w:p>
      <w:pPr>
        <w:spacing w:line="700" w:lineRule="exact"/>
        <w:rPr>
          <w:kern w:val="0"/>
          <w:szCs w:val="32"/>
        </w:rPr>
      </w:pPr>
    </w:p>
    <w:sectPr>
      <w:footerReference r:id="rId10" w:type="first"/>
      <w:footerReference r:id="rId9" w:type="default"/>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p>
  <w:p>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pPr>
      <w:pStyle w:val="6"/>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wMGQ5NjkwMjgwYzBjNzNhNTQ4MTkyMzE5ODQ0MmIifQ=="/>
  </w:docVars>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3B2107"/>
    <w:rsid w:val="019B69D8"/>
    <w:rsid w:val="01B7145A"/>
    <w:rsid w:val="02033000"/>
    <w:rsid w:val="020E6D2C"/>
    <w:rsid w:val="02C44267"/>
    <w:rsid w:val="031D7D4B"/>
    <w:rsid w:val="037F2004"/>
    <w:rsid w:val="0486486A"/>
    <w:rsid w:val="04954460"/>
    <w:rsid w:val="04B818D1"/>
    <w:rsid w:val="050D06DA"/>
    <w:rsid w:val="05310B72"/>
    <w:rsid w:val="05513E94"/>
    <w:rsid w:val="056F5A6D"/>
    <w:rsid w:val="059B3770"/>
    <w:rsid w:val="063949A0"/>
    <w:rsid w:val="06BD5BC7"/>
    <w:rsid w:val="06F008FF"/>
    <w:rsid w:val="079E5032"/>
    <w:rsid w:val="09015F14"/>
    <w:rsid w:val="091C5C63"/>
    <w:rsid w:val="09421190"/>
    <w:rsid w:val="09A0082A"/>
    <w:rsid w:val="0A00435B"/>
    <w:rsid w:val="0AAA1697"/>
    <w:rsid w:val="0ABA06FE"/>
    <w:rsid w:val="0B49202F"/>
    <w:rsid w:val="0B5F5ADA"/>
    <w:rsid w:val="0C2A5C84"/>
    <w:rsid w:val="0C4F64D9"/>
    <w:rsid w:val="0C583939"/>
    <w:rsid w:val="0C6D1BAE"/>
    <w:rsid w:val="0C8F3D96"/>
    <w:rsid w:val="0D2A2435"/>
    <w:rsid w:val="0D3A28AA"/>
    <w:rsid w:val="0DA001B0"/>
    <w:rsid w:val="0DEB170B"/>
    <w:rsid w:val="0E4C7841"/>
    <w:rsid w:val="0E97506F"/>
    <w:rsid w:val="0F3E0406"/>
    <w:rsid w:val="0F980230"/>
    <w:rsid w:val="0FD62F63"/>
    <w:rsid w:val="0FDE2A27"/>
    <w:rsid w:val="10486BF9"/>
    <w:rsid w:val="10AE7F82"/>
    <w:rsid w:val="10C50B85"/>
    <w:rsid w:val="10C93B35"/>
    <w:rsid w:val="10D719AD"/>
    <w:rsid w:val="11177619"/>
    <w:rsid w:val="112605C8"/>
    <w:rsid w:val="11A6707B"/>
    <w:rsid w:val="11B35B2F"/>
    <w:rsid w:val="12E711B7"/>
    <w:rsid w:val="136D62BD"/>
    <w:rsid w:val="136E4388"/>
    <w:rsid w:val="13F21722"/>
    <w:rsid w:val="1441443C"/>
    <w:rsid w:val="14C12787"/>
    <w:rsid w:val="15593E10"/>
    <w:rsid w:val="159F7E25"/>
    <w:rsid w:val="15F848D0"/>
    <w:rsid w:val="160E1FA5"/>
    <w:rsid w:val="160F2600"/>
    <w:rsid w:val="16C829AB"/>
    <w:rsid w:val="16DD34F5"/>
    <w:rsid w:val="17765BCA"/>
    <w:rsid w:val="17A027D8"/>
    <w:rsid w:val="17CC2625"/>
    <w:rsid w:val="19132BE0"/>
    <w:rsid w:val="191F4716"/>
    <w:rsid w:val="1954649C"/>
    <w:rsid w:val="1A817DF8"/>
    <w:rsid w:val="1A8A6135"/>
    <w:rsid w:val="1ADC594E"/>
    <w:rsid w:val="1AE8308C"/>
    <w:rsid w:val="1AEB5252"/>
    <w:rsid w:val="1B8A03E4"/>
    <w:rsid w:val="1B9C1459"/>
    <w:rsid w:val="1C852172"/>
    <w:rsid w:val="1CA40C0C"/>
    <w:rsid w:val="1CFF4A32"/>
    <w:rsid w:val="1D833200"/>
    <w:rsid w:val="1E3A3FD0"/>
    <w:rsid w:val="1EB55C07"/>
    <w:rsid w:val="1F351A10"/>
    <w:rsid w:val="1F857EA5"/>
    <w:rsid w:val="1FED47E9"/>
    <w:rsid w:val="206816AC"/>
    <w:rsid w:val="21134335"/>
    <w:rsid w:val="226E581D"/>
    <w:rsid w:val="22A4003E"/>
    <w:rsid w:val="23135C25"/>
    <w:rsid w:val="23EC61F6"/>
    <w:rsid w:val="244C543C"/>
    <w:rsid w:val="24624768"/>
    <w:rsid w:val="259B5BC5"/>
    <w:rsid w:val="25F62C4E"/>
    <w:rsid w:val="2644009D"/>
    <w:rsid w:val="26643D6C"/>
    <w:rsid w:val="26FE109D"/>
    <w:rsid w:val="27073E1E"/>
    <w:rsid w:val="27B04AB3"/>
    <w:rsid w:val="282C3BA1"/>
    <w:rsid w:val="28A63332"/>
    <w:rsid w:val="28C96E8E"/>
    <w:rsid w:val="29C45F24"/>
    <w:rsid w:val="2B8B2DC8"/>
    <w:rsid w:val="2D9038E4"/>
    <w:rsid w:val="2DF8796C"/>
    <w:rsid w:val="2EB22F18"/>
    <w:rsid w:val="2EE12108"/>
    <w:rsid w:val="2EED35E3"/>
    <w:rsid w:val="2F0B5068"/>
    <w:rsid w:val="2F250383"/>
    <w:rsid w:val="2F63610B"/>
    <w:rsid w:val="2FBC646B"/>
    <w:rsid w:val="300965A3"/>
    <w:rsid w:val="30730D6E"/>
    <w:rsid w:val="308B20C9"/>
    <w:rsid w:val="30B91A70"/>
    <w:rsid w:val="30F84C22"/>
    <w:rsid w:val="310C6AA2"/>
    <w:rsid w:val="31793674"/>
    <w:rsid w:val="31894469"/>
    <w:rsid w:val="32332703"/>
    <w:rsid w:val="32793D7F"/>
    <w:rsid w:val="32CF2C5D"/>
    <w:rsid w:val="32EE2C61"/>
    <w:rsid w:val="335402B5"/>
    <w:rsid w:val="339466B2"/>
    <w:rsid w:val="34555AF5"/>
    <w:rsid w:val="34FF687B"/>
    <w:rsid w:val="354C4987"/>
    <w:rsid w:val="35616772"/>
    <w:rsid w:val="35EA1663"/>
    <w:rsid w:val="364C598E"/>
    <w:rsid w:val="368A3622"/>
    <w:rsid w:val="36B543E5"/>
    <w:rsid w:val="36CC2B0F"/>
    <w:rsid w:val="36FC762F"/>
    <w:rsid w:val="3838492F"/>
    <w:rsid w:val="383A009B"/>
    <w:rsid w:val="3887374F"/>
    <w:rsid w:val="38CB0ABC"/>
    <w:rsid w:val="39041A07"/>
    <w:rsid w:val="39043B77"/>
    <w:rsid w:val="39670895"/>
    <w:rsid w:val="397B4EE2"/>
    <w:rsid w:val="397E3528"/>
    <w:rsid w:val="3A387943"/>
    <w:rsid w:val="3A657F9A"/>
    <w:rsid w:val="3A9113D4"/>
    <w:rsid w:val="3AC54F32"/>
    <w:rsid w:val="3B144A0A"/>
    <w:rsid w:val="3B254018"/>
    <w:rsid w:val="3B5257F8"/>
    <w:rsid w:val="3BC92948"/>
    <w:rsid w:val="3BE370D4"/>
    <w:rsid w:val="3C1A026D"/>
    <w:rsid w:val="3C29381E"/>
    <w:rsid w:val="3C711E1D"/>
    <w:rsid w:val="3C7F463D"/>
    <w:rsid w:val="3CAE3960"/>
    <w:rsid w:val="3CEF6494"/>
    <w:rsid w:val="3D365BF6"/>
    <w:rsid w:val="3D7F7007"/>
    <w:rsid w:val="3DB008AA"/>
    <w:rsid w:val="3DF23324"/>
    <w:rsid w:val="3EA14040"/>
    <w:rsid w:val="3EE8108D"/>
    <w:rsid w:val="3F8201A3"/>
    <w:rsid w:val="402675EA"/>
    <w:rsid w:val="40B80EFF"/>
    <w:rsid w:val="41A35364"/>
    <w:rsid w:val="41C31686"/>
    <w:rsid w:val="41C837BC"/>
    <w:rsid w:val="421643AC"/>
    <w:rsid w:val="42982B4E"/>
    <w:rsid w:val="429F5D0C"/>
    <w:rsid w:val="42D83665"/>
    <w:rsid w:val="434A6B47"/>
    <w:rsid w:val="436B1E42"/>
    <w:rsid w:val="456D114B"/>
    <w:rsid w:val="45EB670F"/>
    <w:rsid w:val="46AB7C0D"/>
    <w:rsid w:val="46D44808"/>
    <w:rsid w:val="46ED776B"/>
    <w:rsid w:val="479D2523"/>
    <w:rsid w:val="47CF49E6"/>
    <w:rsid w:val="48674ED2"/>
    <w:rsid w:val="487708E6"/>
    <w:rsid w:val="48B540F2"/>
    <w:rsid w:val="493F6F72"/>
    <w:rsid w:val="49645F71"/>
    <w:rsid w:val="499F5C68"/>
    <w:rsid w:val="4A52465C"/>
    <w:rsid w:val="4A5C4AC6"/>
    <w:rsid w:val="4A662FBF"/>
    <w:rsid w:val="4ABE7A6C"/>
    <w:rsid w:val="4AF16062"/>
    <w:rsid w:val="4B0A57E5"/>
    <w:rsid w:val="4B176FE7"/>
    <w:rsid w:val="4B646DDD"/>
    <w:rsid w:val="4B7F44F8"/>
    <w:rsid w:val="4BAC24C5"/>
    <w:rsid w:val="4BFA0656"/>
    <w:rsid w:val="4D3439E8"/>
    <w:rsid w:val="4D4E2809"/>
    <w:rsid w:val="4D730507"/>
    <w:rsid w:val="4D741DD3"/>
    <w:rsid w:val="4DC93207"/>
    <w:rsid w:val="4E010C4C"/>
    <w:rsid w:val="4E214B2B"/>
    <w:rsid w:val="4E8D5761"/>
    <w:rsid w:val="4EF54A85"/>
    <w:rsid w:val="4EF972C6"/>
    <w:rsid w:val="501B3C66"/>
    <w:rsid w:val="504B40C5"/>
    <w:rsid w:val="50987DC2"/>
    <w:rsid w:val="50A4703E"/>
    <w:rsid w:val="51282B99"/>
    <w:rsid w:val="5136104F"/>
    <w:rsid w:val="51465EDE"/>
    <w:rsid w:val="52071113"/>
    <w:rsid w:val="52085509"/>
    <w:rsid w:val="522774C4"/>
    <w:rsid w:val="522A7431"/>
    <w:rsid w:val="525A440D"/>
    <w:rsid w:val="52626449"/>
    <w:rsid w:val="544E511A"/>
    <w:rsid w:val="54741940"/>
    <w:rsid w:val="54810E66"/>
    <w:rsid w:val="54C063E4"/>
    <w:rsid w:val="54C2556E"/>
    <w:rsid w:val="55480EEF"/>
    <w:rsid w:val="561C7A04"/>
    <w:rsid w:val="569B7F91"/>
    <w:rsid w:val="56D21BED"/>
    <w:rsid w:val="572651B2"/>
    <w:rsid w:val="57AE5C26"/>
    <w:rsid w:val="57DD75A9"/>
    <w:rsid w:val="5801059F"/>
    <w:rsid w:val="58256ABD"/>
    <w:rsid w:val="58454B73"/>
    <w:rsid w:val="58C27FDB"/>
    <w:rsid w:val="59472AC7"/>
    <w:rsid w:val="59D514A6"/>
    <w:rsid w:val="59EC6E09"/>
    <w:rsid w:val="5AB343F7"/>
    <w:rsid w:val="5ABF50F2"/>
    <w:rsid w:val="5AF25D13"/>
    <w:rsid w:val="5AF76904"/>
    <w:rsid w:val="5B052E7A"/>
    <w:rsid w:val="5B3D7F7E"/>
    <w:rsid w:val="5B7C7777"/>
    <w:rsid w:val="5BEC6771"/>
    <w:rsid w:val="5C7B7AC8"/>
    <w:rsid w:val="5CA506B9"/>
    <w:rsid w:val="5CF74CE4"/>
    <w:rsid w:val="5D5A7C63"/>
    <w:rsid w:val="5E256F6F"/>
    <w:rsid w:val="5F6235A9"/>
    <w:rsid w:val="60DC439E"/>
    <w:rsid w:val="614125C2"/>
    <w:rsid w:val="61AA1D1F"/>
    <w:rsid w:val="61B35795"/>
    <w:rsid w:val="624C5C52"/>
    <w:rsid w:val="63DF08E4"/>
    <w:rsid w:val="63EE37FF"/>
    <w:rsid w:val="64C04AFD"/>
    <w:rsid w:val="655B219F"/>
    <w:rsid w:val="661A7B69"/>
    <w:rsid w:val="66455323"/>
    <w:rsid w:val="664909C1"/>
    <w:rsid w:val="66635AE4"/>
    <w:rsid w:val="66C63EB5"/>
    <w:rsid w:val="67592674"/>
    <w:rsid w:val="679461D3"/>
    <w:rsid w:val="6858287E"/>
    <w:rsid w:val="68593A1E"/>
    <w:rsid w:val="68C04D52"/>
    <w:rsid w:val="68D33DE9"/>
    <w:rsid w:val="69157114"/>
    <w:rsid w:val="691A443E"/>
    <w:rsid w:val="69E203A0"/>
    <w:rsid w:val="6A5B6D7D"/>
    <w:rsid w:val="6A765FBC"/>
    <w:rsid w:val="6A80735F"/>
    <w:rsid w:val="6AC17181"/>
    <w:rsid w:val="6ACC5E47"/>
    <w:rsid w:val="6AD43ED1"/>
    <w:rsid w:val="6B11024D"/>
    <w:rsid w:val="6B7D5B36"/>
    <w:rsid w:val="6C834DAA"/>
    <w:rsid w:val="6C993CCE"/>
    <w:rsid w:val="6CF120A8"/>
    <w:rsid w:val="6D72413D"/>
    <w:rsid w:val="6FF50B81"/>
    <w:rsid w:val="70330B9C"/>
    <w:rsid w:val="714213DD"/>
    <w:rsid w:val="717F272E"/>
    <w:rsid w:val="72783A23"/>
    <w:rsid w:val="728027C6"/>
    <w:rsid w:val="73D62FA6"/>
    <w:rsid w:val="73FE7ACC"/>
    <w:rsid w:val="74556746"/>
    <w:rsid w:val="74743258"/>
    <w:rsid w:val="74CA35FA"/>
    <w:rsid w:val="761B13C4"/>
    <w:rsid w:val="764B6A8A"/>
    <w:rsid w:val="76A60DBD"/>
    <w:rsid w:val="76C17E06"/>
    <w:rsid w:val="76CA67BD"/>
    <w:rsid w:val="774E6400"/>
    <w:rsid w:val="775B0046"/>
    <w:rsid w:val="79700BEF"/>
    <w:rsid w:val="798D552B"/>
    <w:rsid w:val="7A090695"/>
    <w:rsid w:val="7A1D5951"/>
    <w:rsid w:val="7AE175F4"/>
    <w:rsid w:val="7B417685"/>
    <w:rsid w:val="7B5220F0"/>
    <w:rsid w:val="7BA169C0"/>
    <w:rsid w:val="7BC55243"/>
    <w:rsid w:val="7C1C7E76"/>
    <w:rsid w:val="7C2F4A9A"/>
    <w:rsid w:val="7CAD595B"/>
    <w:rsid w:val="7CF65D07"/>
    <w:rsid w:val="7D2975D1"/>
    <w:rsid w:val="7D2F3083"/>
    <w:rsid w:val="7D906046"/>
    <w:rsid w:val="7DCC0CD6"/>
    <w:rsid w:val="7F112E4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autoRedefine/>
    <w:qFormat/>
    <w:uiPriority w:val="0"/>
  </w:style>
  <w:style w:type="table" w:default="1" w:styleId="9">
    <w:name w:val="Normal Table"/>
    <w:autoRedefine/>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tabs>
        <w:tab w:val="left" w:pos="8372"/>
      </w:tabs>
      <w:spacing w:line="540" w:lineRule="exact"/>
      <w:ind w:firstLine="630"/>
    </w:pPr>
    <w:rPr>
      <w:rFonts w:eastAsia="黑体"/>
    </w:rPr>
  </w:style>
  <w:style w:type="paragraph" w:styleId="3">
    <w:name w:val="Date"/>
    <w:basedOn w:val="1"/>
    <w:next w:val="1"/>
    <w:autoRedefine/>
    <w:qFormat/>
    <w:uiPriority w:val="0"/>
  </w:style>
  <w:style w:type="paragraph" w:styleId="4">
    <w:name w:val="Body Text Indent 2"/>
    <w:basedOn w:val="1"/>
    <w:autoRedefine/>
    <w:qFormat/>
    <w:uiPriority w:val="0"/>
    <w:pPr>
      <w:tabs>
        <w:tab w:val="left" w:pos="8372"/>
      </w:tabs>
      <w:spacing w:line="540" w:lineRule="exact"/>
      <w:ind w:firstLine="630"/>
    </w:pPr>
    <w:rPr>
      <w:b/>
      <w:bCs/>
    </w:rPr>
  </w:style>
  <w:style w:type="paragraph" w:styleId="5">
    <w:name w:val="Balloon Text"/>
    <w:basedOn w:val="1"/>
    <w:link w:val="17"/>
    <w:autoRedefine/>
    <w:qFormat/>
    <w:uiPriority w:val="0"/>
    <w:rPr>
      <w:sz w:val="18"/>
      <w:szCs w:val="18"/>
    </w:rPr>
  </w:style>
  <w:style w:type="paragraph" w:styleId="6">
    <w:name w:val="footer"/>
    <w:basedOn w:val="1"/>
    <w:link w:val="16"/>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autoRedefine/>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autoRedefine/>
    <w:qFormat/>
    <w:uiPriority w:val="0"/>
  </w:style>
  <w:style w:type="character" w:customStyle="1" w:styleId="13">
    <w:name w:val="font61"/>
    <w:autoRedefine/>
    <w:qFormat/>
    <w:uiPriority w:val="0"/>
    <w:rPr>
      <w:rFonts w:hint="eastAsia" w:ascii="宋体" w:hAnsi="宋体" w:eastAsia="宋体" w:cs="宋体"/>
      <w:color w:val="000000"/>
      <w:sz w:val="24"/>
      <w:szCs w:val="24"/>
      <w:u w:val="none"/>
    </w:rPr>
  </w:style>
  <w:style w:type="character" w:customStyle="1" w:styleId="14">
    <w:name w:val="font41"/>
    <w:autoRedefine/>
    <w:qFormat/>
    <w:uiPriority w:val="0"/>
    <w:rPr>
      <w:rFonts w:hint="default" w:ascii="华文细黑" w:hAnsi="华文细黑" w:eastAsia="华文细黑" w:cs="华文细黑"/>
      <w:color w:val="000000"/>
      <w:sz w:val="20"/>
      <w:szCs w:val="20"/>
      <w:u w:val="none"/>
    </w:rPr>
  </w:style>
  <w:style w:type="character" w:customStyle="1" w:styleId="15">
    <w:name w:val="font11"/>
    <w:autoRedefine/>
    <w:qFormat/>
    <w:uiPriority w:val="0"/>
    <w:rPr>
      <w:rFonts w:hint="default" w:ascii="Arial" w:hAnsi="Arial" w:cs="Arial"/>
      <w:color w:val="000000"/>
      <w:sz w:val="24"/>
      <w:szCs w:val="24"/>
      <w:u w:val="none"/>
    </w:rPr>
  </w:style>
  <w:style w:type="character" w:customStyle="1" w:styleId="16">
    <w:name w:val="页脚 字符"/>
    <w:link w:val="6"/>
    <w:autoRedefine/>
    <w:qFormat/>
    <w:uiPriority w:val="0"/>
    <w:rPr>
      <w:rFonts w:eastAsia="仿宋_GB2312"/>
      <w:kern w:val="2"/>
      <w:sz w:val="18"/>
    </w:rPr>
  </w:style>
  <w:style w:type="character" w:customStyle="1" w:styleId="17">
    <w:name w:val="批注框文本 字符"/>
    <w:link w:val="5"/>
    <w:autoRedefine/>
    <w:qFormat/>
    <w:uiPriority w:val="0"/>
    <w:rPr>
      <w:rFonts w:eastAsia="仿宋_GB2312"/>
      <w:kern w:val="2"/>
      <w:sz w:val="18"/>
      <w:szCs w:val="18"/>
    </w:rPr>
  </w:style>
  <w:style w:type="character" w:customStyle="1" w:styleId="18">
    <w:name w:val="font21"/>
    <w:autoRedefine/>
    <w:qFormat/>
    <w:uiPriority w:val="0"/>
    <w:rPr>
      <w:rFonts w:hint="default" w:ascii="Arial" w:hAnsi="Arial" w:cs="Arial"/>
      <w:color w:val="000000"/>
      <w:sz w:val="20"/>
      <w:szCs w:val="20"/>
      <w:u w:val="none"/>
    </w:rPr>
  </w:style>
  <w:style w:type="character" w:customStyle="1" w:styleId="19">
    <w:name w:val="font01"/>
    <w:autoRedefine/>
    <w:qFormat/>
    <w:uiPriority w:val="0"/>
    <w:rPr>
      <w:rFonts w:hint="default" w:ascii="Times New Roman" w:hAnsi="Times New Roman" w:cs="Times New Roman"/>
      <w:color w:val="000000"/>
      <w:sz w:val="24"/>
      <w:szCs w:val="24"/>
      <w:u w:val="none"/>
    </w:rPr>
  </w:style>
  <w:style w:type="paragraph" w:customStyle="1" w:styleId="20">
    <w:name w:val="页脚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1">
    <w:name w:val="页脚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2">
    <w:name w:val="页眉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3">
    <w:name w:val="页眉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4">
    <w:name w:val="页脚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5">
    <w:name w:val="页脚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6">
    <w:name w:val="页眉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7">
    <w:name w:val="页脚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8">
    <w:name w:val="页脚 New"/>
    <w:basedOn w:val="1"/>
    <w:autoRedefine/>
    <w:qFormat/>
    <w:uiPriority w:val="0"/>
    <w:pPr>
      <w:tabs>
        <w:tab w:val="center" w:pos="4153"/>
        <w:tab w:val="right" w:pos="8306"/>
      </w:tabs>
      <w:snapToGrid w:val="0"/>
      <w:jc w:val="left"/>
    </w:pPr>
    <w:rPr>
      <w:rFonts w:eastAsia="仿宋_GB2312"/>
      <w:kern w:val="2"/>
      <w:sz w:val="18"/>
    </w:rPr>
  </w:style>
  <w:style w:type="paragraph" w:customStyle="1" w:styleId="29">
    <w:name w:val="页眉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眉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1">
    <w:name w:val="页眉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3">
    <w:name w:val="页脚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4">
    <w:name w:val="页眉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5">
    <w:name w:val="页眉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页眉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7">
    <w:name w:val="页眉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9">
    <w:name w:val="页脚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眉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3">
    <w:name w:val="页眉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页眉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5">
    <w:name w:val="页眉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p0"/>
    <w:basedOn w:val="1"/>
    <w:autoRedefine/>
    <w:qFormat/>
    <w:uiPriority w:val="0"/>
    <w:pPr>
      <w:widowControl/>
    </w:pPr>
    <w:rPr>
      <w:rFonts w:eastAsia="宋体"/>
      <w:kern w:val="0"/>
      <w:szCs w:val="32"/>
    </w:rPr>
  </w:style>
  <w:style w:type="paragraph" w:customStyle="1" w:styleId="49">
    <w:name w:val="页脚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0">
    <w:name w:val="页脚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1">
    <w:name w:val="页脚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2">
    <w:name w:val="页脚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3">
    <w:name w:val="页脚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4">
    <w:name w:val="页脚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5">
    <w:name w:val="页脚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脚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1">
    <w:name w:val="页眉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正文文本 21"/>
    <w:basedOn w:val="1"/>
    <w:autoRedefine/>
    <w:qFormat/>
    <w:uiPriority w:val="0"/>
    <w:pPr>
      <w:adjustRightInd w:val="0"/>
      <w:ind w:firstLine="630"/>
      <w:jc w:val="left"/>
      <w:textAlignment w:val="baseline"/>
    </w:pPr>
    <w:rPr>
      <w:rFonts w:eastAsia="黑体"/>
    </w:rPr>
  </w:style>
  <w:style w:type="paragraph" w:customStyle="1" w:styleId="63">
    <w:name w:val="页眉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6">
    <w:name w:val="页眉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7">
    <w:name w:val="页眉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2">
    <w:name w:val="页眉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3">
    <w:name w:val="页脚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4">
    <w:name w:val="页眉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5">
    <w:name w:val="页眉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6">
    <w:name w:val="页脚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8">
    <w:name w:val="页眉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Char"/>
    <w:basedOn w:val="1"/>
    <w:autoRedefine/>
    <w:qFormat/>
    <w:uiPriority w:val="0"/>
    <w:rPr>
      <w:rFonts w:eastAsia="宋体"/>
      <w:sz w:val="21"/>
      <w:szCs w:val="21"/>
    </w:rPr>
  </w:style>
  <w:style w:type="paragraph" w:customStyle="1" w:styleId="80">
    <w:name w:val="页脚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1">
    <w:name w:val="页脚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2">
    <w:name w:val="页眉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25</Pages>
  <Words>6239</Words>
  <Characters>7519</Characters>
  <Lines>71</Lines>
  <Paragraphs>20</Paragraphs>
  <TotalTime>1</TotalTime>
  <ScaleCrop>false</ScaleCrop>
  <LinksUpToDate>false</LinksUpToDate>
  <CharactersWithSpaces>8098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董dongdong</cp:lastModifiedBy>
  <cp:lastPrinted>2024-01-23T03:39:00Z</cp:lastPrinted>
  <dcterms:modified xsi:type="dcterms:W3CDTF">2024-02-26T02:07:31Z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5FE41A96B0A5481E93A2B9561CABA45D_13</vt:lpwstr>
  </property>
</Properties>
</file>