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val="en-US" w:eastAsia="zh-CN"/>
        </w:rPr>
        <w:t>通榆县统计局2</w:t>
      </w:r>
      <w:r>
        <w:rPr>
          <w:rFonts w:eastAsia="方正小标宋简体"/>
          <w:sz w:val="44"/>
          <w:szCs w:val="44"/>
        </w:rPr>
        <w:t>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1.贯彻执行国家统计方针、政策和法律法规，制定全</w:t>
      </w:r>
      <w:r>
        <w:rPr>
          <w:rFonts w:hint="eastAsia"/>
          <w:color w:val="000000"/>
          <w:szCs w:val="32"/>
          <w:lang w:eastAsia="zh-CN"/>
        </w:rPr>
        <w:t>县</w:t>
      </w:r>
      <w:r>
        <w:rPr>
          <w:rFonts w:hint="eastAsia"/>
          <w:color w:val="000000"/>
          <w:szCs w:val="32"/>
        </w:rPr>
        <w:t>统计规划及全</w:t>
      </w:r>
      <w:r>
        <w:rPr>
          <w:rFonts w:hint="eastAsia"/>
          <w:color w:val="000000"/>
          <w:szCs w:val="32"/>
          <w:lang w:eastAsia="zh-CN"/>
        </w:rPr>
        <w:t>县</w:t>
      </w:r>
      <w:r>
        <w:rPr>
          <w:rFonts w:hint="eastAsia"/>
          <w:color w:val="000000"/>
          <w:szCs w:val="32"/>
        </w:rPr>
        <w:t>性统计调查计划，起草地方性统计法规和</w:t>
      </w:r>
      <w:r>
        <w:rPr>
          <w:rFonts w:hint="eastAsia"/>
          <w:color w:val="000000"/>
          <w:szCs w:val="32"/>
          <w:lang w:eastAsia="zh-CN"/>
        </w:rPr>
        <w:t>县</w:t>
      </w:r>
      <w:r>
        <w:rPr>
          <w:rFonts w:hint="eastAsia"/>
          <w:color w:val="000000"/>
          <w:szCs w:val="32"/>
        </w:rPr>
        <w:t>政府规章草案；监督检查统计法律、法规的实施。组织领导全</w:t>
      </w:r>
      <w:r>
        <w:rPr>
          <w:rFonts w:hint="eastAsia"/>
          <w:color w:val="000000"/>
          <w:szCs w:val="32"/>
          <w:lang w:eastAsia="zh-CN"/>
        </w:rPr>
        <w:t>县</w:t>
      </w:r>
      <w:r>
        <w:rPr>
          <w:rFonts w:hint="eastAsia"/>
          <w:color w:val="000000"/>
          <w:szCs w:val="32"/>
        </w:rPr>
        <w:t>统计工作，承担确保统计数据真实、准确、及时的责任。</w:t>
      </w:r>
    </w:p>
    <w:p>
      <w:pPr>
        <w:ind w:firstLine="640" w:firstLineChars="200"/>
        <w:rPr>
          <w:rFonts w:hint="eastAsia"/>
          <w:color w:val="000000"/>
          <w:szCs w:val="32"/>
        </w:rPr>
      </w:pPr>
      <w:r>
        <w:rPr>
          <w:rFonts w:hint="eastAsia"/>
          <w:color w:val="000000"/>
          <w:szCs w:val="32"/>
        </w:rPr>
        <w:t>2.根据全国统一的基本统计制度，建立健全省国民经济核算体系和统计指标体系，制定全省统一的基本统计报表制度和统计标准；汇编提供全省国民经济核算资料，监督管理省内各级统计机关国民经济核算工作。</w:t>
      </w:r>
    </w:p>
    <w:p>
      <w:pPr>
        <w:ind w:firstLine="640" w:firstLineChars="200"/>
        <w:rPr>
          <w:rFonts w:hint="eastAsia"/>
          <w:color w:val="000000"/>
          <w:szCs w:val="32"/>
        </w:rPr>
      </w:pPr>
      <w:r>
        <w:rPr>
          <w:rFonts w:hint="eastAsia"/>
          <w:color w:val="000000"/>
          <w:szCs w:val="32"/>
        </w:rPr>
        <w:t>3.研究提出重大的普查计划，并组织实施；统一组织协调各地、各部门的社会经济统计调查；对国民经济各行业、科技、资源环境和社会发展等情况进行统计分析、统计预测预警和统计监督，向</w:t>
      </w:r>
      <w:r>
        <w:rPr>
          <w:rFonts w:hint="eastAsia"/>
          <w:color w:val="000000"/>
          <w:szCs w:val="32"/>
          <w:lang w:eastAsia="zh-CN"/>
        </w:rPr>
        <w:t>县</w:t>
      </w:r>
      <w:r>
        <w:rPr>
          <w:rFonts w:hint="eastAsia"/>
          <w:color w:val="000000"/>
          <w:szCs w:val="32"/>
        </w:rPr>
        <w:t>委、</w:t>
      </w:r>
      <w:r>
        <w:rPr>
          <w:rFonts w:hint="eastAsia"/>
          <w:color w:val="000000"/>
          <w:szCs w:val="32"/>
          <w:lang w:eastAsia="zh-CN"/>
        </w:rPr>
        <w:t>县</w:t>
      </w:r>
      <w:r>
        <w:rPr>
          <w:rFonts w:hint="eastAsia"/>
          <w:color w:val="000000"/>
          <w:szCs w:val="32"/>
        </w:rPr>
        <w:t>政府及有关部门提供统计信息和咨询建议；收集、整理、提供</w:t>
      </w:r>
      <w:r>
        <w:rPr>
          <w:rFonts w:hint="eastAsia"/>
          <w:color w:val="000000"/>
          <w:szCs w:val="32"/>
          <w:lang w:eastAsia="zh-CN"/>
        </w:rPr>
        <w:t>县级</w:t>
      </w:r>
      <w:r>
        <w:rPr>
          <w:rFonts w:hint="eastAsia"/>
          <w:color w:val="000000"/>
          <w:szCs w:val="32"/>
        </w:rPr>
        <w:t>及外</w:t>
      </w:r>
      <w:r>
        <w:rPr>
          <w:rFonts w:hint="eastAsia"/>
          <w:color w:val="000000"/>
          <w:szCs w:val="32"/>
          <w:lang w:eastAsia="zh-CN"/>
        </w:rPr>
        <w:t>县</w:t>
      </w:r>
      <w:r>
        <w:rPr>
          <w:rFonts w:hint="eastAsia"/>
          <w:color w:val="000000"/>
          <w:szCs w:val="32"/>
        </w:rPr>
        <w:t>的统计资料，并进行对比分析和研究。</w:t>
      </w:r>
    </w:p>
    <w:p>
      <w:pPr>
        <w:ind w:firstLine="640" w:firstLineChars="200"/>
        <w:rPr>
          <w:rFonts w:hint="eastAsia"/>
          <w:color w:val="000000"/>
          <w:szCs w:val="32"/>
        </w:rPr>
      </w:pPr>
      <w:r>
        <w:rPr>
          <w:rFonts w:hint="eastAsia"/>
          <w:color w:val="000000"/>
          <w:szCs w:val="32"/>
        </w:rPr>
        <w:t>4.统一核定、管理、公布全省性的基本统计资料，定期向社会公布全</w:t>
      </w:r>
      <w:r>
        <w:rPr>
          <w:rFonts w:hint="eastAsia"/>
          <w:color w:val="000000"/>
          <w:szCs w:val="32"/>
          <w:lang w:eastAsia="zh-CN"/>
        </w:rPr>
        <w:t>县</w:t>
      </w:r>
      <w:r>
        <w:rPr>
          <w:rFonts w:hint="eastAsia"/>
          <w:color w:val="000000"/>
          <w:szCs w:val="32"/>
        </w:rPr>
        <w:t>国民经济和社会发展情况的统计信息。</w:t>
      </w:r>
    </w:p>
    <w:p>
      <w:pPr>
        <w:ind w:firstLine="640" w:firstLineChars="200"/>
        <w:rPr>
          <w:rFonts w:hint="eastAsia"/>
          <w:color w:val="000000"/>
          <w:szCs w:val="32"/>
        </w:rPr>
      </w:pPr>
      <w:r>
        <w:rPr>
          <w:rFonts w:hint="eastAsia"/>
          <w:color w:val="000000"/>
          <w:szCs w:val="32"/>
        </w:rPr>
        <w:t>5.建立、完善和管理全</w:t>
      </w:r>
      <w:r>
        <w:rPr>
          <w:rFonts w:hint="eastAsia"/>
          <w:color w:val="000000"/>
          <w:szCs w:val="32"/>
          <w:lang w:eastAsia="zh-CN"/>
        </w:rPr>
        <w:t>县</w:t>
      </w:r>
      <w:r>
        <w:rPr>
          <w:rFonts w:hint="eastAsia"/>
          <w:color w:val="000000"/>
          <w:szCs w:val="32"/>
        </w:rPr>
        <w:t>统计信息自动化网络和数据库体系。</w:t>
      </w:r>
    </w:p>
    <w:p>
      <w:pPr>
        <w:ind w:firstLine="640" w:firstLineChars="200"/>
        <w:rPr>
          <w:rFonts w:hint="eastAsia"/>
          <w:color w:val="000000"/>
          <w:szCs w:val="32"/>
        </w:rPr>
      </w:pPr>
      <w:r>
        <w:rPr>
          <w:rFonts w:hint="eastAsia"/>
          <w:color w:val="000000"/>
          <w:szCs w:val="32"/>
        </w:rPr>
        <w:t>6.依法管理各部门统计调查项目和统计标准，指导专业统计基础工作、统计基层业务基础建设，组织建立服务业统计信息管理制度，建立健全统计数据质量审核、监控和评估制度，负责重要统计数据的审核、监控和评估，依法监督管理涉外调查活动。</w:t>
      </w:r>
    </w:p>
    <w:p>
      <w:pPr>
        <w:ind w:firstLine="640" w:firstLineChars="200"/>
        <w:rPr>
          <w:rFonts w:hint="eastAsia"/>
          <w:color w:val="000000"/>
          <w:szCs w:val="32"/>
        </w:rPr>
      </w:pPr>
      <w:r>
        <w:rPr>
          <w:rFonts w:hint="eastAsia"/>
          <w:color w:val="000000"/>
          <w:szCs w:val="32"/>
        </w:rPr>
        <w:t>7.负责全</w:t>
      </w:r>
      <w:r>
        <w:rPr>
          <w:rFonts w:hint="eastAsia"/>
          <w:color w:val="000000"/>
          <w:szCs w:val="32"/>
          <w:lang w:eastAsia="zh-CN"/>
        </w:rPr>
        <w:t>县</w:t>
      </w:r>
      <w:r>
        <w:rPr>
          <w:rFonts w:hint="eastAsia"/>
          <w:color w:val="000000"/>
          <w:szCs w:val="32"/>
        </w:rPr>
        <w:t>统计系统的干部人事、机构编制和财务经费、审计监督及资产设施管理。</w:t>
      </w:r>
    </w:p>
    <w:p>
      <w:pPr>
        <w:ind w:firstLine="640" w:firstLineChars="200"/>
        <w:rPr>
          <w:rFonts w:hint="eastAsia"/>
          <w:color w:val="000000"/>
          <w:szCs w:val="32"/>
        </w:rPr>
      </w:pPr>
      <w:r>
        <w:rPr>
          <w:rFonts w:hint="eastAsia"/>
          <w:color w:val="000000"/>
          <w:szCs w:val="32"/>
        </w:rPr>
        <w:t>8.领导国家统计局委托管理的中直调查机构。</w:t>
      </w:r>
    </w:p>
    <w:p>
      <w:pPr>
        <w:ind w:firstLine="640" w:firstLineChars="200"/>
        <w:rPr>
          <w:color w:val="000000"/>
          <w:sz w:val="21"/>
          <w:szCs w:val="21"/>
        </w:rPr>
      </w:pPr>
      <w:r>
        <w:rPr>
          <w:rFonts w:hint="eastAsia"/>
          <w:color w:val="000000"/>
          <w:szCs w:val="32"/>
        </w:rPr>
        <w:t>9.承办</w:t>
      </w:r>
      <w:r>
        <w:rPr>
          <w:rFonts w:hint="eastAsia"/>
          <w:color w:val="000000"/>
          <w:szCs w:val="32"/>
          <w:lang w:eastAsia="zh-CN"/>
        </w:rPr>
        <w:t>县委、县</w:t>
      </w:r>
      <w:r>
        <w:rPr>
          <w:rFonts w:hint="eastAsia"/>
          <w:color w:val="000000"/>
          <w:szCs w:val="32"/>
        </w:rPr>
        <w:t>政府交办的其他事项。</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hint="eastAsia" w:eastAsia="仿宋_GB2312"/>
          <w:lang w:eastAsia="zh-CN"/>
        </w:rPr>
        <w:t>通榆县</w:t>
      </w:r>
      <w:r>
        <w:rPr>
          <w:rFonts w:hint="eastAsia" w:eastAsia="仿宋_GB2312"/>
        </w:rPr>
        <w:t>统计局</w:t>
      </w:r>
      <w:r>
        <w:rPr>
          <w:rFonts w:eastAsia="仿宋_GB2312"/>
        </w:rPr>
        <w:t>内设</w:t>
      </w:r>
      <w:r>
        <w:rPr>
          <w:rFonts w:hint="eastAsia" w:eastAsia="仿宋_GB2312"/>
          <w:lang w:val="en-US" w:eastAsia="zh-CN"/>
        </w:rPr>
        <w:t>2</w:t>
      </w:r>
      <w:r>
        <w:rPr>
          <w:rFonts w:eastAsia="仿宋_GB2312"/>
        </w:rPr>
        <w:t>个机构，分别为</w:t>
      </w:r>
      <w:r>
        <w:rPr>
          <w:rFonts w:hint="eastAsia" w:eastAsia="仿宋_GB2312"/>
          <w:lang w:eastAsia="zh-CN"/>
        </w:rPr>
        <w:t>综合科和社会经济统计科。本单位无下设预算单位</w:t>
      </w:r>
      <w:r>
        <w:rPr>
          <w:rFonts w:hint="eastAsia" w:eastAsia="仿宋_GB2312"/>
        </w:rPr>
        <w:t>。</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779" w:type="dxa"/>
        <w:tblInd w:w="-151" w:type="dxa"/>
        <w:tblLayout w:type="autofit"/>
        <w:tblCellMar>
          <w:top w:w="0" w:type="dxa"/>
          <w:left w:w="108" w:type="dxa"/>
          <w:bottom w:w="0" w:type="dxa"/>
          <w:right w:w="108" w:type="dxa"/>
        </w:tblCellMar>
      </w:tblPr>
      <w:tblGrid>
        <w:gridCol w:w="2355"/>
        <w:gridCol w:w="892"/>
        <w:gridCol w:w="348"/>
        <w:gridCol w:w="348"/>
        <w:gridCol w:w="1156"/>
        <w:gridCol w:w="2040"/>
        <w:gridCol w:w="975"/>
        <w:gridCol w:w="1020"/>
        <w:gridCol w:w="645"/>
      </w:tblGrid>
      <w:tr>
        <w:tblPrEx>
          <w:tblCellMar>
            <w:top w:w="0" w:type="dxa"/>
            <w:left w:w="108" w:type="dxa"/>
            <w:bottom w:w="0" w:type="dxa"/>
            <w:right w:w="108" w:type="dxa"/>
          </w:tblCellMar>
        </w:tblPrEx>
        <w:trPr>
          <w:gridAfter w:val="1"/>
          <w:wAfter w:w="645" w:type="dxa"/>
          <w:trHeight w:val="525" w:hRule="atLeast"/>
        </w:trPr>
        <w:tc>
          <w:tcPr>
            <w:tcW w:w="9134" w:type="dxa"/>
            <w:gridSpan w:val="8"/>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gridAfter w:val="1"/>
          <w:wAfter w:w="645" w:type="dxa"/>
          <w:trHeight w:val="315" w:hRule="atLeast"/>
        </w:trPr>
        <w:tc>
          <w:tcPr>
            <w:tcW w:w="3595" w:type="dxa"/>
            <w:gridSpan w:val="3"/>
            <w:tcBorders>
              <w:top w:val="nil"/>
              <w:left w:val="nil"/>
              <w:bottom w:val="nil"/>
              <w:right w:val="nil"/>
            </w:tcBorders>
            <w:noWrap w:val="0"/>
            <w:vAlign w:val="center"/>
          </w:tcPr>
          <w:p>
            <w:pPr>
              <w:widowControl/>
              <w:jc w:val="center"/>
              <w:rPr>
                <w:rFonts w:eastAsia="宋体"/>
                <w:kern w:val="0"/>
                <w:sz w:val="20"/>
              </w:rPr>
            </w:pPr>
          </w:p>
        </w:tc>
        <w:tc>
          <w:tcPr>
            <w:tcW w:w="1504" w:type="dxa"/>
            <w:gridSpan w:val="2"/>
            <w:tcBorders>
              <w:top w:val="nil"/>
              <w:left w:val="nil"/>
              <w:bottom w:val="nil"/>
              <w:right w:val="nil"/>
            </w:tcBorders>
            <w:noWrap w:val="0"/>
            <w:vAlign w:val="center"/>
          </w:tcPr>
          <w:p>
            <w:pPr>
              <w:widowControl/>
              <w:jc w:val="center"/>
              <w:rPr>
                <w:rFonts w:eastAsia="宋体"/>
                <w:kern w:val="0"/>
                <w:sz w:val="20"/>
              </w:rPr>
            </w:pPr>
          </w:p>
        </w:tc>
        <w:tc>
          <w:tcPr>
            <w:tcW w:w="3015" w:type="dxa"/>
            <w:gridSpan w:val="2"/>
            <w:tcBorders>
              <w:top w:val="nil"/>
              <w:left w:val="nil"/>
              <w:bottom w:val="nil"/>
              <w:right w:val="nil"/>
            </w:tcBorders>
            <w:noWrap w:val="0"/>
            <w:vAlign w:val="center"/>
          </w:tcPr>
          <w:p>
            <w:pPr>
              <w:widowControl/>
              <w:jc w:val="center"/>
              <w:rPr>
                <w:rFonts w:eastAsia="宋体"/>
                <w:kern w:val="0"/>
                <w:sz w:val="20"/>
              </w:rPr>
            </w:pPr>
          </w:p>
        </w:tc>
        <w:tc>
          <w:tcPr>
            <w:tcW w:w="1020" w:type="dxa"/>
            <w:tcBorders>
              <w:top w:val="nil"/>
              <w:left w:val="nil"/>
              <w:bottom w:val="nil"/>
              <w:right w:val="nil"/>
            </w:tcBorders>
            <w:noWrap w:val="0"/>
            <w:vAlign w:val="bottom"/>
          </w:tcPr>
          <w:p>
            <w:pPr>
              <w:widowControl/>
              <w:jc w:val="both"/>
              <w:rPr>
                <w:rFonts w:eastAsia="宋体"/>
                <w:kern w:val="0"/>
                <w:sz w:val="20"/>
              </w:rPr>
            </w:pPr>
            <w:r>
              <w:rPr>
                <w:rFonts w:eastAsia="宋体"/>
                <w:kern w:val="0"/>
                <w:sz w:val="16"/>
                <w:szCs w:val="16"/>
              </w:rPr>
              <w:t>单位</w:t>
            </w:r>
            <w:r>
              <w:rPr>
                <w:rFonts w:hint="eastAsia" w:eastAsia="宋体"/>
                <w:kern w:val="0"/>
                <w:sz w:val="16"/>
                <w:szCs w:val="16"/>
                <w:lang w:eastAsia="zh-CN"/>
              </w:rPr>
              <w:t>：</w:t>
            </w:r>
            <w:r>
              <w:rPr>
                <w:rFonts w:eastAsia="宋体"/>
                <w:kern w:val="0"/>
                <w:sz w:val="16"/>
                <w:szCs w:val="16"/>
              </w:rPr>
              <w:t>万元</w:t>
            </w:r>
          </w:p>
        </w:tc>
      </w:tr>
      <w:tr>
        <w:tblPrEx>
          <w:tblCellMar>
            <w:top w:w="0" w:type="dxa"/>
            <w:left w:w="108" w:type="dxa"/>
            <w:bottom w:w="0" w:type="dxa"/>
            <w:right w:w="108" w:type="dxa"/>
          </w:tblCellMar>
        </w:tblPrEx>
        <w:trPr>
          <w:trHeight w:val="435" w:hRule="atLeast"/>
        </w:trPr>
        <w:tc>
          <w:tcPr>
            <w:tcW w:w="509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eastAsia="宋体"/>
                <w:kern w:val="0"/>
                <w:sz w:val="16"/>
                <w:szCs w:val="16"/>
              </w:rPr>
              <w:t>收       入</w:t>
            </w:r>
          </w:p>
        </w:tc>
        <w:tc>
          <w:tcPr>
            <w:tcW w:w="468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16"/>
                <w:szCs w:val="16"/>
              </w:rPr>
            </w:pPr>
            <w:r>
              <w:rPr>
                <w:rFonts w:hint="eastAsia" w:eastAsia="宋体"/>
                <w:kern w:val="0"/>
                <w:sz w:val="16"/>
                <w:szCs w:val="16"/>
              </w:rPr>
              <w:t xml:space="preserve">支 </w:t>
            </w:r>
            <w:r>
              <w:rPr>
                <w:rFonts w:eastAsia="宋体"/>
                <w:kern w:val="0"/>
                <w:sz w:val="16"/>
                <w:szCs w:val="16"/>
              </w:rPr>
              <w:t xml:space="preserve">       </w:t>
            </w:r>
            <w:r>
              <w:rPr>
                <w:rFonts w:hint="eastAsia" w:eastAsia="宋体"/>
                <w:kern w:val="0"/>
                <w:sz w:val="16"/>
                <w:szCs w:val="16"/>
              </w:rPr>
              <w:t>出</w:t>
            </w:r>
          </w:p>
        </w:tc>
      </w:tr>
      <w:tr>
        <w:tblPrEx>
          <w:tblCellMar>
            <w:top w:w="0" w:type="dxa"/>
            <w:left w:w="108" w:type="dxa"/>
            <w:bottom w:w="0" w:type="dxa"/>
            <w:right w:w="108" w:type="dxa"/>
          </w:tblCellMar>
        </w:tblPrEx>
        <w:trPr>
          <w:trHeight w:val="435" w:hRule="atLeast"/>
        </w:trPr>
        <w:tc>
          <w:tcPr>
            <w:tcW w:w="2355"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16"/>
                <w:szCs w:val="16"/>
              </w:rPr>
            </w:pPr>
            <w:r>
              <w:rPr>
                <w:rFonts w:eastAsia="宋体"/>
                <w:kern w:val="0"/>
                <w:sz w:val="16"/>
                <w:szCs w:val="16"/>
              </w:rPr>
              <w:t>项  目</w:t>
            </w:r>
          </w:p>
        </w:tc>
        <w:tc>
          <w:tcPr>
            <w:tcW w:w="892"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rPr>
              <w:t>2</w:t>
            </w:r>
            <w:r>
              <w:rPr>
                <w:rFonts w:eastAsia="宋体"/>
                <w:kern w:val="0"/>
                <w:sz w:val="16"/>
                <w:szCs w:val="16"/>
              </w:rPr>
              <w:t>02</w:t>
            </w:r>
            <w:r>
              <w:rPr>
                <w:rFonts w:hint="eastAsia" w:eastAsia="宋体"/>
                <w:kern w:val="0"/>
                <w:sz w:val="16"/>
                <w:szCs w:val="16"/>
                <w:lang w:val="en-US" w:eastAsia="zh-CN"/>
              </w:rPr>
              <w:t>4</w:t>
            </w:r>
            <w:r>
              <w:rPr>
                <w:rFonts w:hint="eastAsia" w:eastAsia="宋体"/>
                <w:kern w:val="0"/>
                <w:sz w:val="16"/>
                <w:szCs w:val="16"/>
              </w:rPr>
              <w:t>年</w:t>
            </w:r>
            <w:r>
              <w:rPr>
                <w:rFonts w:hint="eastAsia" w:eastAsia="宋体"/>
                <w:kern w:val="0"/>
                <w:sz w:val="16"/>
                <w:szCs w:val="16"/>
                <w:lang w:val="en-US" w:eastAsia="zh-CN"/>
              </w:rPr>
              <w:t xml:space="preserve">  </w:t>
            </w:r>
            <w:r>
              <w:rPr>
                <w:rFonts w:eastAsia="宋体"/>
                <w:kern w:val="0"/>
                <w:sz w:val="16"/>
                <w:szCs w:val="16"/>
              </w:rPr>
              <w:t>预算数</w:t>
            </w:r>
          </w:p>
        </w:tc>
        <w:tc>
          <w:tcPr>
            <w:tcW w:w="696"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lang w:eastAsia="zh-CN"/>
              </w:rPr>
              <w:t>本年</w:t>
            </w:r>
            <w:r>
              <w:rPr>
                <w:rFonts w:hint="eastAsia" w:eastAsia="宋体"/>
                <w:kern w:val="0"/>
                <w:sz w:val="16"/>
                <w:szCs w:val="16"/>
                <w:lang w:val="en-US" w:eastAsia="zh-CN"/>
              </w:rPr>
              <w:t xml:space="preserve">    </w:t>
            </w:r>
            <w:r>
              <w:rPr>
                <w:rFonts w:hint="eastAsia" w:eastAsia="宋体"/>
                <w:kern w:val="0"/>
                <w:sz w:val="16"/>
                <w:szCs w:val="16"/>
              </w:rPr>
              <w:t>预算</w:t>
            </w:r>
          </w:p>
        </w:tc>
        <w:tc>
          <w:tcPr>
            <w:tcW w:w="1156"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rPr>
              <w:t>上年结转</w:t>
            </w:r>
          </w:p>
        </w:tc>
        <w:tc>
          <w:tcPr>
            <w:tcW w:w="2040"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r>
              <w:rPr>
                <w:rFonts w:eastAsia="宋体"/>
                <w:kern w:val="0"/>
                <w:sz w:val="16"/>
                <w:szCs w:val="16"/>
              </w:rPr>
              <w:t>项  目</w:t>
            </w:r>
          </w:p>
        </w:tc>
        <w:tc>
          <w:tcPr>
            <w:tcW w:w="975"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rPr>
              <w:t>2</w:t>
            </w:r>
            <w:r>
              <w:rPr>
                <w:rFonts w:eastAsia="宋体"/>
                <w:kern w:val="0"/>
                <w:sz w:val="16"/>
                <w:szCs w:val="16"/>
              </w:rPr>
              <w:t>02</w:t>
            </w:r>
            <w:r>
              <w:rPr>
                <w:rFonts w:hint="eastAsia" w:eastAsia="宋体"/>
                <w:kern w:val="0"/>
                <w:sz w:val="16"/>
                <w:szCs w:val="16"/>
                <w:lang w:val="en-US" w:eastAsia="zh-CN"/>
              </w:rPr>
              <w:t>4</w:t>
            </w:r>
            <w:r>
              <w:rPr>
                <w:rFonts w:hint="eastAsia" w:eastAsia="宋体"/>
                <w:kern w:val="0"/>
                <w:sz w:val="16"/>
                <w:szCs w:val="16"/>
              </w:rPr>
              <w:t>年</w:t>
            </w:r>
            <w:r>
              <w:rPr>
                <w:rFonts w:hint="eastAsia" w:eastAsia="宋体"/>
                <w:kern w:val="0"/>
                <w:sz w:val="16"/>
                <w:szCs w:val="16"/>
                <w:lang w:val="en-US" w:eastAsia="zh-CN"/>
              </w:rPr>
              <w:t xml:space="preserve">  </w:t>
            </w:r>
            <w:r>
              <w:rPr>
                <w:rFonts w:hint="eastAsia" w:eastAsia="宋体"/>
                <w:kern w:val="0"/>
                <w:sz w:val="16"/>
                <w:szCs w:val="16"/>
              </w:rPr>
              <w:t>预算数</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16"/>
                <w:szCs w:val="16"/>
              </w:rPr>
            </w:pPr>
            <w:r>
              <w:rPr>
                <w:rFonts w:hint="eastAsia" w:eastAsia="宋体"/>
                <w:kern w:val="0"/>
                <w:sz w:val="16"/>
                <w:szCs w:val="16"/>
                <w:lang w:eastAsia="zh-CN"/>
              </w:rPr>
              <w:t>本</w:t>
            </w:r>
            <w:r>
              <w:rPr>
                <w:rFonts w:hint="eastAsia" w:eastAsia="宋体"/>
                <w:kern w:val="0"/>
                <w:sz w:val="16"/>
                <w:szCs w:val="16"/>
              </w:rPr>
              <w:t>年</w:t>
            </w:r>
            <w:r>
              <w:rPr>
                <w:rFonts w:hint="eastAsia" w:eastAsia="宋体"/>
                <w:kern w:val="0"/>
                <w:sz w:val="16"/>
                <w:szCs w:val="16"/>
                <w:lang w:val="en-US" w:eastAsia="zh-CN"/>
              </w:rPr>
              <w:t xml:space="preserve">     </w:t>
            </w:r>
            <w:r>
              <w:rPr>
                <w:rFonts w:eastAsia="宋体"/>
                <w:kern w:val="0"/>
                <w:sz w:val="16"/>
                <w:szCs w:val="16"/>
              </w:rPr>
              <w:t>预算</w:t>
            </w:r>
          </w:p>
        </w:tc>
        <w:tc>
          <w:tcPr>
            <w:tcW w:w="645" w:type="dxa"/>
            <w:tcBorders>
              <w:top w:val="nil"/>
              <w:left w:val="nil"/>
              <w:bottom w:val="single" w:color="auto" w:sz="4" w:space="0"/>
              <w:right w:val="single" w:color="auto" w:sz="4" w:space="0"/>
            </w:tcBorders>
            <w:noWrap w:val="0"/>
            <w:vAlign w:val="center"/>
          </w:tcPr>
          <w:p>
            <w:pPr>
              <w:widowControl/>
              <w:jc w:val="center"/>
              <w:rPr>
                <w:rFonts w:eastAsia="宋体"/>
                <w:kern w:val="0"/>
                <w:sz w:val="16"/>
                <w:szCs w:val="16"/>
              </w:rPr>
            </w:pPr>
            <w:r>
              <w:rPr>
                <w:rFonts w:hint="eastAsia" w:eastAsia="宋体"/>
                <w:kern w:val="0"/>
                <w:sz w:val="16"/>
                <w:szCs w:val="16"/>
              </w:rPr>
              <w:t>上年</w:t>
            </w:r>
            <w:r>
              <w:rPr>
                <w:rFonts w:hint="eastAsia" w:eastAsia="宋体"/>
                <w:kern w:val="0"/>
                <w:sz w:val="16"/>
                <w:szCs w:val="16"/>
                <w:lang w:val="en-US" w:eastAsia="zh-CN"/>
              </w:rPr>
              <w:t xml:space="preserve">     </w:t>
            </w:r>
            <w:r>
              <w:rPr>
                <w:rFonts w:hint="eastAsia" w:eastAsia="宋体"/>
                <w:kern w:val="0"/>
                <w:sz w:val="16"/>
                <w:szCs w:val="16"/>
              </w:rPr>
              <w:t>结转</w:t>
            </w: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16"/>
                <w:szCs w:val="16"/>
              </w:rPr>
            </w:pPr>
            <w:r>
              <w:rPr>
                <w:rFonts w:hint="eastAsia" w:ascii="宋体" w:hAnsi="宋体" w:eastAsia="宋体" w:cs="宋体"/>
                <w:sz w:val="16"/>
                <w:szCs w:val="16"/>
              </w:rPr>
              <w:t>一、财政拨款收入</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r>
              <w:rPr>
                <w:rFonts w:hint="eastAsia" w:ascii="宋体" w:hAnsi="宋体" w:eastAsia="宋体" w:cs="宋体"/>
                <w:sz w:val="16"/>
                <w:szCs w:val="16"/>
              </w:rPr>
              <w:t>240.26</w:t>
            </w:r>
          </w:p>
        </w:tc>
        <w:tc>
          <w:tcPr>
            <w:tcW w:w="6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232.67</w:t>
            </w:r>
          </w:p>
        </w:tc>
        <w:tc>
          <w:tcPr>
            <w:tcW w:w="1156"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7.59</w:t>
            </w:r>
          </w:p>
        </w:tc>
        <w:tc>
          <w:tcPr>
            <w:tcW w:w="204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一、一般公共服务</w:t>
            </w:r>
            <w:r>
              <w:rPr>
                <w:rFonts w:hint="eastAsia" w:ascii="宋体" w:hAnsi="宋体" w:eastAsia="宋体" w:cs="宋体"/>
                <w:color w:val="000000"/>
                <w:kern w:val="0"/>
                <w:sz w:val="16"/>
                <w:szCs w:val="16"/>
                <w:lang w:eastAsia="zh-CN"/>
              </w:rPr>
              <w:t>支出</w:t>
            </w:r>
          </w:p>
        </w:tc>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199.63</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193.29</w:t>
            </w:r>
          </w:p>
        </w:tc>
        <w:tc>
          <w:tcPr>
            <w:tcW w:w="6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6.34</w:t>
            </w: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一般公共预算拨款收入</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r>
              <w:rPr>
                <w:rFonts w:hint="eastAsia" w:ascii="宋体" w:hAnsi="宋体" w:eastAsia="宋体" w:cs="宋体"/>
                <w:sz w:val="16"/>
                <w:szCs w:val="16"/>
              </w:rPr>
              <w:t>240.26</w:t>
            </w:r>
          </w:p>
        </w:tc>
        <w:tc>
          <w:tcPr>
            <w:tcW w:w="696"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232.67</w:t>
            </w:r>
          </w:p>
        </w:tc>
        <w:tc>
          <w:tcPr>
            <w:tcW w:w="115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7.59</w:t>
            </w:r>
          </w:p>
        </w:tc>
        <w:tc>
          <w:tcPr>
            <w:tcW w:w="2040"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二、</w:t>
            </w:r>
            <w:r>
              <w:rPr>
                <w:rFonts w:hint="eastAsia" w:ascii="宋体" w:hAnsi="宋体" w:eastAsia="宋体" w:cs="宋体"/>
                <w:color w:val="000000"/>
                <w:kern w:val="0"/>
                <w:sz w:val="16"/>
                <w:szCs w:val="16"/>
                <w:lang w:eastAsia="zh-CN"/>
              </w:rPr>
              <w:t>社会保障和就业支出</w:t>
            </w:r>
          </w:p>
        </w:tc>
        <w:tc>
          <w:tcPr>
            <w:tcW w:w="975"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23.59</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政府性基金预算拨款收入</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115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16"/>
                <w:szCs w:val="16"/>
              </w:rPr>
            </w:pPr>
          </w:p>
        </w:tc>
        <w:tc>
          <w:tcPr>
            <w:tcW w:w="2040"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三、</w:t>
            </w:r>
            <w:r>
              <w:rPr>
                <w:rFonts w:hint="eastAsia" w:ascii="宋体" w:hAnsi="宋体" w:eastAsia="宋体" w:cs="宋体"/>
                <w:color w:val="000000"/>
                <w:kern w:val="0"/>
                <w:sz w:val="16"/>
                <w:szCs w:val="16"/>
                <w:lang w:eastAsia="zh-CN"/>
              </w:rPr>
              <w:t>卫生健康支出</w:t>
            </w:r>
          </w:p>
        </w:tc>
        <w:tc>
          <w:tcPr>
            <w:tcW w:w="975"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4.25</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国有资本经营预算拨款收入</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115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16"/>
                <w:szCs w:val="16"/>
              </w:rPr>
            </w:pPr>
          </w:p>
        </w:tc>
        <w:tc>
          <w:tcPr>
            <w:tcW w:w="2040" w:type="dxa"/>
            <w:tcBorders>
              <w:top w:val="nil"/>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四、</w:t>
            </w:r>
            <w:r>
              <w:rPr>
                <w:rFonts w:hint="eastAsia" w:ascii="宋体" w:hAnsi="宋体" w:eastAsia="宋体" w:cs="宋体"/>
                <w:sz w:val="16"/>
                <w:szCs w:val="16"/>
                <w:lang w:eastAsia="zh-CN"/>
              </w:rPr>
              <w:t>住房保障支出</w:t>
            </w:r>
          </w:p>
        </w:tc>
        <w:tc>
          <w:tcPr>
            <w:tcW w:w="975"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12.79</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11.54</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1.25</w:t>
            </w: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shd w:val="solid" w:color="FFFFFF" w:fill="auto"/>
            <w:noWrap w:val="0"/>
            <w:vAlign w:val="center"/>
          </w:tcPr>
          <w:p>
            <w:pPr>
              <w:jc w:val="left"/>
              <w:rPr>
                <w:rFonts w:hint="eastAsia" w:ascii="宋体" w:hAnsi="宋体" w:eastAsia="宋体" w:cs="宋体"/>
                <w:sz w:val="16"/>
                <w:szCs w:val="16"/>
              </w:rPr>
            </w:pPr>
            <w:r>
              <w:rPr>
                <w:rFonts w:hint="eastAsia" w:ascii="宋体" w:hAnsi="宋体" w:eastAsia="宋体" w:cs="宋体"/>
                <w:sz w:val="16"/>
                <w:szCs w:val="16"/>
              </w:rPr>
              <w:t>二、财政专户管理资金收入</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1156"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16"/>
                <w:szCs w:val="16"/>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eastAsia="宋体" w:cs="宋体"/>
                <w:sz w:val="16"/>
                <w:szCs w:val="16"/>
              </w:rPr>
            </w:pPr>
            <w:r>
              <w:rPr>
                <w:rFonts w:hint="eastAsia" w:ascii="宋体" w:hAnsi="宋体" w:eastAsia="宋体" w:cs="宋体"/>
                <w:sz w:val="16"/>
                <w:szCs w:val="16"/>
              </w:rPr>
              <w:t>三、单位资金收入</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1156"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16"/>
                <w:szCs w:val="16"/>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事业收入</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1156"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16"/>
                <w:szCs w:val="16"/>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事业单位经营收入</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115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16"/>
                <w:szCs w:val="16"/>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上级补助收入</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115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16"/>
                <w:szCs w:val="16"/>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附属单位上缴收入</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115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16"/>
                <w:szCs w:val="16"/>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其他收入</w:t>
            </w:r>
          </w:p>
        </w:tc>
        <w:tc>
          <w:tcPr>
            <w:tcW w:w="89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696"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15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sz w:val="16"/>
                <w:szCs w:val="16"/>
              </w:rPr>
            </w:pPr>
          </w:p>
        </w:tc>
        <w:tc>
          <w:tcPr>
            <w:tcW w:w="204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97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6"/>
                <w:szCs w:val="16"/>
                <w:lang w:val="en-US" w:eastAsia="zh-CN"/>
              </w:rPr>
            </w:pPr>
            <w:r>
              <w:rPr>
                <w:rFonts w:hint="eastAsia" w:ascii="宋体" w:hAnsi="宋体" w:eastAsia="宋体" w:cs="宋体"/>
                <w:b/>
                <w:bCs/>
                <w:kern w:val="0"/>
                <w:sz w:val="16"/>
                <w:szCs w:val="16"/>
              </w:rPr>
              <w:t>本年收入</w:t>
            </w:r>
            <w:r>
              <w:rPr>
                <w:rFonts w:hint="eastAsia" w:ascii="宋体" w:hAnsi="宋体" w:eastAsia="宋体" w:cs="宋体"/>
                <w:b/>
                <w:bCs/>
                <w:kern w:val="0"/>
                <w:sz w:val="16"/>
                <w:szCs w:val="16"/>
                <w:lang w:val="en-US" w:eastAsia="zh-CN"/>
              </w:rPr>
              <w:t xml:space="preserve">        </w:t>
            </w:r>
          </w:p>
          <w:p>
            <w:pPr>
              <w:widowControl/>
              <w:jc w:val="center"/>
              <w:rPr>
                <w:rFonts w:hint="eastAsia" w:ascii="宋体" w:hAnsi="宋体" w:eastAsia="宋体" w:cs="宋体"/>
                <w:b/>
                <w:bCs/>
                <w:kern w:val="0"/>
                <w:sz w:val="16"/>
                <w:szCs w:val="16"/>
              </w:rPr>
            </w:pPr>
            <w:r>
              <w:rPr>
                <w:rFonts w:hint="eastAsia" w:ascii="宋体" w:hAnsi="宋体" w:eastAsia="宋体" w:cs="宋体"/>
                <w:b/>
                <w:bCs/>
                <w:kern w:val="0"/>
                <w:sz w:val="16"/>
                <w:szCs w:val="16"/>
                <w:lang w:val="en-US" w:eastAsia="zh-CN"/>
              </w:rPr>
              <w:t xml:space="preserve"> </w:t>
            </w:r>
            <w:r>
              <w:rPr>
                <w:rFonts w:hint="eastAsia" w:ascii="宋体" w:hAnsi="宋体" w:eastAsia="宋体" w:cs="宋体"/>
                <w:b/>
                <w:bCs/>
                <w:kern w:val="0"/>
                <w:sz w:val="16"/>
                <w:szCs w:val="16"/>
              </w:rPr>
              <w:t>合计</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240.26</w:t>
            </w:r>
          </w:p>
        </w:tc>
        <w:tc>
          <w:tcPr>
            <w:tcW w:w="696"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rPr>
              <w:t>232.67</w:t>
            </w:r>
          </w:p>
        </w:tc>
        <w:tc>
          <w:tcPr>
            <w:tcW w:w="115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rPr>
              <w:t>7.59</w:t>
            </w: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6"/>
                <w:szCs w:val="16"/>
              </w:rPr>
            </w:pPr>
            <w:r>
              <w:rPr>
                <w:rFonts w:hint="eastAsia" w:ascii="宋体" w:hAnsi="宋体" w:eastAsia="宋体" w:cs="宋体"/>
                <w:b/>
                <w:bCs/>
                <w:kern w:val="0"/>
                <w:sz w:val="16"/>
                <w:szCs w:val="16"/>
              </w:rPr>
              <w:t>本年支出</w:t>
            </w:r>
          </w:p>
          <w:p>
            <w:pPr>
              <w:widowControl/>
              <w:jc w:val="center"/>
              <w:rPr>
                <w:rFonts w:hint="eastAsia" w:ascii="宋体" w:hAnsi="宋体" w:eastAsia="宋体" w:cs="宋体"/>
                <w:b/>
                <w:bCs/>
                <w:kern w:val="0"/>
                <w:sz w:val="16"/>
                <w:szCs w:val="16"/>
              </w:rPr>
            </w:pPr>
            <w:r>
              <w:rPr>
                <w:rFonts w:hint="eastAsia" w:ascii="宋体" w:hAnsi="宋体" w:eastAsia="宋体" w:cs="宋体"/>
                <w:b/>
                <w:bCs/>
                <w:kern w:val="0"/>
                <w:sz w:val="16"/>
                <w:szCs w:val="16"/>
              </w:rPr>
              <w:t>合计</w:t>
            </w:r>
          </w:p>
        </w:tc>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6"/>
                <w:szCs w:val="16"/>
              </w:rPr>
            </w:pPr>
            <w:r>
              <w:rPr>
                <w:rFonts w:hint="eastAsia" w:ascii="宋体" w:hAnsi="宋体" w:eastAsia="宋体" w:cs="宋体"/>
                <w:kern w:val="0"/>
                <w:sz w:val="16"/>
                <w:szCs w:val="16"/>
              </w:rPr>
              <w:t>240.26</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232.67</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7.59</w:t>
            </w: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财政拨款结转</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115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16"/>
                <w:szCs w:val="16"/>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结转下年支出</w:t>
            </w:r>
          </w:p>
        </w:tc>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r>
              <w:rPr>
                <w:rFonts w:hint="eastAsia" w:ascii="宋体" w:hAnsi="宋体" w:eastAsia="宋体" w:cs="宋体"/>
                <w:sz w:val="16"/>
                <w:szCs w:val="16"/>
                <w:lang w:eastAsia="zh-CN"/>
              </w:rPr>
              <w:t>非财政拨款</w:t>
            </w:r>
            <w:r>
              <w:rPr>
                <w:rFonts w:hint="eastAsia" w:ascii="宋体" w:hAnsi="宋体" w:eastAsia="宋体" w:cs="宋体"/>
                <w:sz w:val="16"/>
                <w:szCs w:val="16"/>
              </w:rPr>
              <w:t>结转结余</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1156"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16"/>
                <w:szCs w:val="16"/>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c>
          <w:tcPr>
            <w:tcW w:w="64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360" w:hRule="atLeast"/>
        </w:trPr>
        <w:tc>
          <w:tcPr>
            <w:tcW w:w="235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r>
              <w:rPr>
                <w:rFonts w:hint="eastAsia" w:ascii="宋体" w:hAnsi="宋体" w:eastAsia="宋体" w:cs="宋体"/>
                <w:b/>
                <w:bCs/>
                <w:kern w:val="0"/>
                <w:sz w:val="16"/>
                <w:szCs w:val="16"/>
              </w:rPr>
              <w:t>收入总计</w:t>
            </w:r>
          </w:p>
        </w:tc>
        <w:tc>
          <w:tcPr>
            <w:tcW w:w="8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240.26</w:t>
            </w:r>
          </w:p>
        </w:tc>
        <w:tc>
          <w:tcPr>
            <w:tcW w:w="696"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rPr>
              <w:t>232.67</w:t>
            </w:r>
          </w:p>
        </w:tc>
        <w:tc>
          <w:tcPr>
            <w:tcW w:w="115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rPr>
              <w:t>7.59</w:t>
            </w: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r>
              <w:rPr>
                <w:rFonts w:hint="eastAsia" w:ascii="宋体" w:hAnsi="宋体" w:eastAsia="宋体" w:cs="宋体"/>
                <w:b/>
                <w:bCs/>
                <w:kern w:val="0"/>
                <w:sz w:val="16"/>
                <w:szCs w:val="16"/>
              </w:rPr>
              <w:t>支出总计</w:t>
            </w:r>
          </w:p>
        </w:tc>
        <w:tc>
          <w:tcPr>
            <w:tcW w:w="9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rPr>
              <w:t>240.26</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rPr>
              <w:t>232.67</w:t>
            </w:r>
          </w:p>
        </w:tc>
        <w:tc>
          <w:tcPr>
            <w:tcW w:w="6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rPr>
              <w:t>7.59</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058" w:type="dxa"/>
        <w:jc w:val="center"/>
        <w:tblLayout w:type="fixed"/>
        <w:tblCellMar>
          <w:top w:w="0" w:type="dxa"/>
          <w:left w:w="108" w:type="dxa"/>
          <w:bottom w:w="0" w:type="dxa"/>
          <w:right w:w="108" w:type="dxa"/>
        </w:tblCellMar>
      </w:tblPr>
      <w:tblGrid>
        <w:gridCol w:w="1185"/>
        <w:gridCol w:w="706"/>
        <w:gridCol w:w="706"/>
        <w:gridCol w:w="706"/>
        <w:gridCol w:w="430"/>
        <w:gridCol w:w="430"/>
        <w:gridCol w:w="430"/>
        <w:gridCol w:w="430"/>
        <w:gridCol w:w="430"/>
        <w:gridCol w:w="215"/>
        <w:gridCol w:w="215"/>
        <w:gridCol w:w="430"/>
        <w:gridCol w:w="430"/>
        <w:gridCol w:w="614"/>
        <w:gridCol w:w="600"/>
        <w:gridCol w:w="375"/>
        <w:gridCol w:w="112"/>
        <w:gridCol w:w="218"/>
        <w:gridCol w:w="698"/>
        <w:gridCol w:w="698"/>
      </w:tblGrid>
      <w:tr>
        <w:tblPrEx>
          <w:tblCellMar>
            <w:top w:w="0" w:type="dxa"/>
            <w:left w:w="108" w:type="dxa"/>
            <w:bottom w:w="0" w:type="dxa"/>
            <w:right w:w="108" w:type="dxa"/>
          </w:tblCellMar>
        </w:tblPrEx>
        <w:trPr>
          <w:trHeight w:val="335" w:hRule="atLeast"/>
          <w:jc w:val="center"/>
        </w:trPr>
        <w:tc>
          <w:tcPr>
            <w:tcW w:w="1891" w:type="dxa"/>
            <w:gridSpan w:val="2"/>
            <w:tcBorders>
              <w:bottom w:val="single" w:color="000000" w:sz="4" w:space="0"/>
            </w:tcBorders>
            <w:noWrap w:val="0"/>
            <w:vAlign w:val="top"/>
          </w:tcPr>
          <w:p>
            <w:pPr>
              <w:autoSpaceDN w:val="0"/>
              <w:jc w:val="left"/>
              <w:textAlignment w:val="center"/>
              <w:rPr>
                <w:rFonts w:eastAsia="华文细黑"/>
                <w:color w:val="000000"/>
                <w:sz w:val="20"/>
              </w:rPr>
            </w:pPr>
          </w:p>
        </w:tc>
        <w:tc>
          <w:tcPr>
            <w:tcW w:w="3777"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645" w:type="dxa"/>
            <w:gridSpan w:val="2"/>
            <w:noWrap w:val="0"/>
            <w:vAlign w:val="center"/>
          </w:tcPr>
          <w:p>
            <w:pPr>
              <w:autoSpaceDN w:val="0"/>
              <w:jc w:val="left"/>
              <w:textAlignment w:val="center"/>
              <w:rPr>
                <w:rFonts w:eastAsia="华文细黑"/>
                <w:color w:val="000000"/>
                <w:sz w:val="20"/>
              </w:rPr>
            </w:pPr>
          </w:p>
        </w:tc>
        <w:tc>
          <w:tcPr>
            <w:tcW w:w="1044" w:type="dxa"/>
            <w:gridSpan w:val="2"/>
            <w:noWrap w:val="0"/>
            <w:vAlign w:val="center"/>
          </w:tcPr>
          <w:p>
            <w:pPr>
              <w:autoSpaceDN w:val="0"/>
              <w:jc w:val="left"/>
              <w:textAlignment w:val="center"/>
              <w:rPr>
                <w:rFonts w:eastAsia="华文细黑"/>
                <w:color w:val="000000"/>
                <w:sz w:val="16"/>
                <w:szCs w:val="16"/>
              </w:rPr>
            </w:pPr>
          </w:p>
        </w:tc>
        <w:tc>
          <w:tcPr>
            <w:tcW w:w="600" w:type="dxa"/>
            <w:noWrap w:val="0"/>
            <w:vAlign w:val="center"/>
          </w:tcPr>
          <w:p>
            <w:pPr>
              <w:autoSpaceDN w:val="0"/>
              <w:jc w:val="left"/>
              <w:textAlignment w:val="center"/>
              <w:rPr>
                <w:rFonts w:eastAsia="华文细黑"/>
                <w:color w:val="000000"/>
                <w:sz w:val="16"/>
                <w:szCs w:val="16"/>
              </w:rPr>
            </w:pPr>
          </w:p>
        </w:tc>
        <w:tc>
          <w:tcPr>
            <w:tcW w:w="487" w:type="dxa"/>
            <w:gridSpan w:val="2"/>
            <w:noWrap w:val="0"/>
            <w:vAlign w:val="bottom"/>
          </w:tcPr>
          <w:p>
            <w:pPr>
              <w:autoSpaceDN w:val="0"/>
              <w:jc w:val="right"/>
              <w:textAlignment w:val="bottom"/>
              <w:rPr>
                <w:rFonts w:eastAsia="宋体"/>
                <w:color w:val="000000"/>
                <w:sz w:val="16"/>
                <w:szCs w:val="16"/>
              </w:rPr>
            </w:pPr>
          </w:p>
        </w:tc>
        <w:tc>
          <w:tcPr>
            <w:tcW w:w="1614" w:type="dxa"/>
            <w:gridSpan w:val="3"/>
            <w:noWrap w:val="0"/>
            <w:vAlign w:val="bottom"/>
          </w:tcPr>
          <w:p>
            <w:pPr>
              <w:wordWrap/>
              <w:autoSpaceDN w:val="0"/>
              <w:jc w:val="right"/>
              <w:textAlignment w:val="center"/>
              <w:rPr>
                <w:rFonts w:eastAsia="宋体"/>
                <w:color w:val="000000"/>
                <w:sz w:val="16"/>
                <w:szCs w:val="16"/>
              </w:rPr>
            </w:pPr>
            <w:r>
              <w:rPr>
                <w:rFonts w:eastAsia="宋体"/>
                <w:color w:val="000000"/>
                <w:sz w:val="16"/>
                <w:szCs w:val="16"/>
              </w:rPr>
              <w:t>单位：万元</w:t>
            </w:r>
          </w:p>
        </w:tc>
      </w:tr>
      <w:tr>
        <w:tblPrEx>
          <w:tblCellMar>
            <w:top w:w="0" w:type="dxa"/>
            <w:left w:w="108" w:type="dxa"/>
            <w:bottom w:w="0" w:type="dxa"/>
            <w:right w:w="108" w:type="dxa"/>
          </w:tblCellMar>
        </w:tblPrEx>
        <w:trPr>
          <w:trHeight w:val="517" w:hRule="atLeast"/>
          <w:jc w:val="center"/>
        </w:trPr>
        <w:tc>
          <w:tcPr>
            <w:tcW w:w="1185"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单位名称</w:t>
            </w:r>
          </w:p>
        </w:tc>
        <w:tc>
          <w:tcPr>
            <w:tcW w:w="706"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总计</w:t>
            </w:r>
          </w:p>
        </w:tc>
        <w:tc>
          <w:tcPr>
            <w:tcW w:w="4852"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lang w:eastAsia="zh-CN"/>
              </w:rPr>
              <w:t>本年预算</w:t>
            </w:r>
          </w:p>
        </w:tc>
        <w:tc>
          <w:tcPr>
            <w:tcW w:w="3315"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上年结转结余</w:t>
            </w:r>
          </w:p>
        </w:tc>
      </w:tr>
      <w:tr>
        <w:tblPrEx>
          <w:tblCellMar>
            <w:top w:w="0" w:type="dxa"/>
            <w:left w:w="108" w:type="dxa"/>
            <w:bottom w:w="0" w:type="dxa"/>
            <w:right w:w="108" w:type="dxa"/>
          </w:tblCellMar>
        </w:tblPrEx>
        <w:trPr>
          <w:trHeight w:val="517" w:hRule="atLeast"/>
          <w:jc w:val="center"/>
        </w:trPr>
        <w:tc>
          <w:tcPr>
            <w:tcW w:w="11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16"/>
                <w:szCs w:val="16"/>
                <w:lang w:eastAsia="zh-CN"/>
              </w:rPr>
            </w:pPr>
          </w:p>
        </w:tc>
        <w:tc>
          <w:tcPr>
            <w:tcW w:w="706"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p>
        </w:tc>
        <w:tc>
          <w:tcPr>
            <w:tcW w:w="706"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合计</w:t>
            </w:r>
          </w:p>
        </w:tc>
        <w:tc>
          <w:tcPr>
            <w:tcW w:w="1566"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财政拨款收入</w:t>
            </w:r>
          </w:p>
        </w:tc>
        <w:tc>
          <w:tcPr>
            <w:tcW w:w="43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财政专户管理资金收入</w:t>
            </w:r>
          </w:p>
        </w:tc>
        <w:tc>
          <w:tcPr>
            <w:tcW w:w="2150"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单位资金收入</w:t>
            </w:r>
          </w:p>
        </w:tc>
        <w:tc>
          <w:tcPr>
            <w:tcW w:w="614"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合计</w:t>
            </w:r>
          </w:p>
        </w:tc>
        <w:tc>
          <w:tcPr>
            <w:tcW w:w="1305"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财政拨款结转</w:t>
            </w:r>
          </w:p>
        </w:tc>
        <w:tc>
          <w:tcPr>
            <w:tcW w:w="1396"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非财政拨款结转结余</w:t>
            </w:r>
          </w:p>
        </w:tc>
      </w:tr>
      <w:tr>
        <w:tblPrEx>
          <w:tblCellMar>
            <w:top w:w="0" w:type="dxa"/>
            <w:left w:w="108" w:type="dxa"/>
            <w:bottom w:w="0" w:type="dxa"/>
            <w:right w:w="108" w:type="dxa"/>
          </w:tblCellMar>
        </w:tblPrEx>
        <w:trPr>
          <w:trHeight w:val="2818" w:hRule="atLeast"/>
          <w:jc w:val="center"/>
        </w:trPr>
        <w:tc>
          <w:tcPr>
            <w:tcW w:w="1185"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16"/>
                <w:szCs w:val="16"/>
                <w:shd w:val="clear" w:color="auto" w:fill="FFFFFF"/>
              </w:rPr>
            </w:pPr>
          </w:p>
        </w:tc>
        <w:tc>
          <w:tcPr>
            <w:tcW w:w="706"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p>
        </w:tc>
        <w:tc>
          <w:tcPr>
            <w:tcW w:w="70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一般公共预算收入</w:t>
            </w:r>
          </w:p>
        </w:tc>
        <w:tc>
          <w:tcPr>
            <w:tcW w:w="43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政府性基金预算收入</w:t>
            </w: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国有资本经营预算收入</w:t>
            </w:r>
          </w:p>
        </w:tc>
        <w:tc>
          <w:tcPr>
            <w:tcW w:w="43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事业收入</w:t>
            </w: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事业单位经营收入</w:t>
            </w: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上级补助收入</w:t>
            </w: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附属单位上缴收入</w:t>
            </w: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其他收入</w:t>
            </w:r>
          </w:p>
        </w:tc>
        <w:tc>
          <w:tcPr>
            <w:tcW w:w="614"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一般公共预算拨款结转</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政府性基金预算拨款结转</w:t>
            </w:r>
          </w:p>
        </w:tc>
        <w:tc>
          <w:tcPr>
            <w:tcW w:w="330"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国有资本经营预算拨款结转</w:t>
            </w:r>
          </w:p>
        </w:tc>
        <w:tc>
          <w:tcPr>
            <w:tcW w:w="69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rPr>
            </w:pPr>
            <w:r>
              <w:rPr>
                <w:rFonts w:hint="eastAsia" w:ascii="宋体" w:hAnsi="宋体" w:eastAsia="宋体" w:cs="宋体"/>
                <w:color w:val="000000"/>
                <w:sz w:val="16"/>
                <w:szCs w:val="16"/>
                <w:shd w:val="clear" w:color="auto" w:fill="FFFFFF"/>
                <w:lang w:eastAsia="zh-CN"/>
              </w:rPr>
              <w:t>财政专户管理资金结转结余</w:t>
            </w: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185"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left"/>
              <w:textAlignment w:val="center"/>
              <w:rPr>
                <w:rFonts w:hint="eastAsia" w:ascii="宋体" w:hAnsi="宋体" w:eastAsia="宋体" w:cs="宋体"/>
                <w:color w:val="000000"/>
                <w:sz w:val="16"/>
                <w:szCs w:val="16"/>
                <w:shd w:val="clear" w:color="auto" w:fill="FFFFFF"/>
              </w:rPr>
            </w:pPr>
            <w:r>
              <w:rPr>
                <w:rFonts w:hint="eastAsia" w:ascii="宋体" w:hAnsi="宋体" w:eastAsia="宋体" w:cs="宋体"/>
                <w:i w:val="0"/>
                <w:iCs w:val="0"/>
                <w:color w:val="000000"/>
                <w:kern w:val="0"/>
                <w:sz w:val="16"/>
                <w:szCs w:val="16"/>
                <w:u w:val="none"/>
                <w:lang w:val="en-US" w:eastAsia="zh-CN" w:bidi="ar"/>
              </w:rPr>
              <w:t>通榆县统计局</w:t>
            </w: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r>
              <w:rPr>
                <w:rFonts w:hint="eastAsia" w:ascii="宋体" w:hAnsi="宋体" w:eastAsia="宋体" w:cs="宋体"/>
                <w:i w:val="0"/>
                <w:iCs w:val="0"/>
                <w:color w:val="000000"/>
                <w:kern w:val="0"/>
                <w:sz w:val="16"/>
                <w:szCs w:val="16"/>
                <w:u w:val="none"/>
                <w:lang w:val="en-US" w:eastAsia="zh-CN" w:bidi="ar"/>
              </w:rPr>
              <w:t>240.26</w:t>
            </w: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r>
              <w:rPr>
                <w:rFonts w:hint="eastAsia" w:ascii="宋体" w:hAnsi="宋体" w:eastAsia="宋体" w:cs="宋体"/>
                <w:i w:val="0"/>
                <w:iCs w:val="0"/>
                <w:color w:val="000000"/>
                <w:kern w:val="0"/>
                <w:sz w:val="16"/>
                <w:szCs w:val="16"/>
                <w:u w:val="none"/>
                <w:lang w:val="en-US" w:eastAsia="zh-CN" w:bidi="ar"/>
              </w:rPr>
              <w:t>232.67</w:t>
            </w: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r>
              <w:rPr>
                <w:rFonts w:hint="eastAsia" w:ascii="宋体" w:hAnsi="宋体" w:eastAsia="宋体" w:cs="宋体"/>
                <w:i w:val="0"/>
                <w:iCs w:val="0"/>
                <w:color w:val="000000"/>
                <w:kern w:val="0"/>
                <w:sz w:val="16"/>
                <w:szCs w:val="16"/>
                <w:u w:val="none"/>
                <w:lang w:val="en-US" w:eastAsia="zh-CN" w:bidi="ar"/>
              </w:rPr>
              <w:t>232.67</w:t>
            </w:r>
          </w:p>
        </w:tc>
        <w:tc>
          <w:tcPr>
            <w:tcW w:w="430"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r>
              <w:rPr>
                <w:rFonts w:hint="eastAsia" w:ascii="宋体" w:hAnsi="宋体" w:eastAsia="宋体" w:cs="宋体"/>
                <w:i w:val="0"/>
                <w:iCs w:val="0"/>
                <w:color w:val="000000"/>
                <w:kern w:val="0"/>
                <w:sz w:val="16"/>
                <w:szCs w:val="16"/>
                <w:u w:val="none"/>
                <w:lang w:val="en-US" w:eastAsia="zh-CN" w:bidi="ar"/>
              </w:rPr>
              <w:t>7.59</w:t>
            </w: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r>
              <w:rPr>
                <w:rFonts w:hint="eastAsia" w:ascii="宋体" w:hAnsi="宋体" w:eastAsia="宋体" w:cs="宋体"/>
                <w:i w:val="0"/>
                <w:iCs w:val="0"/>
                <w:color w:val="000000"/>
                <w:kern w:val="0"/>
                <w:sz w:val="16"/>
                <w:szCs w:val="16"/>
                <w:u w:val="none"/>
                <w:lang w:val="en-US" w:eastAsia="zh-CN" w:bidi="ar"/>
              </w:rPr>
              <w:t>7.59</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r>
      <w:tr>
        <w:tblPrEx>
          <w:tblCellMar>
            <w:top w:w="0" w:type="dxa"/>
            <w:left w:w="108" w:type="dxa"/>
            <w:bottom w:w="0" w:type="dxa"/>
            <w:right w:w="108" w:type="dxa"/>
          </w:tblCellMar>
        </w:tblPrEx>
        <w:trPr>
          <w:trHeight w:val="517" w:hRule="atLeast"/>
          <w:jc w:val="center"/>
        </w:trPr>
        <w:tc>
          <w:tcPr>
            <w:tcW w:w="118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r>
      <w:tr>
        <w:tblPrEx>
          <w:tblCellMar>
            <w:top w:w="0" w:type="dxa"/>
            <w:left w:w="108" w:type="dxa"/>
            <w:bottom w:w="0" w:type="dxa"/>
            <w:right w:w="108" w:type="dxa"/>
          </w:tblCellMar>
        </w:tblPrEx>
        <w:trPr>
          <w:trHeight w:val="517" w:hRule="atLeast"/>
          <w:jc w:val="center"/>
        </w:trPr>
        <w:tc>
          <w:tcPr>
            <w:tcW w:w="118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r>
      <w:tr>
        <w:tblPrEx>
          <w:tblCellMar>
            <w:top w:w="0" w:type="dxa"/>
            <w:left w:w="108" w:type="dxa"/>
            <w:bottom w:w="0" w:type="dxa"/>
            <w:right w:w="108" w:type="dxa"/>
          </w:tblCellMar>
        </w:tblPrEx>
        <w:trPr>
          <w:trHeight w:val="517" w:hRule="atLeast"/>
          <w:jc w:val="center"/>
        </w:trPr>
        <w:tc>
          <w:tcPr>
            <w:tcW w:w="1185"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r>
      <w:tr>
        <w:tblPrEx>
          <w:tblCellMar>
            <w:top w:w="0" w:type="dxa"/>
            <w:left w:w="108" w:type="dxa"/>
            <w:bottom w:w="0" w:type="dxa"/>
            <w:right w:w="108" w:type="dxa"/>
          </w:tblCellMar>
        </w:tblPrEx>
        <w:trPr>
          <w:trHeight w:val="530" w:hRule="atLeast"/>
          <w:jc w:val="center"/>
        </w:trPr>
        <w:tc>
          <w:tcPr>
            <w:tcW w:w="118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16"/>
                <w:szCs w:val="16"/>
                <w:shd w:val="clear" w:color="auto" w:fill="FFFFFF"/>
              </w:rPr>
            </w:pPr>
            <w:r>
              <w:rPr>
                <w:rFonts w:hint="eastAsia" w:ascii="宋体" w:hAnsi="宋体" w:eastAsia="宋体" w:cs="宋体"/>
                <w:kern w:val="0"/>
                <w:sz w:val="16"/>
                <w:szCs w:val="16"/>
              </w:rPr>
              <w:t>合计</w:t>
            </w: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r>
              <w:rPr>
                <w:rFonts w:hint="eastAsia" w:ascii="宋体" w:hAnsi="宋体" w:eastAsia="宋体" w:cs="宋体"/>
                <w:i w:val="0"/>
                <w:iCs w:val="0"/>
                <w:color w:val="000000"/>
                <w:kern w:val="0"/>
                <w:sz w:val="16"/>
                <w:szCs w:val="16"/>
                <w:u w:val="none"/>
                <w:lang w:val="en-US" w:eastAsia="zh-CN" w:bidi="ar"/>
              </w:rPr>
              <w:t>240.26</w:t>
            </w: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r>
              <w:rPr>
                <w:rFonts w:hint="eastAsia" w:ascii="宋体" w:hAnsi="宋体" w:eastAsia="宋体" w:cs="宋体"/>
                <w:i w:val="0"/>
                <w:iCs w:val="0"/>
                <w:color w:val="000000"/>
                <w:kern w:val="0"/>
                <w:sz w:val="16"/>
                <w:szCs w:val="16"/>
                <w:u w:val="none"/>
                <w:lang w:val="en-US" w:eastAsia="zh-CN" w:bidi="ar"/>
              </w:rPr>
              <w:t>232.67</w:t>
            </w: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r>
              <w:rPr>
                <w:rFonts w:hint="eastAsia" w:ascii="宋体" w:hAnsi="宋体" w:eastAsia="宋体" w:cs="宋体"/>
                <w:i w:val="0"/>
                <w:iCs w:val="0"/>
                <w:color w:val="000000"/>
                <w:kern w:val="0"/>
                <w:sz w:val="16"/>
                <w:szCs w:val="16"/>
                <w:u w:val="none"/>
                <w:lang w:val="en-US" w:eastAsia="zh-CN" w:bidi="ar"/>
              </w:rPr>
              <w:t>232.67</w:t>
            </w:r>
          </w:p>
        </w:tc>
        <w:tc>
          <w:tcPr>
            <w:tcW w:w="430"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jc w:val="right"/>
              <w:rPr>
                <w:rFonts w:hint="eastAsia" w:ascii="宋体" w:hAnsi="宋体" w:eastAsia="宋体" w:cs="宋体"/>
                <w:color w:val="000000"/>
                <w:sz w:val="16"/>
                <w:szCs w:val="16"/>
                <w:shd w:val="clear" w:color="auto" w:fill="FFFFFF"/>
              </w:rPr>
            </w:pPr>
          </w:p>
        </w:tc>
        <w:tc>
          <w:tcPr>
            <w:tcW w:w="6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r>
              <w:rPr>
                <w:rFonts w:hint="eastAsia" w:ascii="宋体" w:hAnsi="宋体" w:eastAsia="宋体" w:cs="宋体"/>
                <w:i w:val="0"/>
                <w:iCs w:val="0"/>
                <w:color w:val="000000"/>
                <w:kern w:val="0"/>
                <w:sz w:val="16"/>
                <w:szCs w:val="16"/>
                <w:u w:val="none"/>
                <w:lang w:val="en-US" w:eastAsia="zh-CN" w:bidi="ar"/>
              </w:rPr>
              <w:t>7.59</w:t>
            </w:r>
          </w:p>
        </w:tc>
        <w:tc>
          <w:tcPr>
            <w:tcW w:w="6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r>
              <w:rPr>
                <w:rFonts w:hint="eastAsia" w:ascii="宋体" w:hAnsi="宋体" w:eastAsia="宋体" w:cs="宋体"/>
                <w:i w:val="0"/>
                <w:iCs w:val="0"/>
                <w:color w:val="000000"/>
                <w:kern w:val="0"/>
                <w:sz w:val="16"/>
                <w:szCs w:val="16"/>
                <w:u w:val="none"/>
                <w:lang w:val="en-US" w:eastAsia="zh-CN" w:bidi="ar"/>
              </w:rPr>
              <w:t>7.59</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16"/>
                <w:szCs w:val="16"/>
              </w:rPr>
            </w:pPr>
            <w:r>
              <w:rPr>
                <w:rFonts w:hint="eastAsia" w:eastAsia="方正小标宋简体"/>
                <w:kern w:val="0"/>
                <w:sz w:val="44"/>
                <w:szCs w:val="44"/>
                <w:lang w:val="en-US" w:eastAsia="zh-CN"/>
              </w:rPr>
              <w:t>支出预算总表</w:t>
            </w:r>
          </w:p>
          <w:tbl>
            <w:tblPr>
              <w:tblStyle w:val="9"/>
              <w:tblW w:w="9702" w:type="dxa"/>
              <w:tblInd w:w="445" w:type="dxa"/>
              <w:tblLayout w:type="fixed"/>
              <w:tblCellMar>
                <w:top w:w="15" w:type="dxa"/>
                <w:left w:w="15" w:type="dxa"/>
                <w:bottom w:w="15" w:type="dxa"/>
                <w:right w:w="15" w:type="dxa"/>
              </w:tblCellMar>
            </w:tblPr>
            <w:tblGrid>
              <w:gridCol w:w="2967"/>
              <w:gridCol w:w="570"/>
              <w:gridCol w:w="1185"/>
              <w:gridCol w:w="1090"/>
              <w:gridCol w:w="1115"/>
              <w:gridCol w:w="182"/>
              <w:gridCol w:w="913"/>
              <w:gridCol w:w="383"/>
              <w:gridCol w:w="1147"/>
              <w:gridCol w:w="150"/>
            </w:tblGrid>
            <w:tr>
              <w:tblPrEx>
                <w:tblCellMar>
                  <w:top w:w="15" w:type="dxa"/>
                  <w:left w:w="15" w:type="dxa"/>
                  <w:bottom w:w="15" w:type="dxa"/>
                  <w:right w:w="15" w:type="dxa"/>
                </w:tblCellMar>
              </w:tblPrEx>
              <w:trPr>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16"/>
                      <w:szCs w:val="16"/>
                    </w:rPr>
                  </w:pPr>
                </w:p>
              </w:tc>
              <w:tc>
                <w:tcPr>
                  <w:tcW w:w="1297" w:type="dxa"/>
                  <w:gridSpan w:val="2"/>
                  <w:tcBorders>
                    <w:bottom w:val="single" w:color="000000" w:sz="4" w:space="0"/>
                  </w:tcBorders>
                  <w:noWrap w:val="0"/>
                  <w:vAlign w:val="center"/>
                </w:tcPr>
                <w:p>
                  <w:pPr>
                    <w:widowControl/>
                    <w:jc w:val="right"/>
                    <w:rPr>
                      <w:rFonts w:eastAsia="华文细黑"/>
                      <w:color w:val="000000"/>
                      <w:kern w:val="0"/>
                      <w:sz w:val="16"/>
                      <w:szCs w:val="16"/>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16"/>
                      <w:szCs w:val="16"/>
                    </w:rPr>
                  </w:pPr>
                </w:p>
              </w:tc>
              <w:tc>
                <w:tcPr>
                  <w:tcW w:w="1297" w:type="dxa"/>
                  <w:gridSpan w:val="2"/>
                  <w:tcBorders>
                    <w:bottom w:val="single" w:color="000000" w:sz="4" w:space="0"/>
                  </w:tcBorders>
                  <w:noWrap w:val="0"/>
                  <w:vAlign w:val="bottom"/>
                </w:tcPr>
                <w:p>
                  <w:pPr>
                    <w:widowControl/>
                    <w:jc w:val="both"/>
                    <w:rPr>
                      <w:rFonts w:eastAsia="华文细黑"/>
                      <w:color w:val="000000"/>
                      <w:kern w:val="0"/>
                      <w:sz w:val="16"/>
                      <w:szCs w:val="16"/>
                    </w:rPr>
                  </w:pPr>
                  <w:r>
                    <w:rPr>
                      <w:rFonts w:eastAsia="华文细黑"/>
                      <w:color w:val="000000"/>
                      <w:kern w:val="0"/>
                      <w:sz w:val="16"/>
                      <w:szCs w:val="16"/>
                    </w:rPr>
                    <w:t>单位：万元</w:t>
                  </w:r>
                </w:p>
              </w:tc>
            </w:tr>
            <w:tr>
              <w:tblPrEx>
                <w:tblCellMar>
                  <w:top w:w="15" w:type="dxa"/>
                  <w:left w:w="15" w:type="dxa"/>
                  <w:bottom w:w="15" w:type="dxa"/>
                  <w:right w:w="15" w:type="dxa"/>
                </w:tblCellMar>
              </w:tblPrEx>
              <w:trPr>
                <w:gridAfter w:val="1"/>
                <w:wAfter w:w="150" w:type="dxa"/>
                <w:trHeight w:val="2211" w:hRule="atLeast"/>
              </w:trPr>
              <w:tc>
                <w:tcPr>
                  <w:tcW w:w="296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功能分类</w:t>
                  </w:r>
                </w:p>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科目名称</w:t>
                  </w:r>
                </w:p>
              </w:tc>
              <w:tc>
                <w:tcPr>
                  <w:tcW w:w="570"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总计</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6"/>
                      <w:szCs w:val="16"/>
                    </w:rPr>
                  </w:pPr>
                </w:p>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基本</w:t>
                  </w:r>
                </w:p>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支出</w:t>
                  </w:r>
                </w:p>
                <w:p>
                  <w:pPr>
                    <w:widowControl/>
                    <w:jc w:val="center"/>
                    <w:rPr>
                      <w:rFonts w:hint="eastAsia" w:ascii="宋体" w:hAnsi="宋体" w:eastAsia="宋体" w:cs="宋体"/>
                      <w:color w:val="000000"/>
                      <w:kern w:val="0"/>
                      <w:sz w:val="16"/>
                      <w:szCs w:val="16"/>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项目                                                               支出</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事业单位</w:t>
                  </w:r>
                </w:p>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经营支出</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上缴                                            上级                                                         支出</w:t>
                  </w: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对附属                                           单位补                                      助支出</w:t>
                  </w:r>
                </w:p>
              </w:tc>
            </w:tr>
            <w:tr>
              <w:tblPrEx>
                <w:tblCellMar>
                  <w:top w:w="15" w:type="dxa"/>
                  <w:left w:w="15" w:type="dxa"/>
                  <w:bottom w:w="15" w:type="dxa"/>
                  <w:right w:w="15" w:type="dxa"/>
                </w:tblCellMar>
              </w:tblPrEx>
              <w:trPr>
                <w:gridAfter w:val="1"/>
                <w:wAfter w:w="150" w:type="dxa"/>
                <w:trHeight w:val="701"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一般公共服务支出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199.63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114.81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84.82</w:t>
                  </w: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60"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统计信息事务</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199.63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114.81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84.82</w:t>
                  </w: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60"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行政运行</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114.81</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114.81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60"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一般行政管理事务</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18.75</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18.75</w:t>
                  </w: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60"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专项普查活动</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44.07</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44.07</w:t>
                  </w: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60"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统计抽样调查</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22.00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22.00</w:t>
                  </w: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60"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23.59</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行政事业单位养老支出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23.59</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行政单位离退休</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10.79</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10.79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机关事业单位基本养老保险缴费支出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12.80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12.80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卫生健康支出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行政事业单位医疗</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行政单位医疗</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住房保障支出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eastAsia="宋体"/>
                      <w:color w:val="000000"/>
                      <w:kern w:val="0"/>
                      <w:sz w:val="16"/>
                      <w:szCs w:val="16"/>
                    </w:rPr>
                  </w:pPr>
                </w:p>
              </w:tc>
            </w:tr>
            <w:tr>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住房改革支出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rPr>
                  </w:pPr>
                </w:p>
              </w:tc>
            </w:tr>
            <w:tr>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住房公积金</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rPr>
                  </w:pPr>
                </w:p>
              </w:tc>
            </w:tr>
            <w:tr>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240.26</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155.44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84.82</w:t>
                  </w: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color w:val="000000"/>
                      <w:kern w:val="0"/>
                      <w:sz w:val="16"/>
                      <w:szCs w:val="16"/>
                    </w:rPr>
                  </w:pPr>
                </w:p>
              </w:tc>
            </w:tr>
          </w:tbl>
          <w:p>
            <w:pPr>
              <w:widowControl/>
              <w:jc w:val="center"/>
              <w:rPr>
                <w:rFonts w:eastAsia="方正小标宋简体"/>
                <w:kern w:val="0"/>
                <w:sz w:val="16"/>
                <w:szCs w:val="16"/>
              </w:rPr>
            </w:pPr>
          </w:p>
        </w:tc>
      </w:tr>
    </w:tbl>
    <w:p>
      <w:pPr>
        <w:ind w:firstLine="320" w:firstLineChars="200"/>
        <w:rPr>
          <w:sz w:val="16"/>
          <w:szCs w:val="16"/>
        </w:rPr>
      </w:pPr>
    </w:p>
    <w:p>
      <w:pPr>
        <w:ind w:firstLine="320" w:firstLineChars="200"/>
        <w:rPr>
          <w:sz w:val="16"/>
          <w:szCs w:val="16"/>
        </w:rPr>
      </w:pPr>
    </w:p>
    <w:p>
      <w:pPr>
        <w:ind w:firstLine="320" w:firstLineChars="200"/>
        <w:rPr>
          <w:sz w:val="16"/>
          <w:szCs w:val="16"/>
        </w:rPr>
      </w:pPr>
    </w:p>
    <w:p>
      <w:pPr>
        <w:ind w:firstLine="320" w:firstLineChars="200"/>
        <w:rPr>
          <w:sz w:val="16"/>
          <w:szCs w:val="16"/>
        </w:rPr>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211" w:tblpY="657"/>
              <w:tblOverlap w:val="never"/>
              <w:tblW w:w="9253" w:type="dxa"/>
              <w:tblInd w:w="0" w:type="dxa"/>
              <w:tblLayout w:type="fixed"/>
              <w:tblCellMar>
                <w:top w:w="0" w:type="dxa"/>
                <w:left w:w="108" w:type="dxa"/>
                <w:bottom w:w="0" w:type="dxa"/>
                <w:right w:w="108" w:type="dxa"/>
              </w:tblCellMar>
            </w:tblPr>
            <w:tblGrid>
              <w:gridCol w:w="2143"/>
              <w:gridCol w:w="750"/>
              <w:gridCol w:w="900"/>
              <w:gridCol w:w="570"/>
              <w:gridCol w:w="2490"/>
              <w:gridCol w:w="855"/>
              <w:gridCol w:w="870"/>
              <w:gridCol w:w="675"/>
            </w:tblGrid>
            <w:tr>
              <w:tblPrEx>
                <w:tblCellMar>
                  <w:top w:w="0" w:type="dxa"/>
                  <w:left w:w="108" w:type="dxa"/>
                  <w:bottom w:w="0" w:type="dxa"/>
                  <w:right w:w="108" w:type="dxa"/>
                </w:tblCellMar>
              </w:tblPrEx>
              <w:trPr>
                <w:trHeight w:val="634" w:hRule="atLeast"/>
              </w:trPr>
              <w:tc>
                <w:tcPr>
                  <w:tcW w:w="9253"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253"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收      入</w:t>
                  </w:r>
                </w:p>
              </w:tc>
              <w:tc>
                <w:tcPr>
                  <w:tcW w:w="489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支      出</w:t>
                  </w:r>
                </w:p>
              </w:tc>
            </w:tr>
            <w:tr>
              <w:tblPrEx>
                <w:tblCellMar>
                  <w:top w:w="0" w:type="dxa"/>
                  <w:left w:w="108" w:type="dxa"/>
                  <w:bottom w:w="0" w:type="dxa"/>
                  <w:right w:w="108" w:type="dxa"/>
                </w:tblCellMar>
              </w:tblPrEx>
              <w:trPr>
                <w:trHeight w:val="1363" w:hRule="atLeast"/>
              </w:trPr>
              <w:tc>
                <w:tcPr>
                  <w:tcW w:w="2143" w:type="dxa"/>
                  <w:tcBorders>
                    <w:top w:val="single" w:color="auto" w:sz="4" w:space="0"/>
                    <w:left w:val="single" w:color="auto" w:sz="4" w:space="0"/>
                    <w:right w:val="single" w:color="auto" w:sz="4" w:space="0"/>
                  </w:tcBorders>
                  <w:noWrap w:val="0"/>
                  <w:vAlign w:val="center"/>
                </w:tcPr>
                <w:p>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项  目</w:t>
                  </w:r>
                </w:p>
              </w:tc>
              <w:tc>
                <w:tcPr>
                  <w:tcW w:w="750" w:type="dxa"/>
                  <w:tcBorders>
                    <w:top w:val="single" w:color="auto" w:sz="4" w:space="0"/>
                    <w:left w:val="single" w:color="auto" w:sz="4" w:space="0"/>
                    <w:right w:val="single" w:color="auto" w:sz="4" w:space="0"/>
                  </w:tcBorders>
                  <w:noWrap w:val="0"/>
                  <w:vAlign w:val="center"/>
                </w:tcPr>
                <w:p>
                  <w:pPr>
                    <w:widowControl/>
                    <w:jc w:val="center"/>
                    <w:rPr>
                      <w:rFonts w:hint="eastAsia" w:ascii="华文细黑" w:hAnsi="华文细黑" w:eastAsia="华文细黑" w:cs="华文细黑"/>
                      <w:kern w:val="0"/>
                      <w:sz w:val="16"/>
                      <w:szCs w:val="16"/>
                      <w:lang w:val="en-US" w:eastAsia="zh-CN"/>
                    </w:rPr>
                  </w:pPr>
                  <w:r>
                    <w:rPr>
                      <w:rFonts w:hint="eastAsia" w:ascii="华文细黑" w:hAnsi="华文细黑" w:eastAsia="华文细黑" w:cs="华文细黑"/>
                      <w:kern w:val="0"/>
                      <w:sz w:val="16"/>
                      <w:szCs w:val="16"/>
                    </w:rPr>
                    <w:t>202</w:t>
                  </w:r>
                  <w:r>
                    <w:rPr>
                      <w:rFonts w:hint="eastAsia" w:ascii="华文细黑" w:hAnsi="华文细黑" w:eastAsia="华文细黑" w:cs="华文细黑"/>
                      <w:kern w:val="0"/>
                      <w:sz w:val="16"/>
                      <w:szCs w:val="16"/>
                      <w:lang w:val="en-US" w:eastAsia="zh-CN"/>
                    </w:rPr>
                    <w:t>4</w:t>
                  </w:r>
                  <w:r>
                    <w:rPr>
                      <w:rFonts w:hint="eastAsia" w:ascii="华文细黑" w:hAnsi="华文细黑" w:eastAsia="华文细黑" w:cs="华文细黑"/>
                      <w:kern w:val="0"/>
                      <w:sz w:val="16"/>
                      <w:szCs w:val="16"/>
                    </w:rPr>
                    <w:t>年</w:t>
                  </w:r>
                  <w:r>
                    <w:rPr>
                      <w:rFonts w:hint="eastAsia" w:ascii="华文细黑" w:hAnsi="华文细黑" w:eastAsia="华文细黑" w:cs="华文细黑"/>
                      <w:kern w:val="0"/>
                      <w:sz w:val="16"/>
                      <w:szCs w:val="16"/>
                      <w:lang w:val="en-US" w:eastAsia="zh-CN"/>
                    </w:rPr>
                    <w:t xml:space="preserve">   </w:t>
                  </w:r>
                  <w:r>
                    <w:rPr>
                      <w:rFonts w:hint="eastAsia" w:ascii="华文细黑" w:hAnsi="华文细黑" w:eastAsia="华文细黑" w:cs="华文细黑"/>
                      <w:kern w:val="0"/>
                      <w:sz w:val="16"/>
                      <w:szCs w:val="16"/>
                    </w:rPr>
                    <w:t>预算</w:t>
                  </w:r>
                  <w:r>
                    <w:rPr>
                      <w:rFonts w:hint="eastAsia" w:ascii="华文细黑" w:hAnsi="华文细黑" w:eastAsia="华文细黑" w:cs="华文细黑"/>
                      <w:kern w:val="0"/>
                      <w:sz w:val="16"/>
                      <w:szCs w:val="16"/>
                      <w:lang w:eastAsia="zh-CN"/>
                    </w:rPr>
                    <w:t>数</w:t>
                  </w:r>
                </w:p>
              </w:tc>
              <w:tc>
                <w:tcPr>
                  <w:tcW w:w="900" w:type="dxa"/>
                  <w:tcBorders>
                    <w:top w:val="single" w:color="auto" w:sz="4" w:space="0"/>
                    <w:left w:val="single" w:color="auto" w:sz="4" w:space="0"/>
                    <w:right w:val="single" w:color="auto" w:sz="4" w:space="0"/>
                  </w:tcBorders>
                  <w:noWrap w:val="0"/>
                  <w:vAlign w:val="center"/>
                </w:tcPr>
                <w:p>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lang w:eastAsia="zh-CN"/>
                    </w:rPr>
                    <w:t>本</w:t>
                  </w:r>
                  <w:r>
                    <w:rPr>
                      <w:rFonts w:hint="eastAsia" w:ascii="华文细黑" w:hAnsi="华文细黑" w:eastAsia="华文细黑" w:cs="华文细黑"/>
                      <w:kern w:val="0"/>
                      <w:sz w:val="16"/>
                      <w:szCs w:val="16"/>
                    </w:rPr>
                    <w:t>年预算</w:t>
                  </w:r>
                </w:p>
              </w:tc>
              <w:tc>
                <w:tcPr>
                  <w:tcW w:w="570" w:type="dxa"/>
                  <w:tcBorders>
                    <w:top w:val="single" w:color="auto" w:sz="4" w:space="0"/>
                    <w:left w:val="single" w:color="auto" w:sz="4" w:space="0"/>
                    <w:right w:val="single" w:color="auto" w:sz="4" w:space="0"/>
                  </w:tcBorders>
                  <w:noWrap w:val="0"/>
                  <w:vAlign w:val="center"/>
                </w:tcPr>
                <w:p>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上年结转</w:t>
                  </w:r>
                </w:p>
              </w:tc>
              <w:tc>
                <w:tcPr>
                  <w:tcW w:w="2490" w:type="dxa"/>
                  <w:tcBorders>
                    <w:top w:val="single" w:color="auto" w:sz="4" w:space="0"/>
                    <w:left w:val="single" w:color="auto" w:sz="4" w:space="0"/>
                    <w:right w:val="single" w:color="auto" w:sz="4" w:space="0"/>
                  </w:tcBorders>
                  <w:noWrap w:val="0"/>
                  <w:vAlign w:val="center"/>
                </w:tcPr>
                <w:p>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项  目</w:t>
                  </w:r>
                </w:p>
              </w:tc>
              <w:tc>
                <w:tcPr>
                  <w:tcW w:w="855" w:type="dxa"/>
                  <w:tcBorders>
                    <w:top w:val="single" w:color="auto" w:sz="4" w:space="0"/>
                    <w:left w:val="single" w:color="auto" w:sz="4" w:space="0"/>
                    <w:right w:val="single" w:color="auto" w:sz="4" w:space="0"/>
                  </w:tcBorders>
                  <w:noWrap w:val="0"/>
                  <w:vAlign w:val="center"/>
                </w:tcPr>
                <w:p>
                  <w:pPr>
                    <w:widowControl/>
                    <w:jc w:val="center"/>
                    <w:rPr>
                      <w:rFonts w:hint="eastAsia" w:ascii="华文细黑" w:hAnsi="华文细黑" w:eastAsia="华文细黑" w:cs="华文细黑"/>
                      <w:kern w:val="0"/>
                      <w:sz w:val="16"/>
                      <w:szCs w:val="16"/>
                      <w:lang w:eastAsia="zh-CN"/>
                    </w:rPr>
                  </w:pPr>
                  <w:r>
                    <w:rPr>
                      <w:rFonts w:hint="eastAsia" w:ascii="华文细黑" w:hAnsi="华文细黑" w:eastAsia="华文细黑" w:cs="华文细黑"/>
                      <w:kern w:val="0"/>
                      <w:sz w:val="16"/>
                      <w:szCs w:val="16"/>
                    </w:rPr>
                    <w:t>202</w:t>
                  </w:r>
                  <w:r>
                    <w:rPr>
                      <w:rFonts w:hint="eastAsia" w:ascii="华文细黑" w:hAnsi="华文细黑" w:eastAsia="华文细黑" w:cs="华文细黑"/>
                      <w:kern w:val="0"/>
                      <w:sz w:val="16"/>
                      <w:szCs w:val="16"/>
                      <w:lang w:val="en-US" w:eastAsia="zh-CN"/>
                    </w:rPr>
                    <w:t>4</w:t>
                  </w:r>
                  <w:r>
                    <w:rPr>
                      <w:rFonts w:hint="eastAsia" w:ascii="华文细黑" w:hAnsi="华文细黑" w:eastAsia="华文细黑" w:cs="华文细黑"/>
                      <w:kern w:val="0"/>
                      <w:sz w:val="16"/>
                      <w:szCs w:val="16"/>
                    </w:rPr>
                    <w:t>年</w:t>
                  </w:r>
                  <w:r>
                    <w:rPr>
                      <w:rFonts w:hint="eastAsia" w:ascii="华文细黑" w:hAnsi="华文细黑" w:eastAsia="华文细黑" w:cs="华文细黑"/>
                      <w:kern w:val="0"/>
                      <w:sz w:val="16"/>
                      <w:szCs w:val="16"/>
                      <w:lang w:val="en-US" w:eastAsia="zh-CN"/>
                    </w:rPr>
                    <w:t xml:space="preserve">   </w:t>
                  </w:r>
                  <w:r>
                    <w:rPr>
                      <w:rFonts w:hint="eastAsia" w:ascii="华文细黑" w:hAnsi="华文细黑" w:eastAsia="华文细黑" w:cs="华文细黑"/>
                      <w:kern w:val="0"/>
                      <w:sz w:val="16"/>
                      <w:szCs w:val="16"/>
                    </w:rPr>
                    <w:t>预算</w:t>
                  </w:r>
                  <w:r>
                    <w:rPr>
                      <w:rFonts w:hint="eastAsia" w:ascii="华文细黑" w:hAnsi="华文细黑" w:eastAsia="华文细黑" w:cs="华文细黑"/>
                      <w:kern w:val="0"/>
                      <w:sz w:val="16"/>
                      <w:szCs w:val="16"/>
                      <w:lang w:eastAsia="zh-CN"/>
                    </w:rPr>
                    <w:t>数</w:t>
                  </w:r>
                </w:p>
              </w:tc>
              <w:tc>
                <w:tcPr>
                  <w:tcW w:w="870" w:type="dxa"/>
                  <w:tcBorders>
                    <w:top w:val="single" w:color="auto" w:sz="4" w:space="0"/>
                    <w:left w:val="single" w:color="auto" w:sz="4" w:space="0"/>
                    <w:right w:val="single" w:color="auto" w:sz="4" w:space="0"/>
                  </w:tcBorders>
                  <w:noWrap w:val="0"/>
                  <w:vAlign w:val="center"/>
                </w:tcPr>
                <w:p>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lang w:eastAsia="zh-CN"/>
                    </w:rPr>
                    <w:t>本</w:t>
                  </w:r>
                  <w:r>
                    <w:rPr>
                      <w:rFonts w:hint="eastAsia" w:ascii="华文细黑" w:hAnsi="华文细黑" w:eastAsia="华文细黑" w:cs="华文细黑"/>
                      <w:kern w:val="0"/>
                      <w:sz w:val="16"/>
                      <w:szCs w:val="16"/>
                    </w:rPr>
                    <w:t>年预算</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上年结转</w:t>
                  </w:r>
                </w:p>
              </w:tc>
            </w:tr>
            <w:tr>
              <w:tblPrEx>
                <w:tblCellMar>
                  <w:top w:w="0" w:type="dxa"/>
                  <w:left w:w="108" w:type="dxa"/>
                  <w:bottom w:w="0" w:type="dxa"/>
                  <w:right w:w="108" w:type="dxa"/>
                </w:tblCellMar>
              </w:tblPrEx>
              <w:trPr>
                <w:trHeight w:val="433"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一、本年收入</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r>
                    <w:rPr>
                      <w:rFonts w:hint="eastAsia" w:ascii="宋体" w:hAnsi="宋体" w:eastAsia="宋体" w:cs="宋体"/>
                      <w:sz w:val="16"/>
                      <w:szCs w:val="16"/>
                    </w:rPr>
                    <w:t>240.26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232.67</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7.59</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eastAsia="宋体" w:cs="宋体"/>
                      <w:kern w:val="0"/>
                      <w:sz w:val="16"/>
                      <w:szCs w:val="16"/>
                    </w:rPr>
                    <w:t>一、</w:t>
                  </w:r>
                  <w:r>
                    <w:rPr>
                      <w:rFonts w:hint="eastAsia" w:ascii="宋体" w:hAnsi="宋体" w:eastAsia="宋体" w:cs="宋体"/>
                      <w:kern w:val="0"/>
                      <w:sz w:val="16"/>
                      <w:szCs w:val="16"/>
                      <w:lang w:eastAsia="zh-CN"/>
                    </w:rPr>
                    <w:t>本年支出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240.26</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232.67</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7.59</w:t>
                  </w:r>
                </w:p>
              </w:tc>
            </w:tr>
            <w:tr>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一般公共预算拨款</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rPr>
                  </w:pPr>
                  <w:r>
                    <w:rPr>
                      <w:rFonts w:hint="eastAsia" w:ascii="宋体" w:hAnsi="宋体" w:eastAsia="宋体" w:cs="宋体"/>
                      <w:sz w:val="16"/>
                      <w:szCs w:val="16"/>
                    </w:rPr>
                    <w:t>240.26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232.67</w:t>
                  </w: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7.59</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 xml:space="preserve">    （一）</w:t>
                  </w:r>
                  <w:r>
                    <w:rPr>
                      <w:rFonts w:hint="eastAsia" w:ascii="宋体" w:hAnsi="宋体" w:eastAsia="宋体" w:cs="宋体"/>
                      <w:color w:val="000000"/>
                      <w:kern w:val="0"/>
                      <w:sz w:val="16"/>
                      <w:szCs w:val="16"/>
                    </w:rPr>
                    <w:t>一般公共服务</w:t>
                  </w:r>
                  <w:r>
                    <w:rPr>
                      <w:rFonts w:hint="eastAsia" w:ascii="宋体" w:hAnsi="宋体" w:eastAsia="宋体" w:cs="宋体"/>
                      <w:color w:val="000000"/>
                      <w:kern w:val="0"/>
                      <w:sz w:val="16"/>
                      <w:szCs w:val="16"/>
                      <w:lang w:eastAsia="zh-CN"/>
                    </w:rPr>
                    <w:t>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199.63</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193.29</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6.34</w:t>
                  </w:r>
                </w:p>
              </w:tc>
            </w:tr>
            <w:tr>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政府性基金预算拨款</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ind w:firstLine="320" w:firstLineChars="200"/>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（二）社会保障和就业支出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16"/>
                      <w:szCs w:val="16"/>
                    </w:rPr>
                  </w:pPr>
                  <w:r>
                    <w:rPr>
                      <w:rFonts w:hint="eastAsia" w:ascii="宋体" w:hAnsi="宋体" w:eastAsia="宋体" w:cs="宋体"/>
                      <w:color w:val="000000"/>
                      <w:kern w:val="0"/>
                      <w:sz w:val="16"/>
                      <w:szCs w:val="16"/>
                    </w:rPr>
                    <w:t>23.59</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国有资本经营预算拨款</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ind w:firstLine="320" w:firstLineChars="200"/>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（三）卫生健康支出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16"/>
                      <w:szCs w:val="16"/>
                    </w:rPr>
                  </w:pPr>
                  <w:r>
                    <w:rPr>
                      <w:rFonts w:hint="eastAsia" w:ascii="宋体" w:hAnsi="宋体" w:eastAsia="宋体" w:cs="宋体"/>
                      <w:color w:val="000000"/>
                      <w:kern w:val="0"/>
                      <w:sz w:val="16"/>
                      <w:szCs w:val="16"/>
                    </w:rPr>
                    <w:t>4.25</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16"/>
                      <w:szCs w:val="16"/>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ind w:firstLine="320" w:firstLineChars="200"/>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（四）住房保障支出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16"/>
                      <w:szCs w:val="16"/>
                    </w:rPr>
                  </w:pPr>
                  <w:r>
                    <w:rPr>
                      <w:rFonts w:hint="eastAsia" w:ascii="宋体" w:hAnsi="宋体" w:eastAsia="宋体" w:cs="宋体"/>
                      <w:color w:val="000000"/>
                      <w:kern w:val="0"/>
                      <w:sz w:val="16"/>
                      <w:szCs w:val="16"/>
                    </w:rPr>
                    <w:t>12.79</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11.54</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16"/>
                      <w:szCs w:val="16"/>
                    </w:rPr>
                  </w:pPr>
                  <w:r>
                    <w:rPr>
                      <w:rFonts w:hint="eastAsia" w:ascii="宋体" w:hAnsi="宋体" w:eastAsia="宋体" w:cs="宋体"/>
                      <w:kern w:val="0"/>
                      <w:sz w:val="16"/>
                      <w:szCs w:val="16"/>
                    </w:rPr>
                    <w:t>1.25</w:t>
                  </w:r>
                </w:p>
              </w:tc>
            </w:tr>
            <w:tr>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16"/>
                      <w:szCs w:val="16"/>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6"/>
                      <w:szCs w:val="16"/>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6"/>
                      <w:szCs w:val="16"/>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6"/>
                      <w:szCs w:val="16"/>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7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6"/>
                      <w:szCs w:val="16"/>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6"/>
                      <w:szCs w:val="16"/>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7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495"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6"/>
                      <w:szCs w:val="16"/>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7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7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kern w:val="0"/>
                      <w:sz w:val="16"/>
                      <w:szCs w:val="16"/>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kern w:val="0"/>
                      <w:sz w:val="16"/>
                      <w:szCs w:val="16"/>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7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hint="eastAsia" w:ascii="宋体" w:hAnsi="宋体" w:eastAsia="宋体" w:cs="宋体"/>
                      <w:sz w:val="16"/>
                      <w:szCs w:val="16"/>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16"/>
                      <w:szCs w:val="16"/>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7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16"/>
                      <w:szCs w:val="16"/>
                    </w:rPr>
                  </w:pPr>
                </w:p>
              </w:tc>
            </w:tr>
            <w:tr>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hint="eastAsia" w:ascii="宋体" w:hAnsi="宋体" w:eastAsia="宋体" w:cs="宋体"/>
                      <w:sz w:val="16"/>
                      <w:szCs w:val="16"/>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hint="eastAsia" w:ascii="宋体" w:hAnsi="宋体" w:eastAsia="宋体" w:cs="宋体"/>
                      <w:sz w:val="16"/>
                      <w:szCs w:val="16"/>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hint="eastAsia" w:ascii="宋体" w:hAnsi="宋体" w:eastAsia="宋体" w:cs="宋体"/>
                      <w:sz w:val="16"/>
                      <w:szCs w:val="16"/>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hint="eastAsia" w:ascii="宋体" w:hAnsi="宋体" w:eastAsia="宋体" w:cs="宋体"/>
                      <w:sz w:val="16"/>
                      <w:szCs w:val="16"/>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16"/>
                      <w:szCs w:val="16"/>
                    </w:rPr>
                  </w:pPr>
                  <w:r>
                    <w:rPr>
                      <w:rFonts w:hint="eastAsia" w:ascii="宋体" w:hAnsi="宋体" w:eastAsia="宋体" w:cs="宋体"/>
                      <w:kern w:val="0"/>
                      <w:sz w:val="16"/>
                      <w:szCs w:val="16"/>
                      <w:lang w:eastAsia="zh-CN"/>
                    </w:rPr>
                    <w:t>二、</w:t>
                  </w:r>
                  <w:r>
                    <w:rPr>
                      <w:rFonts w:hint="eastAsia" w:ascii="宋体" w:hAnsi="宋体" w:eastAsia="宋体" w:cs="宋体"/>
                      <w:kern w:val="0"/>
                      <w:sz w:val="16"/>
                      <w:szCs w:val="16"/>
                    </w:rPr>
                    <w:t>结转下年</w:t>
                  </w:r>
                </w:p>
              </w:tc>
              <w:tc>
                <w:tcPr>
                  <w:tcW w:w="855" w:type="dxa"/>
                  <w:tcBorders>
                    <w:top w:val="single" w:color="auto" w:sz="4" w:space="0"/>
                    <w:left w:val="single" w:color="auto" w:sz="4" w:space="0"/>
                    <w:bottom w:val="single" w:color="auto" w:sz="4" w:space="0"/>
                    <w:right w:val="single" w:color="auto" w:sz="4" w:space="0"/>
                  </w:tcBorders>
                  <w:noWrap w:val="0"/>
                  <w:vAlign w:val="center"/>
                </w:tcPr>
                <w:p>
                  <w:pPr>
                    <w:ind w:firstLine="160" w:firstLineChars="100"/>
                    <w:rPr>
                      <w:rFonts w:hint="eastAsia" w:ascii="宋体" w:hAnsi="宋体" w:eastAsia="宋体" w:cs="宋体"/>
                      <w:sz w:val="16"/>
                      <w:szCs w:val="16"/>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ind w:firstLine="160" w:firstLineChars="100"/>
                    <w:rPr>
                      <w:rFonts w:hint="eastAsia" w:ascii="宋体" w:hAnsi="宋体" w:eastAsia="宋体" w:cs="宋体"/>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ind w:firstLine="160" w:firstLineChars="100"/>
                    <w:rPr>
                      <w:rFonts w:hint="eastAsia" w:ascii="宋体" w:hAnsi="宋体" w:eastAsia="宋体" w:cs="宋体"/>
                      <w:sz w:val="16"/>
                      <w:szCs w:val="16"/>
                    </w:rPr>
                  </w:pPr>
                </w:p>
              </w:tc>
            </w:tr>
            <w:tr>
              <w:tblPrEx>
                <w:tblCellMar>
                  <w:top w:w="0" w:type="dxa"/>
                  <w:left w:w="108" w:type="dxa"/>
                  <w:bottom w:w="0" w:type="dxa"/>
                  <w:right w:w="108" w:type="dxa"/>
                </w:tblCellMar>
              </w:tblPrEx>
              <w:trPr>
                <w:trHeight w:val="500"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6"/>
                      <w:szCs w:val="16"/>
                    </w:rPr>
                  </w:pPr>
                  <w:r>
                    <w:rPr>
                      <w:rFonts w:hint="eastAsia" w:ascii="宋体" w:hAnsi="宋体" w:eastAsia="宋体" w:cs="宋体"/>
                      <w:b/>
                      <w:bCs/>
                      <w:kern w:val="0"/>
                      <w:sz w:val="16"/>
                      <w:szCs w:val="16"/>
                    </w:rPr>
                    <w:t>收入总计</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sz w:val="16"/>
                      <w:szCs w:val="16"/>
                    </w:rPr>
                    <w:t>240.26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rPr>
                    <w:t>232.67</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rPr>
                    <w:t>7.59</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6"/>
                      <w:szCs w:val="16"/>
                    </w:rPr>
                  </w:pPr>
                  <w:r>
                    <w:rPr>
                      <w:rFonts w:hint="eastAsia" w:ascii="宋体" w:hAnsi="宋体" w:eastAsia="宋体" w:cs="宋体"/>
                      <w:b/>
                      <w:bCs/>
                      <w:kern w:val="0"/>
                      <w:sz w:val="16"/>
                      <w:szCs w:val="16"/>
                    </w:rPr>
                    <w:t>支出总计</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240.26</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232.67</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7.59</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3116"/>
              <w:gridCol w:w="900"/>
              <w:gridCol w:w="1080"/>
              <w:gridCol w:w="1170"/>
              <w:gridCol w:w="1320"/>
              <w:gridCol w:w="1203"/>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3116"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华文细黑" w:hAnsi="华文细黑" w:eastAsia="华文细黑" w:cs="华文细黑"/>
                      <w:color w:val="000000"/>
                      <w:sz w:val="16"/>
                      <w:szCs w:val="16"/>
                    </w:rPr>
                  </w:pPr>
                  <w:r>
                    <w:rPr>
                      <w:rFonts w:hint="eastAsia" w:ascii="华文细黑" w:hAnsi="华文细黑" w:eastAsia="华文细黑" w:cs="华文细黑"/>
                      <w:color w:val="000000"/>
                      <w:sz w:val="16"/>
                      <w:szCs w:val="16"/>
                    </w:rPr>
                    <w:t>功能分类</w:t>
                  </w:r>
                </w:p>
                <w:p>
                  <w:pPr>
                    <w:widowControl/>
                    <w:jc w:val="center"/>
                    <w:rPr>
                      <w:rFonts w:hint="eastAsia" w:ascii="华文细黑" w:hAnsi="华文细黑" w:eastAsia="华文细黑" w:cs="华文细黑"/>
                      <w:color w:val="000000"/>
                      <w:kern w:val="0"/>
                      <w:sz w:val="16"/>
                      <w:szCs w:val="16"/>
                    </w:rPr>
                  </w:pPr>
                  <w:r>
                    <w:rPr>
                      <w:rFonts w:hint="eastAsia" w:ascii="华文细黑" w:hAnsi="华文细黑" w:eastAsia="华文细黑" w:cs="华文细黑"/>
                      <w:color w:val="000000"/>
                      <w:sz w:val="16"/>
                      <w:szCs w:val="16"/>
                    </w:rPr>
                    <w:t>科目名称</w:t>
                  </w:r>
                </w:p>
              </w:tc>
              <w:tc>
                <w:tcPr>
                  <w:tcW w:w="900"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华文细黑" w:hAnsi="华文细黑" w:eastAsia="华文细黑" w:cs="华文细黑"/>
                      <w:color w:val="000000"/>
                      <w:kern w:val="0"/>
                      <w:sz w:val="16"/>
                      <w:szCs w:val="16"/>
                    </w:rPr>
                  </w:pPr>
                  <w:r>
                    <w:rPr>
                      <w:rFonts w:hint="eastAsia" w:ascii="华文细黑" w:hAnsi="华文细黑" w:eastAsia="华文细黑" w:cs="华文细黑"/>
                      <w:color w:val="000000"/>
                      <w:kern w:val="0"/>
                      <w:sz w:val="16"/>
                      <w:szCs w:val="16"/>
                    </w:rPr>
                    <w:t>总计</w:t>
                  </w:r>
                </w:p>
              </w:tc>
              <w:tc>
                <w:tcPr>
                  <w:tcW w:w="35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华文细黑" w:hAnsi="华文细黑" w:eastAsia="华文细黑" w:cs="华文细黑"/>
                      <w:color w:val="000000"/>
                      <w:kern w:val="0"/>
                      <w:sz w:val="16"/>
                      <w:szCs w:val="16"/>
                    </w:rPr>
                  </w:pPr>
                  <w:r>
                    <w:rPr>
                      <w:rFonts w:hint="eastAsia" w:ascii="华文细黑" w:hAnsi="华文细黑" w:eastAsia="华文细黑" w:cs="华文细黑"/>
                      <w:color w:val="000000"/>
                      <w:kern w:val="0"/>
                      <w:sz w:val="16"/>
                      <w:szCs w:val="16"/>
                    </w:rPr>
                    <w:t>基本支出</w:t>
                  </w:r>
                </w:p>
              </w:tc>
              <w:tc>
                <w:tcPr>
                  <w:tcW w:w="12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华文细黑" w:hAnsi="华文细黑" w:eastAsia="华文细黑" w:cs="华文细黑"/>
                      <w:color w:val="000000"/>
                      <w:kern w:val="0"/>
                      <w:sz w:val="16"/>
                      <w:szCs w:val="16"/>
                    </w:rPr>
                  </w:pPr>
                  <w:r>
                    <w:rPr>
                      <w:rFonts w:hint="eastAsia" w:ascii="华文细黑" w:hAnsi="华文细黑" w:eastAsia="华文细黑" w:cs="华文细黑"/>
                      <w:color w:val="000000"/>
                      <w:kern w:val="0"/>
                      <w:sz w:val="16"/>
                      <w:szCs w:val="16"/>
                    </w:rPr>
                    <w:t>项目                                                               支出</w:t>
                  </w:r>
                </w:p>
              </w:tc>
            </w:tr>
            <w:tr>
              <w:tblPrEx>
                <w:tblCellMar>
                  <w:top w:w="15" w:type="dxa"/>
                  <w:left w:w="15" w:type="dxa"/>
                  <w:bottom w:w="15" w:type="dxa"/>
                  <w:right w:w="15" w:type="dxa"/>
                </w:tblCellMar>
              </w:tblPrEx>
              <w:trPr>
                <w:trHeight w:val="281" w:hRule="atLeast"/>
              </w:trPr>
              <w:tc>
                <w:tcPr>
                  <w:tcW w:w="3116"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900"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r>
            <w:tr>
              <w:tblPrEx>
                <w:tblCellMar>
                  <w:top w:w="15" w:type="dxa"/>
                  <w:left w:w="15" w:type="dxa"/>
                  <w:bottom w:w="15" w:type="dxa"/>
                  <w:right w:w="15" w:type="dxa"/>
                </w:tblCellMar>
              </w:tblPrEx>
              <w:trPr>
                <w:trHeight w:val="630" w:hRule="atLeast"/>
              </w:trPr>
              <w:tc>
                <w:tcPr>
                  <w:tcW w:w="3116"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900"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合计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人员经费</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公用经费</w:t>
                  </w: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r>
            <w:tr>
              <w:tblPrEx>
                <w:tblCellMar>
                  <w:top w:w="15" w:type="dxa"/>
                  <w:left w:w="15" w:type="dxa"/>
                  <w:bottom w:w="15" w:type="dxa"/>
                  <w:right w:w="15" w:type="dxa"/>
                </w:tblCellMar>
              </w:tblPrEx>
              <w:trPr>
                <w:trHeight w:val="390" w:hRule="atLeast"/>
              </w:trPr>
              <w:tc>
                <w:tcPr>
                  <w:tcW w:w="3116"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一、一般公共服务</w:t>
                  </w:r>
                  <w:r>
                    <w:rPr>
                      <w:rFonts w:hint="eastAsia" w:ascii="宋体" w:hAnsi="宋体" w:eastAsia="宋体" w:cs="宋体"/>
                      <w:color w:val="000000"/>
                      <w:kern w:val="0"/>
                      <w:sz w:val="16"/>
                      <w:szCs w:val="16"/>
                      <w:lang w:eastAsia="zh-CN"/>
                    </w:rPr>
                    <w:t>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199.63</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114.81</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91.89</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22.92</w:t>
                  </w: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84.82</w:t>
                  </w: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eastAsia="zh-CN"/>
                    </w:rPr>
                    <w:t>统计信息事务</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199.63</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114.81</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91.89</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22.92</w:t>
                  </w: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84.82</w:t>
                  </w: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xml:space="preserve">      行政运行</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114.81</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114.81</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91.89</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22.92</w:t>
                  </w: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　一般行政管理事务</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18.75</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18.75</w:t>
                  </w: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统计抽样调查</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44.07</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44.07</w:t>
                  </w: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pPr>
                    <w:spacing w:beforeLines="0" w:afterLines="0"/>
                    <w:jc w:val="both"/>
                    <w:rPr>
                      <w:rFonts w:hint="eastAsia" w:ascii="宋体" w:hAnsi="宋体" w:eastAsia="宋体" w:cs="宋体"/>
                      <w:color w:val="000000"/>
                      <w:kern w:val="0"/>
                      <w:sz w:val="16"/>
                      <w:szCs w:val="16"/>
                    </w:rPr>
                  </w:pPr>
                  <w:r>
                    <w:rPr>
                      <w:rFonts w:hint="eastAsia" w:ascii="宋体" w:hAnsi="宋体" w:eastAsia="宋体" w:cs="宋体"/>
                      <w:color w:val="000000"/>
                      <w:sz w:val="16"/>
                      <w:szCs w:val="16"/>
                      <w:lang w:eastAsia="zh-CN"/>
                    </w:rPr>
                    <w:t>二、</w:t>
                  </w:r>
                  <w:r>
                    <w:rPr>
                      <w:rFonts w:hint="eastAsia" w:ascii="宋体" w:hAnsi="宋体" w:eastAsia="宋体" w:cs="宋体"/>
                      <w:color w:val="000000"/>
                      <w:sz w:val="16"/>
                      <w:szCs w:val="16"/>
                    </w:rPr>
                    <w:t>社会保障和就业支出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22.00</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22.00</w:t>
                  </w: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行政事业单位养老支出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23.59</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23.59</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23.59</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行政单位离退休</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23.59</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23.59</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23.59</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机关事业单位基本养老保险缴费支出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10.79</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10.79</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10.79</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lang w:eastAsia="zh-CN"/>
                    </w:rPr>
                    <w:t>三、</w:t>
                  </w:r>
                  <w:r>
                    <w:rPr>
                      <w:rFonts w:hint="eastAsia" w:ascii="宋体" w:hAnsi="宋体" w:eastAsia="宋体" w:cs="宋体"/>
                      <w:color w:val="000000"/>
                      <w:sz w:val="16"/>
                      <w:szCs w:val="16"/>
                    </w:rPr>
                    <w:t>卫生健康支出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12.80</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12.80</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12.80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行政事业单位医疗</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行政单位医疗</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lang w:eastAsia="zh-CN"/>
                    </w:rPr>
                    <w:t>四、</w:t>
                  </w:r>
                  <w:r>
                    <w:rPr>
                      <w:rFonts w:hint="eastAsia" w:ascii="宋体" w:hAnsi="宋体" w:eastAsia="宋体" w:cs="宋体"/>
                      <w:color w:val="000000"/>
                      <w:sz w:val="16"/>
                      <w:szCs w:val="16"/>
                    </w:rPr>
                    <w:t>住房保障支出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4.25</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住房改革支出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　住房公积金</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16"/>
                      <w:szCs w:val="16"/>
                    </w:rPr>
                  </w:pPr>
                </w:p>
              </w:tc>
            </w:tr>
            <w:tr>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合计</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240.26</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155.44</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132.52</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22.92</w:t>
                  </w: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84.82</w:t>
                  </w:r>
                </w:p>
              </w:tc>
            </w:tr>
          </w:tbl>
          <w:p>
            <w:pPr>
              <w:widowControl/>
              <w:jc w:val="center"/>
              <w:rPr>
                <w:rFonts w:eastAsia="方正小标宋简体"/>
                <w:kern w:val="0"/>
                <w:sz w:val="44"/>
                <w:szCs w:val="44"/>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16"/>
                <w:szCs w:val="16"/>
              </w:rPr>
            </w:pPr>
            <w:r>
              <w:rPr>
                <w:rFonts w:eastAsia="宋体"/>
                <w:kern w:val="0"/>
                <w:sz w:val="16"/>
                <w:szCs w:val="16"/>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16"/>
                <w:szCs w:val="16"/>
              </w:rPr>
            </w:pPr>
            <w:r>
              <w:rPr>
                <w:rFonts w:eastAsia="宋体"/>
                <w:kern w:val="0"/>
                <w:sz w:val="16"/>
                <w:szCs w:val="16"/>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16"/>
                <w:szCs w:val="16"/>
              </w:rPr>
            </w:pPr>
            <w:r>
              <w:rPr>
                <w:rFonts w:hAnsi="华文细黑" w:eastAsia="华文细黑"/>
                <w:kern w:val="0"/>
                <w:sz w:val="16"/>
                <w:szCs w:val="16"/>
              </w:rPr>
              <w:t>　</w:t>
            </w:r>
            <w:r>
              <w:rPr>
                <w:rFonts w:hint="eastAsia" w:hAnsi="华文细黑" w:eastAsia="华文细黑"/>
                <w:kern w:val="0"/>
                <w:sz w:val="16"/>
                <w:szCs w:val="16"/>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16"/>
                <w:szCs w:val="16"/>
              </w:rPr>
            </w:pPr>
            <w:r>
              <w:rPr>
                <w:rFonts w:hint="eastAsia" w:hAnsi="华文细黑" w:eastAsia="华文细黑"/>
                <w:kern w:val="0"/>
                <w:sz w:val="16"/>
                <w:szCs w:val="16"/>
                <w:lang w:eastAsia="zh-CN"/>
              </w:rPr>
              <w:t>单位预算支出</w:t>
            </w:r>
            <w:r>
              <w:rPr>
                <w:rFonts w:hAnsi="华文细黑" w:eastAsia="华文细黑"/>
                <w:kern w:val="0"/>
                <w:sz w:val="16"/>
                <w:szCs w:val="16"/>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16"/>
                <w:szCs w:val="16"/>
              </w:rPr>
            </w:pPr>
            <w:r>
              <w:rPr>
                <w:rFonts w:eastAsia="华文细黑"/>
                <w:color w:val="000000"/>
                <w:kern w:val="0"/>
                <w:sz w:val="16"/>
                <w:szCs w:val="16"/>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sz w:val="16"/>
                <w:szCs w:val="16"/>
              </w:rPr>
            </w:pPr>
            <w:r>
              <w:rPr>
                <w:rFonts w:eastAsia="华文细黑"/>
                <w:color w:val="000000"/>
                <w:kern w:val="0"/>
                <w:sz w:val="16"/>
                <w:szCs w:val="16"/>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 w:val="16"/>
                <w:szCs w:val="16"/>
              </w:rPr>
            </w:pPr>
            <w:r>
              <w:rPr>
                <w:rFonts w:eastAsia="华文细黑"/>
                <w:color w:val="000000"/>
                <w:kern w:val="0"/>
                <w:sz w:val="16"/>
                <w:szCs w:val="16"/>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16"/>
                <w:szCs w:val="16"/>
              </w:rPr>
            </w:pPr>
            <w:r>
              <w:rPr>
                <w:rFonts w:hint="eastAsia" w:ascii="宋体" w:hAnsi="宋体" w:eastAsia="宋体" w:cs="宋体"/>
                <w:color w:val="000000"/>
                <w:sz w:val="16"/>
                <w:szCs w:val="16"/>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120.98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120.98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40.25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40.25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26.02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26.02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20.87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20.87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12.80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12.80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4.12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其他社会保障</w:t>
            </w:r>
            <w:r>
              <w:rPr>
                <w:rFonts w:hint="eastAsia" w:ascii="宋体" w:hAnsi="宋体" w:eastAsia="宋体" w:cs="宋体"/>
                <w:color w:val="000000"/>
                <w:sz w:val="16"/>
                <w:szCs w:val="16"/>
              </w:rPr>
              <w:t>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1.69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12.79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1.44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1.44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16"/>
                <w:szCs w:val="16"/>
              </w:rPr>
            </w:pPr>
            <w:r>
              <w:rPr>
                <w:rFonts w:hint="eastAsia" w:ascii="宋体" w:hAnsi="宋体" w:eastAsia="宋体" w:cs="宋体"/>
                <w:color w:val="000000"/>
                <w:sz w:val="16"/>
                <w:szCs w:val="16"/>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21.72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21.72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0.41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0.41</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0.30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6.00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6.00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hint="default" w:eastAsia="宋体"/>
                <w:color w:val="000000"/>
                <w:kern w:val="0"/>
                <w:sz w:val="16"/>
                <w:szCs w:val="16"/>
                <w:lang w:val="en-US"/>
              </w:rPr>
            </w:pPr>
            <w:r>
              <w:rPr>
                <w:rFonts w:hint="eastAsia" w:ascii="宋体" w:hAnsi="宋体" w:eastAsia="宋体" w:cs="宋体"/>
                <w:color w:val="000000"/>
                <w:sz w:val="16"/>
                <w:szCs w:val="16"/>
                <w:lang w:val="en-US" w:eastAsia="zh-CN"/>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0.15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0.15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0.30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0.60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1.29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1.29</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4.21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4.21</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6.18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6.18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0.78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0.78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11.55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11.55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10.79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10.79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0.76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0.76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16"/>
                <w:szCs w:val="16"/>
              </w:rPr>
            </w:pPr>
            <w:r>
              <w:rPr>
                <w:rFonts w:hint="eastAsia" w:ascii="宋体" w:hAnsi="宋体" w:eastAsia="宋体" w:cs="宋体"/>
                <w:color w:val="000000"/>
                <w:sz w:val="16"/>
                <w:szCs w:val="16"/>
                <w:lang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155.45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132.53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22.92</w:t>
            </w:r>
          </w:p>
        </w:tc>
      </w:tr>
    </w:tbl>
    <w:p>
      <w:pPr>
        <w:rPr>
          <w:sz w:val="16"/>
          <w:szCs w:val="16"/>
        </w:rPr>
      </w:pPr>
    </w:p>
    <w:p>
      <w:pPr>
        <w:rPr>
          <w:sz w:val="16"/>
          <w:szCs w:val="16"/>
        </w:rPr>
      </w:pPr>
    </w:p>
    <w:p>
      <w:pPr>
        <w:rPr>
          <w:sz w:val="16"/>
          <w:szCs w:val="16"/>
        </w:rPr>
      </w:pPr>
    </w:p>
    <w:p>
      <w:pPr>
        <w:ind w:firstLine="636"/>
        <w:rPr>
          <w:rFonts w:hAnsi="楷体" w:eastAsia="楷体"/>
        </w:rPr>
      </w:pPr>
    </w:p>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16"/>
                <w:szCs w:val="16"/>
              </w:rPr>
            </w:pPr>
            <w:r>
              <w:rPr>
                <w:rFonts w:hAnsi="华文细黑" w:eastAsia="华文细黑"/>
                <w:color w:val="000000"/>
                <w:kern w:val="0"/>
                <w:sz w:val="16"/>
                <w:szCs w:val="16"/>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16"/>
                <w:szCs w:val="16"/>
              </w:rPr>
            </w:pPr>
            <w:r>
              <w:rPr>
                <w:rFonts w:hAnsi="华文细黑" w:eastAsia="华文细黑"/>
                <w:color w:val="000000"/>
                <w:kern w:val="0"/>
                <w:sz w:val="16"/>
                <w:szCs w:val="16"/>
              </w:rPr>
              <w:t>项</w:t>
            </w:r>
            <w:r>
              <w:rPr>
                <w:rFonts w:eastAsia="华文细黑"/>
                <w:color w:val="000000"/>
                <w:kern w:val="0"/>
                <w:sz w:val="16"/>
                <w:szCs w:val="16"/>
              </w:rPr>
              <w:t xml:space="preserve">    </w:t>
            </w:r>
            <w:r>
              <w:rPr>
                <w:rFonts w:hAnsi="华文细黑" w:eastAsia="华文细黑"/>
                <w:color w:val="000000"/>
                <w:kern w:val="0"/>
                <w:sz w:val="16"/>
                <w:szCs w:val="16"/>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20</w:t>
            </w:r>
            <w:r>
              <w:rPr>
                <w:rFonts w:hint="eastAsia" w:eastAsia="华文细黑"/>
                <w:color w:val="000000"/>
                <w:kern w:val="0"/>
                <w:sz w:val="16"/>
                <w:szCs w:val="16"/>
              </w:rPr>
              <w:t>2</w:t>
            </w:r>
            <w:r>
              <w:rPr>
                <w:rFonts w:hint="eastAsia" w:eastAsia="华文细黑"/>
                <w:color w:val="000000"/>
                <w:kern w:val="0"/>
                <w:sz w:val="16"/>
                <w:szCs w:val="16"/>
                <w:lang w:val="en-US" w:eastAsia="zh-CN"/>
              </w:rPr>
              <w:t>4</w:t>
            </w:r>
            <w:r>
              <w:rPr>
                <w:rFonts w:hAnsi="华文细黑" w:eastAsia="华文细黑"/>
                <w:color w:val="000000"/>
                <w:kern w:val="0"/>
                <w:sz w:val="16"/>
                <w:szCs w:val="16"/>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16"/>
                <w:szCs w:val="16"/>
              </w:rPr>
            </w:pPr>
            <w:r>
              <w:rPr>
                <w:rFonts w:eastAsia="宋体"/>
                <w:color w:val="000000"/>
                <w:kern w:val="0"/>
                <w:sz w:val="16"/>
                <w:szCs w:val="16"/>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16"/>
                <w:szCs w:val="16"/>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160" w:firstLineChars="100"/>
              <w:jc w:val="left"/>
              <w:rPr>
                <w:rFonts w:eastAsia="宋体"/>
                <w:color w:val="000000"/>
                <w:kern w:val="0"/>
                <w:sz w:val="16"/>
                <w:szCs w:val="16"/>
              </w:rPr>
            </w:pPr>
            <w:r>
              <w:rPr>
                <w:rFonts w:eastAsia="宋体"/>
                <w:color w:val="000000"/>
                <w:kern w:val="0"/>
                <w:sz w:val="16"/>
                <w:szCs w:val="16"/>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16"/>
                <w:szCs w:val="16"/>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160" w:firstLineChars="100"/>
              <w:jc w:val="left"/>
              <w:rPr>
                <w:rFonts w:eastAsia="宋体"/>
                <w:color w:val="000000"/>
                <w:kern w:val="0"/>
                <w:sz w:val="16"/>
                <w:szCs w:val="16"/>
              </w:rPr>
            </w:pPr>
            <w:r>
              <w:rPr>
                <w:rFonts w:eastAsia="宋体"/>
                <w:color w:val="000000"/>
                <w:kern w:val="0"/>
                <w:sz w:val="16"/>
                <w:szCs w:val="16"/>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16"/>
                <w:szCs w:val="16"/>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160" w:firstLineChars="100"/>
              <w:jc w:val="left"/>
              <w:rPr>
                <w:rFonts w:eastAsia="宋体"/>
                <w:color w:val="000000"/>
                <w:kern w:val="0"/>
                <w:sz w:val="16"/>
                <w:szCs w:val="16"/>
              </w:rPr>
            </w:pPr>
            <w:r>
              <w:rPr>
                <w:rFonts w:eastAsia="宋体"/>
                <w:color w:val="000000"/>
                <w:kern w:val="0"/>
                <w:sz w:val="16"/>
                <w:szCs w:val="16"/>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16"/>
                <w:szCs w:val="16"/>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320" w:firstLineChars="200"/>
              <w:jc w:val="left"/>
              <w:rPr>
                <w:rFonts w:eastAsia="宋体"/>
                <w:color w:val="000000"/>
                <w:kern w:val="0"/>
                <w:sz w:val="16"/>
                <w:szCs w:val="16"/>
              </w:rPr>
            </w:pPr>
            <w:r>
              <w:rPr>
                <w:rFonts w:eastAsia="宋体"/>
                <w:color w:val="000000"/>
                <w:kern w:val="0"/>
                <w:sz w:val="16"/>
                <w:szCs w:val="16"/>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16"/>
                <w:szCs w:val="16"/>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16"/>
                <w:szCs w:val="16"/>
              </w:rPr>
            </w:pPr>
            <w:r>
              <w:rPr>
                <w:rFonts w:eastAsia="宋体"/>
                <w:color w:val="000000"/>
                <w:kern w:val="0"/>
                <w:sz w:val="16"/>
                <w:szCs w:val="16"/>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16"/>
                <w:szCs w:val="16"/>
              </w:rPr>
            </w:pPr>
          </w:p>
        </w:tc>
      </w:tr>
      <w:tr>
        <w:tblPrEx>
          <w:tblCellMar>
            <w:top w:w="0" w:type="dxa"/>
            <w:left w:w="108" w:type="dxa"/>
            <w:bottom w:w="0" w:type="dxa"/>
            <w:right w:w="108" w:type="dxa"/>
          </w:tblCellMar>
        </w:tblPrEx>
        <w:trPr>
          <w:trHeight w:val="232" w:hRule="atLeast"/>
          <w:jc w:val="center"/>
        </w:trPr>
        <w:tc>
          <w:tcPr>
            <w:tcW w:w="9140" w:type="dxa"/>
            <w:gridSpan w:val="2"/>
            <w:tcBorders>
              <w:top w:val="single" w:color="auto" w:sz="4" w:space="0"/>
              <w:left w:val="nil"/>
              <w:bottom w:val="nil"/>
              <w:right w:val="nil"/>
            </w:tcBorders>
            <w:noWrap w:val="0"/>
            <w:vAlign w:val="center"/>
          </w:tcPr>
          <w:p>
            <w:pPr>
              <w:widowControl/>
              <w:numPr>
                <w:numId w:val="0"/>
              </w:numPr>
              <w:jc w:val="both"/>
              <w:rPr>
                <w:rFonts w:hint="default"/>
                <w:color w:val="000000"/>
                <w:kern w:val="0"/>
                <w:sz w:val="32"/>
                <w:szCs w:val="32"/>
                <w:lang w:val="en-US" w:eastAsia="zh-CN"/>
              </w:rPr>
            </w:pPr>
          </w:p>
        </w:tc>
      </w:tr>
    </w:tbl>
    <w:p>
      <w:pPr>
        <w:widowControl/>
        <w:ind w:firstLine="320" w:firstLineChars="100"/>
        <w:jc w:val="both"/>
        <w:rPr>
          <w:rFonts w:hint="eastAsia"/>
          <w:color w:val="000000"/>
          <w:kern w:val="0"/>
          <w:sz w:val="32"/>
          <w:szCs w:val="32"/>
          <w:lang w:val="en-US" w:eastAsia="zh-CN"/>
        </w:rPr>
      </w:pPr>
      <w:r>
        <w:rPr>
          <w:rFonts w:hint="eastAsia"/>
          <w:color w:val="000000"/>
          <w:kern w:val="0"/>
          <w:sz w:val="32"/>
          <w:szCs w:val="32"/>
          <w:lang w:val="en-US" w:eastAsia="zh-CN"/>
        </w:rPr>
        <w:t>说明：</w:t>
      </w:r>
    </w:p>
    <w:p>
      <w:pPr>
        <w:widowControl/>
        <w:numPr>
          <w:ilvl w:val="0"/>
          <w:numId w:val="1"/>
        </w:numPr>
        <w:ind w:firstLine="960" w:firstLineChars="300"/>
        <w:jc w:val="both"/>
        <w:rPr>
          <w:rFonts w:hint="eastAsia"/>
          <w:color w:val="000000"/>
          <w:kern w:val="0"/>
          <w:sz w:val="32"/>
          <w:szCs w:val="32"/>
          <w:lang w:val="en-US" w:eastAsia="zh-CN"/>
        </w:rPr>
      </w:pPr>
      <w:r>
        <w:rPr>
          <w:rFonts w:hint="eastAsia"/>
          <w:color w:val="000000"/>
          <w:kern w:val="0"/>
          <w:sz w:val="32"/>
          <w:szCs w:val="32"/>
          <w:lang w:val="en-US" w:eastAsia="zh-CN"/>
        </w:rPr>
        <w:t>“2024年预算数”的单位范围包括单位本级</w:t>
      </w:r>
      <w:bookmarkStart w:id="0" w:name="_GoBack"/>
      <w:bookmarkEnd w:id="0"/>
      <w:r>
        <w:rPr>
          <w:rFonts w:hint="eastAsia"/>
          <w:color w:val="000000"/>
          <w:kern w:val="0"/>
          <w:sz w:val="32"/>
          <w:szCs w:val="32"/>
          <w:lang w:val="en-US" w:eastAsia="zh-CN"/>
        </w:rPr>
        <w:t>1个预算单位。</w:t>
      </w:r>
    </w:p>
    <w:p>
      <w:pPr>
        <w:widowControl/>
        <w:numPr>
          <w:ilvl w:val="0"/>
          <w:numId w:val="1"/>
        </w:numPr>
        <w:ind w:firstLine="960" w:firstLineChars="300"/>
        <w:jc w:val="both"/>
        <w:rPr>
          <w:rFonts w:hint="eastAsia"/>
          <w:color w:val="000000"/>
          <w:kern w:val="0"/>
          <w:sz w:val="32"/>
          <w:szCs w:val="32"/>
          <w:lang w:val="en-US" w:eastAsia="zh-CN"/>
        </w:rPr>
      </w:pPr>
      <w:r>
        <w:rPr>
          <w:rFonts w:hint="eastAsia"/>
          <w:color w:val="000000"/>
          <w:kern w:val="0"/>
          <w:sz w:val="32"/>
          <w:szCs w:val="32"/>
          <w:lang w:val="en-US" w:eastAsia="zh-CN"/>
        </w:rPr>
        <w:t>“2024年预算数”的实有人员18人，其中：在职人员7人，离退休人员11人。</w:t>
      </w:r>
    </w:p>
    <w:p>
      <w:pPr>
        <w:ind w:firstLine="640" w:firstLineChars="200"/>
        <w:rPr>
          <w:rFonts w:hint="eastAsia" w:hAnsi="楷体" w:eastAsia="楷体"/>
          <w:lang w:eastAsia="zh-CN"/>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16"/>
                <w:szCs w:val="16"/>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16"/>
                <w:szCs w:val="16"/>
              </w:rPr>
            </w:pPr>
            <w:r>
              <w:rPr>
                <w:rFonts w:eastAsia="华文细黑"/>
                <w:color w:val="000000"/>
                <w:sz w:val="16"/>
                <w:szCs w:val="16"/>
              </w:rPr>
              <w:t>功能分类</w:t>
            </w:r>
          </w:p>
          <w:p>
            <w:pPr>
              <w:widowControl/>
              <w:jc w:val="center"/>
              <w:rPr>
                <w:rFonts w:eastAsia="华文细黑"/>
                <w:color w:val="000000"/>
                <w:kern w:val="0"/>
                <w:sz w:val="16"/>
                <w:szCs w:val="16"/>
              </w:rPr>
            </w:pPr>
            <w:r>
              <w:rPr>
                <w:rFonts w:eastAsia="华文细黑"/>
                <w:color w:val="000000"/>
                <w:sz w:val="16"/>
                <w:szCs w:val="16"/>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16"/>
                <w:szCs w:val="16"/>
              </w:rPr>
            </w:pPr>
            <w:r>
              <w:rPr>
                <w:rFonts w:hint="eastAsia" w:eastAsia="华文细黑"/>
                <w:color w:val="000000"/>
                <w:kern w:val="0"/>
                <w:sz w:val="16"/>
                <w:szCs w:val="16"/>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16"/>
                <w:szCs w:val="16"/>
              </w:rPr>
            </w:pPr>
            <w:r>
              <w:rPr>
                <w:rFonts w:hint="eastAsia" w:eastAsia="华文细黑"/>
                <w:color w:val="000000"/>
                <w:kern w:val="0"/>
                <w:sz w:val="16"/>
                <w:szCs w:val="16"/>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 w:firstLineChars="50"/>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 w:firstLineChars="50"/>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16"/>
                <w:szCs w:val="16"/>
              </w:rPr>
            </w:pPr>
            <w:r>
              <w:rPr>
                <w:rFonts w:eastAsia="华文细黑"/>
                <w:color w:val="000000"/>
                <w:kern w:val="0"/>
                <w:sz w:val="16"/>
                <w:szCs w:val="16"/>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16"/>
                <w:szCs w:val="16"/>
              </w:rPr>
            </w:pPr>
            <w:r>
              <w:rPr>
                <w:rFonts w:eastAsia="华文细黑"/>
                <w:color w:val="000000"/>
                <w:sz w:val="16"/>
                <w:szCs w:val="16"/>
              </w:rPr>
              <w:t>功能分类</w:t>
            </w:r>
          </w:p>
          <w:p>
            <w:pPr>
              <w:widowControl/>
              <w:jc w:val="center"/>
              <w:rPr>
                <w:rFonts w:eastAsia="华文细黑"/>
                <w:color w:val="000000"/>
                <w:kern w:val="0"/>
                <w:sz w:val="16"/>
                <w:szCs w:val="16"/>
              </w:rPr>
            </w:pPr>
            <w:r>
              <w:rPr>
                <w:rFonts w:eastAsia="华文细黑"/>
                <w:color w:val="000000"/>
                <w:sz w:val="16"/>
                <w:szCs w:val="16"/>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hint="eastAsia" w:eastAsia="华文细黑"/>
                <w:color w:val="000000"/>
                <w:kern w:val="0"/>
                <w:sz w:val="16"/>
                <w:szCs w:val="16"/>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eastAsia="华文细黑"/>
                <w:color w:val="000000"/>
                <w:kern w:val="0"/>
                <w:sz w:val="16"/>
                <w:szCs w:val="16"/>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6"/>
                <w:szCs w:val="16"/>
              </w:rPr>
            </w:pPr>
            <w:r>
              <w:rPr>
                <w:rFonts w:hint="eastAsia" w:eastAsia="华文细黑"/>
                <w:color w:val="000000"/>
                <w:kern w:val="0"/>
                <w:sz w:val="16"/>
                <w:szCs w:val="16"/>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16"/>
                <w:szCs w:val="16"/>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 w:firstLineChars="50"/>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 w:firstLineChars="50"/>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6"/>
                <w:szCs w:val="16"/>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16"/>
                <w:szCs w:val="16"/>
              </w:rPr>
            </w:pPr>
            <w:r>
              <w:rPr>
                <w:rFonts w:eastAsia="华文细黑"/>
                <w:color w:val="000000"/>
                <w:kern w:val="0"/>
                <w:sz w:val="16"/>
                <w:szCs w:val="16"/>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6"/>
                <w:szCs w:val="16"/>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45"/>
        <w:gridCol w:w="2070"/>
        <w:gridCol w:w="1230"/>
        <w:gridCol w:w="720"/>
        <w:gridCol w:w="765"/>
        <w:gridCol w:w="390"/>
        <w:gridCol w:w="330"/>
        <w:gridCol w:w="420"/>
        <w:gridCol w:w="315"/>
        <w:gridCol w:w="345"/>
        <w:gridCol w:w="420"/>
        <w:gridCol w:w="360"/>
        <w:gridCol w:w="375"/>
        <w:gridCol w:w="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0581" w:type="dxa"/>
            <w:gridSpan w:val="15"/>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4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16"/>
                <w:szCs w:val="16"/>
              </w:rPr>
            </w:pPr>
          </w:p>
        </w:tc>
        <w:tc>
          <w:tcPr>
            <w:tcW w:w="124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16"/>
                <w:szCs w:val="16"/>
              </w:rPr>
            </w:pPr>
          </w:p>
        </w:tc>
        <w:tc>
          <w:tcPr>
            <w:tcW w:w="207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16"/>
                <w:szCs w:val="16"/>
              </w:rPr>
            </w:pPr>
          </w:p>
        </w:tc>
        <w:tc>
          <w:tcPr>
            <w:tcW w:w="123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16"/>
                <w:szCs w:val="16"/>
              </w:rPr>
            </w:pPr>
          </w:p>
        </w:tc>
        <w:tc>
          <w:tcPr>
            <w:tcW w:w="72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16"/>
                <w:szCs w:val="16"/>
              </w:rPr>
            </w:pPr>
          </w:p>
        </w:tc>
        <w:tc>
          <w:tcPr>
            <w:tcW w:w="222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16"/>
                <w:szCs w:val="16"/>
              </w:rPr>
            </w:pPr>
          </w:p>
        </w:tc>
        <w:tc>
          <w:tcPr>
            <w:tcW w:w="1853"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43" w:type="dxa"/>
            <w:vMerge w:val="restart"/>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类型</w:t>
            </w:r>
          </w:p>
        </w:tc>
        <w:tc>
          <w:tcPr>
            <w:tcW w:w="3315" w:type="dxa"/>
            <w:gridSpan w:val="2"/>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项目名称</w:t>
            </w:r>
          </w:p>
        </w:tc>
        <w:tc>
          <w:tcPr>
            <w:tcW w:w="1230"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lang w:eastAsia="zh-CN"/>
              </w:rPr>
              <w:t>单位名称</w:t>
            </w:r>
          </w:p>
        </w:tc>
        <w:tc>
          <w:tcPr>
            <w:tcW w:w="720" w:type="dxa"/>
            <w:vMerge w:val="restart"/>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2220" w:type="dxa"/>
            <w:gridSpan w:val="5"/>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lang w:eastAsia="zh-CN"/>
              </w:rPr>
              <w:t>本年预算</w:t>
            </w:r>
          </w:p>
        </w:tc>
        <w:tc>
          <w:tcPr>
            <w:tcW w:w="1853" w:type="dxa"/>
            <w:gridSpan w:val="5"/>
            <w:noWrap w:val="0"/>
            <w:vAlign w:val="center"/>
          </w:tcPr>
          <w:p>
            <w:pPr>
              <w:autoSpaceDN w:val="0"/>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43" w:type="dxa"/>
            <w:vMerge w:val="continue"/>
            <w:noWrap w:val="0"/>
            <w:vAlign w:val="center"/>
          </w:tcPr>
          <w:p>
            <w:pPr>
              <w:autoSpaceDN w:val="0"/>
              <w:jc w:val="center"/>
              <w:textAlignment w:val="center"/>
              <w:rPr>
                <w:rFonts w:hint="eastAsia" w:ascii="Calibri" w:hAnsi="Calibri" w:eastAsia="华文细黑"/>
                <w:color w:val="000000"/>
                <w:sz w:val="16"/>
                <w:szCs w:val="16"/>
              </w:rPr>
            </w:pPr>
          </w:p>
        </w:tc>
        <w:tc>
          <w:tcPr>
            <w:tcW w:w="1245" w:type="dxa"/>
            <w:vMerge w:val="restart"/>
            <w:noWrap w:val="0"/>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一级项目</w:t>
            </w:r>
          </w:p>
        </w:tc>
        <w:tc>
          <w:tcPr>
            <w:tcW w:w="2070" w:type="dxa"/>
            <w:vMerge w:val="restart"/>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二级</w:t>
            </w:r>
            <w:r>
              <w:rPr>
                <w:rFonts w:hint="eastAsia" w:ascii="Calibri" w:hAnsi="Calibri" w:eastAsia="华文细黑"/>
                <w:color w:val="000000"/>
                <w:sz w:val="16"/>
                <w:szCs w:val="16"/>
                <w:lang w:val="en-US" w:eastAsia="zh-CN"/>
              </w:rPr>
              <w:t xml:space="preserve">  </w:t>
            </w:r>
            <w:r>
              <w:rPr>
                <w:rFonts w:hint="eastAsia" w:ascii="Calibri" w:hAnsi="Calibri" w:eastAsia="华文细黑"/>
                <w:color w:val="000000"/>
                <w:sz w:val="16"/>
                <w:szCs w:val="16"/>
              </w:rPr>
              <w:t>项目</w:t>
            </w:r>
          </w:p>
        </w:tc>
        <w:tc>
          <w:tcPr>
            <w:tcW w:w="123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16"/>
                <w:szCs w:val="16"/>
                <w:lang w:eastAsia="zh-CN"/>
              </w:rPr>
            </w:pPr>
          </w:p>
        </w:tc>
        <w:tc>
          <w:tcPr>
            <w:tcW w:w="720" w:type="dxa"/>
            <w:vMerge w:val="continue"/>
            <w:noWrap w:val="0"/>
            <w:vAlign w:val="center"/>
          </w:tcPr>
          <w:p>
            <w:pPr>
              <w:autoSpaceDN w:val="0"/>
              <w:jc w:val="center"/>
              <w:textAlignment w:val="center"/>
              <w:rPr>
                <w:rFonts w:hint="eastAsia" w:ascii="Calibri" w:hAnsi="Calibri" w:eastAsia="华文细黑"/>
                <w:color w:val="000000"/>
                <w:sz w:val="16"/>
                <w:szCs w:val="16"/>
              </w:rPr>
            </w:pPr>
          </w:p>
        </w:tc>
        <w:tc>
          <w:tcPr>
            <w:tcW w:w="1485" w:type="dxa"/>
            <w:gridSpan w:val="3"/>
            <w:noWrap w:val="0"/>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财政拨款</w:t>
            </w:r>
          </w:p>
        </w:tc>
        <w:tc>
          <w:tcPr>
            <w:tcW w:w="420"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lang w:eastAsia="zh-CN"/>
              </w:rPr>
              <w:t>财政专户管理资金</w:t>
            </w:r>
          </w:p>
        </w:tc>
        <w:tc>
          <w:tcPr>
            <w:tcW w:w="315" w:type="dxa"/>
            <w:vMerge w:val="restart"/>
            <w:noWrap w:val="0"/>
            <w:textDirection w:val="tbLrV"/>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lang w:eastAsia="zh-CN"/>
              </w:rPr>
              <w:t>单位资金</w:t>
            </w:r>
          </w:p>
        </w:tc>
        <w:tc>
          <w:tcPr>
            <w:tcW w:w="1125" w:type="dxa"/>
            <w:gridSpan w:val="3"/>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财政拨款结转</w:t>
            </w:r>
          </w:p>
        </w:tc>
        <w:tc>
          <w:tcPr>
            <w:tcW w:w="728" w:type="dxa"/>
            <w:gridSpan w:val="2"/>
            <w:noWrap w:val="0"/>
            <w:vAlign w:val="center"/>
          </w:tcPr>
          <w:p>
            <w:pPr>
              <w:tabs>
                <w:tab w:val="left" w:pos="492"/>
              </w:tabs>
              <w:autoSpaceDN w:val="0"/>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1243" w:type="dxa"/>
            <w:vMerge w:val="continue"/>
            <w:noWrap w:val="0"/>
            <w:vAlign w:val="center"/>
          </w:tcPr>
          <w:p>
            <w:pPr>
              <w:autoSpaceDN w:val="0"/>
              <w:jc w:val="center"/>
              <w:textAlignment w:val="center"/>
              <w:rPr>
                <w:rFonts w:ascii="Calibri" w:hAnsi="Calibri" w:eastAsia="华文细黑"/>
                <w:color w:val="000000"/>
                <w:sz w:val="16"/>
                <w:szCs w:val="16"/>
              </w:rPr>
            </w:pPr>
          </w:p>
        </w:tc>
        <w:tc>
          <w:tcPr>
            <w:tcW w:w="1245" w:type="dxa"/>
            <w:vMerge w:val="continue"/>
            <w:noWrap w:val="0"/>
            <w:vAlign w:val="center"/>
          </w:tcPr>
          <w:p>
            <w:pPr>
              <w:autoSpaceDN w:val="0"/>
              <w:jc w:val="center"/>
              <w:textAlignment w:val="center"/>
              <w:rPr>
                <w:rFonts w:ascii="Calibri" w:hAnsi="Calibri" w:eastAsia="华文细黑"/>
                <w:color w:val="000000"/>
                <w:sz w:val="16"/>
                <w:szCs w:val="16"/>
              </w:rPr>
            </w:pPr>
          </w:p>
        </w:tc>
        <w:tc>
          <w:tcPr>
            <w:tcW w:w="2070" w:type="dxa"/>
            <w:vMerge w:val="continue"/>
            <w:noWrap w:val="0"/>
            <w:vAlign w:val="center"/>
          </w:tcPr>
          <w:p>
            <w:pPr>
              <w:autoSpaceDN w:val="0"/>
              <w:jc w:val="center"/>
              <w:textAlignment w:val="center"/>
              <w:rPr>
                <w:rFonts w:hint="eastAsia" w:ascii="Calibri" w:hAnsi="Calibri" w:eastAsia="华文细黑"/>
                <w:color w:val="000000"/>
                <w:sz w:val="16"/>
                <w:szCs w:val="16"/>
              </w:rPr>
            </w:pPr>
          </w:p>
        </w:tc>
        <w:tc>
          <w:tcPr>
            <w:tcW w:w="1230" w:type="dxa"/>
            <w:vMerge w:val="continue"/>
            <w:noWrap w:val="0"/>
            <w:vAlign w:val="center"/>
          </w:tcPr>
          <w:p>
            <w:pPr>
              <w:autoSpaceDN w:val="0"/>
              <w:jc w:val="center"/>
              <w:textAlignment w:val="center"/>
              <w:rPr>
                <w:rFonts w:ascii="Calibri" w:hAnsi="Calibri" w:eastAsia="华文细黑"/>
                <w:color w:val="000000"/>
                <w:sz w:val="16"/>
                <w:szCs w:val="16"/>
              </w:rPr>
            </w:pPr>
          </w:p>
        </w:tc>
        <w:tc>
          <w:tcPr>
            <w:tcW w:w="720" w:type="dxa"/>
            <w:vMerge w:val="continue"/>
            <w:noWrap w:val="0"/>
            <w:vAlign w:val="center"/>
          </w:tcPr>
          <w:p>
            <w:pPr>
              <w:autoSpaceDN w:val="0"/>
              <w:jc w:val="center"/>
              <w:textAlignment w:val="center"/>
              <w:rPr>
                <w:rFonts w:ascii="Calibri" w:hAnsi="Calibri" w:eastAsia="华文细黑"/>
                <w:color w:val="000000"/>
                <w:sz w:val="16"/>
                <w:szCs w:val="16"/>
              </w:rPr>
            </w:pPr>
          </w:p>
        </w:tc>
        <w:tc>
          <w:tcPr>
            <w:tcW w:w="765" w:type="dxa"/>
            <w:noWrap w:val="0"/>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一般公共预算</w:t>
            </w:r>
          </w:p>
        </w:tc>
        <w:tc>
          <w:tcPr>
            <w:tcW w:w="390" w:type="dxa"/>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政府性</w:t>
            </w:r>
          </w:p>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基金</w:t>
            </w:r>
          </w:p>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预算</w:t>
            </w:r>
          </w:p>
        </w:tc>
        <w:tc>
          <w:tcPr>
            <w:tcW w:w="330" w:type="dxa"/>
            <w:noWrap w:val="0"/>
            <w:vAlign w:val="center"/>
          </w:tcPr>
          <w:p>
            <w:pPr>
              <w:autoSpaceDN w:val="0"/>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lang w:eastAsia="zh-CN"/>
              </w:rPr>
              <w:t>国有资本经营预算</w:t>
            </w:r>
          </w:p>
        </w:tc>
        <w:tc>
          <w:tcPr>
            <w:tcW w:w="42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16"/>
                <w:szCs w:val="16"/>
                <w:lang w:eastAsia="zh-CN"/>
              </w:rPr>
            </w:pPr>
          </w:p>
        </w:tc>
        <w:tc>
          <w:tcPr>
            <w:tcW w:w="31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16"/>
                <w:szCs w:val="16"/>
              </w:rPr>
            </w:pPr>
          </w:p>
        </w:tc>
        <w:tc>
          <w:tcPr>
            <w:tcW w:w="345" w:type="dxa"/>
            <w:noWrap w:val="0"/>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一般</w:t>
            </w:r>
            <w:r>
              <w:rPr>
                <w:rFonts w:hint="eastAsia" w:ascii="Calibri" w:hAnsi="Calibri" w:eastAsia="华文细黑"/>
                <w:color w:val="000000"/>
                <w:sz w:val="16"/>
                <w:szCs w:val="16"/>
              </w:rPr>
              <w:br w:type="textWrapping"/>
            </w:r>
            <w:r>
              <w:rPr>
                <w:rFonts w:hint="eastAsia" w:ascii="Calibri" w:hAnsi="Calibri" w:eastAsia="华文细黑"/>
                <w:color w:val="000000"/>
                <w:sz w:val="16"/>
                <w:szCs w:val="16"/>
              </w:rPr>
              <w:t>公共</w:t>
            </w:r>
            <w:r>
              <w:rPr>
                <w:rFonts w:hint="eastAsia" w:ascii="Calibri" w:hAnsi="Calibri" w:eastAsia="华文细黑"/>
                <w:color w:val="000000"/>
                <w:sz w:val="16"/>
                <w:szCs w:val="16"/>
              </w:rPr>
              <w:br w:type="textWrapping"/>
            </w:r>
            <w:r>
              <w:rPr>
                <w:rFonts w:hint="eastAsia" w:ascii="Calibri" w:hAnsi="Calibri" w:eastAsia="华文细黑"/>
                <w:color w:val="000000"/>
                <w:sz w:val="16"/>
                <w:szCs w:val="16"/>
              </w:rPr>
              <w:t>预算</w:t>
            </w:r>
          </w:p>
        </w:tc>
        <w:tc>
          <w:tcPr>
            <w:tcW w:w="420" w:type="dxa"/>
            <w:noWrap w:val="0"/>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政府性</w:t>
            </w:r>
            <w:r>
              <w:rPr>
                <w:rFonts w:hint="eastAsia" w:ascii="Calibri" w:hAnsi="Calibri" w:eastAsia="华文细黑"/>
                <w:color w:val="000000"/>
                <w:sz w:val="16"/>
                <w:szCs w:val="16"/>
              </w:rPr>
              <w:br w:type="textWrapping"/>
            </w:r>
            <w:r>
              <w:rPr>
                <w:rFonts w:hint="eastAsia" w:ascii="Calibri" w:hAnsi="Calibri" w:eastAsia="华文细黑"/>
                <w:color w:val="000000"/>
                <w:sz w:val="16"/>
                <w:szCs w:val="16"/>
              </w:rPr>
              <w:t>基金</w:t>
            </w:r>
            <w:r>
              <w:rPr>
                <w:rFonts w:hint="eastAsia" w:ascii="Calibri" w:hAnsi="Calibri" w:eastAsia="华文细黑"/>
                <w:color w:val="000000"/>
                <w:sz w:val="16"/>
                <w:szCs w:val="16"/>
              </w:rPr>
              <w:br w:type="textWrapping"/>
            </w:r>
            <w:r>
              <w:rPr>
                <w:rFonts w:hint="eastAsia" w:ascii="Calibri" w:hAnsi="Calibri" w:eastAsia="华文细黑"/>
                <w:color w:val="000000"/>
                <w:sz w:val="16"/>
                <w:szCs w:val="16"/>
              </w:rPr>
              <w:t>预算</w:t>
            </w:r>
          </w:p>
        </w:tc>
        <w:tc>
          <w:tcPr>
            <w:tcW w:w="360" w:type="dxa"/>
            <w:noWrap w:val="0"/>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国有资本经营</w:t>
            </w:r>
            <w:r>
              <w:rPr>
                <w:rFonts w:hint="eastAsia" w:ascii="Calibri" w:hAnsi="Calibri" w:eastAsia="华文细黑"/>
                <w:color w:val="000000"/>
                <w:sz w:val="16"/>
                <w:szCs w:val="16"/>
              </w:rPr>
              <w:br w:type="textWrapping"/>
            </w:r>
            <w:r>
              <w:rPr>
                <w:rFonts w:hint="eastAsia" w:ascii="Calibri" w:hAnsi="Calibri" w:eastAsia="华文细黑"/>
                <w:color w:val="000000"/>
                <w:sz w:val="16"/>
                <w:szCs w:val="16"/>
              </w:rPr>
              <w:t>预算</w:t>
            </w:r>
          </w:p>
        </w:tc>
        <w:tc>
          <w:tcPr>
            <w:tcW w:w="375" w:type="dxa"/>
            <w:noWrap w:val="0"/>
            <w:textDirection w:val="tbRlV"/>
            <w:vAlign w:val="center"/>
          </w:tcPr>
          <w:p>
            <w:pPr>
              <w:autoSpaceDN w:val="0"/>
              <w:ind w:left="113" w:right="113"/>
              <w:jc w:val="center"/>
              <w:textAlignment w:val="center"/>
              <w:rPr>
                <w:rFonts w:hint="eastAsia" w:ascii="Calibri" w:hAnsi="Calibri" w:eastAsia="华文细黑"/>
                <w:color w:val="000000"/>
                <w:sz w:val="16"/>
                <w:szCs w:val="16"/>
                <w:lang w:eastAsia="zh-CN"/>
              </w:rPr>
            </w:pPr>
            <w:r>
              <w:rPr>
                <w:rFonts w:hint="eastAsia" w:ascii="Calibri" w:hAnsi="Calibri" w:eastAsia="华文细黑"/>
                <w:color w:val="000000"/>
                <w:sz w:val="16"/>
                <w:szCs w:val="16"/>
                <w:lang w:eastAsia="zh-CN"/>
              </w:rPr>
              <w:t>财政专户管理资金</w:t>
            </w:r>
          </w:p>
        </w:tc>
        <w:tc>
          <w:tcPr>
            <w:tcW w:w="353" w:type="dxa"/>
            <w:noWrap w:val="0"/>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pPr>
              <w:rPr>
                <w:rFonts w:hint="eastAsia" w:ascii="宋体" w:hAnsi="宋体" w:eastAsia="宋体" w:cs="宋体"/>
                <w:kern w:val="2"/>
                <w:sz w:val="16"/>
                <w:szCs w:val="16"/>
                <w:lang w:val="en-US" w:eastAsia="zh-CN" w:bidi="ar-SA"/>
              </w:rPr>
            </w:pPr>
            <w:r>
              <w:rPr>
                <w:rFonts w:hint="eastAsia" w:ascii="宋体" w:hAnsi="宋体" w:eastAsia="宋体" w:cs="宋体"/>
                <w:sz w:val="16"/>
                <w:szCs w:val="16"/>
                <w:lang w:eastAsia="zh-CN"/>
              </w:rPr>
              <w:t>专项业务支出</w:t>
            </w:r>
          </w:p>
        </w:tc>
        <w:tc>
          <w:tcPr>
            <w:tcW w:w="1245" w:type="dxa"/>
            <w:noWrap w:val="0"/>
            <w:vAlign w:val="center"/>
          </w:tcPr>
          <w:p>
            <w:pPr>
              <w:rPr>
                <w:rFonts w:hint="eastAsia" w:ascii="宋体" w:hAnsi="宋体" w:eastAsia="宋体" w:cs="宋体"/>
                <w:kern w:val="2"/>
                <w:sz w:val="16"/>
                <w:szCs w:val="16"/>
                <w:lang w:val="en-US" w:eastAsia="zh-CN" w:bidi="ar-SA"/>
              </w:rPr>
            </w:pPr>
          </w:p>
        </w:tc>
        <w:tc>
          <w:tcPr>
            <w:tcW w:w="2070" w:type="dxa"/>
            <w:noWrap w:val="0"/>
            <w:vAlign w:val="center"/>
          </w:tcPr>
          <w:p>
            <w:pPr>
              <w:rPr>
                <w:rFonts w:hint="eastAsia" w:ascii="宋体" w:hAnsi="宋体" w:eastAsia="宋体" w:cs="宋体"/>
                <w:kern w:val="2"/>
                <w:sz w:val="16"/>
                <w:szCs w:val="16"/>
                <w:lang w:val="en-US" w:eastAsia="zh-CN" w:bidi="ar-SA"/>
              </w:rPr>
            </w:pPr>
          </w:p>
        </w:tc>
        <w:tc>
          <w:tcPr>
            <w:tcW w:w="1230" w:type="dxa"/>
            <w:noWrap w:val="0"/>
            <w:vAlign w:val="center"/>
          </w:tcPr>
          <w:p>
            <w:pPr>
              <w:rPr>
                <w:rFonts w:hint="eastAsia" w:ascii="宋体" w:hAnsi="宋体" w:eastAsia="宋体" w:cs="宋体"/>
                <w:kern w:val="2"/>
                <w:sz w:val="16"/>
                <w:szCs w:val="16"/>
                <w:lang w:val="en-US" w:eastAsia="zh-CN" w:bidi="ar-SA"/>
              </w:rPr>
            </w:pPr>
          </w:p>
        </w:tc>
        <w:tc>
          <w:tcPr>
            <w:tcW w:w="720" w:type="dxa"/>
            <w:noWrap w:val="0"/>
            <w:vAlign w:val="center"/>
          </w:tcPr>
          <w:p>
            <w:pPr>
              <w:keepNext w:val="0"/>
              <w:keepLines w:val="0"/>
              <w:widowControl/>
              <w:suppressLineNumbers w:val="0"/>
              <w:jc w:val="center"/>
              <w:textAlignment w:val="center"/>
              <w:rPr>
                <w:rFonts w:ascii="Calibri" w:hAnsi="Calibri" w:eastAsia="楷体"/>
                <w:kern w:val="0"/>
                <w:sz w:val="16"/>
                <w:szCs w:val="16"/>
              </w:rPr>
            </w:pPr>
            <w:r>
              <w:rPr>
                <w:rFonts w:hint="default" w:ascii="Arial" w:hAnsi="Arial" w:eastAsia="宋体" w:cs="Arial"/>
                <w:i w:val="0"/>
                <w:iCs w:val="0"/>
                <w:color w:val="000000"/>
                <w:kern w:val="0"/>
                <w:sz w:val="16"/>
                <w:szCs w:val="16"/>
                <w:u w:val="none"/>
                <w:lang w:val="en-US" w:eastAsia="zh-CN" w:bidi="ar"/>
              </w:rPr>
              <w:t>84.82</w:t>
            </w:r>
          </w:p>
        </w:tc>
        <w:tc>
          <w:tcPr>
            <w:tcW w:w="765" w:type="dxa"/>
            <w:noWrap w:val="0"/>
            <w:vAlign w:val="center"/>
          </w:tcPr>
          <w:p>
            <w:pPr>
              <w:keepNext w:val="0"/>
              <w:keepLines w:val="0"/>
              <w:widowControl/>
              <w:suppressLineNumbers w:val="0"/>
              <w:jc w:val="center"/>
              <w:textAlignment w:val="center"/>
              <w:rPr>
                <w:rFonts w:ascii="Calibri" w:hAnsi="Calibri" w:eastAsia="楷体"/>
                <w:kern w:val="0"/>
                <w:sz w:val="16"/>
                <w:szCs w:val="16"/>
              </w:rPr>
            </w:pPr>
            <w:r>
              <w:rPr>
                <w:rFonts w:hint="default" w:ascii="Arial" w:hAnsi="Arial" w:eastAsia="宋体" w:cs="Arial"/>
                <w:i w:val="0"/>
                <w:iCs w:val="0"/>
                <w:color w:val="000000"/>
                <w:kern w:val="0"/>
                <w:sz w:val="16"/>
                <w:szCs w:val="16"/>
                <w:u w:val="none"/>
                <w:lang w:val="en-US" w:eastAsia="zh-CN" w:bidi="ar"/>
              </w:rPr>
              <w:t>84.82</w:t>
            </w:r>
          </w:p>
        </w:tc>
        <w:tc>
          <w:tcPr>
            <w:tcW w:w="390" w:type="dxa"/>
            <w:noWrap w:val="0"/>
            <w:vAlign w:val="center"/>
          </w:tcPr>
          <w:p>
            <w:pPr>
              <w:spacing w:line="700" w:lineRule="exact"/>
              <w:jc w:val="center"/>
              <w:rPr>
                <w:rFonts w:ascii="Calibri" w:hAnsi="Calibri" w:eastAsia="楷体"/>
                <w:kern w:val="0"/>
                <w:sz w:val="16"/>
                <w:szCs w:val="16"/>
              </w:rPr>
            </w:pPr>
          </w:p>
        </w:tc>
        <w:tc>
          <w:tcPr>
            <w:tcW w:w="330"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15" w:type="dxa"/>
            <w:noWrap w:val="0"/>
            <w:vAlign w:val="center"/>
          </w:tcPr>
          <w:p>
            <w:pPr>
              <w:spacing w:line="700" w:lineRule="exact"/>
              <w:jc w:val="center"/>
              <w:rPr>
                <w:rFonts w:ascii="Calibri" w:hAnsi="Calibri" w:eastAsia="楷体"/>
                <w:kern w:val="0"/>
                <w:sz w:val="16"/>
                <w:szCs w:val="16"/>
              </w:rPr>
            </w:pPr>
          </w:p>
        </w:tc>
        <w:tc>
          <w:tcPr>
            <w:tcW w:w="345"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60" w:type="dxa"/>
            <w:noWrap w:val="0"/>
            <w:vAlign w:val="center"/>
          </w:tcPr>
          <w:p>
            <w:pPr>
              <w:spacing w:line="700" w:lineRule="exact"/>
              <w:jc w:val="center"/>
              <w:rPr>
                <w:rFonts w:ascii="Calibri" w:hAnsi="Calibri" w:eastAsia="楷体"/>
                <w:kern w:val="0"/>
                <w:sz w:val="16"/>
                <w:szCs w:val="16"/>
              </w:rPr>
            </w:pPr>
          </w:p>
        </w:tc>
        <w:tc>
          <w:tcPr>
            <w:tcW w:w="375" w:type="dxa"/>
            <w:noWrap w:val="0"/>
            <w:vAlign w:val="center"/>
          </w:tcPr>
          <w:p>
            <w:pPr>
              <w:spacing w:line="700" w:lineRule="exact"/>
              <w:jc w:val="center"/>
              <w:rPr>
                <w:rFonts w:ascii="Calibri" w:hAnsi="Calibri" w:eastAsia="楷体"/>
                <w:kern w:val="0"/>
                <w:sz w:val="16"/>
                <w:szCs w:val="16"/>
              </w:rPr>
            </w:pPr>
          </w:p>
        </w:tc>
        <w:tc>
          <w:tcPr>
            <w:tcW w:w="353"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pPr>
              <w:rPr>
                <w:rFonts w:hint="eastAsia" w:ascii="宋体" w:hAnsi="宋体" w:eastAsia="宋体" w:cs="宋体"/>
                <w:kern w:val="2"/>
                <w:sz w:val="16"/>
                <w:szCs w:val="16"/>
                <w:lang w:val="en-US" w:eastAsia="zh-CN" w:bidi="ar-SA"/>
              </w:rPr>
            </w:pPr>
          </w:p>
        </w:tc>
        <w:tc>
          <w:tcPr>
            <w:tcW w:w="1245" w:type="dxa"/>
            <w:noWrap w:val="0"/>
            <w:vAlign w:val="center"/>
          </w:tcPr>
          <w:p>
            <w:pPr>
              <w:rPr>
                <w:rFonts w:hint="eastAsia" w:ascii="宋体" w:hAnsi="宋体" w:eastAsia="宋体" w:cs="宋体"/>
                <w:kern w:val="2"/>
                <w:sz w:val="16"/>
                <w:szCs w:val="16"/>
                <w:lang w:val="en-US" w:eastAsia="zh-CN" w:bidi="ar-SA"/>
              </w:rPr>
            </w:pPr>
            <w:r>
              <w:rPr>
                <w:rFonts w:hint="eastAsia" w:ascii="宋体" w:hAnsi="宋体" w:eastAsia="宋体" w:cs="宋体"/>
                <w:sz w:val="16"/>
                <w:szCs w:val="16"/>
                <w:lang w:eastAsia="zh-CN"/>
              </w:rPr>
              <w:t>专项</w:t>
            </w:r>
            <w:r>
              <w:rPr>
                <w:rFonts w:hint="eastAsia" w:ascii="宋体" w:hAnsi="宋体" w:eastAsia="宋体" w:cs="宋体"/>
                <w:sz w:val="16"/>
                <w:szCs w:val="16"/>
                <w:lang w:val="en-US" w:eastAsia="zh-CN"/>
              </w:rPr>
              <w:t>普查活动</w:t>
            </w:r>
          </w:p>
        </w:tc>
        <w:tc>
          <w:tcPr>
            <w:tcW w:w="2070" w:type="dxa"/>
            <w:noWrap w:val="0"/>
            <w:vAlign w:val="center"/>
          </w:tcPr>
          <w:p>
            <w:pPr>
              <w:rPr>
                <w:rFonts w:hint="eastAsia" w:ascii="宋体" w:hAnsi="宋体" w:eastAsia="宋体" w:cs="宋体"/>
                <w:kern w:val="2"/>
                <w:sz w:val="16"/>
                <w:szCs w:val="16"/>
                <w:lang w:val="en-US" w:eastAsia="zh-CN" w:bidi="ar-SA"/>
              </w:rPr>
            </w:pPr>
          </w:p>
        </w:tc>
        <w:tc>
          <w:tcPr>
            <w:tcW w:w="1230" w:type="dxa"/>
            <w:noWrap w:val="0"/>
            <w:vAlign w:val="center"/>
          </w:tcPr>
          <w:p>
            <w:pPr>
              <w:rPr>
                <w:rFonts w:hint="eastAsia" w:ascii="宋体" w:hAnsi="宋体" w:eastAsia="宋体" w:cs="宋体"/>
                <w:kern w:val="2"/>
                <w:sz w:val="16"/>
                <w:szCs w:val="16"/>
                <w:lang w:val="en-US" w:eastAsia="zh-CN" w:bidi="ar-SA"/>
              </w:rPr>
            </w:pPr>
          </w:p>
        </w:tc>
        <w:tc>
          <w:tcPr>
            <w:tcW w:w="720"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44.07</w:t>
            </w:r>
          </w:p>
        </w:tc>
        <w:tc>
          <w:tcPr>
            <w:tcW w:w="765" w:type="dxa"/>
            <w:noWrap w:val="0"/>
            <w:vAlign w:val="center"/>
          </w:tcPr>
          <w:p>
            <w:pPr>
              <w:spacing w:line="700" w:lineRule="exact"/>
              <w:jc w:val="center"/>
              <w:rPr>
                <w:rFonts w:hint="default"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44.07</w:t>
            </w:r>
          </w:p>
        </w:tc>
        <w:tc>
          <w:tcPr>
            <w:tcW w:w="39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3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2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1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4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2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60" w:type="dxa"/>
            <w:noWrap w:val="0"/>
            <w:vAlign w:val="center"/>
          </w:tcPr>
          <w:p>
            <w:pPr>
              <w:spacing w:line="700" w:lineRule="exact"/>
              <w:jc w:val="center"/>
              <w:rPr>
                <w:rFonts w:ascii="Calibri" w:hAnsi="Calibri" w:eastAsia="楷体"/>
                <w:kern w:val="0"/>
                <w:sz w:val="16"/>
                <w:szCs w:val="16"/>
              </w:rPr>
            </w:pPr>
          </w:p>
        </w:tc>
        <w:tc>
          <w:tcPr>
            <w:tcW w:w="375" w:type="dxa"/>
            <w:noWrap w:val="0"/>
            <w:vAlign w:val="center"/>
          </w:tcPr>
          <w:p>
            <w:pPr>
              <w:spacing w:line="700" w:lineRule="exact"/>
              <w:jc w:val="center"/>
              <w:rPr>
                <w:rFonts w:ascii="Calibri" w:hAnsi="Calibri" w:eastAsia="楷体"/>
                <w:kern w:val="0"/>
                <w:sz w:val="16"/>
                <w:szCs w:val="16"/>
              </w:rPr>
            </w:pPr>
          </w:p>
        </w:tc>
        <w:tc>
          <w:tcPr>
            <w:tcW w:w="353"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pPr>
              <w:rPr>
                <w:rFonts w:hint="eastAsia" w:ascii="宋体" w:hAnsi="宋体" w:eastAsia="宋体" w:cs="宋体"/>
                <w:kern w:val="2"/>
                <w:sz w:val="16"/>
                <w:szCs w:val="16"/>
                <w:lang w:val="en-US" w:eastAsia="zh-CN" w:bidi="ar-SA"/>
              </w:rPr>
            </w:pPr>
          </w:p>
        </w:tc>
        <w:tc>
          <w:tcPr>
            <w:tcW w:w="1245" w:type="dxa"/>
            <w:noWrap w:val="0"/>
            <w:vAlign w:val="center"/>
          </w:tcPr>
          <w:p>
            <w:pPr>
              <w:rPr>
                <w:rFonts w:hint="eastAsia" w:ascii="宋体" w:hAnsi="宋体" w:eastAsia="宋体" w:cs="宋体"/>
                <w:kern w:val="2"/>
                <w:sz w:val="16"/>
                <w:szCs w:val="16"/>
                <w:lang w:val="en-US" w:eastAsia="zh-CN" w:bidi="ar-SA"/>
              </w:rPr>
            </w:pPr>
          </w:p>
        </w:tc>
        <w:tc>
          <w:tcPr>
            <w:tcW w:w="2070" w:type="dxa"/>
            <w:noWrap w:val="0"/>
            <w:vAlign w:val="center"/>
          </w:tcPr>
          <w:p>
            <w:pPr>
              <w:rPr>
                <w:rFonts w:hint="eastAsia" w:ascii="宋体" w:hAnsi="宋体" w:eastAsia="宋体" w:cs="宋体"/>
                <w:kern w:val="2"/>
                <w:sz w:val="16"/>
                <w:szCs w:val="16"/>
                <w:lang w:val="en-US" w:eastAsia="zh-CN" w:bidi="ar-SA"/>
              </w:rPr>
            </w:pPr>
            <w:r>
              <w:rPr>
                <w:rFonts w:hint="eastAsia" w:ascii="宋体" w:hAnsi="宋体" w:eastAsia="宋体" w:cs="宋体"/>
                <w:sz w:val="16"/>
                <w:szCs w:val="16"/>
                <w:lang w:val="en-US" w:eastAsia="zh-CN"/>
              </w:rPr>
              <w:t>第五次全国经济普查</w:t>
            </w:r>
            <w:r>
              <w:rPr>
                <w:rFonts w:hint="eastAsia" w:ascii="宋体" w:hAnsi="宋体" w:eastAsia="宋体" w:cs="宋体"/>
                <w:sz w:val="16"/>
                <w:szCs w:val="16"/>
                <w:lang w:eastAsia="zh-CN"/>
              </w:rPr>
              <w:t>经费</w:t>
            </w:r>
          </w:p>
        </w:tc>
        <w:tc>
          <w:tcPr>
            <w:tcW w:w="1230" w:type="dxa"/>
            <w:noWrap w:val="0"/>
            <w:vAlign w:val="center"/>
          </w:tcPr>
          <w:p>
            <w:pPr>
              <w:rPr>
                <w:rFonts w:hint="eastAsia" w:ascii="宋体" w:hAnsi="宋体" w:eastAsia="宋体" w:cs="宋体"/>
                <w:kern w:val="2"/>
                <w:sz w:val="16"/>
                <w:szCs w:val="16"/>
                <w:lang w:val="en-US" w:eastAsia="zh-CN" w:bidi="ar-SA"/>
              </w:rPr>
            </w:pPr>
            <w:r>
              <w:rPr>
                <w:rFonts w:hint="eastAsia" w:ascii="宋体" w:hAnsi="宋体" w:eastAsia="宋体" w:cs="宋体"/>
                <w:sz w:val="16"/>
                <w:szCs w:val="16"/>
                <w:lang w:eastAsia="zh-CN"/>
              </w:rPr>
              <w:t>通榆县统计局</w:t>
            </w:r>
          </w:p>
        </w:tc>
        <w:tc>
          <w:tcPr>
            <w:tcW w:w="720"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44.07</w:t>
            </w:r>
          </w:p>
        </w:tc>
        <w:tc>
          <w:tcPr>
            <w:tcW w:w="765" w:type="dxa"/>
            <w:noWrap w:val="0"/>
            <w:vAlign w:val="center"/>
          </w:tcPr>
          <w:p>
            <w:pPr>
              <w:spacing w:line="700" w:lineRule="exact"/>
              <w:jc w:val="center"/>
              <w:rPr>
                <w:rFonts w:hint="default"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44.07</w:t>
            </w:r>
          </w:p>
        </w:tc>
        <w:tc>
          <w:tcPr>
            <w:tcW w:w="39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3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2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1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4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2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6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7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53"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pPr>
              <w:spacing w:line="700" w:lineRule="exact"/>
              <w:jc w:val="center"/>
              <w:rPr>
                <w:rFonts w:ascii="Calibri" w:hAnsi="Calibri" w:eastAsia="楷体"/>
                <w:kern w:val="0"/>
                <w:sz w:val="16"/>
                <w:szCs w:val="16"/>
              </w:rPr>
            </w:pPr>
          </w:p>
        </w:tc>
        <w:tc>
          <w:tcPr>
            <w:tcW w:w="1245" w:type="dxa"/>
            <w:noWrap w:val="0"/>
            <w:vAlign w:val="center"/>
          </w:tcPr>
          <w:p>
            <w:pPr>
              <w:rPr>
                <w:rFonts w:hint="default" w:ascii="Calibri" w:hAnsi="Calibri" w:eastAsia="楷体"/>
                <w:kern w:val="0"/>
                <w:sz w:val="16"/>
                <w:szCs w:val="16"/>
                <w:lang w:val="en-US"/>
              </w:rPr>
            </w:pPr>
            <w:r>
              <w:rPr>
                <w:rFonts w:hint="eastAsia" w:ascii="宋体" w:hAnsi="宋体" w:eastAsia="宋体" w:cs="宋体"/>
                <w:sz w:val="16"/>
                <w:szCs w:val="16"/>
                <w:lang w:eastAsia="zh-CN"/>
              </w:rPr>
              <w:t>专项</w:t>
            </w:r>
            <w:r>
              <w:rPr>
                <w:rFonts w:hint="eastAsia" w:ascii="宋体" w:hAnsi="宋体" w:eastAsia="宋体" w:cs="宋体"/>
                <w:sz w:val="16"/>
                <w:szCs w:val="16"/>
                <w:lang w:val="en-US" w:eastAsia="zh-CN"/>
              </w:rPr>
              <w:t>统计业务</w:t>
            </w:r>
          </w:p>
        </w:tc>
        <w:tc>
          <w:tcPr>
            <w:tcW w:w="2070" w:type="dxa"/>
            <w:noWrap w:val="0"/>
            <w:vAlign w:val="center"/>
          </w:tcPr>
          <w:p>
            <w:pPr>
              <w:rPr>
                <w:rFonts w:ascii="Calibri" w:hAnsi="Calibri" w:eastAsia="楷体"/>
                <w:kern w:val="0"/>
                <w:sz w:val="16"/>
                <w:szCs w:val="16"/>
              </w:rPr>
            </w:pPr>
          </w:p>
        </w:tc>
        <w:tc>
          <w:tcPr>
            <w:tcW w:w="1230" w:type="dxa"/>
            <w:noWrap w:val="0"/>
            <w:vAlign w:val="center"/>
          </w:tcPr>
          <w:p>
            <w:pPr>
              <w:rPr>
                <w:rFonts w:ascii="Calibri" w:hAnsi="Calibri" w:eastAsia="楷体"/>
                <w:kern w:val="0"/>
                <w:sz w:val="16"/>
                <w:szCs w:val="16"/>
              </w:rPr>
            </w:pPr>
          </w:p>
        </w:tc>
        <w:tc>
          <w:tcPr>
            <w:tcW w:w="720" w:type="dxa"/>
            <w:noWrap w:val="0"/>
            <w:vAlign w:val="center"/>
          </w:tcPr>
          <w:p>
            <w:pPr>
              <w:spacing w:line="700" w:lineRule="exact"/>
              <w:jc w:val="center"/>
              <w:rPr>
                <w:rFonts w:hint="default"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18.75</w:t>
            </w:r>
          </w:p>
        </w:tc>
        <w:tc>
          <w:tcPr>
            <w:tcW w:w="765" w:type="dxa"/>
            <w:noWrap w:val="0"/>
            <w:vAlign w:val="center"/>
          </w:tcPr>
          <w:p>
            <w:pPr>
              <w:spacing w:line="700" w:lineRule="exact"/>
              <w:jc w:val="center"/>
              <w:rPr>
                <w:rFonts w:hint="default"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18.75</w:t>
            </w:r>
          </w:p>
        </w:tc>
        <w:tc>
          <w:tcPr>
            <w:tcW w:w="39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3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2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1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4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2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6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7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53"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pPr>
              <w:autoSpaceDN w:val="0"/>
              <w:jc w:val="center"/>
              <w:textAlignment w:val="center"/>
              <w:rPr>
                <w:rFonts w:hint="eastAsia" w:ascii="Calibri" w:hAnsi="Calibri" w:eastAsia="华文细黑"/>
                <w:color w:val="000000"/>
                <w:sz w:val="16"/>
                <w:szCs w:val="16"/>
              </w:rPr>
            </w:pPr>
          </w:p>
        </w:tc>
        <w:tc>
          <w:tcPr>
            <w:tcW w:w="1245" w:type="dxa"/>
            <w:noWrap w:val="0"/>
            <w:vAlign w:val="center"/>
          </w:tcPr>
          <w:p>
            <w:pPr>
              <w:rPr>
                <w:rFonts w:ascii="Calibri" w:hAnsi="Calibri" w:eastAsia="华文细黑"/>
                <w:color w:val="000000"/>
                <w:sz w:val="16"/>
                <w:szCs w:val="16"/>
              </w:rPr>
            </w:pPr>
          </w:p>
        </w:tc>
        <w:tc>
          <w:tcPr>
            <w:tcW w:w="2070" w:type="dxa"/>
            <w:noWrap w:val="0"/>
            <w:vAlign w:val="center"/>
          </w:tcPr>
          <w:p>
            <w:pPr>
              <w:rPr>
                <w:rFonts w:ascii="Calibri" w:hAnsi="Calibri" w:eastAsia="楷体"/>
                <w:kern w:val="0"/>
                <w:sz w:val="16"/>
                <w:szCs w:val="16"/>
              </w:rPr>
            </w:pPr>
            <w:r>
              <w:rPr>
                <w:rFonts w:hint="eastAsia" w:ascii="宋体" w:hAnsi="宋体" w:eastAsia="宋体" w:cs="宋体"/>
                <w:sz w:val="16"/>
                <w:szCs w:val="16"/>
                <w:lang w:val="en-US" w:eastAsia="zh-CN"/>
              </w:rPr>
              <w:t>统计调查</w:t>
            </w:r>
            <w:r>
              <w:rPr>
                <w:rFonts w:hint="eastAsia" w:ascii="宋体" w:hAnsi="宋体" w:eastAsia="宋体" w:cs="宋体"/>
                <w:sz w:val="16"/>
                <w:szCs w:val="16"/>
                <w:lang w:eastAsia="zh-CN"/>
              </w:rPr>
              <w:t>经费</w:t>
            </w:r>
          </w:p>
        </w:tc>
        <w:tc>
          <w:tcPr>
            <w:tcW w:w="1230" w:type="dxa"/>
            <w:noWrap w:val="0"/>
            <w:vAlign w:val="center"/>
          </w:tcPr>
          <w:p>
            <w:pPr>
              <w:rPr>
                <w:rFonts w:ascii="Calibri" w:hAnsi="Calibri" w:eastAsia="楷体"/>
                <w:kern w:val="0"/>
                <w:sz w:val="16"/>
                <w:szCs w:val="16"/>
              </w:rPr>
            </w:pPr>
            <w:r>
              <w:rPr>
                <w:rFonts w:hint="eastAsia" w:ascii="宋体" w:hAnsi="宋体" w:eastAsia="宋体" w:cs="宋体"/>
                <w:sz w:val="16"/>
                <w:szCs w:val="16"/>
                <w:lang w:eastAsia="zh-CN"/>
              </w:rPr>
              <w:t>通榆县统计局</w:t>
            </w:r>
          </w:p>
        </w:tc>
        <w:tc>
          <w:tcPr>
            <w:tcW w:w="72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lang w:val="en-US" w:eastAsia="zh-CN"/>
              </w:rPr>
              <w:t>18.75</w:t>
            </w:r>
          </w:p>
        </w:tc>
        <w:tc>
          <w:tcPr>
            <w:tcW w:w="76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lang w:val="en-US" w:eastAsia="zh-CN"/>
              </w:rPr>
              <w:t>18.75</w:t>
            </w:r>
          </w:p>
        </w:tc>
        <w:tc>
          <w:tcPr>
            <w:tcW w:w="39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3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2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1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4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42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60"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7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353"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pPr>
              <w:autoSpaceDN w:val="0"/>
              <w:jc w:val="center"/>
              <w:textAlignment w:val="center"/>
              <w:rPr>
                <w:rFonts w:hint="eastAsia" w:ascii="Calibri" w:hAnsi="Calibri" w:eastAsia="华文细黑"/>
                <w:color w:val="000000"/>
                <w:sz w:val="16"/>
                <w:szCs w:val="16"/>
              </w:rPr>
            </w:pPr>
          </w:p>
        </w:tc>
        <w:tc>
          <w:tcPr>
            <w:tcW w:w="1245" w:type="dxa"/>
            <w:noWrap w:val="0"/>
            <w:vAlign w:val="center"/>
          </w:tcPr>
          <w:p>
            <w:pPr>
              <w:keepNext w:val="0"/>
              <w:keepLines w:val="0"/>
              <w:widowControl/>
              <w:suppressLineNumbers w:val="0"/>
              <w:jc w:val="left"/>
              <w:textAlignment w:val="center"/>
              <w:rPr>
                <w:rFonts w:ascii="Calibri" w:hAnsi="Calibri" w:eastAsia="华文细黑"/>
                <w:color w:val="000000"/>
                <w:sz w:val="16"/>
                <w:szCs w:val="16"/>
              </w:rPr>
            </w:pPr>
            <w:r>
              <w:rPr>
                <w:rFonts w:hint="eastAsia" w:ascii="华文细黑" w:hAnsi="华文细黑" w:eastAsia="华文细黑" w:cs="华文细黑"/>
                <w:i w:val="0"/>
                <w:iCs w:val="0"/>
                <w:color w:val="000000"/>
                <w:kern w:val="0"/>
                <w:sz w:val="16"/>
                <w:szCs w:val="16"/>
                <w:u w:val="none"/>
                <w:lang w:val="en-US" w:eastAsia="zh-CN" w:bidi="ar"/>
              </w:rPr>
              <w:t>统计抽样调查</w:t>
            </w:r>
          </w:p>
        </w:tc>
        <w:tc>
          <w:tcPr>
            <w:tcW w:w="2070" w:type="dxa"/>
            <w:noWrap w:val="0"/>
            <w:vAlign w:val="center"/>
          </w:tcPr>
          <w:p>
            <w:pPr>
              <w:jc w:val="left"/>
              <w:rPr>
                <w:rFonts w:ascii="Calibri" w:hAnsi="Calibri" w:eastAsia="楷体"/>
                <w:kern w:val="0"/>
                <w:sz w:val="16"/>
                <w:szCs w:val="16"/>
              </w:rPr>
            </w:pPr>
          </w:p>
        </w:tc>
        <w:tc>
          <w:tcPr>
            <w:tcW w:w="1230" w:type="dxa"/>
            <w:noWrap w:val="0"/>
            <w:vAlign w:val="center"/>
          </w:tcPr>
          <w:p>
            <w:pPr>
              <w:keepNext w:val="0"/>
              <w:keepLines w:val="0"/>
              <w:widowControl/>
              <w:suppressLineNumbers w:val="0"/>
              <w:jc w:val="left"/>
              <w:textAlignment w:val="center"/>
              <w:rPr>
                <w:rFonts w:ascii="Calibri" w:hAnsi="Calibri" w:eastAsia="楷体"/>
                <w:kern w:val="0"/>
                <w:sz w:val="16"/>
                <w:szCs w:val="16"/>
              </w:rPr>
            </w:pPr>
          </w:p>
        </w:tc>
        <w:tc>
          <w:tcPr>
            <w:tcW w:w="72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i w:val="0"/>
                <w:iCs w:val="0"/>
                <w:color w:val="000000"/>
                <w:kern w:val="0"/>
                <w:sz w:val="16"/>
                <w:szCs w:val="16"/>
                <w:u w:val="none"/>
                <w:lang w:val="en-US" w:eastAsia="zh-CN" w:bidi="ar"/>
              </w:rPr>
              <w:t>22.00</w:t>
            </w:r>
          </w:p>
        </w:tc>
        <w:tc>
          <w:tcPr>
            <w:tcW w:w="76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i w:val="0"/>
                <w:iCs w:val="0"/>
                <w:color w:val="000000"/>
                <w:kern w:val="0"/>
                <w:sz w:val="16"/>
                <w:szCs w:val="16"/>
                <w:u w:val="none"/>
                <w:lang w:val="en-US" w:eastAsia="zh-CN" w:bidi="ar"/>
              </w:rPr>
              <w:t>22.00</w:t>
            </w:r>
          </w:p>
        </w:tc>
        <w:tc>
          <w:tcPr>
            <w:tcW w:w="390" w:type="dxa"/>
            <w:noWrap w:val="0"/>
            <w:vAlign w:val="center"/>
          </w:tcPr>
          <w:p>
            <w:pPr>
              <w:spacing w:line="700" w:lineRule="exact"/>
              <w:jc w:val="center"/>
              <w:rPr>
                <w:rFonts w:ascii="Calibri" w:hAnsi="Calibri" w:eastAsia="楷体"/>
                <w:kern w:val="0"/>
                <w:sz w:val="16"/>
                <w:szCs w:val="16"/>
              </w:rPr>
            </w:pPr>
          </w:p>
        </w:tc>
        <w:tc>
          <w:tcPr>
            <w:tcW w:w="330"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15" w:type="dxa"/>
            <w:noWrap w:val="0"/>
            <w:vAlign w:val="center"/>
          </w:tcPr>
          <w:p>
            <w:pPr>
              <w:spacing w:line="700" w:lineRule="exact"/>
              <w:jc w:val="center"/>
              <w:rPr>
                <w:rFonts w:ascii="Calibri" w:hAnsi="Calibri" w:eastAsia="楷体"/>
                <w:kern w:val="0"/>
                <w:sz w:val="16"/>
                <w:szCs w:val="16"/>
              </w:rPr>
            </w:pPr>
          </w:p>
        </w:tc>
        <w:tc>
          <w:tcPr>
            <w:tcW w:w="345"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60" w:type="dxa"/>
            <w:noWrap w:val="0"/>
            <w:vAlign w:val="center"/>
          </w:tcPr>
          <w:p>
            <w:pPr>
              <w:spacing w:line="700" w:lineRule="exact"/>
              <w:jc w:val="center"/>
              <w:rPr>
                <w:rFonts w:ascii="Calibri" w:hAnsi="Calibri" w:eastAsia="楷体"/>
                <w:kern w:val="0"/>
                <w:sz w:val="16"/>
                <w:szCs w:val="16"/>
              </w:rPr>
            </w:pPr>
          </w:p>
        </w:tc>
        <w:tc>
          <w:tcPr>
            <w:tcW w:w="375" w:type="dxa"/>
            <w:noWrap w:val="0"/>
            <w:vAlign w:val="center"/>
          </w:tcPr>
          <w:p>
            <w:pPr>
              <w:spacing w:line="700" w:lineRule="exact"/>
              <w:jc w:val="center"/>
              <w:rPr>
                <w:rFonts w:ascii="Calibri" w:hAnsi="Calibri" w:eastAsia="楷体"/>
                <w:kern w:val="0"/>
                <w:sz w:val="16"/>
                <w:szCs w:val="16"/>
              </w:rPr>
            </w:pPr>
          </w:p>
        </w:tc>
        <w:tc>
          <w:tcPr>
            <w:tcW w:w="353"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pPr>
              <w:autoSpaceDN w:val="0"/>
              <w:jc w:val="center"/>
              <w:textAlignment w:val="center"/>
              <w:rPr>
                <w:rFonts w:hint="eastAsia" w:ascii="Calibri" w:hAnsi="Calibri" w:eastAsia="华文细黑"/>
                <w:color w:val="000000"/>
                <w:sz w:val="16"/>
                <w:szCs w:val="16"/>
              </w:rPr>
            </w:pPr>
          </w:p>
        </w:tc>
        <w:tc>
          <w:tcPr>
            <w:tcW w:w="1245" w:type="dxa"/>
            <w:noWrap w:val="0"/>
            <w:vAlign w:val="center"/>
          </w:tcPr>
          <w:p>
            <w:pPr>
              <w:jc w:val="left"/>
              <w:rPr>
                <w:rFonts w:ascii="Calibri" w:hAnsi="Calibri" w:eastAsia="华文细黑"/>
                <w:color w:val="000000"/>
                <w:sz w:val="16"/>
                <w:szCs w:val="16"/>
              </w:rPr>
            </w:pPr>
          </w:p>
        </w:tc>
        <w:tc>
          <w:tcPr>
            <w:tcW w:w="207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i w:val="0"/>
                <w:iCs w:val="0"/>
                <w:color w:val="000000"/>
                <w:kern w:val="0"/>
                <w:sz w:val="16"/>
                <w:szCs w:val="16"/>
                <w:u w:val="none"/>
                <w:lang w:val="en-US" w:eastAsia="zh-CN" w:bidi="ar"/>
              </w:rPr>
              <w:t>全省地方点城乡居民住户调查及专项调查工作经费</w:t>
            </w:r>
          </w:p>
        </w:tc>
        <w:tc>
          <w:tcPr>
            <w:tcW w:w="1230" w:type="dxa"/>
            <w:noWrap w:val="0"/>
            <w:vAlign w:val="center"/>
          </w:tcPr>
          <w:p>
            <w:pPr>
              <w:jc w:val="left"/>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通榆县统计局</w:t>
            </w:r>
          </w:p>
        </w:tc>
        <w:tc>
          <w:tcPr>
            <w:tcW w:w="72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i w:val="0"/>
                <w:iCs w:val="0"/>
                <w:color w:val="000000"/>
                <w:kern w:val="0"/>
                <w:sz w:val="16"/>
                <w:szCs w:val="16"/>
                <w:u w:val="none"/>
                <w:lang w:val="en-US" w:eastAsia="zh-CN" w:bidi="ar"/>
              </w:rPr>
              <w:t>22.00</w:t>
            </w:r>
          </w:p>
        </w:tc>
        <w:tc>
          <w:tcPr>
            <w:tcW w:w="76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i w:val="0"/>
                <w:iCs w:val="0"/>
                <w:color w:val="000000"/>
                <w:kern w:val="0"/>
                <w:sz w:val="16"/>
                <w:szCs w:val="16"/>
                <w:u w:val="none"/>
                <w:lang w:val="en-US" w:eastAsia="zh-CN" w:bidi="ar"/>
              </w:rPr>
              <w:t>22.00</w:t>
            </w:r>
          </w:p>
        </w:tc>
        <w:tc>
          <w:tcPr>
            <w:tcW w:w="390" w:type="dxa"/>
            <w:noWrap w:val="0"/>
            <w:vAlign w:val="center"/>
          </w:tcPr>
          <w:p>
            <w:pPr>
              <w:spacing w:line="700" w:lineRule="exact"/>
              <w:jc w:val="center"/>
              <w:rPr>
                <w:rFonts w:ascii="Calibri" w:hAnsi="Calibri" w:eastAsia="楷体"/>
                <w:kern w:val="0"/>
                <w:sz w:val="16"/>
                <w:szCs w:val="16"/>
              </w:rPr>
            </w:pPr>
          </w:p>
        </w:tc>
        <w:tc>
          <w:tcPr>
            <w:tcW w:w="330"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15" w:type="dxa"/>
            <w:noWrap w:val="0"/>
            <w:vAlign w:val="center"/>
          </w:tcPr>
          <w:p>
            <w:pPr>
              <w:spacing w:line="700" w:lineRule="exact"/>
              <w:jc w:val="center"/>
              <w:rPr>
                <w:rFonts w:ascii="Calibri" w:hAnsi="Calibri" w:eastAsia="楷体"/>
                <w:kern w:val="0"/>
                <w:sz w:val="16"/>
                <w:szCs w:val="16"/>
              </w:rPr>
            </w:pPr>
          </w:p>
        </w:tc>
        <w:tc>
          <w:tcPr>
            <w:tcW w:w="345"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60" w:type="dxa"/>
            <w:noWrap w:val="0"/>
            <w:vAlign w:val="center"/>
          </w:tcPr>
          <w:p>
            <w:pPr>
              <w:spacing w:line="700" w:lineRule="exact"/>
              <w:jc w:val="center"/>
              <w:rPr>
                <w:rFonts w:ascii="Calibri" w:hAnsi="Calibri" w:eastAsia="楷体"/>
                <w:kern w:val="0"/>
                <w:sz w:val="16"/>
                <w:szCs w:val="16"/>
              </w:rPr>
            </w:pPr>
          </w:p>
        </w:tc>
        <w:tc>
          <w:tcPr>
            <w:tcW w:w="375" w:type="dxa"/>
            <w:noWrap w:val="0"/>
            <w:vAlign w:val="center"/>
          </w:tcPr>
          <w:p>
            <w:pPr>
              <w:spacing w:line="700" w:lineRule="exact"/>
              <w:jc w:val="center"/>
              <w:rPr>
                <w:rFonts w:ascii="Calibri" w:hAnsi="Calibri" w:eastAsia="楷体"/>
                <w:kern w:val="0"/>
                <w:sz w:val="16"/>
                <w:szCs w:val="16"/>
              </w:rPr>
            </w:pPr>
          </w:p>
        </w:tc>
        <w:tc>
          <w:tcPr>
            <w:tcW w:w="353" w:type="dxa"/>
            <w:noWrap w:val="0"/>
            <w:vAlign w:val="center"/>
          </w:tcPr>
          <w:p>
            <w:pPr>
              <w:spacing w:line="700" w:lineRule="exact"/>
              <w:jc w:val="center"/>
              <w:rPr>
                <w:rFonts w:ascii="Calibri" w:hAnsi="Calibri" w:eastAsia="楷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1245" w:type="dxa"/>
            <w:noWrap w:val="0"/>
            <w:vAlign w:val="center"/>
          </w:tcPr>
          <w:p>
            <w:pPr>
              <w:autoSpaceDN w:val="0"/>
              <w:jc w:val="center"/>
              <w:textAlignment w:val="center"/>
              <w:rPr>
                <w:rFonts w:ascii="Calibri" w:hAnsi="Calibri" w:eastAsia="华文细黑"/>
                <w:color w:val="000000"/>
                <w:sz w:val="16"/>
                <w:szCs w:val="16"/>
              </w:rPr>
            </w:pPr>
          </w:p>
        </w:tc>
        <w:tc>
          <w:tcPr>
            <w:tcW w:w="2070" w:type="dxa"/>
            <w:noWrap w:val="0"/>
            <w:vAlign w:val="center"/>
          </w:tcPr>
          <w:p>
            <w:pPr>
              <w:spacing w:line="700" w:lineRule="exact"/>
              <w:jc w:val="center"/>
              <w:rPr>
                <w:rFonts w:ascii="Calibri" w:hAnsi="Calibri" w:eastAsia="楷体"/>
                <w:kern w:val="0"/>
                <w:sz w:val="16"/>
                <w:szCs w:val="16"/>
              </w:rPr>
            </w:pPr>
          </w:p>
        </w:tc>
        <w:tc>
          <w:tcPr>
            <w:tcW w:w="1230" w:type="dxa"/>
            <w:noWrap w:val="0"/>
            <w:vAlign w:val="center"/>
          </w:tcPr>
          <w:p>
            <w:pPr>
              <w:spacing w:line="700" w:lineRule="exact"/>
              <w:jc w:val="center"/>
              <w:rPr>
                <w:rFonts w:ascii="Calibri" w:hAnsi="Calibri" w:eastAsia="楷体"/>
                <w:kern w:val="0"/>
                <w:sz w:val="16"/>
                <w:szCs w:val="16"/>
              </w:rPr>
            </w:pPr>
          </w:p>
        </w:tc>
        <w:tc>
          <w:tcPr>
            <w:tcW w:w="720" w:type="dxa"/>
            <w:noWrap w:val="0"/>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i w:val="0"/>
                <w:iCs w:val="0"/>
                <w:color w:val="000000"/>
                <w:kern w:val="0"/>
                <w:sz w:val="16"/>
                <w:szCs w:val="16"/>
                <w:u w:val="none"/>
                <w:lang w:val="en-US" w:eastAsia="zh-CN" w:bidi="ar"/>
              </w:rPr>
              <w:t>84.82</w:t>
            </w:r>
          </w:p>
        </w:tc>
        <w:tc>
          <w:tcPr>
            <w:tcW w:w="765" w:type="dxa"/>
            <w:noWrap w:val="0"/>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i w:val="0"/>
                <w:iCs w:val="0"/>
                <w:color w:val="000000"/>
                <w:kern w:val="0"/>
                <w:sz w:val="16"/>
                <w:szCs w:val="16"/>
                <w:u w:val="none"/>
                <w:lang w:val="en-US" w:eastAsia="zh-CN" w:bidi="ar"/>
              </w:rPr>
              <w:t>84.82</w:t>
            </w:r>
          </w:p>
        </w:tc>
        <w:tc>
          <w:tcPr>
            <w:tcW w:w="390" w:type="dxa"/>
            <w:noWrap w:val="0"/>
            <w:vAlign w:val="center"/>
          </w:tcPr>
          <w:p>
            <w:pPr>
              <w:spacing w:line="700" w:lineRule="exact"/>
              <w:jc w:val="center"/>
              <w:rPr>
                <w:rFonts w:ascii="Calibri" w:hAnsi="Calibri" w:eastAsia="楷体"/>
                <w:kern w:val="0"/>
                <w:sz w:val="16"/>
                <w:szCs w:val="16"/>
              </w:rPr>
            </w:pPr>
          </w:p>
        </w:tc>
        <w:tc>
          <w:tcPr>
            <w:tcW w:w="330"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15" w:type="dxa"/>
            <w:noWrap w:val="0"/>
            <w:vAlign w:val="center"/>
          </w:tcPr>
          <w:p>
            <w:pPr>
              <w:spacing w:line="700" w:lineRule="exact"/>
              <w:jc w:val="center"/>
              <w:rPr>
                <w:rFonts w:ascii="Calibri" w:hAnsi="Calibri" w:eastAsia="楷体"/>
                <w:kern w:val="0"/>
                <w:sz w:val="16"/>
                <w:szCs w:val="16"/>
              </w:rPr>
            </w:pPr>
          </w:p>
        </w:tc>
        <w:tc>
          <w:tcPr>
            <w:tcW w:w="345" w:type="dxa"/>
            <w:noWrap w:val="0"/>
            <w:vAlign w:val="center"/>
          </w:tcPr>
          <w:p>
            <w:pPr>
              <w:spacing w:line="700" w:lineRule="exact"/>
              <w:jc w:val="center"/>
              <w:rPr>
                <w:rFonts w:ascii="Calibri" w:hAnsi="Calibri" w:eastAsia="楷体"/>
                <w:kern w:val="0"/>
                <w:sz w:val="16"/>
                <w:szCs w:val="16"/>
              </w:rPr>
            </w:pPr>
          </w:p>
        </w:tc>
        <w:tc>
          <w:tcPr>
            <w:tcW w:w="420" w:type="dxa"/>
            <w:noWrap w:val="0"/>
            <w:vAlign w:val="center"/>
          </w:tcPr>
          <w:p>
            <w:pPr>
              <w:spacing w:line="700" w:lineRule="exact"/>
              <w:jc w:val="center"/>
              <w:rPr>
                <w:rFonts w:ascii="Calibri" w:hAnsi="Calibri" w:eastAsia="楷体"/>
                <w:kern w:val="0"/>
                <w:sz w:val="16"/>
                <w:szCs w:val="16"/>
              </w:rPr>
            </w:pPr>
          </w:p>
        </w:tc>
        <w:tc>
          <w:tcPr>
            <w:tcW w:w="360" w:type="dxa"/>
            <w:noWrap w:val="0"/>
            <w:vAlign w:val="center"/>
          </w:tcPr>
          <w:p>
            <w:pPr>
              <w:spacing w:line="700" w:lineRule="exact"/>
              <w:jc w:val="center"/>
              <w:rPr>
                <w:rFonts w:ascii="Calibri" w:hAnsi="Calibri" w:eastAsia="楷体"/>
                <w:kern w:val="0"/>
                <w:sz w:val="16"/>
                <w:szCs w:val="16"/>
              </w:rPr>
            </w:pPr>
          </w:p>
        </w:tc>
        <w:tc>
          <w:tcPr>
            <w:tcW w:w="375" w:type="dxa"/>
            <w:noWrap w:val="0"/>
            <w:vAlign w:val="center"/>
          </w:tcPr>
          <w:p>
            <w:pPr>
              <w:spacing w:line="700" w:lineRule="exact"/>
              <w:jc w:val="center"/>
              <w:rPr>
                <w:rFonts w:ascii="Calibri" w:hAnsi="Calibri" w:eastAsia="楷体"/>
                <w:kern w:val="0"/>
                <w:sz w:val="16"/>
                <w:szCs w:val="16"/>
              </w:rPr>
            </w:pPr>
          </w:p>
        </w:tc>
        <w:tc>
          <w:tcPr>
            <w:tcW w:w="353" w:type="dxa"/>
            <w:noWrap w:val="0"/>
            <w:vAlign w:val="center"/>
          </w:tcPr>
          <w:p>
            <w:pPr>
              <w:spacing w:line="700" w:lineRule="exact"/>
              <w:jc w:val="center"/>
              <w:rPr>
                <w:rFonts w:ascii="Calibri" w:hAnsi="Calibri" w:eastAsia="楷体"/>
                <w:kern w:val="0"/>
                <w:sz w:val="16"/>
                <w:szCs w:val="16"/>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021"/>
        <w:gridCol w:w="930"/>
        <w:gridCol w:w="666"/>
        <w:gridCol w:w="717"/>
        <w:gridCol w:w="728"/>
        <w:gridCol w:w="1063"/>
        <w:gridCol w:w="90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both"/>
              <w:rPr>
                <w:rFonts w:hint="eastAsia" w:ascii="Calibri" w:hAnsi="Calibri" w:eastAsia="方正小标宋简体" w:cs="Times New Roman"/>
                <w:kern w:val="0"/>
                <w:sz w:val="44"/>
                <w:szCs w:val="44"/>
                <w:lang w:eastAsia="zh-CN"/>
              </w:rPr>
            </w:pP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16"/>
                <w:szCs w:val="16"/>
                <w:vertAlign w:val="baseline"/>
                <w:lang w:eastAsia="zh-CN"/>
              </w:rPr>
            </w:pPr>
            <w:r>
              <w:rPr>
                <w:rFonts w:ascii="Calibri" w:hAnsi="Calibri" w:eastAsia="华文细黑" w:cs="Times New Roman"/>
                <w:color w:val="000000"/>
                <w:kern w:val="0"/>
                <w:sz w:val="16"/>
                <w:szCs w:val="16"/>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16"/>
                <w:szCs w:val="16"/>
                <w:lang w:val="en-US" w:eastAsia="zh-CN"/>
              </w:rPr>
            </w:pPr>
            <w:r>
              <w:rPr>
                <w:rFonts w:hint="eastAsia" w:ascii="华文细黑" w:hAnsi="华文细黑" w:eastAsia="华文细黑" w:cs="华文细黑"/>
                <w:color w:val="000000"/>
                <w:sz w:val="16"/>
                <w:szCs w:val="16"/>
                <w:lang w:val="en-US" w:eastAsia="zh-CN"/>
              </w:rPr>
              <w:t>单位/</w:t>
            </w:r>
          </w:p>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color w:val="000000"/>
                <w:sz w:val="16"/>
                <w:szCs w:val="16"/>
                <w:lang w:val="en-US" w:eastAsia="zh-CN"/>
              </w:rPr>
              <w:t>项目名称</w:t>
            </w:r>
          </w:p>
        </w:tc>
        <w:tc>
          <w:tcPr>
            <w:tcW w:w="1021"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color w:val="000000"/>
                <w:sz w:val="16"/>
                <w:szCs w:val="16"/>
                <w:lang w:eastAsia="zh-CN"/>
              </w:rPr>
              <w:t>委托事</w:t>
            </w:r>
            <w:r>
              <w:rPr>
                <w:rFonts w:hint="eastAsia" w:ascii="华文细黑" w:hAnsi="华文细黑" w:eastAsia="华文细黑" w:cs="华文细黑"/>
                <w:color w:val="000000"/>
                <w:sz w:val="16"/>
                <w:szCs w:val="16"/>
                <w:lang w:val="en-US" w:eastAsia="zh-CN"/>
              </w:rPr>
              <w:t xml:space="preserve">    </w:t>
            </w:r>
            <w:r>
              <w:rPr>
                <w:rFonts w:hint="eastAsia" w:ascii="华文细黑" w:hAnsi="华文细黑" w:eastAsia="华文细黑" w:cs="华文细黑"/>
                <w:color w:val="000000"/>
                <w:sz w:val="16"/>
                <w:szCs w:val="16"/>
                <w:lang w:eastAsia="zh-CN"/>
              </w:rPr>
              <w:t>项内容</w:t>
            </w:r>
          </w:p>
        </w:tc>
        <w:tc>
          <w:tcPr>
            <w:tcW w:w="3041"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是否政府购买服务</w:t>
            </w:r>
            <w:r>
              <w:rPr>
                <w:rFonts w:hint="eastAsia" w:ascii="华文细黑" w:hAnsi="华文细黑" w:eastAsia="华文细黑" w:cs="华文细黑"/>
                <w:kern w:val="0"/>
                <w:sz w:val="16"/>
                <w:szCs w:val="16"/>
                <w:vertAlign w:val="baseline"/>
                <w:lang w:val="en-US" w:eastAsia="zh-CN"/>
              </w:rPr>
              <w:t xml:space="preserve">  </w:t>
            </w:r>
            <w:r>
              <w:rPr>
                <w:rFonts w:hint="eastAsia" w:ascii="华文细黑" w:hAnsi="华文细黑" w:eastAsia="华文细黑" w:cs="华文细黑"/>
                <w:kern w:val="0"/>
                <w:sz w:val="16"/>
                <w:szCs w:val="16"/>
                <w:vertAlign w:val="baseline"/>
                <w:lang w:eastAsia="zh-CN"/>
              </w:rPr>
              <w:t>（是</w:t>
            </w:r>
            <w:r>
              <w:rPr>
                <w:rFonts w:hint="eastAsia" w:ascii="华文细黑" w:hAnsi="华文细黑" w:eastAsia="华文细黑" w:cs="华文细黑"/>
                <w:kern w:val="0"/>
                <w:sz w:val="16"/>
                <w:szCs w:val="16"/>
                <w:vertAlign w:val="baseline"/>
                <w:lang w:val="en-US" w:eastAsia="zh-CN"/>
              </w:rPr>
              <w:t>/否</w:t>
            </w:r>
            <w:r>
              <w:rPr>
                <w:rFonts w:hint="eastAsia" w:ascii="华文细黑" w:hAnsi="华文细黑" w:eastAsia="华文细黑" w:cs="华文细黑"/>
                <w:kern w:val="0"/>
                <w:sz w:val="16"/>
                <w:szCs w:val="16"/>
                <w:vertAlign w:val="baseline"/>
                <w:lang w:eastAsia="zh-CN"/>
              </w:rPr>
              <w:t>）</w:t>
            </w:r>
          </w:p>
        </w:tc>
        <w:tc>
          <w:tcPr>
            <w:tcW w:w="90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是否政</w:t>
            </w:r>
            <w:r>
              <w:rPr>
                <w:rFonts w:hint="eastAsia" w:ascii="华文细黑" w:hAnsi="华文细黑" w:eastAsia="华文细黑" w:cs="华文细黑"/>
                <w:kern w:val="0"/>
                <w:sz w:val="16"/>
                <w:szCs w:val="16"/>
                <w:vertAlign w:val="baseline"/>
                <w:lang w:val="en-US" w:eastAsia="zh-CN"/>
              </w:rPr>
              <w:t xml:space="preserve">  </w:t>
            </w:r>
            <w:r>
              <w:rPr>
                <w:rFonts w:hint="eastAsia" w:ascii="华文细黑" w:hAnsi="华文细黑" w:eastAsia="华文细黑" w:cs="华文细黑"/>
                <w:kern w:val="0"/>
                <w:sz w:val="16"/>
                <w:szCs w:val="16"/>
                <w:vertAlign w:val="baseline"/>
                <w:lang w:eastAsia="zh-CN"/>
              </w:rPr>
              <w:t>府采购</w:t>
            </w:r>
            <w:r>
              <w:rPr>
                <w:rFonts w:hint="eastAsia" w:ascii="华文细黑" w:hAnsi="华文细黑" w:eastAsia="华文细黑" w:cs="华文细黑"/>
                <w:kern w:val="0"/>
                <w:sz w:val="16"/>
                <w:szCs w:val="16"/>
                <w:vertAlign w:val="baseline"/>
                <w:lang w:val="en-US" w:eastAsia="zh-CN"/>
              </w:rPr>
              <w:t xml:space="preserve">  </w:t>
            </w:r>
            <w:r>
              <w:rPr>
                <w:rFonts w:hint="eastAsia" w:ascii="华文细黑" w:hAnsi="华文细黑" w:eastAsia="华文细黑" w:cs="华文细黑"/>
                <w:kern w:val="0"/>
                <w:sz w:val="16"/>
                <w:szCs w:val="16"/>
                <w:vertAlign w:val="baseline"/>
                <w:lang w:eastAsia="zh-CN"/>
              </w:rPr>
              <w:t>（是</w:t>
            </w:r>
            <w:r>
              <w:rPr>
                <w:rFonts w:hint="eastAsia" w:ascii="华文细黑" w:hAnsi="华文细黑" w:eastAsia="华文细黑" w:cs="华文细黑"/>
                <w:kern w:val="0"/>
                <w:sz w:val="16"/>
                <w:szCs w:val="16"/>
                <w:vertAlign w:val="baseline"/>
                <w:lang w:val="en-US" w:eastAsia="zh-CN"/>
              </w:rPr>
              <w:t>/否</w:t>
            </w:r>
            <w:r>
              <w:rPr>
                <w:rFonts w:hint="eastAsia" w:ascii="华文细黑" w:hAnsi="华文细黑" w:eastAsia="华文细黑" w:cs="华文细黑"/>
                <w:kern w:val="0"/>
                <w:sz w:val="16"/>
                <w:szCs w:val="16"/>
                <w:vertAlign w:val="baseline"/>
                <w:lang w:eastAsia="zh-CN"/>
              </w:rPr>
              <w:t>）</w:t>
            </w:r>
          </w:p>
        </w:tc>
        <w:tc>
          <w:tcPr>
            <w:tcW w:w="93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930"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Calibri" w:hAnsi="Calibri" w:eastAsia="华文细黑" w:cs="Times New Roman"/>
                <w:color w:val="000000"/>
                <w:sz w:val="16"/>
                <w:szCs w:val="16"/>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p>
        </w:tc>
        <w:tc>
          <w:tcPr>
            <w:tcW w:w="90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p>
        </w:tc>
        <w:tc>
          <w:tcPr>
            <w:tcW w:w="93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单位名称</w:t>
            </w:r>
          </w:p>
        </w:tc>
        <w:tc>
          <w:tcPr>
            <w:tcW w:w="1021"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160" w:firstLineChars="100"/>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eastAsia="zh-CN"/>
              </w:rPr>
              <w:t>单位名称</w:t>
            </w:r>
            <w:r>
              <w:rPr>
                <w:rFonts w:hint="eastAsia" w:ascii="华文细黑" w:hAnsi="华文细黑" w:eastAsia="华文细黑" w:cs="华文细黑"/>
                <w:kern w:val="0"/>
                <w:sz w:val="16"/>
                <w:szCs w:val="16"/>
                <w:vertAlign w:val="baseline"/>
                <w:lang w:val="en-US" w:eastAsia="zh-CN"/>
              </w:rPr>
              <w:t>1</w:t>
            </w:r>
          </w:p>
        </w:tc>
        <w:tc>
          <w:tcPr>
            <w:tcW w:w="1021"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320" w:firstLineChars="200"/>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eastAsia="zh-CN"/>
              </w:rPr>
              <w:t>项目名称</w:t>
            </w:r>
            <w:r>
              <w:rPr>
                <w:rFonts w:hint="eastAsia" w:ascii="华文细黑" w:hAnsi="华文细黑" w:eastAsia="华文细黑" w:cs="华文细黑"/>
                <w:kern w:val="0"/>
                <w:sz w:val="16"/>
                <w:szCs w:val="16"/>
                <w:vertAlign w:val="baseline"/>
                <w:lang w:val="en-US" w:eastAsia="zh-CN"/>
              </w:rPr>
              <w:t>1</w:t>
            </w:r>
          </w:p>
        </w:tc>
        <w:tc>
          <w:tcPr>
            <w:tcW w:w="1021"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320" w:firstLineChars="200"/>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eastAsia="zh-CN"/>
              </w:rPr>
              <w:t>项目名称</w:t>
            </w:r>
            <w:r>
              <w:rPr>
                <w:rFonts w:hint="eastAsia" w:ascii="华文细黑" w:hAnsi="华文细黑" w:eastAsia="华文细黑" w:cs="华文细黑"/>
                <w:kern w:val="0"/>
                <w:sz w:val="16"/>
                <w:szCs w:val="16"/>
                <w:vertAlign w:val="baseline"/>
                <w:lang w:val="en-US" w:eastAsia="zh-CN"/>
              </w:rPr>
              <w:t>2</w:t>
            </w:r>
          </w:p>
        </w:tc>
        <w:tc>
          <w:tcPr>
            <w:tcW w:w="1021"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160" w:firstLineChars="100"/>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eastAsia="zh-CN"/>
              </w:rPr>
              <w:t>单位名称</w:t>
            </w:r>
            <w:r>
              <w:rPr>
                <w:rFonts w:hint="eastAsia" w:ascii="华文细黑" w:hAnsi="华文细黑" w:eastAsia="华文细黑" w:cs="华文细黑"/>
                <w:kern w:val="0"/>
                <w:sz w:val="16"/>
                <w:szCs w:val="16"/>
                <w:vertAlign w:val="baseline"/>
                <w:lang w:val="en-US" w:eastAsia="zh-CN"/>
              </w:rPr>
              <w:t>2</w:t>
            </w:r>
          </w:p>
        </w:tc>
        <w:tc>
          <w:tcPr>
            <w:tcW w:w="1021"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320" w:firstLineChars="200"/>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项目名称1</w:t>
            </w:r>
          </w:p>
        </w:tc>
        <w:tc>
          <w:tcPr>
            <w:tcW w:w="1021"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320" w:firstLineChars="200"/>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项目名称2</w:t>
            </w:r>
          </w:p>
        </w:tc>
        <w:tc>
          <w:tcPr>
            <w:tcW w:w="1021"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w:t>
            </w:r>
          </w:p>
        </w:tc>
        <w:tc>
          <w:tcPr>
            <w:tcW w:w="1021"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pPr>
              <w:spacing w:line="240" w:lineRule="auto"/>
              <w:jc w:val="both"/>
              <w:rPr>
                <w:rFonts w:hint="eastAsia" w:ascii="华文细黑" w:hAnsi="华文细黑" w:eastAsia="华文细黑" w:cs="华文细黑"/>
                <w:kern w:val="0"/>
                <w:sz w:val="16"/>
                <w:szCs w:val="16"/>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376"/>
        <w:gridCol w:w="616"/>
        <w:gridCol w:w="696"/>
        <w:gridCol w:w="416"/>
        <w:gridCol w:w="416"/>
        <w:gridCol w:w="1984"/>
        <w:gridCol w:w="2502"/>
        <w:gridCol w:w="772"/>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0" w:type="auto"/>
          <w:wAfter w:w="0" w:type="auto"/>
          <w:trHeight w:val="688" w:hRule="atLeast"/>
        </w:trPr>
        <w:tc>
          <w:tcPr>
            <w:tcW w:w="0" w:type="auto"/>
            <w:gridSpan w:val="8"/>
            <w:tcBorders>
              <w:top w:val="nil"/>
              <w:left w:val="nil"/>
              <w:bottom w:val="single" w:color="000000" w:sz="4" w:space="0"/>
              <w:right w:val="nil"/>
            </w:tcBorders>
            <w:noWrap w:val="0"/>
            <w:vAlign w:val="top"/>
          </w:tcPr>
          <w:p>
            <w:pPr>
              <w:widowControl/>
              <w:jc w:val="center"/>
              <w:rPr>
                <w:rFonts w:hint="eastAsia" w:ascii="Calibri" w:hAnsi="Calibri" w:eastAsia="方正小标宋简体" w:cs="Times New Roman"/>
                <w:kern w:val="0"/>
                <w:sz w:val="44"/>
                <w:szCs w:val="44"/>
              </w:rPr>
            </w:pPr>
          </w:p>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16"/>
                <w:szCs w:val="16"/>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20" w:leftChars="0" w:right="0" w:rightChars="0" w:hanging="320" w:hangingChars="200"/>
              <w:jc w:val="center"/>
              <w:textAlignment w:val="auto"/>
              <w:outlineLvl w:val="9"/>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单位名称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项目名称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年度资</w:t>
            </w:r>
            <w:r>
              <w:rPr>
                <w:rFonts w:hint="eastAsia" w:ascii="华文细黑" w:hAnsi="华文细黑" w:eastAsia="华文细黑" w:cs="华文细黑"/>
                <w:kern w:val="0"/>
                <w:sz w:val="16"/>
                <w:szCs w:val="16"/>
                <w:vertAlign w:val="baseline"/>
                <w:lang w:val="en-US" w:eastAsia="zh-CN"/>
              </w:rPr>
              <w:t xml:space="preserve">  </w:t>
            </w:r>
            <w:r>
              <w:rPr>
                <w:rFonts w:hint="eastAsia" w:ascii="华文细黑" w:hAnsi="华文细黑" w:eastAsia="华文细黑" w:cs="华文细黑"/>
                <w:kern w:val="0"/>
                <w:sz w:val="16"/>
                <w:szCs w:val="16"/>
                <w:vertAlign w:val="baseline"/>
                <w:lang w:eastAsia="zh-CN"/>
              </w:rPr>
              <w:t>金总额</w:t>
            </w:r>
            <w:r>
              <w:rPr>
                <w:rFonts w:hint="eastAsia" w:ascii="华文细黑" w:hAnsi="华文细黑" w:eastAsia="华文细黑" w:cs="华文细黑"/>
                <w:kern w:val="0"/>
                <w:sz w:val="16"/>
                <w:szCs w:val="16"/>
                <w:vertAlign w:val="baseline"/>
                <w:lang w:val="en-US" w:eastAsia="zh-CN"/>
              </w:rPr>
              <w:t xml:space="preserve">   </w:t>
            </w:r>
            <w:r>
              <w:rPr>
                <w:rFonts w:hint="eastAsia" w:ascii="华文细黑" w:hAnsi="华文细黑" w:eastAsia="华文细黑" w:cs="华文细黑"/>
                <w:kern w:val="0"/>
                <w:sz w:val="16"/>
                <w:szCs w:val="16"/>
                <w:vertAlign w:val="baseline"/>
                <w:lang w:eastAsia="zh-CN"/>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年度绩效目标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指标解释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143028004-通榆县统计局</w:t>
            </w: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统计调查经费</w:t>
            </w: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18.75</w:t>
            </w: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全年都将严格按照上级统计部门的工作要求，组织实施年度统计调查任务，全面、及时、准确地上报各专业统计报表；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及时发布统计公报，撰写统计分析，编印统计资料；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为社会公众需要和政府决策提供详实统计数据。</w:t>
            </w:r>
          </w:p>
        </w:tc>
        <w:tc>
          <w:tcPr>
            <w:tcW w:w="0" w:type="auto"/>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培训人均成本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反映培训成本控制情况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≤400元/人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0" w:type="auto"/>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0" w:type="auto"/>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0" w:type="auto"/>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形成汇报材料数量</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统计分析、统计专报、经济运行和其他各类汇报材料</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≥3篇</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培训人次</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反映参加培训人员的数量情况。</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≥30人</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0" w:type="auto"/>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人口变动抽样调查调查员补贴发放完成时间</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反应人口抽样调查调查员补贴发放完成时间</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2024年12月31日前</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0" w:type="auto"/>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编印历年县域经济运行的统计年鉴，为党政领导决策提供数据支撑</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编印全县历年经济运行的统计年鉴，为党政领导决策提供数据支撑</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≥60本</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143028004-通榆县统计局</w:t>
            </w:r>
          </w:p>
        </w:tc>
        <w:tc>
          <w:tcPr>
            <w:tcW w:w="0" w:type="auto"/>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第五次全国经济普查经费</w:t>
            </w:r>
          </w:p>
        </w:tc>
        <w:tc>
          <w:tcPr>
            <w:tcW w:w="0" w:type="auto"/>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44.07</w:t>
            </w:r>
          </w:p>
        </w:tc>
        <w:tc>
          <w:tcPr>
            <w:tcW w:w="0" w:type="auto"/>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2024年度，根据《中华人民共和国统计法》《中华人民共和国统计法实施条例》《全国经济普查条例》，同时上半年按照国家、省、市安排部署完成入户登记、数据质量控制及抽查、数据处理、劳务费发放工作；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2024年下半年完成成果发布、普查年鉴编辑和印刷、资料开发应用等工作，为党委、政府决策提供有力的经济数据支撑。</w:t>
            </w:r>
          </w:p>
        </w:tc>
        <w:tc>
          <w:tcPr>
            <w:tcW w:w="0" w:type="auto"/>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成本指标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经济成本指标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社会成本指标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生态环境成本指标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产出指标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数量指标</w:t>
            </w:r>
          </w:p>
        </w:tc>
        <w:tc>
          <w:tcPr>
            <w:tcW w:w="955"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普查员、普查指导员补贴发放人数</w:t>
            </w:r>
          </w:p>
        </w:tc>
        <w:tc>
          <w:tcPr>
            <w:tcW w:w="955"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反映普查员、普查指导员补贴发放人数。</w:t>
            </w:r>
          </w:p>
        </w:tc>
        <w:tc>
          <w:tcPr>
            <w:tcW w:w="85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≥300人</w:t>
            </w:r>
          </w:p>
        </w:tc>
        <w:tc>
          <w:tcPr>
            <w:tcW w:w="0" w:type="auto"/>
            <w:noWrap w:val="0"/>
            <w:vAlign w:val="center"/>
          </w:tcPr>
          <w:p>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rPr>
            </w:pPr>
            <w:r>
              <w:rPr>
                <w:rFonts w:hint="eastAsia" w:ascii="宋体" w:hAnsi="宋体" w:eastAsia="宋体" w:cs="宋体"/>
                <w:i w:val="0"/>
                <w:iCs w:val="0"/>
                <w:color w:val="000000"/>
                <w:kern w:val="0"/>
                <w:sz w:val="16"/>
                <w:szCs w:val="16"/>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质量指标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时效指标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效益指标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经济效益指标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社会效益指标</w:t>
            </w:r>
          </w:p>
        </w:tc>
        <w:tc>
          <w:tcPr>
            <w:tcW w:w="0" w:type="auto"/>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普查员、普查指导员补贴发放覆盖率</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反映普查员、普查指导员补贴发放覆盖率情况。</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=100%</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生态效益指标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满意度指标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服务对象满意度指标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143028004-通榆县统计局</w:t>
            </w:r>
          </w:p>
        </w:tc>
        <w:tc>
          <w:tcPr>
            <w:tcW w:w="0" w:type="auto"/>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全省地方点城乡居民住户调查及专项调查工作经费</w:t>
            </w:r>
          </w:p>
        </w:tc>
        <w:tc>
          <w:tcPr>
            <w:tcW w:w="0" w:type="auto"/>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22.00</w:t>
            </w:r>
          </w:p>
        </w:tc>
        <w:tc>
          <w:tcPr>
            <w:tcW w:w="0" w:type="auto"/>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按照国家统计局住户调查制度，通过召开动员会、培训会等实现全体人员参与完成电子记账有关制度要求，顺利完成数据收集、处理、审核及汇总等，使全部调查户实现电子记账工作；</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同时，根据国家县域经济城镇居民人均可支配收入调查方案和方法制度，制定本地经济县域城镇居民人均可支配收入，科学合理推算城乡居民收支调查数据，确保数据真实可信，有助于政府决策使用；</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按照国家统计局城乡住户抽样调查网点轮换方法制度，对样本轮换采用多主题结合抽样，每年城乡住户调查要轮换50%的记帐；</w:t>
            </w:r>
            <w:r>
              <w:rPr>
                <w:rFonts w:hint="eastAsia" w:asciiTheme="minorEastAsia" w:hAnsiTheme="minorEastAsia" w:eastAsiaTheme="minorEastAsia" w:cstheme="minorEastAsia"/>
                <w:i w:val="0"/>
                <w:iCs w:val="0"/>
                <w:color w:val="000000"/>
                <w:kern w:val="0"/>
                <w:sz w:val="16"/>
                <w:szCs w:val="16"/>
                <w:u w:val="none"/>
                <w:lang w:val="en-US" w:eastAsia="zh-CN" w:bidi="ar"/>
              </w:rPr>
              <w:br w:type="textWrapping"/>
            </w:r>
            <w:r>
              <w:rPr>
                <w:rFonts w:hint="eastAsia" w:asciiTheme="minorEastAsia" w:hAnsiTheme="minorEastAsia" w:eastAsiaTheme="minorEastAsia" w:cstheme="minorEastAsia"/>
                <w:i w:val="0"/>
                <w:iCs w:val="0"/>
                <w:color w:val="000000"/>
                <w:kern w:val="0"/>
                <w:sz w:val="16"/>
                <w:szCs w:val="16"/>
                <w:u w:val="none"/>
                <w:lang w:val="en-US" w:eastAsia="zh-CN" w:bidi="ar"/>
              </w:rPr>
              <w:t>按照国家城乡一体化调查制度要求，完成城乡居民家庭收支抽样调查和新增网点调查任务，在国民经济月报和年度公报中发布城乡住户各项调查数据，方便政府及公民了解使用。</w:t>
            </w:r>
          </w:p>
        </w:tc>
        <w:tc>
          <w:tcPr>
            <w:tcW w:w="0" w:type="auto"/>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成本指标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经济成本指标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社会成本指标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生态环境成本指标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产出指标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数量指标</w:t>
            </w:r>
          </w:p>
        </w:tc>
        <w:tc>
          <w:tcPr>
            <w:tcW w:w="0" w:type="auto"/>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调查员、调查户补助发放人数</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反映发放调查员、调查户补助人数情况。</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≥180人</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质量指标</w:t>
            </w:r>
          </w:p>
        </w:tc>
        <w:tc>
          <w:tcPr>
            <w:tcW w:w="0" w:type="auto"/>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记账补助费发放率</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反映发放记账户、辅助调查员补助费发放率</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0" w:type="auto"/>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时效指标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效益指标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经济效益指标</w:t>
            </w: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社会效益指标</w:t>
            </w:r>
          </w:p>
        </w:tc>
        <w:tc>
          <w:tcPr>
            <w:tcW w:w="955"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为社会提供本县居民现金可支配收入可靠数据</w:t>
            </w:r>
          </w:p>
        </w:tc>
        <w:tc>
          <w:tcPr>
            <w:tcW w:w="955"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反映全省地方点城乡居民现金可支配收入年度报表数据应用率情况。</w:t>
            </w:r>
          </w:p>
        </w:tc>
        <w:tc>
          <w:tcPr>
            <w:tcW w:w="857"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≥1次</w:t>
            </w:r>
          </w:p>
        </w:tc>
        <w:tc>
          <w:tcPr>
            <w:tcW w:w="491"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Pr>
          <w:p>
            <w:pPr>
              <w:spacing w:line="240" w:lineRule="auto"/>
              <w:jc w:val="center"/>
              <w:rPr>
                <w:rFonts w:hint="eastAsia" w:ascii="华文细黑" w:hAnsi="华文细黑" w:eastAsia="华文细黑" w:cs="华文细黑"/>
                <w:kern w:val="0"/>
                <w:sz w:val="20"/>
                <w:szCs w:val="20"/>
                <w:vertAlign w:val="baseline"/>
                <w:lang w:eastAsia="zh-CN"/>
              </w:rPr>
            </w:pPr>
          </w:p>
        </w:tc>
        <w:tc>
          <w:tcPr>
            <w:tcW w:w="0" w:type="auto"/>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生态效益指标</w:t>
            </w:r>
          </w:p>
        </w:tc>
        <w:tc>
          <w:tcPr>
            <w:tcW w:w="0" w:type="auto"/>
          </w:tcPr>
          <w:p>
            <w:pPr>
              <w:spacing w:line="240" w:lineRule="auto"/>
              <w:jc w:val="center"/>
              <w:rPr>
                <w:rFonts w:hint="eastAsia" w:ascii="华文细黑" w:hAnsi="华文细黑" w:eastAsia="华文细黑" w:cs="华文细黑"/>
                <w:kern w:val="0"/>
                <w:sz w:val="20"/>
                <w:szCs w:val="20"/>
                <w:vertAlign w:val="baseline"/>
              </w:rPr>
            </w:pPr>
          </w:p>
        </w:tc>
        <w:tc>
          <w:tcPr>
            <w:tcW w:w="0" w:type="auto"/>
          </w:tcPr>
          <w:p>
            <w:pPr>
              <w:spacing w:line="240" w:lineRule="auto"/>
              <w:jc w:val="center"/>
              <w:rPr>
                <w:rFonts w:hint="eastAsia" w:ascii="华文细黑" w:hAnsi="华文细黑" w:eastAsia="华文细黑" w:cs="华文细黑"/>
                <w:kern w:val="0"/>
                <w:sz w:val="20"/>
                <w:szCs w:val="20"/>
                <w:vertAlign w:val="baseline"/>
              </w:rPr>
            </w:pPr>
          </w:p>
        </w:tc>
        <w:tc>
          <w:tcPr>
            <w:tcW w:w="0" w:type="auto"/>
          </w:tcPr>
          <w:p>
            <w:pPr>
              <w:spacing w:line="240" w:lineRule="auto"/>
              <w:jc w:val="center"/>
              <w:rPr>
                <w:rFonts w:hint="eastAsia" w:ascii="华文细黑" w:hAnsi="华文细黑" w:eastAsia="华文细黑" w:cs="华文细黑"/>
                <w:kern w:val="0"/>
                <w:sz w:val="20"/>
                <w:szCs w:val="20"/>
                <w:vertAlign w:val="baseline"/>
              </w:rPr>
            </w:pPr>
          </w:p>
        </w:tc>
        <w:tc>
          <w:tcPr>
            <w:tcW w:w="0" w:type="auto"/>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0" w:type="auto"/>
            <w:vMerge w:val="continue"/>
            <w:tcBorders>
              <w:left w:val="single" w:color="000000" w:sz="4" w:space="0"/>
              <w:right w:val="single" w:color="000000" w:sz="4" w:space="0"/>
            </w:tcBorders>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tcPr>
          <w:p>
            <w:pPr>
              <w:spacing w:line="240" w:lineRule="auto"/>
              <w:jc w:val="center"/>
              <w:rPr>
                <w:rFonts w:hint="eastAsia" w:ascii="华文细黑" w:hAnsi="华文细黑" w:eastAsia="华文细黑" w:cs="华文细黑"/>
                <w:kern w:val="0"/>
                <w:sz w:val="20"/>
                <w:szCs w:val="20"/>
                <w:vertAlign w:val="baseline"/>
              </w:rPr>
            </w:pPr>
          </w:p>
        </w:tc>
        <w:tc>
          <w:tcPr>
            <w:tcW w:w="0" w:type="auto"/>
            <w:vMerge w:val="continue"/>
            <w:tcBorders>
              <w:left w:val="single" w:color="000000" w:sz="4" w:space="0"/>
              <w:right w:val="single" w:color="000000" w:sz="4" w:space="0"/>
            </w:tcBorders>
          </w:tcPr>
          <w:p>
            <w:pPr>
              <w:spacing w:line="240" w:lineRule="auto"/>
              <w:jc w:val="center"/>
              <w:rPr>
                <w:rFonts w:hint="eastAsia" w:ascii="华文细黑" w:hAnsi="华文细黑" w:eastAsia="华文细黑" w:cs="华文细黑"/>
                <w:kern w:val="0"/>
                <w:sz w:val="20"/>
                <w:szCs w:val="20"/>
                <w:vertAlign w:val="baseline"/>
              </w:rPr>
            </w:pPr>
          </w:p>
        </w:tc>
        <w:tc>
          <w:tcPr>
            <w:tcW w:w="0" w:type="auto"/>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满意度指标</w:t>
            </w:r>
          </w:p>
        </w:tc>
        <w:tc>
          <w:tcPr>
            <w:tcW w:w="0" w:type="auto"/>
            <w:vAlign w:val="center"/>
          </w:tcPr>
          <w:p>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服务对象满意度指标</w:t>
            </w:r>
          </w:p>
        </w:tc>
        <w:tc>
          <w:tcPr>
            <w:tcW w:w="0" w:type="auto"/>
          </w:tcPr>
          <w:p>
            <w:pPr>
              <w:spacing w:line="240" w:lineRule="auto"/>
              <w:jc w:val="center"/>
              <w:rPr>
                <w:rFonts w:hint="eastAsia" w:ascii="华文细黑" w:hAnsi="华文细黑" w:eastAsia="华文细黑" w:cs="华文细黑"/>
                <w:kern w:val="0"/>
                <w:sz w:val="20"/>
                <w:szCs w:val="20"/>
                <w:vertAlign w:val="baseline"/>
              </w:rPr>
            </w:pPr>
          </w:p>
        </w:tc>
        <w:tc>
          <w:tcPr>
            <w:tcW w:w="0" w:type="auto"/>
          </w:tcPr>
          <w:p>
            <w:pPr>
              <w:spacing w:line="240" w:lineRule="auto"/>
              <w:jc w:val="center"/>
              <w:rPr>
                <w:rFonts w:hint="eastAsia" w:ascii="华文细黑" w:hAnsi="华文细黑" w:eastAsia="华文细黑" w:cs="华文细黑"/>
                <w:kern w:val="0"/>
                <w:sz w:val="20"/>
                <w:szCs w:val="20"/>
                <w:vertAlign w:val="baseline"/>
              </w:rPr>
            </w:pPr>
          </w:p>
        </w:tc>
        <w:tc>
          <w:tcPr>
            <w:tcW w:w="0" w:type="auto"/>
          </w:tcPr>
          <w:p>
            <w:pPr>
              <w:spacing w:line="240" w:lineRule="auto"/>
              <w:jc w:val="center"/>
              <w:rPr>
                <w:rFonts w:hint="eastAsia" w:ascii="华文细黑" w:hAnsi="华文细黑" w:eastAsia="华文细黑" w:cs="华文细黑"/>
                <w:kern w:val="0"/>
                <w:sz w:val="20"/>
                <w:szCs w:val="20"/>
                <w:vertAlign w:val="baseline"/>
              </w:rPr>
            </w:pPr>
          </w:p>
        </w:tc>
        <w:tc>
          <w:tcPr>
            <w:tcW w:w="0" w:type="auto"/>
          </w:tcPr>
          <w:p>
            <w:pPr>
              <w:spacing w:line="240" w:lineRule="auto"/>
              <w:jc w:val="center"/>
              <w:rPr>
                <w:rFonts w:hint="eastAsia" w:ascii="华文细黑" w:hAnsi="华文细黑" w:eastAsia="华文细黑" w:cs="华文细黑"/>
                <w:kern w:val="0"/>
                <w:sz w:val="20"/>
                <w:szCs w:val="20"/>
                <w:vertAlign w:val="baseline"/>
              </w:rPr>
            </w:pPr>
          </w:p>
        </w:tc>
      </w:tr>
    </w:tbl>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；支出包括：一般公共服务支出、社会保障和就业支出、</w:t>
      </w:r>
      <w:r>
        <w:rPr>
          <w:rFonts w:hint="eastAsia"/>
          <w:szCs w:val="32"/>
          <w:lang w:eastAsia="zh-CN"/>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240.26</w:t>
      </w:r>
      <w:r>
        <w:rPr>
          <w:szCs w:val="32"/>
        </w:rPr>
        <w:t>万元</w:t>
      </w:r>
      <w:r>
        <w:rPr>
          <w:rFonts w:hint="eastAsia"/>
          <w:szCs w:val="32"/>
          <w:lang w:eastAsia="zh-CN"/>
        </w:rPr>
        <w:t>，其中：本年预算</w:t>
      </w:r>
      <w:r>
        <w:rPr>
          <w:rFonts w:hint="eastAsia"/>
          <w:szCs w:val="32"/>
          <w:lang w:val="en-US" w:eastAsia="zh-CN"/>
        </w:rPr>
        <w:t>232.67</w:t>
      </w:r>
      <w:r>
        <w:rPr>
          <w:rFonts w:hint="eastAsia"/>
          <w:szCs w:val="32"/>
          <w:lang w:eastAsia="zh-CN"/>
        </w:rPr>
        <w:t>万元；上年结转</w:t>
      </w:r>
      <w:r>
        <w:rPr>
          <w:rFonts w:hint="eastAsia"/>
          <w:szCs w:val="32"/>
          <w:lang w:val="en-US" w:eastAsia="zh-CN"/>
        </w:rPr>
        <w:t>7.59</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65.57</w:t>
      </w:r>
      <w:r>
        <w:rPr>
          <w:szCs w:val="32"/>
        </w:rPr>
        <w:t>万元，主要原因是</w:t>
      </w:r>
      <w:r>
        <w:rPr>
          <w:rFonts w:hint="eastAsia"/>
          <w:szCs w:val="32"/>
          <w:lang w:val="en-US" w:eastAsia="zh-CN"/>
        </w:rPr>
        <w:t>2024年较2023年增加了第五次全国经济普查经费</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eastAsia="楷体"/>
          <w:szCs w:val="30"/>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240.26</w:t>
      </w:r>
      <w:r>
        <w:rPr>
          <w:szCs w:val="32"/>
        </w:rPr>
        <w:t>万元，其中：本年收入</w:t>
      </w:r>
      <w:r>
        <w:rPr>
          <w:rFonts w:hint="eastAsia"/>
          <w:szCs w:val="32"/>
          <w:lang w:val="en-US" w:eastAsia="zh-CN"/>
        </w:rPr>
        <w:t>232.67</w:t>
      </w:r>
      <w:r>
        <w:rPr>
          <w:szCs w:val="32"/>
        </w:rPr>
        <w:t>万元，占</w:t>
      </w:r>
      <w:r>
        <w:rPr>
          <w:rFonts w:hint="eastAsia"/>
          <w:szCs w:val="32"/>
          <w:lang w:val="en-US" w:eastAsia="zh-CN"/>
        </w:rPr>
        <w:t>96.84</w:t>
      </w:r>
      <w:r>
        <w:rPr>
          <w:szCs w:val="32"/>
        </w:rPr>
        <w:t>%；上年结转</w:t>
      </w:r>
      <w:r>
        <w:rPr>
          <w:rFonts w:hint="eastAsia"/>
          <w:szCs w:val="32"/>
          <w:lang w:eastAsia="zh-CN"/>
        </w:rPr>
        <w:t>结余</w:t>
      </w:r>
      <w:r>
        <w:rPr>
          <w:rFonts w:hint="eastAsia"/>
          <w:szCs w:val="32"/>
          <w:lang w:val="en-US" w:eastAsia="zh-CN"/>
        </w:rPr>
        <w:t>7.59</w:t>
      </w:r>
      <w:r>
        <w:rPr>
          <w:szCs w:val="32"/>
        </w:rPr>
        <w:t>万元，占</w:t>
      </w:r>
      <w:r>
        <w:rPr>
          <w:rFonts w:hint="eastAsia"/>
          <w:szCs w:val="32"/>
          <w:lang w:val="en-US" w:eastAsia="zh-CN"/>
        </w:rPr>
        <w:t>3.16</w:t>
      </w:r>
      <w:r>
        <w:rPr>
          <w:szCs w:val="32"/>
        </w:rPr>
        <w:t>%。本年收入中，一般公共预算拨款收入</w:t>
      </w:r>
      <w:r>
        <w:rPr>
          <w:rFonts w:hint="eastAsia"/>
          <w:szCs w:val="32"/>
          <w:lang w:val="en-US" w:eastAsia="zh-CN"/>
        </w:rPr>
        <w:t>232.67</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7.59</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240.26</w:t>
      </w:r>
      <w:r>
        <w:rPr>
          <w:szCs w:val="32"/>
        </w:rPr>
        <w:t>万元，其中：基本支出</w:t>
      </w:r>
      <w:r>
        <w:rPr>
          <w:rFonts w:hint="eastAsia"/>
          <w:szCs w:val="32"/>
          <w:lang w:val="en-US" w:eastAsia="zh-CN"/>
        </w:rPr>
        <w:t>155.44</w:t>
      </w:r>
      <w:r>
        <w:rPr>
          <w:szCs w:val="32"/>
        </w:rPr>
        <w:t>万元，占</w:t>
      </w:r>
      <w:r>
        <w:rPr>
          <w:rFonts w:hint="eastAsia"/>
          <w:szCs w:val="32"/>
          <w:lang w:val="en-US" w:eastAsia="zh-CN"/>
        </w:rPr>
        <w:t>64.7</w:t>
      </w:r>
      <w:r>
        <w:rPr>
          <w:szCs w:val="32"/>
        </w:rPr>
        <w:t>%；项目支出</w:t>
      </w:r>
      <w:r>
        <w:rPr>
          <w:rFonts w:hint="eastAsia"/>
          <w:szCs w:val="32"/>
          <w:lang w:val="en-US" w:eastAsia="zh-CN"/>
        </w:rPr>
        <w:t>84.82</w:t>
      </w:r>
      <w:r>
        <w:rPr>
          <w:szCs w:val="32"/>
        </w:rPr>
        <w:t>万元，占</w:t>
      </w:r>
      <w:r>
        <w:rPr>
          <w:rFonts w:hint="eastAsia"/>
          <w:szCs w:val="32"/>
          <w:lang w:val="en-US" w:eastAsia="zh-CN"/>
        </w:rPr>
        <w:t>35.3</w:t>
      </w:r>
      <w:r>
        <w:rPr>
          <w:szCs w:val="32"/>
        </w:rPr>
        <w:t>%</w:t>
      </w:r>
      <w:r>
        <w:rPr>
          <w:rFonts w:hint="eastAsia"/>
          <w:szCs w:val="32"/>
          <w:lang w:eastAsia="zh-CN"/>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240.26</w:t>
      </w:r>
      <w:r>
        <w:rPr>
          <w:szCs w:val="32"/>
        </w:rPr>
        <w:t>万元，其中：</w:t>
      </w:r>
      <w:r>
        <w:rPr>
          <w:rFonts w:hint="eastAsia"/>
          <w:szCs w:val="32"/>
        </w:rPr>
        <w:t>本年</w:t>
      </w:r>
      <w:r>
        <w:rPr>
          <w:rFonts w:hint="eastAsia"/>
          <w:szCs w:val="32"/>
          <w:lang w:eastAsia="zh-CN"/>
        </w:rPr>
        <w:t>预算</w:t>
      </w:r>
      <w:r>
        <w:rPr>
          <w:rFonts w:hint="eastAsia"/>
          <w:szCs w:val="32"/>
          <w:lang w:val="en-US" w:eastAsia="zh-CN"/>
        </w:rPr>
        <w:t>232.67</w:t>
      </w:r>
      <w:r>
        <w:rPr>
          <w:szCs w:val="32"/>
        </w:rPr>
        <w:t>万元</w:t>
      </w:r>
      <w:r>
        <w:rPr>
          <w:rFonts w:hint="eastAsia"/>
          <w:szCs w:val="32"/>
        </w:rPr>
        <w:t>，上年结转</w:t>
      </w:r>
      <w:r>
        <w:rPr>
          <w:rFonts w:hint="eastAsia"/>
          <w:szCs w:val="32"/>
          <w:lang w:val="en-US" w:eastAsia="zh-CN"/>
        </w:rPr>
        <w:t>7.59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199.63</w:t>
      </w:r>
      <w:r>
        <w:rPr>
          <w:szCs w:val="32"/>
        </w:rPr>
        <w:t>万元，</w:t>
      </w:r>
      <w:r>
        <w:rPr>
          <w:kern w:val="0"/>
          <w:szCs w:val="32"/>
        </w:rPr>
        <w:t>社会保障和就业支出</w:t>
      </w:r>
      <w:r>
        <w:rPr>
          <w:rFonts w:hint="eastAsia"/>
          <w:szCs w:val="32"/>
          <w:lang w:val="en-US" w:eastAsia="zh-CN"/>
        </w:rPr>
        <w:t>23.59</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4.25</w:t>
      </w:r>
      <w:r>
        <w:rPr>
          <w:szCs w:val="32"/>
        </w:rPr>
        <w:t>万元，</w:t>
      </w:r>
      <w:r>
        <w:rPr>
          <w:kern w:val="0"/>
          <w:szCs w:val="32"/>
        </w:rPr>
        <w:t>住房保障支出</w:t>
      </w:r>
      <w:r>
        <w:rPr>
          <w:rFonts w:hint="eastAsia"/>
          <w:szCs w:val="32"/>
          <w:lang w:val="en-US" w:eastAsia="zh-CN"/>
        </w:rPr>
        <w:t>12.79</w:t>
      </w:r>
      <w:r>
        <w:rPr>
          <w:szCs w:val="32"/>
        </w:rPr>
        <w:t>万元。</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240.26</w:t>
      </w:r>
      <w:r>
        <w:rPr>
          <w:szCs w:val="32"/>
        </w:rPr>
        <w:t>万元，其中：基本支出</w:t>
      </w:r>
      <w:r>
        <w:rPr>
          <w:rFonts w:hint="eastAsia"/>
          <w:szCs w:val="32"/>
          <w:lang w:val="en-US" w:eastAsia="zh-CN"/>
        </w:rPr>
        <w:t>155..44</w:t>
      </w:r>
      <w:r>
        <w:rPr>
          <w:szCs w:val="32"/>
        </w:rPr>
        <w:t>万元，占</w:t>
      </w:r>
      <w:r>
        <w:rPr>
          <w:rFonts w:hint="eastAsia"/>
          <w:szCs w:val="32"/>
          <w:lang w:val="en-US" w:eastAsia="zh-CN"/>
        </w:rPr>
        <w:t>64.7</w:t>
      </w:r>
      <w:r>
        <w:rPr>
          <w:szCs w:val="32"/>
        </w:rPr>
        <w:t>%；项目支出</w:t>
      </w:r>
      <w:r>
        <w:rPr>
          <w:rFonts w:hint="eastAsia"/>
          <w:szCs w:val="32"/>
          <w:lang w:val="en-US" w:eastAsia="zh-CN"/>
        </w:rPr>
        <w:t>84.82</w:t>
      </w:r>
      <w:r>
        <w:rPr>
          <w:szCs w:val="32"/>
        </w:rPr>
        <w:t>万元，占</w:t>
      </w:r>
      <w:r>
        <w:rPr>
          <w:rFonts w:hint="eastAsia"/>
          <w:szCs w:val="32"/>
          <w:lang w:val="en-US" w:eastAsia="zh-CN"/>
        </w:rPr>
        <w:t>35.3</w:t>
      </w:r>
      <w:r>
        <w:rPr>
          <w:szCs w:val="32"/>
        </w:rPr>
        <w:t>%。基本支出中，人员经费</w:t>
      </w:r>
      <w:r>
        <w:rPr>
          <w:rFonts w:hint="eastAsia"/>
          <w:szCs w:val="32"/>
          <w:lang w:val="en-US" w:eastAsia="zh-CN"/>
        </w:rPr>
        <w:t>132.52</w:t>
      </w:r>
      <w:r>
        <w:rPr>
          <w:szCs w:val="32"/>
        </w:rPr>
        <w:t>万元，占</w:t>
      </w:r>
      <w:r>
        <w:rPr>
          <w:rFonts w:hint="eastAsia"/>
          <w:szCs w:val="32"/>
          <w:lang w:val="en-US" w:eastAsia="zh-CN"/>
        </w:rPr>
        <w:t>85.25</w:t>
      </w:r>
      <w:r>
        <w:rPr>
          <w:szCs w:val="32"/>
        </w:rPr>
        <w:t>%；公用经费</w:t>
      </w:r>
      <w:r>
        <w:rPr>
          <w:rFonts w:hint="eastAsia"/>
          <w:szCs w:val="32"/>
          <w:lang w:val="en-US" w:eastAsia="zh-CN"/>
        </w:rPr>
        <w:t>22.92</w:t>
      </w:r>
      <w:r>
        <w:rPr>
          <w:szCs w:val="32"/>
        </w:rPr>
        <w:t>万元，占</w:t>
      </w:r>
      <w:r>
        <w:rPr>
          <w:rFonts w:hint="eastAsia"/>
          <w:szCs w:val="32"/>
          <w:lang w:val="en-US" w:eastAsia="zh-CN"/>
        </w:rPr>
        <w:t>14.75</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199.63</w:t>
      </w:r>
      <w:r>
        <w:rPr>
          <w:szCs w:val="32"/>
        </w:rPr>
        <w:t>万元，占</w:t>
      </w:r>
      <w:r>
        <w:rPr>
          <w:rFonts w:hint="eastAsia"/>
          <w:szCs w:val="32"/>
          <w:lang w:val="en-US" w:eastAsia="zh-CN"/>
        </w:rPr>
        <w:t>83.09</w:t>
      </w:r>
      <w:r>
        <w:rPr>
          <w:szCs w:val="32"/>
        </w:rPr>
        <w:t>%，主要用于</w:t>
      </w:r>
      <w:r>
        <w:rPr>
          <w:rFonts w:hint="eastAsia"/>
          <w:szCs w:val="32"/>
        </w:rPr>
        <w:t>保障职工工资，维持机关正常运转，完成年度统计工作任务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23.59</w:t>
      </w:r>
      <w:r>
        <w:rPr>
          <w:szCs w:val="32"/>
        </w:rPr>
        <w:t>万元，占</w:t>
      </w:r>
      <w:r>
        <w:rPr>
          <w:rFonts w:hint="eastAsia"/>
          <w:szCs w:val="32"/>
          <w:lang w:val="en-US" w:eastAsia="zh-CN"/>
        </w:rPr>
        <w:t>9.82</w:t>
      </w:r>
      <w:r>
        <w:rPr>
          <w:szCs w:val="32"/>
        </w:rPr>
        <w:t>%，主要用于</w:t>
      </w:r>
      <w:r>
        <w:rPr>
          <w:rFonts w:hint="eastAsia" w:ascii="Times New Roman" w:hAnsi="Times New Roman" w:cs="Times New Roman"/>
          <w:szCs w:val="32"/>
          <w:lang w:eastAsia="zh-CN"/>
        </w:rPr>
        <w:t>保障机关事业单位职工基本养老保险缴费</w:t>
      </w:r>
      <w:r>
        <w:rPr>
          <w:szCs w:val="32"/>
        </w:rPr>
        <w:t>。</w:t>
      </w:r>
    </w:p>
    <w:p>
      <w:pPr>
        <w:spacing w:line="520" w:lineRule="exact"/>
        <w:ind w:firstLine="640" w:firstLineChars="200"/>
        <w:rPr>
          <w:szCs w:val="32"/>
        </w:rPr>
      </w:pPr>
      <w:r>
        <w:rPr>
          <w:rFonts w:hint="eastAsia"/>
          <w:szCs w:val="32"/>
        </w:rPr>
        <w:t>卫生健康（类）支出</w:t>
      </w:r>
      <w:r>
        <w:rPr>
          <w:rFonts w:hint="eastAsia"/>
          <w:szCs w:val="32"/>
          <w:lang w:val="en-US" w:eastAsia="zh-CN"/>
        </w:rPr>
        <w:t>4.25</w:t>
      </w:r>
      <w:r>
        <w:rPr>
          <w:rFonts w:hint="eastAsia"/>
          <w:szCs w:val="32"/>
        </w:rPr>
        <w:t>万元，占</w:t>
      </w:r>
      <w:r>
        <w:rPr>
          <w:rFonts w:hint="eastAsia"/>
          <w:szCs w:val="32"/>
          <w:lang w:val="en-US" w:eastAsia="zh-CN"/>
        </w:rPr>
        <w:t>1.77</w:t>
      </w:r>
      <w:r>
        <w:rPr>
          <w:rFonts w:hint="eastAsia"/>
          <w:szCs w:val="32"/>
        </w:rPr>
        <w:t>%，主要用于缴纳职工医疗保险。</w:t>
      </w:r>
    </w:p>
    <w:p>
      <w:pPr>
        <w:spacing w:line="520" w:lineRule="exact"/>
        <w:ind w:firstLine="640" w:firstLineChars="200"/>
        <w:rPr>
          <w:szCs w:val="32"/>
        </w:rPr>
      </w:pPr>
      <w:r>
        <w:rPr>
          <w:szCs w:val="32"/>
        </w:rPr>
        <w:t>住房保障（类）支出</w:t>
      </w:r>
      <w:r>
        <w:rPr>
          <w:rFonts w:hint="eastAsia"/>
          <w:szCs w:val="32"/>
          <w:lang w:val="en-US" w:eastAsia="zh-CN"/>
        </w:rPr>
        <w:t>12.79</w:t>
      </w:r>
      <w:r>
        <w:rPr>
          <w:szCs w:val="32"/>
        </w:rPr>
        <w:t>万元，占</w:t>
      </w:r>
      <w:r>
        <w:rPr>
          <w:rFonts w:hint="eastAsia"/>
          <w:szCs w:val="32"/>
          <w:lang w:val="en-US" w:eastAsia="zh-CN"/>
        </w:rPr>
        <w:t>5.32</w:t>
      </w:r>
      <w:r>
        <w:rPr>
          <w:szCs w:val="32"/>
        </w:rPr>
        <w:t>%，主要用于</w:t>
      </w:r>
      <w:r>
        <w:rPr>
          <w:rFonts w:hint="eastAsia" w:ascii="Times New Roman" w:hAnsi="Times New Roman" w:cs="Times New Roman"/>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155.44</w:t>
      </w:r>
      <w:r>
        <w:rPr>
          <w:szCs w:val="32"/>
        </w:rPr>
        <w:t>万元，其中：</w:t>
      </w:r>
    </w:p>
    <w:p>
      <w:pPr>
        <w:ind w:firstLine="640" w:firstLineChars="200"/>
        <w:rPr>
          <w:kern w:val="0"/>
          <w:szCs w:val="32"/>
        </w:rPr>
      </w:pPr>
      <w:r>
        <w:rPr>
          <w:szCs w:val="32"/>
        </w:rPr>
        <w:t>人员经费</w:t>
      </w:r>
      <w:r>
        <w:rPr>
          <w:rFonts w:hint="eastAsia"/>
          <w:szCs w:val="32"/>
          <w:lang w:val="en-US" w:eastAsia="zh-CN"/>
        </w:rPr>
        <w:t>132.52</w:t>
      </w:r>
      <w:r>
        <w:rPr>
          <w:szCs w:val="32"/>
        </w:rPr>
        <w:t>万元，主要包括：</w:t>
      </w:r>
      <w:r>
        <w:rPr>
          <w:rFonts w:hint="eastAsia"/>
          <w:szCs w:val="32"/>
        </w:rPr>
        <w:t>基本工资</w:t>
      </w:r>
      <w:r>
        <w:rPr>
          <w:rFonts w:hint="eastAsia"/>
          <w:szCs w:val="32"/>
          <w:lang w:eastAsia="zh-CN"/>
        </w:rPr>
        <w:t>、</w:t>
      </w:r>
      <w:r>
        <w:rPr>
          <w:rFonts w:hint="eastAsia"/>
          <w:szCs w:val="32"/>
        </w:rPr>
        <w:t>津贴补贴</w:t>
      </w:r>
      <w:r>
        <w:rPr>
          <w:rFonts w:hint="eastAsia"/>
          <w:szCs w:val="32"/>
          <w:lang w:eastAsia="zh-CN"/>
        </w:rPr>
        <w:t>、</w:t>
      </w:r>
      <w:r>
        <w:rPr>
          <w:rFonts w:hint="eastAsia"/>
          <w:szCs w:val="32"/>
        </w:rPr>
        <w:t>奖金</w:t>
      </w:r>
      <w:r>
        <w:rPr>
          <w:rFonts w:hint="eastAsia"/>
          <w:szCs w:val="32"/>
          <w:lang w:eastAsia="zh-CN"/>
        </w:rPr>
        <w:t>、</w:t>
      </w:r>
      <w:r>
        <w:rPr>
          <w:rFonts w:hint="eastAsia"/>
          <w:szCs w:val="32"/>
        </w:rPr>
        <w:t>机关事业单位基本养老保险缴费</w:t>
      </w:r>
      <w:r>
        <w:rPr>
          <w:rFonts w:hint="eastAsia"/>
          <w:szCs w:val="32"/>
          <w:lang w:eastAsia="zh-CN"/>
        </w:rPr>
        <w:t>、</w:t>
      </w:r>
      <w:r>
        <w:rPr>
          <w:rFonts w:hint="eastAsia"/>
          <w:szCs w:val="32"/>
        </w:rPr>
        <w:t>职工基本医疗保险缴费</w:t>
      </w:r>
      <w:r>
        <w:rPr>
          <w:rFonts w:hint="eastAsia"/>
          <w:szCs w:val="32"/>
          <w:lang w:eastAsia="zh-CN"/>
        </w:rPr>
        <w:t>、</w:t>
      </w:r>
      <w:r>
        <w:rPr>
          <w:rFonts w:hint="eastAsia"/>
          <w:szCs w:val="32"/>
        </w:rPr>
        <w:t>其他社会保障缴费</w:t>
      </w:r>
      <w:r>
        <w:rPr>
          <w:rFonts w:hint="eastAsia"/>
          <w:szCs w:val="32"/>
          <w:lang w:eastAsia="zh-CN"/>
        </w:rPr>
        <w:t>、</w:t>
      </w:r>
      <w:r>
        <w:rPr>
          <w:rFonts w:hint="eastAsia"/>
          <w:szCs w:val="32"/>
        </w:rPr>
        <w:t>住房公积金</w:t>
      </w:r>
      <w:r>
        <w:rPr>
          <w:rFonts w:hint="eastAsia"/>
          <w:szCs w:val="32"/>
          <w:lang w:eastAsia="zh-CN"/>
        </w:rPr>
        <w:t>、</w:t>
      </w:r>
      <w:r>
        <w:rPr>
          <w:rFonts w:hint="eastAsia"/>
          <w:szCs w:val="32"/>
        </w:rPr>
        <w:t>医疗费</w:t>
      </w:r>
      <w:r>
        <w:rPr>
          <w:rFonts w:hint="eastAsia"/>
          <w:szCs w:val="32"/>
          <w:lang w:eastAsia="zh-CN"/>
        </w:rPr>
        <w:t>、</w:t>
      </w:r>
      <w:r>
        <w:rPr>
          <w:rFonts w:hint="eastAsia"/>
          <w:szCs w:val="32"/>
        </w:rPr>
        <w:t>其他工资福利支出</w:t>
      </w:r>
      <w:r>
        <w:rPr>
          <w:rFonts w:hint="eastAsia"/>
          <w:szCs w:val="32"/>
          <w:lang w:eastAsia="zh-CN"/>
        </w:rPr>
        <w:t>、退休费、其他对个人和家庭的补助</w:t>
      </w:r>
      <w:r>
        <w:rPr>
          <w:kern w:val="0"/>
          <w:szCs w:val="32"/>
        </w:rPr>
        <w:t>。</w:t>
      </w:r>
    </w:p>
    <w:p>
      <w:pPr>
        <w:ind w:firstLine="640" w:firstLineChars="200"/>
        <w:rPr>
          <w:rFonts w:hint="eastAsia"/>
          <w:kern w:val="0"/>
          <w:szCs w:val="32"/>
          <w:lang w:eastAsia="zh-CN"/>
        </w:rPr>
      </w:pPr>
      <w:r>
        <w:rPr>
          <w:kern w:val="0"/>
          <w:szCs w:val="32"/>
        </w:rPr>
        <w:t>公用经费</w:t>
      </w:r>
      <w:r>
        <w:rPr>
          <w:rFonts w:hint="eastAsia"/>
          <w:szCs w:val="32"/>
          <w:lang w:val="en-US" w:eastAsia="zh-CN"/>
        </w:rPr>
        <w:t>22.92</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会议费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jc w:val="both"/>
        <w:rPr>
          <w:rFonts w:hint="eastAsia"/>
          <w:szCs w:val="32"/>
          <w:lang w:val="en-US" w:eastAsia="zh-CN"/>
        </w:rPr>
      </w:pPr>
      <w:r>
        <w:rPr>
          <w:rFonts w:hint="eastAsia"/>
          <w:szCs w:val="32"/>
          <w:lang w:val="en-US" w:eastAsia="zh-CN"/>
        </w:rPr>
        <w:t xml:space="preserve">本单位无一般公共预算拨款。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szCs w:val="32"/>
        </w:rPr>
        <w:t>本</w:t>
      </w:r>
      <w:r>
        <w:rPr>
          <w:rFonts w:hint="eastAsia"/>
          <w:szCs w:val="32"/>
          <w:lang w:eastAsia="zh-CN"/>
        </w:rPr>
        <w:t>单位</w:t>
      </w:r>
      <w:r>
        <w:rPr>
          <w:szCs w:val="32"/>
        </w:rPr>
        <w:t>无政府性基金预算拨款</w:t>
      </w:r>
      <w:r>
        <w:rPr>
          <w:rFonts w:hint="eastAsia"/>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楷体"/>
          <w:szCs w:val="32"/>
        </w:rPr>
      </w:pPr>
      <w:r>
        <w:rPr>
          <w:szCs w:val="32"/>
        </w:rPr>
        <w:t>本</w:t>
      </w:r>
      <w:r>
        <w:rPr>
          <w:rFonts w:hint="eastAsia"/>
          <w:szCs w:val="32"/>
          <w:lang w:eastAsia="zh-CN"/>
        </w:rPr>
        <w:t>单位</w:t>
      </w:r>
      <w:r>
        <w:rPr>
          <w:szCs w:val="32"/>
        </w:rPr>
        <w:t>无</w:t>
      </w:r>
      <w:r>
        <w:rPr>
          <w:rFonts w:hint="eastAsia"/>
          <w:szCs w:val="32"/>
        </w:rPr>
        <w:t>国有资本经营</w:t>
      </w:r>
      <w:r>
        <w:rPr>
          <w:szCs w:val="32"/>
        </w:rPr>
        <w:t>预算拨款</w:t>
      </w:r>
      <w:r>
        <w:rPr>
          <w:rFonts w:hint="eastAsia"/>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通榆县统计局有</w:t>
      </w:r>
      <w:r>
        <w:rPr>
          <w:rFonts w:hint="eastAsia"/>
          <w:szCs w:val="32"/>
          <w:lang w:val="en-US" w:eastAsia="zh-CN"/>
        </w:rPr>
        <w:t>1</w:t>
      </w:r>
      <w:r>
        <w:rPr>
          <w:szCs w:val="32"/>
        </w:rPr>
        <w:t>家行政单位的机关运行经费财政拨款预算</w:t>
      </w:r>
      <w:r>
        <w:rPr>
          <w:rFonts w:hint="eastAsia"/>
          <w:szCs w:val="32"/>
          <w:lang w:val="en-US" w:eastAsia="zh-CN"/>
        </w:rPr>
        <w:t>22.92</w:t>
      </w:r>
      <w:r>
        <w:rPr>
          <w:szCs w:val="32"/>
        </w:rPr>
        <w:t>万元，比20</w:t>
      </w:r>
      <w:r>
        <w:rPr>
          <w:rFonts w:hint="eastAsia"/>
          <w:szCs w:val="32"/>
        </w:rPr>
        <w:t>2</w:t>
      </w:r>
      <w:r>
        <w:rPr>
          <w:rFonts w:hint="eastAsia"/>
          <w:szCs w:val="32"/>
          <w:lang w:val="en-US" w:eastAsia="zh-CN"/>
        </w:rPr>
        <w:t>3</w:t>
      </w:r>
      <w:r>
        <w:rPr>
          <w:szCs w:val="32"/>
        </w:rPr>
        <w:t>年预算</w:t>
      </w:r>
      <w:r>
        <w:rPr>
          <w:rFonts w:hint="eastAsia"/>
          <w:szCs w:val="32"/>
          <w:lang w:val="en-US" w:eastAsia="zh-CN"/>
        </w:rPr>
        <w:t>减少0.84</w:t>
      </w:r>
      <w:r>
        <w:rPr>
          <w:szCs w:val="32"/>
        </w:rPr>
        <w:t>万元，</w:t>
      </w:r>
      <w:r>
        <w:rPr>
          <w:rFonts w:hint="eastAsia"/>
          <w:szCs w:val="32"/>
          <w:lang w:val="en-US" w:eastAsia="zh-CN"/>
        </w:rPr>
        <w:t>下降3.54</w:t>
      </w:r>
      <w:r>
        <w:rPr>
          <w:szCs w:val="32"/>
        </w:rPr>
        <w:t>%</w:t>
      </w:r>
      <w:r>
        <w:rPr>
          <w:rFonts w:hint="eastAsia"/>
          <w:szCs w:val="32"/>
        </w:rPr>
        <w:t>，主要原因是</w:t>
      </w:r>
      <w:r>
        <w:rPr>
          <w:rFonts w:hint="eastAsia"/>
          <w:szCs w:val="32"/>
          <w:lang w:val="en-US" w:eastAsia="zh-CN"/>
        </w:rPr>
        <w:t>2023年4月份退休一名工勤人员</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lang w:eastAsia="zh-CN"/>
        </w:rPr>
        <w:t>本单位无政府采购情况。</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lang w:eastAsia="zh-CN"/>
        </w:rPr>
        <w:t>本单位无国有资产占有使用情况。</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84.82</w:t>
      </w:r>
      <w:r>
        <w:rPr>
          <w:szCs w:val="32"/>
        </w:rPr>
        <w:t>万元，其中：一级项目</w:t>
      </w:r>
      <w:r>
        <w:rPr>
          <w:rFonts w:hint="eastAsia"/>
          <w:szCs w:val="32"/>
          <w:lang w:val="en-US" w:eastAsia="zh-CN"/>
        </w:rPr>
        <w:t>3</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84.82</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3</w:t>
      </w:r>
      <w:r>
        <w:rPr>
          <w:rFonts w:hint="eastAsia" w:ascii="宋体" w:hAnsi="宋体"/>
        </w:rPr>
        <w:t>个项目支出的绩效目标和指标向社会公开，涉及金额</w:t>
      </w:r>
      <w:r>
        <w:rPr>
          <w:rFonts w:hint="eastAsia"/>
          <w:szCs w:val="32"/>
          <w:lang w:val="en-US" w:eastAsia="zh-CN"/>
        </w:rPr>
        <w:t>84.32</w:t>
      </w:r>
      <w:r>
        <w:rPr>
          <w:rFonts w:hint="eastAsia" w:ascii="宋体" w:hAnsi="宋体"/>
        </w:rPr>
        <w:t>万元。</w:t>
      </w:r>
    </w:p>
    <w:p>
      <w:pPr>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F2F2FD0-7722-4DE4-8E0D-13413716C40E}"/>
  </w:font>
  <w:font w:name="黑体">
    <w:panose1 w:val="02010609060101010101"/>
    <w:charset w:val="86"/>
    <w:family w:val="auto"/>
    <w:pitch w:val="default"/>
    <w:sig w:usb0="800002BF" w:usb1="38CF7CFA" w:usb2="00000016" w:usb3="00000000" w:csb0="00040001" w:csb1="00000000"/>
    <w:embedRegular r:id="rId2" w:fontKey="{7E4FE236-CD51-44DE-8124-3C952CC2A2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677D0D2-082A-48D2-B8CD-EB4168D1CACE}"/>
  </w:font>
  <w:font w:name="仿宋_GB2312">
    <w:altName w:val="仿宋"/>
    <w:panose1 w:val="02010609030101010101"/>
    <w:charset w:val="86"/>
    <w:family w:val="modern"/>
    <w:pitch w:val="default"/>
    <w:sig w:usb0="00000000" w:usb1="00000000" w:usb2="00000000" w:usb3="00000000" w:csb0="00040000" w:csb1="00000000"/>
    <w:embedRegular r:id="rId4" w:fontKey="{B472E96E-48CD-44E1-91E0-85567B61ED3D}"/>
  </w:font>
  <w:font w:name="华文细黑">
    <w:panose1 w:val="02010600040101010101"/>
    <w:charset w:val="86"/>
    <w:family w:val="auto"/>
    <w:pitch w:val="default"/>
    <w:sig w:usb0="00000287" w:usb1="080F0000" w:usb2="00000000" w:usb3="00000000" w:csb0="0004009F" w:csb1="DFD70000"/>
    <w:embedRegular r:id="rId5" w:fontKey="{503F19FF-F89F-4214-9663-E747AE6E3F5A}"/>
  </w:font>
  <w:font w:name="方正小标宋简体">
    <w:panose1 w:val="02000000000000000000"/>
    <w:charset w:val="86"/>
    <w:family w:val="auto"/>
    <w:pitch w:val="default"/>
    <w:sig w:usb0="00000001" w:usb1="08000000" w:usb2="00000000" w:usb3="00000000" w:csb0="00040000" w:csb1="00000000"/>
    <w:embedRegular r:id="rId6" w:fontKey="{B5CFB281-2E41-4EA5-A4A1-E253D2F61872}"/>
  </w:font>
  <w:font w:name="楷体_GB2312">
    <w:altName w:val="楷体"/>
    <w:panose1 w:val="02010609030101010101"/>
    <w:charset w:val="86"/>
    <w:family w:val="modern"/>
    <w:pitch w:val="default"/>
    <w:sig w:usb0="00000000" w:usb1="00000000" w:usb2="00000000" w:usb3="00000000" w:csb0="00040000" w:csb1="00000000"/>
    <w:embedRegular r:id="rId7" w:fontKey="{3E6ED4E4-8768-499B-B369-6E4F864A63DD}"/>
  </w:font>
  <w:font w:name="楷体">
    <w:panose1 w:val="02010609060101010101"/>
    <w:charset w:val="86"/>
    <w:family w:val="modern"/>
    <w:pitch w:val="default"/>
    <w:sig w:usb0="800002BF" w:usb1="38CF7CFA" w:usb2="00000016" w:usb3="00000000" w:csb0="00040001" w:csb1="00000000"/>
    <w:embedRegular r:id="rId8" w:fontKey="{4E999FCD-3BD7-4994-809F-824F155FF316}"/>
  </w:font>
  <w:font w:name="仿宋">
    <w:panose1 w:val="02010609060101010101"/>
    <w:charset w:val="86"/>
    <w:family w:val="modern"/>
    <w:pitch w:val="default"/>
    <w:sig w:usb0="800002BF" w:usb1="38CF7CFA" w:usb2="00000016" w:usb3="00000000" w:csb0="00040001" w:csb1="00000000"/>
    <w:embedRegular r:id="rId9" w:fontKey="{E07E168E-08F0-4029-A56B-88C7C1C1C4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54115"/>
    <w:multiLevelType w:val="singleLevel"/>
    <w:tmpl w:val="31854115"/>
    <w:lvl w:ilvl="0" w:tentative="0">
      <w:start w:val="1"/>
      <w:numFmt w:val="decimal"/>
      <w:suff w:val="nothing"/>
      <w:lvlText w:val="%1、"/>
      <w:lvlJc w:val="left"/>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NzI4YjI4ZjZhNzFjMGQ5ZjI5YjA0ZDQ2YmI0ZTk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5EC0C8C"/>
    <w:rsid w:val="063949A0"/>
    <w:rsid w:val="06BD5BC7"/>
    <w:rsid w:val="06F008FF"/>
    <w:rsid w:val="079E5032"/>
    <w:rsid w:val="08344B05"/>
    <w:rsid w:val="09015F14"/>
    <w:rsid w:val="091C5C63"/>
    <w:rsid w:val="09421190"/>
    <w:rsid w:val="09A0082A"/>
    <w:rsid w:val="09F17E11"/>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4E1BFE"/>
    <w:rsid w:val="10AE7F82"/>
    <w:rsid w:val="10BA3961"/>
    <w:rsid w:val="10C93B35"/>
    <w:rsid w:val="11177619"/>
    <w:rsid w:val="112605C8"/>
    <w:rsid w:val="11800917"/>
    <w:rsid w:val="11A6707B"/>
    <w:rsid w:val="11B35B2F"/>
    <w:rsid w:val="11F93B8B"/>
    <w:rsid w:val="12E711B7"/>
    <w:rsid w:val="136D62BD"/>
    <w:rsid w:val="136E4388"/>
    <w:rsid w:val="13C0407D"/>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D77295"/>
    <w:rsid w:val="1CFF4A32"/>
    <w:rsid w:val="1D833200"/>
    <w:rsid w:val="1DE0429F"/>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5269E7"/>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AD1732"/>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AE60F8"/>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2B3557"/>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 w:val="7F5739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10</TotalTime>
  <ScaleCrop>false</ScaleCrop>
  <LinksUpToDate>false</LinksUpToDate>
  <CharactersWithSpaces>10118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2024-02-26T02:10:15Z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CC88B28A71244AB6B5ECFD1D6931408E_13</vt:lpwstr>
  </property>
</Properties>
</file>