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松原市统计局（本级）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1．贯彻执行国家统计方针、政策以及法律、法规，制定全市统计规划及统计调查计划；监督检查统计法律、法规的实施。组织领导全市统计工作，承担确保统计数据真实、准确、及时的责任。</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2．根据国家统一的基本统计制度，建立健全全市国民经济核算体系和统计指标体系，贯彻执行全省统一的基本统计报表制度和统计标准；汇编提供全市国民经济核算资料,监督管理各县（区）统计机关国民经济核算工作。</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3．组织实施重大省情省力普查计划；统一组织协调全市社会经济统计调查；汇总全市的统计资料；对国民经济各行业、科技、资源环境和社会发展等情况进行统计分析、统计预测预警和统计监督，向省局及市委、市政府及有关部门提供统计信息和咨询建议；收集、整理、提供国家及省和外市（州）的统计资料，并进行对比分析和研究。</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4．统一核定、管理、公布全市基本统计资料，定期向社会公众发布全市国民经济和社会发展情况的统计信息。</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5．建立、完善和管理全市统计信息自动化系统和全市统计数据库体系；组织指导各县（区）统计信息化网络和数据库系统建设。</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6．依法管理全市统计调查项目和统计标准，指导专业统计基础工作、统计基层业务基础建设；建立健全统计数据质量审核、监督和评估制度，负责重要统计数据的审核、监控和评估，依法监督和管理涉外调查活动。</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7．负责全市统计系统的干部人事、劳动工资、机构编制和财务经费、审计监督及资产设施管理。</w:t>
      </w:r>
    </w:p>
    <w:p>
      <w:pPr>
        <w:tabs>
          <w:tab w:val="left" w:pos="1692"/>
        </w:tabs>
        <w:ind w:firstLine="640" w:firstLineChars="200"/>
        <w:rPr>
          <w:rFonts w:hint="eastAsia" w:ascii="仿宋" w:hAnsi="仿宋" w:eastAsia="仿宋"/>
          <w:color w:val="000000"/>
          <w:szCs w:val="32"/>
        </w:rPr>
      </w:pPr>
      <w:r>
        <w:rPr>
          <w:rFonts w:hint="eastAsia" w:ascii="仿宋" w:hAnsi="仿宋" w:eastAsia="仿宋"/>
          <w:color w:val="000000"/>
          <w:szCs w:val="32"/>
        </w:rPr>
        <w:t>8．领导局属事业单位。</w:t>
      </w:r>
    </w:p>
    <w:p>
      <w:pPr>
        <w:tabs>
          <w:tab w:val="left" w:pos="1692"/>
        </w:tabs>
        <w:ind w:firstLine="640" w:firstLineChars="200"/>
        <w:rPr>
          <w:rFonts w:ascii="仿宋" w:hAnsi="仿宋" w:eastAsia="仿宋"/>
          <w:color w:val="000000"/>
          <w:szCs w:val="32"/>
        </w:rPr>
      </w:pPr>
      <w:r>
        <w:rPr>
          <w:rFonts w:hint="eastAsia" w:ascii="仿宋" w:hAnsi="仿宋" w:eastAsia="仿宋"/>
          <w:color w:val="000000"/>
          <w:szCs w:val="32"/>
        </w:rPr>
        <w:t>9．承办省统计局和市政府交办的其他事项。</w:t>
      </w:r>
    </w:p>
    <w:p>
      <w:pPr>
        <w:ind w:firstLine="640" w:firstLineChars="200"/>
      </w:pPr>
      <w:r>
        <w:rPr>
          <w:rFonts w:eastAsia="楷体_GB2312"/>
        </w:rPr>
        <w:t>二、机构设置</w:t>
      </w:r>
    </w:p>
    <w:p>
      <w:pPr>
        <w:pStyle w:val="48"/>
        <w:ind w:firstLine="640" w:firstLineChars="200"/>
        <w:rPr>
          <w:rFonts w:hint="eastAsia" w:ascii="仿宋" w:hAnsi="仿宋" w:eastAsia="仿宋"/>
        </w:rPr>
      </w:pPr>
      <w:r>
        <w:rPr>
          <w:rFonts w:ascii="仿宋" w:hAnsi="仿宋" w:eastAsia="仿宋"/>
        </w:rPr>
        <w:t>根据上述职责，</w:t>
      </w:r>
      <w:r>
        <w:rPr>
          <w:rFonts w:hint="eastAsia" w:ascii="仿宋" w:hAnsi="仿宋" w:eastAsia="仿宋"/>
        </w:rPr>
        <w:t>松原市统计局</w:t>
      </w:r>
      <w:r>
        <w:rPr>
          <w:rFonts w:ascii="仿宋" w:hAnsi="仿宋" w:eastAsia="仿宋"/>
        </w:rPr>
        <w:t>内设</w:t>
      </w:r>
      <w:r>
        <w:rPr>
          <w:rFonts w:hint="eastAsia" w:ascii="仿宋" w:hAnsi="仿宋" w:eastAsia="仿宋"/>
        </w:rPr>
        <w:t>8</w:t>
      </w:r>
      <w:r>
        <w:rPr>
          <w:rFonts w:ascii="仿宋" w:hAnsi="仿宋" w:eastAsia="仿宋"/>
        </w:rPr>
        <w:t>个机构，分别为</w:t>
      </w:r>
      <w:r>
        <w:rPr>
          <w:rFonts w:hint="eastAsia" w:ascii="仿宋" w:hAnsi="仿宋" w:eastAsia="仿宋"/>
        </w:rPr>
        <w:t>办公室、国民经济综合核算与法规科、工业交通与能源统计科、农业贸易与服务业统计科、固定资产投资统计科、人口与就业社会科技统计科、人事监察科、机关党总支。</w:t>
      </w:r>
    </w:p>
    <w:p>
      <w:pPr>
        <w:pStyle w:val="48"/>
        <w:ind w:firstLine="640" w:firstLineChars="200"/>
        <w:rPr>
          <w:rFonts w:hint="default" w:ascii="仿宋" w:hAnsi="仿宋" w:eastAsia="仿宋"/>
          <w:lang w:val="en-US" w:eastAsia="zh-CN"/>
        </w:rPr>
      </w:pPr>
      <w:r>
        <w:rPr>
          <w:rFonts w:hint="eastAsia" w:ascii="仿宋" w:hAnsi="仿宋" w:eastAsia="仿宋"/>
          <w:lang w:val="en-US" w:eastAsia="zh-CN"/>
        </w:rPr>
        <w:t>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449"/>
        <w:gridCol w:w="1049"/>
        <w:gridCol w:w="1182"/>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449"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9"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469.67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455.17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14.50</w:t>
            </w:r>
          </w:p>
        </w:tc>
        <w:tc>
          <w:tcPr>
            <w:tcW w:w="1449"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val="en-US" w:eastAsia="zh-CN"/>
              </w:rPr>
              <w:t xml:space="preserve">  一、一般公共服务支出</w:t>
            </w: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379.62</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rPr>
            </w:pPr>
            <w:r>
              <w:rPr>
                <w:rFonts w:hint="eastAsia" w:eastAsia="宋体"/>
                <w:color w:val="000000"/>
                <w:kern w:val="0"/>
                <w:sz w:val="20"/>
                <w:lang w:val="en-US" w:eastAsia="zh-CN"/>
              </w:rPr>
              <w:t>365.12</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14.50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469.67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455.17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14.50</w:t>
            </w:r>
          </w:p>
        </w:tc>
        <w:tc>
          <w:tcPr>
            <w:tcW w:w="1449" w:type="dxa"/>
            <w:tcBorders>
              <w:top w:val="nil"/>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eastAsia="宋体"/>
                <w:color w:val="000000"/>
                <w:kern w:val="0"/>
                <w:sz w:val="20"/>
              </w:rPr>
            </w:pPr>
            <w:r>
              <w:rPr>
                <w:rFonts w:hint="eastAsia" w:eastAsia="宋体"/>
                <w:color w:val="000000"/>
                <w:kern w:val="0"/>
                <w:sz w:val="20"/>
                <w:lang w:val="en-US" w:eastAsia="zh-CN"/>
              </w:rPr>
              <w:t>二、社会保障和就业支出</w:t>
            </w:r>
          </w:p>
        </w:tc>
        <w:tc>
          <w:tcPr>
            <w:tcW w:w="1049"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48.07</w:t>
            </w:r>
          </w:p>
        </w:tc>
        <w:tc>
          <w:tcPr>
            <w:tcW w:w="1182" w:type="dxa"/>
            <w:tcBorders>
              <w:top w:val="nil"/>
              <w:left w:val="nil"/>
              <w:bottom w:val="single" w:color="auto" w:sz="4" w:space="0"/>
              <w:right w:val="single" w:color="auto" w:sz="4" w:space="0"/>
            </w:tcBorders>
            <w:noWrap w:val="0"/>
            <w:vAlign w:val="center"/>
          </w:tcPr>
          <w:p>
            <w:pPr>
              <w:autoSpaceDN w:val="0"/>
              <w:jc w:val="center"/>
              <w:textAlignment w:val="center"/>
              <w:rPr>
                <w:rFonts w:eastAsia="宋体"/>
                <w:kern w:val="0"/>
                <w:sz w:val="20"/>
              </w:rPr>
            </w:pPr>
            <w:r>
              <w:rPr>
                <w:rFonts w:hint="eastAsia" w:eastAsia="宋体"/>
                <w:color w:val="000000"/>
                <w:kern w:val="0"/>
                <w:sz w:val="20"/>
                <w:lang w:val="en-US" w:eastAsia="zh-CN"/>
              </w:rPr>
              <w:t>48.07</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val="en-US" w:eastAsia="zh-CN"/>
              </w:rPr>
              <w:t xml:space="preserve">  三、卫生健康支出</w:t>
            </w:r>
          </w:p>
        </w:tc>
        <w:tc>
          <w:tcPr>
            <w:tcW w:w="1049"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11.02</w:t>
            </w:r>
          </w:p>
        </w:tc>
        <w:tc>
          <w:tcPr>
            <w:tcW w:w="1182" w:type="dxa"/>
            <w:tcBorders>
              <w:top w:val="nil"/>
              <w:left w:val="nil"/>
              <w:bottom w:val="single" w:color="auto" w:sz="4" w:space="0"/>
              <w:right w:val="single" w:color="auto" w:sz="4" w:space="0"/>
            </w:tcBorders>
            <w:noWrap w:val="0"/>
            <w:vAlign w:val="center"/>
          </w:tcPr>
          <w:p>
            <w:pPr>
              <w:autoSpaceDN w:val="0"/>
              <w:jc w:val="center"/>
              <w:textAlignment w:val="center"/>
              <w:rPr>
                <w:rFonts w:eastAsia="宋体"/>
                <w:kern w:val="0"/>
                <w:sz w:val="20"/>
              </w:rPr>
            </w:pPr>
            <w:r>
              <w:rPr>
                <w:rFonts w:hint="eastAsia" w:eastAsia="宋体"/>
                <w:color w:val="000000"/>
                <w:kern w:val="0"/>
                <w:sz w:val="20"/>
                <w:lang w:val="en-US" w:eastAsia="zh-CN"/>
              </w:rPr>
              <w:t>11.02</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val="en-US" w:eastAsia="zh-CN"/>
              </w:rPr>
              <w:t xml:space="preserve">  四、住房保障支出</w:t>
            </w:r>
          </w:p>
        </w:tc>
        <w:tc>
          <w:tcPr>
            <w:tcW w:w="1049"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30.96</w:t>
            </w:r>
          </w:p>
        </w:tc>
        <w:tc>
          <w:tcPr>
            <w:tcW w:w="1182" w:type="dxa"/>
            <w:tcBorders>
              <w:top w:val="nil"/>
              <w:left w:val="nil"/>
              <w:bottom w:val="single" w:color="auto" w:sz="4" w:space="0"/>
              <w:right w:val="single" w:color="auto" w:sz="4" w:space="0"/>
            </w:tcBorders>
            <w:noWrap w:val="0"/>
            <w:vAlign w:val="center"/>
          </w:tcPr>
          <w:p>
            <w:pPr>
              <w:autoSpaceDN w:val="0"/>
              <w:jc w:val="center"/>
              <w:textAlignment w:val="center"/>
              <w:rPr>
                <w:rFonts w:eastAsia="宋体"/>
                <w:kern w:val="0"/>
                <w:sz w:val="20"/>
              </w:rPr>
            </w:pPr>
            <w:r>
              <w:rPr>
                <w:rFonts w:hint="eastAsia" w:eastAsia="宋体"/>
                <w:color w:val="000000"/>
                <w:kern w:val="0"/>
                <w:sz w:val="20"/>
                <w:lang w:val="en-US" w:eastAsia="zh-CN"/>
              </w:rPr>
              <w:t>30.96</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449"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049"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469.67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455.17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14.50</w:t>
            </w: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b/>
                <w:bCs/>
                <w:kern w:val="0"/>
                <w:sz w:val="20"/>
                <w:lang w:val="en-US" w:eastAsia="zh-CN"/>
              </w:rPr>
            </w:pPr>
            <w:r>
              <w:rPr>
                <w:rFonts w:eastAsia="宋体"/>
                <w:b/>
                <w:bCs/>
                <w:kern w:val="0"/>
                <w:sz w:val="20"/>
              </w:rPr>
              <w:t>本年支出</w:t>
            </w:r>
            <w:r>
              <w:rPr>
                <w:rFonts w:hint="eastAsia" w:eastAsia="宋体"/>
                <w:b/>
                <w:bCs/>
                <w:kern w:val="0"/>
                <w:sz w:val="20"/>
                <w:lang w:val="en-US" w:eastAsia="zh-CN"/>
              </w:rPr>
              <w:t xml:space="preserve"> </w:t>
            </w:r>
          </w:p>
          <w:p>
            <w:pPr>
              <w:widowControl/>
              <w:jc w:val="center"/>
              <w:rPr>
                <w:rFonts w:eastAsia="宋体"/>
                <w:b/>
                <w:bCs/>
                <w:kern w:val="0"/>
                <w:sz w:val="20"/>
              </w:rPr>
            </w:pPr>
            <w:r>
              <w:rPr>
                <w:rFonts w:hint="eastAsia" w:eastAsia="宋体"/>
                <w:b/>
                <w:bCs/>
                <w:kern w:val="0"/>
                <w:sz w:val="20"/>
                <w:lang w:val="en-US" w:eastAsia="zh-CN"/>
              </w:rPr>
              <w:t xml:space="preserve"> </w:t>
            </w:r>
            <w:r>
              <w:rPr>
                <w:rFonts w:eastAsia="宋体"/>
                <w:b/>
                <w:bCs/>
                <w:kern w:val="0"/>
                <w:sz w:val="20"/>
              </w:rPr>
              <w:t>合计</w:t>
            </w: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val="0"/>
                <w:bCs w:val="0"/>
                <w:kern w:val="0"/>
                <w:sz w:val="20"/>
                <w:lang w:val="en-US" w:eastAsia="zh-CN"/>
              </w:rPr>
              <w:t>469.67</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455.17</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14.50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eastAsia="宋体"/>
                <w:kern w:val="0"/>
                <w:sz w:val="20"/>
              </w:rPr>
              <w:t>结转下年</w:t>
            </w:r>
            <w:r>
              <w:rPr>
                <w:rFonts w:hint="eastAsia" w:eastAsia="宋体"/>
                <w:kern w:val="0"/>
                <w:sz w:val="20"/>
                <w:lang w:val="en-US" w:eastAsia="zh-CN"/>
              </w:rPr>
              <w:t xml:space="preserve"> </w:t>
            </w:r>
          </w:p>
          <w:p>
            <w:pPr>
              <w:widowControl/>
              <w:jc w:val="center"/>
              <w:rPr>
                <w:rFonts w:eastAsia="宋体"/>
                <w:kern w:val="0"/>
                <w:sz w:val="20"/>
              </w:rPr>
            </w:pPr>
            <w:r>
              <w:rPr>
                <w:rFonts w:hint="eastAsia" w:eastAsia="宋体"/>
                <w:kern w:val="0"/>
                <w:sz w:val="20"/>
                <w:lang w:val="en-US" w:eastAsia="zh-CN"/>
              </w:rPr>
              <w:t xml:space="preserve"> </w:t>
            </w:r>
            <w:r>
              <w:rPr>
                <w:rFonts w:hint="eastAsia" w:eastAsia="宋体"/>
                <w:kern w:val="0"/>
                <w:sz w:val="20"/>
              </w:rPr>
              <w:t>支出</w:t>
            </w: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5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469.67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455.17</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14.50</w:t>
            </w:r>
          </w:p>
        </w:tc>
        <w:tc>
          <w:tcPr>
            <w:tcW w:w="14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04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lang w:val="en-US" w:eastAsia="zh-CN" w:bidi="ar-SA"/>
              </w:rPr>
            </w:pPr>
            <w:r>
              <w:rPr>
                <w:rFonts w:hint="eastAsia" w:eastAsia="宋体"/>
                <w:b w:val="0"/>
                <w:bCs w:val="0"/>
                <w:kern w:val="0"/>
                <w:sz w:val="20"/>
                <w:lang w:val="en-US" w:eastAsia="zh-CN"/>
              </w:rPr>
              <w:t>469.67</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455.17</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14.50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126" w:type="dxa"/>
        <w:jc w:val="center"/>
        <w:tblLayout w:type="fixed"/>
        <w:tblCellMar>
          <w:top w:w="0" w:type="dxa"/>
          <w:left w:w="108" w:type="dxa"/>
          <w:bottom w:w="0" w:type="dxa"/>
          <w:right w:w="108" w:type="dxa"/>
        </w:tblCellMar>
      </w:tblPr>
      <w:tblGrid>
        <w:gridCol w:w="938"/>
        <w:gridCol w:w="812"/>
        <w:gridCol w:w="812"/>
        <w:gridCol w:w="812"/>
        <w:gridCol w:w="812"/>
        <w:gridCol w:w="365"/>
        <w:gridCol w:w="365"/>
        <w:gridCol w:w="365"/>
        <w:gridCol w:w="365"/>
        <w:gridCol w:w="355"/>
        <w:gridCol w:w="10"/>
        <w:gridCol w:w="236"/>
        <w:gridCol w:w="129"/>
        <w:gridCol w:w="369"/>
        <w:gridCol w:w="700"/>
        <w:gridCol w:w="701"/>
        <w:gridCol w:w="495"/>
        <w:gridCol w:w="495"/>
        <w:gridCol w:w="495"/>
        <w:gridCol w:w="495"/>
      </w:tblGrid>
      <w:tr>
        <w:tblPrEx>
          <w:tblCellMar>
            <w:top w:w="0" w:type="dxa"/>
            <w:left w:w="108" w:type="dxa"/>
            <w:bottom w:w="0" w:type="dxa"/>
            <w:right w:w="108" w:type="dxa"/>
          </w:tblCellMar>
        </w:tblPrEx>
        <w:trPr>
          <w:trHeight w:val="335" w:hRule="atLeast"/>
          <w:jc w:val="center"/>
        </w:trPr>
        <w:tc>
          <w:tcPr>
            <w:tcW w:w="938" w:type="dxa"/>
            <w:tcBorders>
              <w:bottom w:val="single" w:color="000000" w:sz="4" w:space="0"/>
            </w:tcBorders>
            <w:noWrap w:val="0"/>
            <w:vAlign w:val="top"/>
          </w:tcPr>
          <w:p>
            <w:pPr>
              <w:autoSpaceDN w:val="0"/>
              <w:jc w:val="left"/>
              <w:textAlignment w:val="center"/>
              <w:rPr>
                <w:rFonts w:eastAsia="华文细黑"/>
                <w:color w:val="000000"/>
                <w:sz w:val="20"/>
              </w:rPr>
            </w:pPr>
          </w:p>
        </w:tc>
        <w:tc>
          <w:tcPr>
            <w:tcW w:w="4708"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601"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401" w:type="dxa"/>
            <w:gridSpan w:val="2"/>
            <w:noWrap w:val="0"/>
            <w:vAlign w:val="center"/>
          </w:tcPr>
          <w:p>
            <w:pPr>
              <w:autoSpaceDN w:val="0"/>
              <w:jc w:val="left"/>
              <w:textAlignment w:val="center"/>
              <w:rPr>
                <w:rFonts w:eastAsia="华文细黑"/>
                <w:color w:val="000000"/>
                <w:sz w:val="20"/>
              </w:rPr>
            </w:pPr>
          </w:p>
        </w:tc>
        <w:tc>
          <w:tcPr>
            <w:tcW w:w="495" w:type="dxa"/>
            <w:noWrap w:val="0"/>
            <w:vAlign w:val="bottom"/>
          </w:tcPr>
          <w:p>
            <w:pPr>
              <w:autoSpaceDN w:val="0"/>
              <w:jc w:val="right"/>
              <w:textAlignment w:val="bottom"/>
              <w:rPr>
                <w:rFonts w:eastAsia="宋体"/>
                <w:color w:val="000000"/>
                <w:sz w:val="20"/>
              </w:rPr>
            </w:pPr>
          </w:p>
        </w:tc>
        <w:tc>
          <w:tcPr>
            <w:tcW w:w="1485"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938"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w:t>
            </w:r>
          </w:p>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名称</w:t>
            </w:r>
          </w:p>
        </w:tc>
        <w:tc>
          <w:tcPr>
            <w:tcW w:w="812"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995"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381" w:type="dxa"/>
            <w:gridSpan w:val="6"/>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938"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2"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1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989"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36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29"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91"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99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938"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2"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1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1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812"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gridSpan w:val="3"/>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938"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sz w:val="20"/>
                <w:shd w:val="clear" w:color="auto" w:fill="FFFFFF"/>
              </w:rPr>
            </w:pPr>
            <w:r>
              <w:rPr>
                <w:rFonts w:hint="eastAsia" w:eastAsia="宋体"/>
                <w:color w:val="000000"/>
                <w:sz w:val="20"/>
              </w:rPr>
              <w:t>松原市统计局（本级）</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469.67</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455.17</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455.17</w:t>
            </w:r>
          </w:p>
        </w:tc>
        <w:tc>
          <w:tcPr>
            <w:tcW w:w="8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455.17</w:t>
            </w: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14.50</w:t>
            </w: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14.50</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93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93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93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93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469.67</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455.17</w:t>
            </w:r>
          </w:p>
        </w:tc>
        <w:tc>
          <w:tcPr>
            <w:tcW w:w="8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455.17</w:t>
            </w:r>
          </w:p>
        </w:tc>
        <w:tc>
          <w:tcPr>
            <w:tcW w:w="8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455.17</w:t>
            </w: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14.50</w:t>
            </w: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14.50</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r>
        <w:rPr>
          <w:rFonts w:hAnsi="楷体" w:eastAsia="楷体"/>
        </w:rPr>
        <w:br w:type="page"/>
      </w:r>
    </w:p>
    <w:tbl>
      <w:tblPr>
        <w:tblStyle w:val="9"/>
        <w:tblW w:w="10200" w:type="dxa"/>
        <w:jc w:val="center"/>
        <w:tblLayout w:type="fixed"/>
        <w:tblCellMar>
          <w:top w:w="0" w:type="dxa"/>
          <w:left w:w="108" w:type="dxa"/>
          <w:bottom w:w="0" w:type="dxa"/>
          <w:right w:w="108" w:type="dxa"/>
        </w:tblCellMar>
      </w:tblPr>
      <w:tblGrid>
        <w:gridCol w:w="10200"/>
      </w:tblGrid>
      <w:tr>
        <w:tblPrEx>
          <w:tblCellMar>
            <w:top w:w="0" w:type="dxa"/>
            <w:left w:w="108" w:type="dxa"/>
            <w:bottom w:w="0" w:type="dxa"/>
            <w:right w:w="108" w:type="dxa"/>
          </w:tblCellMar>
        </w:tblPrEx>
        <w:trPr>
          <w:trHeight w:val="11395" w:hRule="atLeast"/>
          <w:jc w:val="center"/>
        </w:trPr>
        <w:tc>
          <w:tcPr>
            <w:tcW w:w="10200"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077" w:type="dxa"/>
              <w:tblInd w:w="445" w:type="dxa"/>
              <w:tblLayout w:type="fixed"/>
              <w:tblCellMar>
                <w:top w:w="15" w:type="dxa"/>
                <w:left w:w="15" w:type="dxa"/>
                <w:bottom w:w="15" w:type="dxa"/>
                <w:right w:w="15" w:type="dxa"/>
              </w:tblCellMar>
            </w:tblPr>
            <w:tblGrid>
              <w:gridCol w:w="3641"/>
              <w:gridCol w:w="915"/>
              <w:gridCol w:w="5"/>
              <w:gridCol w:w="920"/>
              <w:gridCol w:w="920"/>
              <w:gridCol w:w="892"/>
              <w:gridCol w:w="462"/>
              <w:gridCol w:w="430"/>
              <w:gridCol w:w="892"/>
            </w:tblGrid>
            <w:tr>
              <w:tblPrEx>
                <w:tblCellMar>
                  <w:top w:w="15" w:type="dxa"/>
                  <w:left w:w="15" w:type="dxa"/>
                  <w:bottom w:w="15" w:type="dxa"/>
                  <w:right w:w="15" w:type="dxa"/>
                </w:tblCellMar>
              </w:tblPrEx>
              <w:trPr>
                <w:trHeight w:val="474" w:hRule="atLeast"/>
              </w:trPr>
              <w:tc>
                <w:tcPr>
                  <w:tcW w:w="6401" w:type="dxa"/>
                  <w:gridSpan w:val="5"/>
                  <w:tcBorders>
                    <w:bottom w:val="single" w:color="000000" w:sz="4" w:space="0"/>
                  </w:tcBorders>
                  <w:noWrap w:val="0"/>
                  <w:vAlign w:val="center"/>
                </w:tcPr>
                <w:p>
                  <w:pPr>
                    <w:widowControl/>
                    <w:jc w:val="left"/>
                    <w:rPr>
                      <w:rFonts w:eastAsia="华文细黑"/>
                      <w:color w:val="000000"/>
                      <w:kern w:val="0"/>
                      <w:sz w:val="20"/>
                    </w:rPr>
                  </w:pPr>
                </w:p>
              </w:tc>
              <w:tc>
                <w:tcPr>
                  <w:tcW w:w="892" w:type="dxa"/>
                  <w:tcBorders>
                    <w:bottom w:val="single" w:color="000000" w:sz="4" w:space="0"/>
                  </w:tcBorders>
                  <w:noWrap w:val="0"/>
                  <w:vAlign w:val="center"/>
                </w:tcPr>
                <w:p>
                  <w:pPr>
                    <w:widowControl/>
                    <w:jc w:val="right"/>
                    <w:rPr>
                      <w:rFonts w:eastAsia="华文细黑"/>
                      <w:color w:val="000000"/>
                      <w:kern w:val="0"/>
                      <w:sz w:val="20"/>
                    </w:rPr>
                  </w:pPr>
                </w:p>
              </w:tc>
              <w:tc>
                <w:tcPr>
                  <w:tcW w:w="462" w:type="dxa"/>
                  <w:tcBorders>
                    <w:bottom w:val="single" w:color="000000" w:sz="4" w:space="0"/>
                  </w:tcBorders>
                  <w:noWrap w:val="0"/>
                  <w:vAlign w:val="center"/>
                </w:tcPr>
                <w:p>
                  <w:pPr>
                    <w:widowControl/>
                    <w:jc w:val="right"/>
                    <w:rPr>
                      <w:rFonts w:eastAsia="华文细黑"/>
                      <w:color w:val="000000"/>
                      <w:kern w:val="0"/>
                      <w:sz w:val="20"/>
                    </w:rPr>
                  </w:pPr>
                </w:p>
              </w:tc>
              <w:tc>
                <w:tcPr>
                  <w:tcW w:w="1322"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507" w:hRule="atLeast"/>
              </w:trPr>
              <w:tc>
                <w:tcPr>
                  <w:tcW w:w="3641"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15"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24"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379.62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304.82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74.80</w:t>
                  </w: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05"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统计信息事务</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379.62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304.82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74.80</w:t>
                  </w: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0"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olor w:val="000000"/>
                      <w:kern w:val="0"/>
                      <w:sz w:val="20"/>
                    </w:rPr>
                    <w:t xml:space="preserve">     行政运行</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304.82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304.82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4"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一般行政管理事务</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56.08</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56.08</w:t>
                  </w: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0"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hint="eastAsia"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专项普查活动</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18.72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18.72</w:t>
                  </w: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4"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olor w:val="000000"/>
                      <w:kern w:val="0"/>
                      <w:sz w:val="20"/>
                    </w:rPr>
                    <w:t>二、</w:t>
                  </w:r>
                  <w:r>
                    <w:rPr>
                      <w:rFonts w:hint="eastAsia" w:ascii="宋体" w:hAnsi="宋体" w:eastAsia="宋体"/>
                      <w:color w:val="000000"/>
                      <w:kern w:val="0"/>
                      <w:sz w:val="20"/>
                    </w:rPr>
                    <w:t>社会保障和就业支出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48.07</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48.07</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49"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ind w:left="299" w:leftChars="31" w:hanging="200" w:hangingChars="100"/>
                    <w:jc w:val="left"/>
                    <w:rPr>
                      <w:rFonts w:eastAsia="宋体"/>
                      <w:color w:val="000000"/>
                      <w:kern w:val="0"/>
                      <w:sz w:val="20"/>
                    </w:rPr>
                  </w:pPr>
                  <w:r>
                    <w:rPr>
                      <w:rFonts w:hint="eastAsia"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hint="eastAsia" w:ascii="宋体" w:hAnsi="宋体" w:eastAsia="宋体"/>
                      <w:color w:val="000000"/>
                      <w:kern w:val="0"/>
                      <w:sz w:val="20"/>
                    </w:rPr>
                    <w:t>行政事业单位养老支出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48.07</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48.07</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olor w:val="000000"/>
                      <w:kern w:val="0"/>
                      <w:sz w:val="20"/>
                    </w:rPr>
                    <w:t xml:space="preserve">    行政单位离退休</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0"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ind w:left="500" w:leftChars="0" w:hanging="500" w:hangingChars="250"/>
                    <w:rPr>
                      <w:rFonts w:eastAsia="华文细黑"/>
                      <w:color w:val="000000"/>
                      <w:kern w:val="0"/>
                      <w:sz w:val="20"/>
                    </w:rPr>
                  </w:pPr>
                  <w:r>
                    <w:rPr>
                      <w:rFonts w:hint="eastAsia" w:ascii="宋体" w:hAnsi="宋体" w:eastAsia="宋体"/>
                      <w:color w:val="000000"/>
                      <w:kern w:val="0"/>
                      <w:sz w:val="20"/>
                    </w:rPr>
                    <w:t xml:space="preserve">    机关事业单位基本养老保险缴费支出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33.95</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33.95</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olor w:val="000000"/>
                      <w:kern w:val="0"/>
                      <w:sz w:val="20"/>
                      <w:lang w:val="en-US" w:eastAsia="zh-CN"/>
                    </w:rPr>
                    <w:t>三</w:t>
                  </w:r>
                  <w:r>
                    <w:rPr>
                      <w:rFonts w:hint="eastAsia" w:ascii="宋体" w:hAnsi="宋体" w:eastAsia="宋体"/>
                      <w:color w:val="000000"/>
                      <w:kern w:val="0"/>
                      <w:sz w:val="20"/>
                    </w:rPr>
                    <w:t>、卫生健康支出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9"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olor w:val="000000"/>
                      <w:kern w:val="0"/>
                      <w:sz w:val="20"/>
                    </w:rPr>
                    <w:t xml:space="preserve">   行政事业单位医疗</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0"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olor w:val="000000"/>
                      <w:kern w:val="0"/>
                      <w:sz w:val="20"/>
                    </w:rPr>
                    <w:t xml:space="preserve">     行政单位医疗</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5"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olor w:val="000000"/>
                      <w:kern w:val="0"/>
                      <w:sz w:val="20"/>
                      <w:lang w:val="en-US" w:eastAsia="zh-CN"/>
                    </w:rPr>
                    <w:t>四</w:t>
                  </w:r>
                  <w:r>
                    <w:rPr>
                      <w:rFonts w:hint="eastAsia" w:ascii="宋体" w:hAnsi="宋体" w:eastAsia="宋体"/>
                      <w:color w:val="000000"/>
                      <w:kern w:val="0"/>
                      <w:sz w:val="20"/>
                    </w:rPr>
                    <w:t>、住房保障支出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30.96</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olor w:val="000000"/>
                      <w:kern w:val="0"/>
                      <w:sz w:val="20"/>
                    </w:rPr>
                    <w:t xml:space="preserve">      住房改革支出</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30.96</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eastAsia="华文细黑"/>
                      <w:color w:val="000000"/>
                      <w:kern w:val="0"/>
                      <w:sz w:val="20"/>
                      <w:lang w:val="en-US" w:eastAsia="zh-CN"/>
                    </w:rPr>
                  </w:pPr>
                  <w:r>
                    <w:rPr>
                      <w:rFonts w:hint="eastAsia" w:ascii="宋体" w:hAnsi="宋体" w:eastAsia="宋体" w:cs="宋体"/>
                      <w:color w:val="000000"/>
                      <w:kern w:val="0"/>
                      <w:sz w:val="20"/>
                      <w:lang w:val="en-US" w:eastAsia="zh-CN"/>
                    </w:rPr>
                    <w:t>住房公积金</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30.96</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9" w:hRule="atLeast"/>
              </w:trPr>
              <w:tc>
                <w:tcPr>
                  <w:tcW w:w="3641"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合计</w:t>
                  </w:r>
                </w:p>
              </w:tc>
              <w:tc>
                <w:tcPr>
                  <w:tcW w:w="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469.67</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394.87</w:t>
                  </w:r>
                </w:p>
              </w:tc>
              <w:tc>
                <w:tcPr>
                  <w:tcW w:w="9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74.80</w:t>
                  </w: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trHeight w:val="90" w:hRule="atLeast"/>
          <w:jc w:val="center"/>
        </w:trPr>
        <w:tc>
          <w:tcPr>
            <w:tcW w:w="10200" w:type="dxa"/>
            <w:tcBorders>
              <w:top w:val="nil"/>
              <w:left w:val="nil"/>
              <w:bottom w:val="nil"/>
              <w:right w:val="nil"/>
            </w:tcBorders>
            <w:noWrap w:val="0"/>
            <w:vAlign w:val="bottom"/>
          </w:tcPr>
          <w:p>
            <w:pPr>
              <w:widowControl/>
              <w:jc w:val="center"/>
              <w:rPr>
                <w:rFonts w:eastAsia="方正小标宋简体"/>
                <w:kern w:val="0"/>
                <w:sz w:val="44"/>
                <w:szCs w:val="44"/>
              </w:rPr>
            </w:pPr>
          </w:p>
        </w:tc>
      </w:tr>
    </w:tbl>
    <w:p/>
    <w:tbl>
      <w:tblPr>
        <w:tblStyle w:val="9"/>
        <w:tblpPr w:leftFromText="180" w:rightFromText="180" w:vertAnchor="text" w:horzAnchor="page" w:tblpX="1056" w:tblpY="6"/>
        <w:tblOverlap w:val="never"/>
        <w:tblW w:w="0" w:type="auto"/>
        <w:tblInd w:w="0" w:type="dxa"/>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631"/>
              <w:gridCol w:w="990"/>
              <w:gridCol w:w="1049"/>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631"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9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49"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469.67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455.17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14.50</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469.67</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455.17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lang w:val="en-US" w:eastAsia="zh-CN"/>
                    </w:rPr>
                    <w:t>14.50</w:t>
                  </w: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469.67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455.17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14.50</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379.62</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365.12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14.50</w:t>
                  </w: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（二）社会保障和就业支出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48.07</w:t>
                  </w: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48.07</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（三）卫生健康支出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11.02</w:t>
                  </w: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11.02</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（四）住房保障支出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30.96</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30.96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9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469.67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455.17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14.50</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469.67</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455.17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14.50</w:t>
                  </w:r>
                </w:p>
              </w:tc>
            </w:tr>
          </w:tbl>
          <w:p>
            <w:pPr>
              <w:widowControl/>
              <w:rPr>
                <w:rFonts w:eastAsia="方正小标宋简体"/>
                <w:kern w:val="0"/>
                <w:sz w:val="44"/>
                <w:szCs w:val="44"/>
              </w:rPr>
            </w:pPr>
          </w:p>
        </w:tc>
      </w:tr>
    </w:tbl>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4097"/>
              <w:gridCol w:w="938"/>
              <w:gridCol w:w="938"/>
              <w:gridCol w:w="938"/>
              <w:gridCol w:w="938"/>
              <w:gridCol w:w="940"/>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40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38"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281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40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8"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81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40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8"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379.62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304.82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241.90</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62.92</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74.80</w:t>
                  </w: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379.62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304.82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241.90</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62.92</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74.80</w:t>
                  </w: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304.82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304.82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241.90</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62.92</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56.08</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56.08</w:t>
                  </w: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hint="eastAsia" w:eastAsia="宋体"/>
                      <w:color w:val="000000"/>
                      <w:kern w:val="0"/>
                      <w:sz w:val="20"/>
                    </w:rPr>
                    <w:t xml:space="preserve">    </w:t>
                  </w:r>
                  <w:r>
                    <w:rPr>
                      <w:rFonts w:hint="eastAsia" w:eastAsia="宋体"/>
                      <w:color w:val="000000"/>
                      <w:kern w:val="0"/>
                      <w:sz w:val="20"/>
                      <w:lang w:val="en-US" w:eastAsia="zh-CN"/>
                    </w:rPr>
                    <w:t>专项普查活动</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18.72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18.72</w:t>
                  </w: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48.07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48.07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48.07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行政事业</w:t>
                  </w:r>
                  <w:r>
                    <w:rPr>
                      <w:rFonts w:hint="eastAsia" w:eastAsia="宋体"/>
                      <w:color w:val="000000"/>
                      <w:kern w:val="0"/>
                      <w:sz w:val="20"/>
                      <w:lang w:val="en-US" w:eastAsia="zh-CN"/>
                    </w:rPr>
                    <w:t>单位</w:t>
                  </w:r>
                  <w:r>
                    <w:rPr>
                      <w:rFonts w:hint="eastAsia" w:eastAsia="宋体"/>
                      <w:color w:val="000000"/>
                      <w:kern w:val="0"/>
                      <w:sz w:val="20"/>
                    </w:rPr>
                    <w:t>养老支出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48.07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48.07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48.07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rPr>
                    <w:t xml:space="preserve">      行政单位离退休</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ind w:left="600" w:leftChars="0" w:hanging="600" w:hangingChars="300"/>
                    <w:jc w:val="left"/>
                    <w:rPr>
                      <w:rFonts w:eastAsia="华文细黑"/>
                      <w:color w:val="000000"/>
                      <w:kern w:val="0"/>
                      <w:sz w:val="20"/>
                    </w:rPr>
                  </w:pPr>
                  <w:r>
                    <w:rPr>
                      <w:rFonts w:hint="eastAsia" w:eastAsia="宋体"/>
                      <w:color w:val="000000"/>
                      <w:kern w:val="0"/>
                      <w:sz w:val="20"/>
                    </w:rPr>
                    <w:t xml:space="preserve">      机关事业单位基本养老保险缴费支出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33.95</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33.95</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33.95</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rPr>
                    <w:t>三、卫生健康支出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行政事业单位医疗</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s="宋体"/>
                      <w:color w:val="000000"/>
                      <w:kern w:val="0"/>
                      <w:sz w:val="20"/>
                    </w:rPr>
                    <w:t xml:space="preserve">      行政单位医疗</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11.02</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s="宋体"/>
                      <w:color w:val="000000"/>
                      <w:kern w:val="0"/>
                      <w:sz w:val="20"/>
                    </w:rPr>
                    <w:t>四、住房保障支出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住房改革支出</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s="宋体"/>
                      <w:color w:val="000000"/>
                      <w:kern w:val="0"/>
                      <w:sz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30.96</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40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eastAsia="华文细黑"/>
                      <w:color w:val="000000"/>
                      <w:kern w:val="0"/>
                      <w:sz w:val="20"/>
                      <w:lang w:val="en-US" w:eastAsia="zh-CN"/>
                    </w:rPr>
                  </w:pPr>
                  <w:r>
                    <w:rPr>
                      <w:rFonts w:hint="eastAsia" w:eastAsia="华文细黑"/>
                      <w:color w:val="000000"/>
                      <w:kern w:val="0"/>
                      <w:sz w:val="20"/>
                      <w:lang w:val="en-US" w:eastAsia="zh-CN"/>
                    </w:rPr>
                    <w:t>合计</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469.67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394.87</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331.95</w:t>
                  </w:r>
                </w:p>
              </w:tc>
              <w:tc>
                <w:tcPr>
                  <w:tcW w:w="9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62.92</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74.80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633"/>
        <w:gridCol w:w="1763"/>
        <w:gridCol w:w="3"/>
        <w:gridCol w:w="1766"/>
        <w:gridCol w:w="1766"/>
      </w:tblGrid>
      <w:tr>
        <w:tblPrEx>
          <w:tblCellMar>
            <w:top w:w="0" w:type="dxa"/>
            <w:left w:w="108" w:type="dxa"/>
            <w:bottom w:w="0" w:type="dxa"/>
            <w:right w:w="108" w:type="dxa"/>
          </w:tblCellMar>
        </w:tblPrEx>
        <w:trPr>
          <w:trHeight w:val="615" w:hRule="atLeast"/>
          <w:jc w:val="center"/>
        </w:trPr>
        <w:tc>
          <w:tcPr>
            <w:tcW w:w="8931" w:type="dxa"/>
            <w:gridSpan w:val="5"/>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633"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763"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633"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val="en-US" w:eastAsia="zh-CN"/>
              </w:rPr>
              <w:t>单位</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1763"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69" w:type="dxa"/>
            <w:gridSpan w:val="2"/>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315.86</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315.86</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115.38</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115.38</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60.51</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60.51</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53.41</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53.41</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33.95</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33.95</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10.69</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10.69</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其他</w:t>
            </w:r>
            <w:r>
              <w:rPr>
                <w:rFonts w:eastAsia="宋体"/>
                <w:color w:val="000000"/>
                <w:sz w:val="20"/>
              </w:rPr>
              <w:t>社会保障缴费</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3.00</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3.00</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住房公积金</w:t>
            </w:r>
          </w:p>
        </w:tc>
        <w:tc>
          <w:tcPr>
            <w:tcW w:w="176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30.96</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30.96</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医疗费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2.48</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2.48</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5.48</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5.48</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p>
            <w:pPr>
              <w:widowControl/>
              <w:jc w:val="right"/>
              <w:rPr>
                <w:rFonts w:hint="default" w:eastAsia="宋体"/>
                <w:kern w:val="0"/>
                <w:sz w:val="20"/>
                <w:lang w:val="en-US" w:eastAsia="zh-CN"/>
              </w:rPr>
            </w:pPr>
            <w:r>
              <w:rPr>
                <w:rFonts w:hint="eastAsia" w:eastAsia="宋体"/>
                <w:kern w:val="0"/>
                <w:sz w:val="20"/>
                <w:lang w:val="en-US" w:eastAsia="zh-CN"/>
              </w:rPr>
              <w:t>61.92</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61.92</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印刷费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0.30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0.30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2.50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2.50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邮电费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6.50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6.50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物业管理费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4.20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4.20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差旅费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5.50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5.50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维修（护）费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培训费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2.00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bidi="ar-SA"/>
              </w:rPr>
              <w:t xml:space="preserve">    劳务费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5.00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5.00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工会经费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3.34</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3.34</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福利费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8.65</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8.65</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公务用车运行维护费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p>
            <w:pPr>
              <w:widowControl/>
              <w:jc w:val="right"/>
              <w:rPr>
                <w:rFonts w:hint="default" w:eastAsia="宋体"/>
                <w:kern w:val="0"/>
                <w:sz w:val="20"/>
                <w:lang w:val="en-US" w:eastAsia="zh-CN"/>
              </w:rPr>
            </w:pPr>
            <w:r>
              <w:rPr>
                <w:rFonts w:hint="eastAsia" w:eastAsia="宋体"/>
                <w:kern w:val="0"/>
                <w:sz w:val="20"/>
                <w:lang w:val="en-US" w:eastAsia="zh-CN"/>
              </w:rPr>
              <w:t>3.33</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3.33</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其他交通费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17.80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17.80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其他商品和服务支出</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0.80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0.80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三、对个人和家庭的补助</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16.09</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16.09</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退休费</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14.12</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14.12</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其他对个人和家庭的补助</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1.97</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1.97</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四、资本性支出</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600"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00" w:firstLineChars="150"/>
              <w:jc w:val="left"/>
              <w:textAlignment w:val="center"/>
              <w:rPr>
                <w:rFonts w:hint="eastAsia" w:ascii="Times New Roman" w:hAnsi="Times New Roman" w:eastAsia="宋体" w:cs="Times New Roman"/>
                <w:kern w:val="0"/>
                <w:sz w:val="20"/>
                <w:lang w:val="en-US" w:eastAsia="zh-CN" w:bidi="ar-SA"/>
              </w:rPr>
            </w:pPr>
            <w:r>
              <w:rPr>
                <w:rFonts w:hint="eastAsia" w:eastAsia="宋体"/>
                <w:kern w:val="0"/>
                <w:sz w:val="20"/>
              </w:rPr>
              <w:t>办公设备购置</w:t>
            </w:r>
          </w:p>
        </w:tc>
        <w:tc>
          <w:tcPr>
            <w:tcW w:w="17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76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lang w:val="en-US" w:eastAsia="zh-CN"/>
              </w:rPr>
            </w:pPr>
          </w:p>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auto"/>
                <w:kern w:val="0"/>
                <w:sz w:val="28"/>
                <w:szCs w:val="28"/>
                <w:lang w:eastAsia="zh-CN"/>
              </w:rPr>
            </w:pPr>
            <w:r>
              <w:rPr>
                <w:rFonts w:eastAsia="宋体"/>
                <w:color w:val="000000"/>
                <w:kern w:val="0"/>
                <w:sz w:val="28"/>
                <w:szCs w:val="28"/>
              </w:rPr>
              <w:t xml:space="preserve"> </w:t>
            </w:r>
            <w:r>
              <w:rPr>
                <w:rFonts w:eastAsia="宋体"/>
                <w:color w:val="auto"/>
                <w:kern w:val="0"/>
                <w:sz w:val="28"/>
                <w:szCs w:val="28"/>
              </w:rPr>
              <w:t xml:space="preserve">      </w:t>
            </w:r>
            <w:r>
              <w:rPr>
                <w:rFonts w:eastAsia="宋体"/>
                <w:color w:val="000000"/>
                <w:kern w:val="0"/>
                <w:sz w:val="28"/>
                <w:szCs w:val="28"/>
              </w:rPr>
              <w:t>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单位</w:t>
            </w:r>
            <w:r>
              <w:rPr>
                <w:color w:val="000000"/>
                <w:kern w:val="0"/>
                <w:sz w:val="28"/>
                <w:szCs w:val="28"/>
              </w:rPr>
              <w:t>本级</w:t>
            </w:r>
            <w:r>
              <w:rPr>
                <w:rFonts w:hint="eastAsia"/>
                <w:color w:val="000000"/>
                <w:kern w:val="0"/>
                <w:sz w:val="28"/>
                <w:szCs w:val="28"/>
                <w:lang w:val="en-US" w:eastAsia="zh-CN"/>
              </w:rPr>
              <w:t>1</w:t>
            </w:r>
            <w:r>
              <w:rPr>
                <w:color w:val="000000"/>
                <w:kern w:val="0"/>
                <w:sz w:val="28"/>
                <w:szCs w:val="28"/>
              </w:rPr>
              <w:t>个预算单位。</w:t>
            </w:r>
            <w:r>
              <w:rPr>
                <w:rFonts w:eastAsia="宋体"/>
                <w:color w:val="auto"/>
                <w:kern w:val="0"/>
                <w:sz w:val="28"/>
                <w:szCs w:val="28"/>
              </w:rPr>
              <w:t xml:space="preserve">   </w:t>
            </w:r>
          </w:p>
          <w:p>
            <w:pPr>
              <w:widowControl/>
              <w:jc w:val="left"/>
              <w:rPr>
                <w:color w:val="auto"/>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“20</w:t>
            </w:r>
            <w:r>
              <w:rPr>
                <w:rFonts w:hint="eastAsia" w:eastAsia="宋体"/>
                <w:color w:val="auto"/>
                <w:kern w:val="0"/>
                <w:sz w:val="28"/>
                <w:szCs w:val="28"/>
              </w:rPr>
              <w:t>2</w:t>
            </w:r>
            <w:r>
              <w:rPr>
                <w:rFonts w:hint="eastAsia" w:eastAsia="宋体"/>
                <w:color w:val="auto"/>
                <w:kern w:val="0"/>
                <w:sz w:val="28"/>
                <w:szCs w:val="28"/>
                <w:lang w:val="en-US" w:eastAsia="zh-CN"/>
              </w:rPr>
              <w:t>4</w:t>
            </w:r>
            <w:r>
              <w:rPr>
                <w:color w:val="auto"/>
                <w:kern w:val="0"/>
                <w:sz w:val="28"/>
                <w:szCs w:val="28"/>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31</w:t>
            </w:r>
            <w:bookmarkStart w:id="0" w:name="_GoBack"/>
            <w:bookmarkEnd w:id="0"/>
            <w:r>
              <w:rPr>
                <w:color w:val="auto"/>
                <w:kern w:val="0"/>
                <w:sz w:val="28"/>
                <w:szCs w:val="28"/>
              </w:rPr>
              <w:t>人，其中：在职人员</w:t>
            </w:r>
            <w:r>
              <w:rPr>
                <w:rFonts w:hint="eastAsia"/>
                <w:color w:val="auto"/>
                <w:kern w:val="0"/>
                <w:sz w:val="28"/>
                <w:szCs w:val="28"/>
                <w:lang w:val="en-US" w:eastAsia="zh-CN"/>
              </w:rPr>
              <w:t>20</w:t>
            </w:r>
            <w:r>
              <w:rPr>
                <w:color w:val="auto"/>
                <w:kern w:val="0"/>
                <w:sz w:val="28"/>
                <w:szCs w:val="28"/>
              </w:rPr>
              <w:t>人，离退休人员</w:t>
            </w:r>
            <w:r>
              <w:rPr>
                <w:rFonts w:hint="eastAsia"/>
                <w:color w:val="auto"/>
                <w:kern w:val="0"/>
                <w:sz w:val="28"/>
                <w:szCs w:val="28"/>
                <w:lang w:val="en-US" w:eastAsia="zh-CN"/>
              </w:rPr>
              <w:t>11</w:t>
            </w:r>
            <w:r>
              <w:rPr>
                <w:color w:val="auto"/>
                <w:kern w:val="0"/>
                <w:sz w:val="28"/>
                <w:szCs w:val="28"/>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63" w:tblpY="2018"/>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86"/>
        <w:gridCol w:w="267"/>
        <w:gridCol w:w="706"/>
        <w:gridCol w:w="974"/>
        <w:gridCol w:w="854"/>
        <w:gridCol w:w="855"/>
        <w:gridCol w:w="383"/>
        <w:gridCol w:w="383"/>
        <w:gridCol w:w="383"/>
        <w:gridCol w:w="383"/>
        <w:gridCol w:w="383"/>
        <w:gridCol w:w="383"/>
        <w:gridCol w:w="383"/>
        <w:gridCol w:w="383"/>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53"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0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7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5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87"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16"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86"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759"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74"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85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7"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16"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86"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6"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73"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74"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854"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21"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83"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83"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149"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6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86" w:type="dxa"/>
            <w:vMerge w:val="continue"/>
            <w:noWrap w:val="0"/>
            <w:vAlign w:val="center"/>
          </w:tcPr>
          <w:p>
            <w:pPr>
              <w:autoSpaceDN w:val="0"/>
              <w:jc w:val="center"/>
              <w:textAlignment w:val="center"/>
              <w:rPr>
                <w:rFonts w:ascii="Calibri" w:hAnsi="Calibri" w:eastAsia="华文细黑"/>
                <w:color w:val="000000"/>
                <w:sz w:val="20"/>
                <w:szCs w:val="22"/>
              </w:rPr>
            </w:pPr>
          </w:p>
        </w:tc>
        <w:tc>
          <w:tcPr>
            <w:tcW w:w="786" w:type="dxa"/>
            <w:vMerge w:val="continue"/>
            <w:noWrap w:val="0"/>
            <w:vAlign w:val="center"/>
          </w:tcPr>
          <w:p>
            <w:pPr>
              <w:autoSpaceDN w:val="0"/>
              <w:jc w:val="center"/>
              <w:textAlignment w:val="center"/>
              <w:rPr>
                <w:rFonts w:ascii="Calibri" w:hAnsi="Calibri" w:eastAsia="华文细黑"/>
                <w:color w:val="000000"/>
                <w:sz w:val="20"/>
                <w:szCs w:val="22"/>
              </w:rPr>
            </w:pPr>
          </w:p>
        </w:tc>
        <w:tc>
          <w:tcPr>
            <w:tcW w:w="973"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74" w:type="dxa"/>
            <w:vMerge w:val="continue"/>
            <w:noWrap w:val="0"/>
            <w:vAlign w:val="center"/>
          </w:tcPr>
          <w:p>
            <w:pPr>
              <w:autoSpaceDN w:val="0"/>
              <w:jc w:val="center"/>
              <w:textAlignment w:val="center"/>
              <w:rPr>
                <w:rFonts w:ascii="Calibri" w:hAnsi="Calibri" w:eastAsia="华文细黑"/>
                <w:color w:val="000000"/>
                <w:sz w:val="20"/>
                <w:szCs w:val="22"/>
              </w:rPr>
            </w:pPr>
          </w:p>
        </w:tc>
        <w:tc>
          <w:tcPr>
            <w:tcW w:w="854" w:type="dxa"/>
            <w:vMerge w:val="continue"/>
            <w:noWrap w:val="0"/>
            <w:vAlign w:val="center"/>
          </w:tcPr>
          <w:p>
            <w:pPr>
              <w:autoSpaceDN w:val="0"/>
              <w:jc w:val="center"/>
              <w:textAlignment w:val="center"/>
              <w:rPr>
                <w:rFonts w:ascii="Calibri" w:hAnsi="Calibri" w:eastAsia="华文细黑"/>
                <w:color w:val="000000"/>
                <w:sz w:val="20"/>
                <w:szCs w:val="22"/>
              </w:rPr>
            </w:pPr>
          </w:p>
        </w:tc>
        <w:tc>
          <w:tcPr>
            <w:tcW w:w="85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83"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8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83"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83"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38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8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8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83"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8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86" w:type="dxa"/>
            <w:noWrap w:val="0"/>
            <w:vAlign w:val="center"/>
          </w:tcPr>
          <w:p>
            <w:pPr>
              <w:spacing w:line="240" w:lineRule="auto"/>
              <w:jc w:val="center"/>
              <w:rPr>
                <w:rFonts w:ascii="Calibri" w:hAnsi="Calibri" w:eastAsia="楷体"/>
                <w:kern w:val="0"/>
                <w:szCs w:val="32"/>
              </w:rPr>
            </w:pPr>
            <w:r>
              <w:rPr>
                <w:rFonts w:hint="eastAsia" w:ascii="Calibri" w:hAnsi="Calibri" w:eastAsia="华文细黑" w:cs="Times New Roman"/>
                <w:color w:val="000000"/>
                <w:sz w:val="20"/>
                <w:lang w:val="en-US" w:eastAsia="zh-CN"/>
              </w:rPr>
              <w:t>专项业务支出</w:t>
            </w:r>
          </w:p>
        </w:tc>
        <w:tc>
          <w:tcPr>
            <w:tcW w:w="786" w:type="dxa"/>
            <w:noWrap w:val="0"/>
            <w:vAlign w:val="center"/>
          </w:tcPr>
          <w:p>
            <w:pPr>
              <w:spacing w:line="240" w:lineRule="auto"/>
              <w:jc w:val="center"/>
              <w:rPr>
                <w:rFonts w:ascii="Calibri" w:hAnsi="Calibri" w:eastAsia="楷体"/>
                <w:kern w:val="0"/>
                <w:szCs w:val="32"/>
              </w:rPr>
            </w:pPr>
          </w:p>
        </w:tc>
        <w:tc>
          <w:tcPr>
            <w:tcW w:w="973" w:type="dxa"/>
            <w:gridSpan w:val="2"/>
            <w:noWrap w:val="0"/>
            <w:vAlign w:val="center"/>
          </w:tcPr>
          <w:p>
            <w:pPr>
              <w:spacing w:line="240" w:lineRule="auto"/>
              <w:jc w:val="center"/>
              <w:rPr>
                <w:rFonts w:ascii="Calibri" w:hAnsi="Calibri" w:eastAsia="楷体"/>
                <w:kern w:val="0"/>
                <w:sz w:val="20"/>
                <w:szCs w:val="20"/>
              </w:rPr>
            </w:pPr>
          </w:p>
        </w:tc>
        <w:tc>
          <w:tcPr>
            <w:tcW w:w="974" w:type="dxa"/>
            <w:noWrap w:val="0"/>
            <w:vAlign w:val="center"/>
          </w:tcPr>
          <w:p>
            <w:pPr>
              <w:spacing w:line="240" w:lineRule="auto"/>
              <w:jc w:val="center"/>
              <w:rPr>
                <w:rFonts w:ascii="Calibri" w:hAnsi="Calibri" w:eastAsia="楷体"/>
                <w:kern w:val="0"/>
                <w:szCs w:val="32"/>
              </w:rPr>
            </w:pPr>
          </w:p>
        </w:tc>
        <w:tc>
          <w:tcPr>
            <w:tcW w:w="854" w:type="dxa"/>
            <w:noWrap w:val="0"/>
            <w:vAlign w:val="center"/>
          </w:tcPr>
          <w:p>
            <w:pPr>
              <w:spacing w:line="240" w:lineRule="auto"/>
              <w:jc w:val="center"/>
              <w:rPr>
                <w:rFonts w:hint="eastAsia"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74.80</w:t>
            </w:r>
          </w:p>
        </w:tc>
        <w:tc>
          <w:tcPr>
            <w:tcW w:w="855" w:type="dxa"/>
            <w:noWrap w:val="0"/>
            <w:vAlign w:val="center"/>
          </w:tcPr>
          <w:p>
            <w:pPr>
              <w:spacing w:line="240" w:lineRule="auto"/>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74.80</w:t>
            </w: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3" w:type="dxa"/>
            <w:noWrap w:val="0"/>
            <w:vAlign w:val="center"/>
          </w:tcPr>
          <w:p>
            <w:pPr>
              <w:spacing w:line="240" w:lineRule="auto"/>
              <w:jc w:val="center"/>
              <w:rPr>
                <w:rFonts w:ascii="Calibri" w:hAnsi="Calibri" w:eastAsia="楷体"/>
                <w:kern w:val="0"/>
                <w:szCs w:val="32"/>
              </w:rPr>
            </w:pPr>
          </w:p>
        </w:tc>
        <w:tc>
          <w:tcPr>
            <w:tcW w:w="38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86" w:type="dxa"/>
            <w:noWrap w:val="0"/>
            <w:vAlign w:val="center"/>
          </w:tcPr>
          <w:p>
            <w:pPr>
              <w:spacing w:line="700" w:lineRule="exact"/>
              <w:jc w:val="center"/>
              <w:rPr>
                <w:rFonts w:ascii="Calibri" w:hAnsi="Calibri" w:eastAsia="楷体"/>
                <w:kern w:val="0"/>
                <w:szCs w:val="32"/>
              </w:rPr>
            </w:pPr>
          </w:p>
        </w:tc>
        <w:tc>
          <w:tcPr>
            <w:tcW w:w="786" w:type="dxa"/>
            <w:noWrap w:val="0"/>
            <w:vAlign w:val="center"/>
          </w:tcPr>
          <w:p>
            <w:pPr>
              <w:spacing w:line="240" w:lineRule="auto"/>
              <w:jc w:val="center"/>
              <w:rPr>
                <w:rFonts w:ascii="Calibri" w:hAnsi="Calibri" w:eastAsia="楷体"/>
                <w:kern w:val="0"/>
                <w:szCs w:val="32"/>
              </w:rPr>
            </w:pPr>
            <w:r>
              <w:rPr>
                <w:rFonts w:hint="eastAsia" w:ascii="Calibri" w:hAnsi="Calibri" w:eastAsia="华文细黑" w:cs="Times New Roman"/>
                <w:color w:val="000000"/>
                <w:sz w:val="20"/>
                <w:lang w:val="en-US" w:eastAsia="zh-CN"/>
              </w:rPr>
              <w:t>专项普查活动</w:t>
            </w:r>
          </w:p>
        </w:tc>
        <w:tc>
          <w:tcPr>
            <w:tcW w:w="973" w:type="dxa"/>
            <w:gridSpan w:val="2"/>
            <w:noWrap w:val="0"/>
            <w:vAlign w:val="center"/>
          </w:tcPr>
          <w:p>
            <w:pPr>
              <w:spacing w:line="240" w:lineRule="auto"/>
              <w:jc w:val="center"/>
              <w:rPr>
                <w:rFonts w:hint="eastAsia" w:ascii="华文细黑" w:hAnsi="华文细黑" w:eastAsia="华文细黑" w:cs="华文细黑"/>
                <w:kern w:val="0"/>
                <w:sz w:val="20"/>
                <w:szCs w:val="20"/>
                <w:lang w:val="en-US" w:eastAsia="zh-CN"/>
              </w:rPr>
            </w:pPr>
          </w:p>
        </w:tc>
        <w:tc>
          <w:tcPr>
            <w:tcW w:w="974" w:type="dxa"/>
            <w:noWrap w:val="0"/>
            <w:vAlign w:val="center"/>
          </w:tcPr>
          <w:p>
            <w:pPr>
              <w:spacing w:line="700" w:lineRule="exact"/>
              <w:jc w:val="center"/>
              <w:rPr>
                <w:rFonts w:ascii="Calibri" w:hAnsi="Calibri" w:eastAsia="楷体"/>
                <w:kern w:val="0"/>
                <w:szCs w:val="32"/>
              </w:rPr>
            </w:pPr>
          </w:p>
        </w:tc>
        <w:tc>
          <w:tcPr>
            <w:tcW w:w="854" w:type="dxa"/>
            <w:noWrap w:val="0"/>
            <w:vAlign w:val="center"/>
          </w:tcPr>
          <w:p>
            <w:pPr>
              <w:spacing w:line="700" w:lineRule="exact"/>
              <w:jc w:val="center"/>
              <w:rPr>
                <w:rFonts w:ascii="Calibri" w:hAnsi="Calibri" w:eastAsia="楷体"/>
                <w:kern w:val="0"/>
                <w:szCs w:val="32"/>
              </w:rPr>
            </w:pPr>
            <w:r>
              <w:rPr>
                <w:rFonts w:hint="eastAsia" w:ascii="华文细黑" w:hAnsi="华文细黑" w:eastAsia="华文细黑" w:cs="华文细黑"/>
                <w:kern w:val="0"/>
                <w:sz w:val="20"/>
                <w:szCs w:val="20"/>
                <w:lang w:val="en-US" w:eastAsia="zh-CN"/>
              </w:rPr>
              <w:t>18.72</w:t>
            </w:r>
          </w:p>
        </w:tc>
        <w:tc>
          <w:tcPr>
            <w:tcW w:w="855" w:type="dxa"/>
            <w:noWrap w:val="0"/>
            <w:vAlign w:val="center"/>
          </w:tcPr>
          <w:p>
            <w:pPr>
              <w:spacing w:line="700" w:lineRule="exact"/>
              <w:jc w:val="center"/>
              <w:rPr>
                <w:rFonts w:ascii="Calibri" w:hAnsi="Calibri" w:eastAsia="楷体"/>
                <w:kern w:val="0"/>
                <w:szCs w:val="32"/>
              </w:rPr>
            </w:pPr>
            <w:r>
              <w:rPr>
                <w:rFonts w:hint="eastAsia" w:ascii="华文细黑" w:hAnsi="华文细黑" w:eastAsia="华文细黑" w:cs="华文细黑"/>
                <w:kern w:val="0"/>
                <w:sz w:val="20"/>
                <w:szCs w:val="20"/>
                <w:lang w:val="en-US" w:eastAsia="zh-CN"/>
              </w:rPr>
              <w:t>18.72</w:t>
            </w: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3" w:type="dxa"/>
            <w:noWrap w:val="0"/>
            <w:vAlign w:val="center"/>
          </w:tcPr>
          <w:p>
            <w:pPr>
              <w:spacing w:line="700" w:lineRule="exact"/>
              <w:jc w:val="center"/>
              <w:rPr>
                <w:rFonts w:ascii="Calibri" w:hAnsi="Calibri" w:eastAsia="楷体"/>
                <w:kern w:val="0"/>
                <w:szCs w:val="32"/>
              </w:rPr>
            </w:pPr>
          </w:p>
        </w:tc>
        <w:tc>
          <w:tcPr>
            <w:tcW w:w="38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86" w:type="dxa"/>
            <w:noWrap w:val="0"/>
            <w:vAlign w:val="center"/>
          </w:tcPr>
          <w:p>
            <w:pPr>
              <w:spacing w:line="700" w:lineRule="exact"/>
              <w:jc w:val="center"/>
              <w:rPr>
                <w:rFonts w:ascii="Calibri" w:hAnsi="Calibri" w:eastAsia="楷体"/>
                <w:kern w:val="0"/>
                <w:szCs w:val="32"/>
              </w:rPr>
            </w:pPr>
          </w:p>
        </w:tc>
        <w:tc>
          <w:tcPr>
            <w:tcW w:w="786" w:type="dxa"/>
            <w:noWrap w:val="0"/>
            <w:vAlign w:val="center"/>
          </w:tcPr>
          <w:p>
            <w:pPr>
              <w:spacing w:line="700" w:lineRule="exact"/>
              <w:jc w:val="center"/>
              <w:rPr>
                <w:rFonts w:ascii="Calibri" w:hAnsi="Calibri" w:eastAsia="楷体"/>
                <w:kern w:val="0"/>
                <w:szCs w:val="32"/>
              </w:rPr>
            </w:pPr>
          </w:p>
        </w:tc>
        <w:tc>
          <w:tcPr>
            <w:tcW w:w="973" w:type="dxa"/>
            <w:gridSpan w:val="2"/>
            <w:noWrap w:val="0"/>
            <w:vAlign w:val="center"/>
          </w:tcPr>
          <w:p>
            <w:pPr>
              <w:spacing w:line="240" w:lineRule="auto"/>
              <w:jc w:val="center"/>
              <w:rPr>
                <w:rFonts w:ascii="Calibri" w:hAnsi="Calibri" w:eastAsia="楷体"/>
                <w:kern w:val="0"/>
                <w:szCs w:val="32"/>
              </w:rPr>
            </w:pPr>
            <w:r>
              <w:rPr>
                <w:rFonts w:hint="eastAsia" w:ascii="华文细黑" w:hAnsi="华文细黑" w:eastAsia="华文细黑" w:cs="华文细黑"/>
                <w:kern w:val="0"/>
                <w:sz w:val="20"/>
                <w:szCs w:val="20"/>
                <w:lang w:val="en-US" w:eastAsia="zh-CN"/>
              </w:rPr>
              <w:t>第五次全国经济普查经费</w:t>
            </w:r>
          </w:p>
        </w:tc>
        <w:tc>
          <w:tcPr>
            <w:tcW w:w="974" w:type="dxa"/>
            <w:noWrap w:val="0"/>
            <w:vAlign w:val="center"/>
          </w:tcPr>
          <w:p>
            <w:pPr>
              <w:spacing w:line="240" w:lineRule="auto"/>
              <w:jc w:val="center"/>
              <w:rPr>
                <w:rFonts w:hint="eastAsia"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松原市统计局（本级）</w:t>
            </w:r>
          </w:p>
        </w:tc>
        <w:tc>
          <w:tcPr>
            <w:tcW w:w="854" w:type="dxa"/>
            <w:noWrap w:val="0"/>
            <w:vAlign w:val="center"/>
          </w:tcPr>
          <w:p>
            <w:pPr>
              <w:spacing w:line="700" w:lineRule="exact"/>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18.72</w:t>
            </w:r>
          </w:p>
        </w:tc>
        <w:tc>
          <w:tcPr>
            <w:tcW w:w="855" w:type="dxa"/>
            <w:noWrap w:val="0"/>
            <w:vAlign w:val="center"/>
          </w:tcPr>
          <w:p>
            <w:pPr>
              <w:spacing w:line="700" w:lineRule="exact"/>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18.72</w:t>
            </w: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4" w:type="dxa"/>
            <w:noWrap w:val="0"/>
            <w:vAlign w:val="center"/>
          </w:tcPr>
          <w:p>
            <w:pPr>
              <w:spacing w:line="700" w:lineRule="exact"/>
              <w:jc w:val="center"/>
              <w:rPr>
                <w:rFonts w:hint="eastAsia"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6" w:type="dxa"/>
            <w:noWrap w:val="0"/>
            <w:vAlign w:val="center"/>
          </w:tcPr>
          <w:p>
            <w:pPr>
              <w:spacing w:line="700" w:lineRule="exact"/>
              <w:jc w:val="center"/>
              <w:rPr>
                <w:rFonts w:hint="eastAsia" w:ascii="华文细黑" w:hAnsi="华文细黑" w:eastAsia="华文细黑" w:cs="华文细黑"/>
                <w:kern w:val="0"/>
                <w:sz w:val="20"/>
                <w:szCs w:val="20"/>
              </w:rPr>
            </w:pPr>
          </w:p>
        </w:tc>
        <w:tc>
          <w:tcPr>
            <w:tcW w:w="786" w:type="dxa"/>
            <w:noWrap w:val="0"/>
            <w:vAlign w:val="center"/>
          </w:tcPr>
          <w:p>
            <w:pPr>
              <w:spacing w:line="240" w:lineRule="auto"/>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专项统计业务</w:t>
            </w:r>
          </w:p>
        </w:tc>
        <w:tc>
          <w:tcPr>
            <w:tcW w:w="973" w:type="dxa"/>
            <w:gridSpan w:val="2"/>
            <w:noWrap w:val="0"/>
            <w:vAlign w:val="center"/>
          </w:tcPr>
          <w:p>
            <w:pPr>
              <w:spacing w:line="700" w:lineRule="exact"/>
              <w:jc w:val="center"/>
              <w:rPr>
                <w:rFonts w:hint="eastAsia" w:ascii="华文细黑" w:hAnsi="华文细黑" w:eastAsia="华文细黑" w:cs="华文细黑"/>
                <w:kern w:val="0"/>
                <w:sz w:val="20"/>
                <w:szCs w:val="20"/>
              </w:rPr>
            </w:pPr>
          </w:p>
        </w:tc>
        <w:tc>
          <w:tcPr>
            <w:tcW w:w="974" w:type="dxa"/>
            <w:noWrap w:val="0"/>
            <w:vAlign w:val="center"/>
          </w:tcPr>
          <w:p>
            <w:pPr>
              <w:spacing w:line="700" w:lineRule="exact"/>
              <w:jc w:val="center"/>
              <w:rPr>
                <w:rFonts w:hint="eastAsia" w:ascii="华文细黑" w:hAnsi="华文细黑" w:eastAsia="华文细黑" w:cs="华文细黑"/>
                <w:kern w:val="0"/>
                <w:sz w:val="20"/>
                <w:szCs w:val="20"/>
              </w:rPr>
            </w:pPr>
          </w:p>
        </w:tc>
        <w:tc>
          <w:tcPr>
            <w:tcW w:w="854" w:type="dxa"/>
            <w:noWrap w:val="0"/>
            <w:vAlign w:val="center"/>
          </w:tcPr>
          <w:p>
            <w:pPr>
              <w:spacing w:line="700" w:lineRule="exact"/>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lang w:val="en-US" w:eastAsia="zh-CN"/>
              </w:rPr>
              <w:t>56.08</w:t>
            </w:r>
          </w:p>
        </w:tc>
        <w:tc>
          <w:tcPr>
            <w:tcW w:w="855" w:type="dxa"/>
            <w:noWrap w:val="0"/>
            <w:vAlign w:val="center"/>
          </w:tcPr>
          <w:p>
            <w:pPr>
              <w:spacing w:line="700" w:lineRule="exact"/>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lang w:val="en-US" w:eastAsia="zh-CN"/>
              </w:rPr>
              <w:t>56.08</w:t>
            </w: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4" w:type="dxa"/>
            <w:noWrap w:val="0"/>
            <w:vAlign w:val="center"/>
          </w:tcPr>
          <w:p>
            <w:pPr>
              <w:spacing w:line="700" w:lineRule="exact"/>
              <w:jc w:val="center"/>
              <w:rPr>
                <w:rFonts w:hint="eastAsia"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6" w:type="dxa"/>
            <w:noWrap w:val="0"/>
            <w:vAlign w:val="center"/>
          </w:tcPr>
          <w:p>
            <w:pPr>
              <w:spacing w:line="700" w:lineRule="exact"/>
              <w:jc w:val="center"/>
              <w:rPr>
                <w:rFonts w:hint="eastAsia" w:ascii="华文细黑" w:hAnsi="华文细黑" w:eastAsia="华文细黑" w:cs="华文细黑"/>
                <w:kern w:val="0"/>
                <w:sz w:val="20"/>
                <w:szCs w:val="20"/>
              </w:rPr>
            </w:pPr>
          </w:p>
        </w:tc>
        <w:tc>
          <w:tcPr>
            <w:tcW w:w="786" w:type="dxa"/>
            <w:noWrap w:val="0"/>
            <w:vAlign w:val="center"/>
          </w:tcPr>
          <w:p>
            <w:pPr>
              <w:spacing w:line="700" w:lineRule="exact"/>
              <w:jc w:val="center"/>
              <w:rPr>
                <w:rFonts w:hint="eastAsia" w:ascii="华文细黑" w:hAnsi="华文细黑" w:eastAsia="华文细黑" w:cs="华文细黑"/>
                <w:kern w:val="0"/>
                <w:sz w:val="20"/>
                <w:szCs w:val="20"/>
              </w:rPr>
            </w:pPr>
          </w:p>
        </w:tc>
        <w:tc>
          <w:tcPr>
            <w:tcW w:w="973" w:type="dxa"/>
            <w:gridSpan w:val="2"/>
            <w:noWrap w:val="0"/>
            <w:vAlign w:val="center"/>
          </w:tcPr>
          <w:p>
            <w:pPr>
              <w:spacing w:line="240" w:lineRule="auto"/>
              <w:jc w:val="center"/>
              <w:rPr>
                <w:rFonts w:hint="eastAsia"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统计调查经费</w:t>
            </w:r>
          </w:p>
        </w:tc>
        <w:tc>
          <w:tcPr>
            <w:tcW w:w="974" w:type="dxa"/>
            <w:noWrap w:val="0"/>
            <w:vAlign w:val="center"/>
          </w:tcPr>
          <w:p>
            <w:pPr>
              <w:spacing w:line="240" w:lineRule="auto"/>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lang w:val="en-US" w:eastAsia="zh-CN"/>
              </w:rPr>
              <w:t>松原市统计局（本级）</w:t>
            </w:r>
          </w:p>
        </w:tc>
        <w:tc>
          <w:tcPr>
            <w:tcW w:w="854" w:type="dxa"/>
            <w:noWrap w:val="0"/>
            <w:vAlign w:val="center"/>
          </w:tcPr>
          <w:p>
            <w:pPr>
              <w:spacing w:line="700" w:lineRule="exact"/>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56.08</w:t>
            </w:r>
          </w:p>
        </w:tc>
        <w:tc>
          <w:tcPr>
            <w:tcW w:w="855" w:type="dxa"/>
            <w:noWrap w:val="0"/>
            <w:vAlign w:val="center"/>
          </w:tcPr>
          <w:p>
            <w:pPr>
              <w:spacing w:line="700" w:lineRule="exact"/>
              <w:jc w:val="center"/>
              <w:rPr>
                <w:rFonts w:hint="eastAsia" w:ascii="华文细黑" w:hAnsi="华文细黑" w:eastAsia="华文细黑" w:cs="华文细黑"/>
                <w:kern w:val="0"/>
                <w:sz w:val="20"/>
                <w:szCs w:val="20"/>
                <w:lang w:val="en-US" w:eastAsia="zh-CN" w:bidi="ar-SA"/>
              </w:rPr>
            </w:pPr>
            <w:r>
              <w:rPr>
                <w:rFonts w:hint="eastAsia" w:ascii="华文细黑" w:hAnsi="华文细黑" w:eastAsia="华文细黑" w:cs="华文细黑"/>
                <w:kern w:val="0"/>
                <w:sz w:val="20"/>
                <w:szCs w:val="20"/>
                <w:lang w:val="en-US" w:eastAsia="zh-CN"/>
              </w:rPr>
              <w:t>56.08</w:t>
            </w: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4" w:type="dxa"/>
            <w:noWrap w:val="0"/>
            <w:vAlign w:val="center"/>
          </w:tcPr>
          <w:p>
            <w:pPr>
              <w:spacing w:line="700" w:lineRule="exact"/>
              <w:jc w:val="center"/>
              <w:rPr>
                <w:rFonts w:hint="eastAsia"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6" w:type="dxa"/>
            <w:noWrap w:val="0"/>
            <w:vAlign w:val="center"/>
          </w:tcPr>
          <w:p>
            <w:pPr>
              <w:autoSpaceDN w:val="0"/>
              <w:jc w:val="center"/>
              <w:textAlignment w:val="center"/>
              <w:rPr>
                <w:rFonts w:ascii="Calibri" w:hAnsi="Calibri" w:eastAsia="华文细黑"/>
                <w:color w:val="000000"/>
                <w:sz w:val="20"/>
                <w:szCs w:val="22"/>
              </w:rPr>
            </w:pPr>
          </w:p>
        </w:tc>
        <w:tc>
          <w:tcPr>
            <w:tcW w:w="973" w:type="dxa"/>
            <w:gridSpan w:val="2"/>
            <w:noWrap w:val="0"/>
            <w:vAlign w:val="center"/>
          </w:tcPr>
          <w:p>
            <w:pPr>
              <w:spacing w:line="700" w:lineRule="exact"/>
              <w:jc w:val="center"/>
              <w:rPr>
                <w:rFonts w:ascii="Calibri" w:hAnsi="Calibri" w:eastAsia="楷体"/>
                <w:kern w:val="0"/>
                <w:szCs w:val="32"/>
              </w:rPr>
            </w:pPr>
          </w:p>
        </w:tc>
        <w:tc>
          <w:tcPr>
            <w:tcW w:w="974" w:type="dxa"/>
            <w:noWrap w:val="0"/>
            <w:vAlign w:val="center"/>
          </w:tcPr>
          <w:p>
            <w:pPr>
              <w:spacing w:line="700" w:lineRule="exact"/>
              <w:jc w:val="center"/>
              <w:rPr>
                <w:rFonts w:hint="eastAsia" w:ascii="华文细黑" w:hAnsi="华文细黑" w:eastAsia="华文细黑" w:cs="华文细黑"/>
                <w:kern w:val="0"/>
                <w:sz w:val="20"/>
                <w:szCs w:val="20"/>
              </w:rPr>
            </w:pPr>
          </w:p>
        </w:tc>
        <w:tc>
          <w:tcPr>
            <w:tcW w:w="854" w:type="dxa"/>
            <w:noWrap w:val="0"/>
            <w:vAlign w:val="center"/>
          </w:tcPr>
          <w:p>
            <w:pPr>
              <w:spacing w:line="700" w:lineRule="exact"/>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74.80</w:t>
            </w:r>
          </w:p>
        </w:tc>
        <w:tc>
          <w:tcPr>
            <w:tcW w:w="855" w:type="dxa"/>
            <w:noWrap w:val="0"/>
            <w:vAlign w:val="center"/>
          </w:tcPr>
          <w:p>
            <w:pPr>
              <w:spacing w:line="700" w:lineRule="exact"/>
              <w:jc w:val="center"/>
              <w:rPr>
                <w:rFonts w:hint="default"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val="en-US" w:eastAsia="zh-CN"/>
              </w:rPr>
              <w:t>74.80</w:t>
            </w: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3" w:type="dxa"/>
            <w:noWrap w:val="0"/>
            <w:vAlign w:val="center"/>
          </w:tcPr>
          <w:p>
            <w:pPr>
              <w:spacing w:line="700" w:lineRule="exact"/>
              <w:jc w:val="center"/>
              <w:rPr>
                <w:rFonts w:hint="eastAsia" w:ascii="华文细黑" w:hAnsi="华文细黑" w:eastAsia="华文细黑" w:cs="华文细黑"/>
                <w:kern w:val="0"/>
                <w:sz w:val="20"/>
                <w:szCs w:val="20"/>
              </w:rPr>
            </w:pPr>
          </w:p>
        </w:tc>
        <w:tc>
          <w:tcPr>
            <w:tcW w:w="384" w:type="dxa"/>
            <w:noWrap w:val="0"/>
            <w:vAlign w:val="center"/>
          </w:tcPr>
          <w:p>
            <w:pPr>
              <w:spacing w:line="700" w:lineRule="exact"/>
              <w:jc w:val="center"/>
              <w:rPr>
                <w:rFonts w:hint="eastAsia" w:ascii="华文细黑" w:hAnsi="华文细黑" w:eastAsia="华文细黑" w:cs="华文细黑"/>
                <w:kern w:val="0"/>
                <w:sz w:val="20"/>
                <w:szCs w:val="20"/>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1"/>
        <w:gridCol w:w="579"/>
        <w:gridCol w:w="177"/>
        <w:gridCol w:w="753"/>
        <w:gridCol w:w="211"/>
        <w:gridCol w:w="1185"/>
        <w:gridCol w:w="660"/>
        <w:gridCol w:w="50"/>
        <w:gridCol w:w="700"/>
        <w:gridCol w:w="41"/>
        <w:gridCol w:w="679"/>
        <w:gridCol w:w="480"/>
        <w:gridCol w:w="285"/>
        <w:gridCol w:w="750"/>
        <w:gridCol w:w="45"/>
        <w:gridCol w:w="960"/>
        <w:gridCol w:w="62"/>
        <w:gridCol w:w="572"/>
        <w:gridCol w:w="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020" w:type="dxa"/>
            <w:gridSpan w:val="2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75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89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效目标</w:t>
            </w:r>
          </w:p>
        </w:tc>
        <w:tc>
          <w:tcPr>
            <w:tcW w:w="74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6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5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752"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松原市统计局（本级）</w:t>
            </w:r>
          </w:p>
        </w:tc>
        <w:tc>
          <w:tcPr>
            <w:tcW w:w="756"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964" w:type="dxa"/>
            <w:gridSpan w:val="2"/>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56.08</w:t>
            </w:r>
          </w:p>
        </w:tc>
        <w:tc>
          <w:tcPr>
            <w:tcW w:w="1895" w:type="dxa"/>
            <w:gridSpan w:val="3"/>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及各级政府中心工作和重点工作，组织实施2024年度松原地区社会科技综合统计工作、服务业统计调查工作、服务业单位入库入统调查工作、扩增规模以下（工业）样本调查工作、人口和统计就业工作、碳排放统计业务工作等各业务科室统计调查任务，通过组织相关工作培训学习，编印发放学习材料手册，开展各项统计调查、统计抽样调查，统计监测等方式，完成本年度各专业统计工作，全面、及时、准确地上报各专业统计报表，编印统计调查报告，立足为地方政府决策及社会公众需要提供详实的统计数据，提供经济社会发展所需要的统计数据，不断深化松原市统计体制改革。</w:t>
            </w:r>
          </w:p>
        </w:tc>
        <w:tc>
          <w:tcPr>
            <w:tcW w:w="741" w:type="dxa"/>
            <w:gridSpan w:val="2"/>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106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400元/人天</w:t>
            </w:r>
          </w:p>
        </w:tc>
        <w:tc>
          <w:tcPr>
            <w:tcW w:w="65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752"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4"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89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1" w:type="dxa"/>
            <w:gridSpan w:val="2"/>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7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5"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反映各专业业务培训次数情况。</w:t>
            </w:r>
          </w:p>
        </w:tc>
        <w:tc>
          <w:tcPr>
            <w:tcW w:w="1067"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5次</w:t>
            </w:r>
          </w:p>
        </w:tc>
        <w:tc>
          <w:tcPr>
            <w:tcW w:w="651"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752"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4"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89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1" w:type="dxa"/>
            <w:gridSpan w:val="2"/>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5"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1067"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280本</w:t>
            </w:r>
          </w:p>
        </w:tc>
        <w:tc>
          <w:tcPr>
            <w:tcW w:w="651"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52"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4"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895" w:type="dxa"/>
            <w:gridSpan w:val="3"/>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1"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67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65"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年鉴被访问次数</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反映年鉴被引用数量的情况。</w:t>
            </w:r>
          </w:p>
        </w:tc>
        <w:tc>
          <w:tcPr>
            <w:tcW w:w="1067"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250次</w:t>
            </w:r>
          </w:p>
        </w:tc>
        <w:tc>
          <w:tcPr>
            <w:tcW w:w="651"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688" w:hRule="atLeast"/>
        </w:trPr>
        <w:tc>
          <w:tcPr>
            <w:tcW w:w="8941" w:type="dxa"/>
            <w:gridSpan w:val="19"/>
            <w:tcBorders>
              <w:top w:val="nil"/>
              <w:left w:val="nil"/>
              <w:bottom w:val="single" w:color="auto" w:sz="4" w:space="0"/>
              <w:right w:val="nil"/>
            </w:tcBorders>
            <w:noWrap w:val="0"/>
            <w:vAlign w:val="top"/>
          </w:tcPr>
          <w:p>
            <w:pPr>
              <w:widowControl/>
              <w:jc w:val="both"/>
              <w:rPr>
                <w:rFonts w:hint="eastAsia" w:ascii="Calibri" w:hAnsi="Calibri" w:eastAsia="方正小标宋简体" w:cs="Times New Roman"/>
                <w:kern w:val="0"/>
                <w:sz w:val="44"/>
                <w:szCs w:val="44"/>
              </w:rPr>
            </w:pPr>
          </w:p>
          <w:p>
            <w:pPr>
              <w:widowControl/>
              <w:jc w:val="both"/>
              <w:rPr>
                <w:rFonts w:hint="eastAsia" w:ascii="Calibri" w:hAnsi="Calibri" w:eastAsia="方正小标宋简体" w:cs="Times New Roman"/>
                <w:kern w:val="0"/>
                <w:sz w:val="44"/>
                <w:szCs w:val="44"/>
              </w:rPr>
            </w:pPr>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1071" w:hRule="atLeast"/>
        </w:trPr>
        <w:tc>
          <w:tcPr>
            <w:tcW w:w="67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60"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0"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396"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效目标</w:t>
            </w:r>
          </w:p>
        </w:tc>
        <w:tc>
          <w:tcPr>
            <w:tcW w:w="660"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0"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0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80" w:type="dxa"/>
            <w:gridSpan w:val="3"/>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34" w:type="dxa"/>
            <w:gridSpan w:val="2"/>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1462" w:hRule="atLeast"/>
        </w:trPr>
        <w:tc>
          <w:tcPr>
            <w:tcW w:w="671"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松原市统计局（本级）</w:t>
            </w:r>
          </w:p>
        </w:tc>
        <w:tc>
          <w:tcPr>
            <w:tcW w:w="660" w:type="dxa"/>
            <w:gridSpan w:val="2"/>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930" w:type="dxa"/>
            <w:gridSpan w:val="2"/>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18.72</w:t>
            </w:r>
          </w:p>
        </w:tc>
        <w:tc>
          <w:tcPr>
            <w:tcW w:w="1396" w:type="dxa"/>
            <w:gridSpan w:val="2"/>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2024年度，较好地完成第五次全国经济普查登记、数据处理、数据质量抽查和技术总结阶段相关工作。及时发放普查员的两员补助及通讯补助经费。通过业务培训、发放宣传品，印发学习手册，开展数据质量检查等方式，有效开展投入产出相关工作，提高统计数据质量，确保统计工作顺利开展。</w:t>
            </w:r>
          </w:p>
        </w:tc>
        <w:tc>
          <w:tcPr>
            <w:tcW w:w="660" w:type="dxa"/>
            <w:tcBorders>
              <w:top w:val="single" w:color="auto"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50"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00"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人均培训成本</w:t>
            </w:r>
          </w:p>
        </w:tc>
        <w:tc>
          <w:tcPr>
            <w:tcW w:w="1080"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400元/人天</w:t>
            </w:r>
          </w:p>
        </w:tc>
        <w:tc>
          <w:tcPr>
            <w:tcW w:w="634"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1271" w:hRule="atLeast"/>
        </w:trPr>
        <w:tc>
          <w:tcPr>
            <w:tcW w:w="6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9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50" w:type="dxa"/>
            <w:gridSpan w:val="2"/>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0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tc>
        <w:tc>
          <w:tcPr>
            <w:tcW w:w="108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业务培训次数。</w:t>
            </w:r>
          </w:p>
        </w:tc>
        <w:tc>
          <w:tcPr>
            <w:tcW w:w="9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1次</w:t>
            </w:r>
          </w:p>
        </w:tc>
        <w:tc>
          <w:tcPr>
            <w:tcW w:w="634"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1757" w:hRule="atLeast"/>
        </w:trPr>
        <w:tc>
          <w:tcPr>
            <w:tcW w:w="6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9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0" w:type="dxa"/>
            <w:gridSpan w:val="2"/>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108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9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165人</w:t>
            </w:r>
          </w:p>
        </w:tc>
        <w:tc>
          <w:tcPr>
            <w:tcW w:w="634"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1592" w:hRule="atLeast"/>
        </w:trPr>
        <w:tc>
          <w:tcPr>
            <w:tcW w:w="6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9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750" w:type="dxa"/>
            <w:gridSpan w:val="2"/>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0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培训覆盖率</w:t>
            </w:r>
          </w:p>
        </w:tc>
        <w:tc>
          <w:tcPr>
            <w:tcW w:w="108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反映培训覆盖情况。</w:t>
            </w:r>
          </w:p>
        </w:tc>
        <w:tc>
          <w:tcPr>
            <w:tcW w:w="9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634"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2268" w:hRule="atLeast"/>
        </w:trPr>
        <w:tc>
          <w:tcPr>
            <w:tcW w:w="67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0"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96" w:type="dxa"/>
            <w:gridSpan w:val="2"/>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0" w:type="dxa"/>
            <w:gridSpan w:val="2"/>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20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1080" w:type="dxa"/>
            <w:gridSpan w:val="3"/>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9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634" w:type="dxa"/>
            <w:gridSpan w:val="2"/>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bl>
    <w:p>
      <w:pPr>
        <w:jc w:val="both"/>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rPr>
        <w:t>卫生健康支出及住房保障支出</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469.67</w:t>
      </w:r>
      <w:r>
        <w:rPr>
          <w:szCs w:val="32"/>
        </w:rPr>
        <w:t>万元</w:t>
      </w:r>
      <w:r>
        <w:rPr>
          <w:rFonts w:hint="eastAsia"/>
          <w:szCs w:val="32"/>
          <w:lang w:eastAsia="zh-CN"/>
        </w:rPr>
        <w:t>，其中：本年预算</w:t>
      </w:r>
      <w:r>
        <w:rPr>
          <w:rFonts w:hint="eastAsia"/>
          <w:szCs w:val="32"/>
          <w:lang w:val="en-US" w:eastAsia="zh-CN"/>
        </w:rPr>
        <w:t>455.17</w:t>
      </w:r>
      <w:r>
        <w:rPr>
          <w:rFonts w:hint="eastAsia"/>
          <w:szCs w:val="32"/>
          <w:lang w:eastAsia="zh-CN"/>
        </w:rPr>
        <w:t>万元；上年结转</w:t>
      </w:r>
      <w:r>
        <w:rPr>
          <w:rFonts w:hint="eastAsia"/>
          <w:szCs w:val="32"/>
          <w:lang w:val="en-US" w:eastAsia="zh-CN"/>
        </w:rPr>
        <w:t>14.50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12.25</w:t>
      </w:r>
      <w:r>
        <w:rPr>
          <w:szCs w:val="32"/>
        </w:rPr>
        <w:t>万元，主要原因是</w:t>
      </w:r>
      <w:r>
        <w:rPr>
          <w:rFonts w:hint="eastAsia"/>
          <w:szCs w:val="32"/>
          <w:lang w:val="en-US" w:eastAsia="zh-CN"/>
        </w:rPr>
        <w:t>本年度新增全国第五次经济普查经费，导致项目经费增加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469.67</w:t>
      </w:r>
      <w:r>
        <w:rPr>
          <w:szCs w:val="32"/>
        </w:rPr>
        <w:t>万元，其中：本年收入</w:t>
      </w:r>
      <w:r>
        <w:rPr>
          <w:rFonts w:hint="eastAsia"/>
          <w:szCs w:val="32"/>
          <w:lang w:val="en-US" w:eastAsia="zh-CN"/>
        </w:rPr>
        <w:t>455.17</w:t>
      </w:r>
      <w:r>
        <w:rPr>
          <w:szCs w:val="32"/>
        </w:rPr>
        <w:t>万元，占</w:t>
      </w:r>
      <w:r>
        <w:rPr>
          <w:rFonts w:hint="eastAsia"/>
          <w:szCs w:val="32"/>
          <w:lang w:val="en-US" w:eastAsia="zh-CN"/>
        </w:rPr>
        <w:t>96.91</w:t>
      </w:r>
      <w:r>
        <w:rPr>
          <w:szCs w:val="32"/>
        </w:rPr>
        <w:t>%；上年结转</w:t>
      </w:r>
      <w:r>
        <w:rPr>
          <w:rFonts w:hint="eastAsia"/>
          <w:szCs w:val="32"/>
          <w:lang w:eastAsia="zh-CN"/>
        </w:rPr>
        <w:t>结余</w:t>
      </w:r>
      <w:r>
        <w:rPr>
          <w:rFonts w:hint="eastAsia"/>
          <w:szCs w:val="32"/>
          <w:lang w:val="en-US" w:eastAsia="zh-CN"/>
        </w:rPr>
        <w:t>14.50</w:t>
      </w:r>
      <w:r>
        <w:rPr>
          <w:szCs w:val="32"/>
        </w:rPr>
        <w:t>万元，占</w:t>
      </w:r>
      <w:r>
        <w:rPr>
          <w:rFonts w:hint="eastAsia"/>
          <w:szCs w:val="32"/>
          <w:lang w:val="en-US" w:eastAsia="zh-CN"/>
        </w:rPr>
        <w:t>3.09</w:t>
      </w:r>
      <w:r>
        <w:rPr>
          <w:szCs w:val="32"/>
        </w:rPr>
        <w:t>%。本年收入中，一般公共预算拨款收入</w:t>
      </w:r>
      <w:r>
        <w:rPr>
          <w:rFonts w:hint="eastAsia"/>
          <w:szCs w:val="32"/>
          <w:lang w:val="en-US" w:eastAsia="zh-CN"/>
        </w:rPr>
        <w:t>455.17</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14.50</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469.67</w:t>
      </w:r>
      <w:r>
        <w:rPr>
          <w:szCs w:val="32"/>
        </w:rPr>
        <w:t>万元，其中：基本支出</w:t>
      </w:r>
      <w:r>
        <w:rPr>
          <w:rFonts w:hint="eastAsia"/>
          <w:szCs w:val="32"/>
          <w:lang w:val="en-US" w:eastAsia="zh-CN"/>
        </w:rPr>
        <w:t>394.87</w:t>
      </w:r>
      <w:r>
        <w:rPr>
          <w:szCs w:val="32"/>
        </w:rPr>
        <w:t>万元，占</w:t>
      </w:r>
      <w:r>
        <w:rPr>
          <w:rFonts w:hint="eastAsia"/>
          <w:szCs w:val="32"/>
          <w:lang w:val="en-US" w:eastAsia="zh-CN"/>
        </w:rPr>
        <w:t>84.07</w:t>
      </w:r>
      <w:r>
        <w:rPr>
          <w:szCs w:val="32"/>
        </w:rPr>
        <w:t>%；项目支出</w:t>
      </w:r>
      <w:r>
        <w:rPr>
          <w:rFonts w:hint="eastAsia"/>
          <w:szCs w:val="32"/>
          <w:lang w:val="en-US" w:eastAsia="zh-CN"/>
        </w:rPr>
        <w:t>74.80</w:t>
      </w:r>
      <w:r>
        <w:rPr>
          <w:szCs w:val="32"/>
        </w:rPr>
        <w:t>万元，占</w:t>
      </w:r>
      <w:r>
        <w:rPr>
          <w:rFonts w:hint="eastAsia"/>
          <w:szCs w:val="32"/>
          <w:lang w:val="en-US" w:eastAsia="zh-CN"/>
        </w:rPr>
        <w:t>15.93</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469.67</w:t>
      </w:r>
      <w:r>
        <w:rPr>
          <w:szCs w:val="32"/>
        </w:rPr>
        <w:t>万元，其中：</w:t>
      </w:r>
      <w:r>
        <w:rPr>
          <w:rFonts w:hint="eastAsia"/>
          <w:szCs w:val="32"/>
        </w:rPr>
        <w:t>本年</w:t>
      </w:r>
      <w:r>
        <w:rPr>
          <w:rFonts w:hint="eastAsia"/>
          <w:szCs w:val="32"/>
          <w:lang w:eastAsia="zh-CN"/>
        </w:rPr>
        <w:t>预算</w:t>
      </w:r>
      <w:r>
        <w:rPr>
          <w:rFonts w:hint="eastAsia"/>
          <w:szCs w:val="32"/>
          <w:lang w:val="en-US" w:eastAsia="zh-CN"/>
        </w:rPr>
        <w:t>455.17</w:t>
      </w:r>
      <w:r>
        <w:rPr>
          <w:szCs w:val="32"/>
        </w:rPr>
        <w:t>万元</w:t>
      </w:r>
      <w:r>
        <w:rPr>
          <w:rFonts w:hint="eastAsia"/>
          <w:szCs w:val="32"/>
        </w:rPr>
        <w:t>，上年结转</w:t>
      </w:r>
      <w:r>
        <w:rPr>
          <w:rFonts w:hint="eastAsia"/>
          <w:szCs w:val="32"/>
          <w:lang w:val="en-US" w:eastAsia="zh-CN"/>
        </w:rPr>
        <w:t>14.50</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3</w:t>
      </w:r>
      <w:r>
        <w:rPr>
          <w:rFonts w:hint="eastAsia"/>
          <w:szCs w:val="32"/>
          <w:lang w:val="en-US" w:eastAsia="zh-CN"/>
        </w:rPr>
        <w:t>79.62</w:t>
      </w:r>
      <w:r>
        <w:rPr>
          <w:szCs w:val="32"/>
        </w:rPr>
        <w:t>万元，</w:t>
      </w:r>
      <w:r>
        <w:rPr>
          <w:kern w:val="0"/>
          <w:szCs w:val="32"/>
        </w:rPr>
        <w:t>社会保障和就业支出</w:t>
      </w:r>
      <w:r>
        <w:rPr>
          <w:rFonts w:hint="eastAsia"/>
          <w:szCs w:val="32"/>
          <w:lang w:val="en-US" w:eastAsia="zh-CN"/>
        </w:rPr>
        <w:t>48.07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11.02</w:t>
      </w:r>
      <w:r>
        <w:rPr>
          <w:szCs w:val="32"/>
        </w:rPr>
        <w:t>万元，</w:t>
      </w:r>
      <w:r>
        <w:rPr>
          <w:kern w:val="0"/>
          <w:szCs w:val="32"/>
        </w:rPr>
        <w:t>住房保障支出</w:t>
      </w:r>
      <w:r>
        <w:rPr>
          <w:rFonts w:hint="eastAsia"/>
          <w:szCs w:val="32"/>
          <w:lang w:val="en-US" w:eastAsia="zh-CN"/>
        </w:rPr>
        <w:t>30.96</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469.67</w:t>
      </w:r>
      <w:r>
        <w:rPr>
          <w:szCs w:val="32"/>
        </w:rPr>
        <w:t>万元，其中：基本支出</w:t>
      </w:r>
      <w:r>
        <w:rPr>
          <w:rFonts w:hint="eastAsia"/>
          <w:szCs w:val="32"/>
          <w:lang w:val="en-US" w:eastAsia="zh-CN"/>
        </w:rPr>
        <w:t>394.87</w:t>
      </w:r>
      <w:r>
        <w:rPr>
          <w:szCs w:val="32"/>
        </w:rPr>
        <w:t>万元，占</w:t>
      </w:r>
      <w:r>
        <w:rPr>
          <w:rFonts w:hint="eastAsia"/>
          <w:szCs w:val="32"/>
          <w:lang w:val="en-US" w:eastAsia="zh-CN"/>
        </w:rPr>
        <w:t>84.07</w:t>
      </w:r>
      <w:r>
        <w:rPr>
          <w:szCs w:val="32"/>
        </w:rPr>
        <w:t>%；项目支出</w:t>
      </w:r>
      <w:r>
        <w:rPr>
          <w:rFonts w:hint="eastAsia"/>
          <w:szCs w:val="32"/>
          <w:lang w:val="en-US" w:eastAsia="zh-CN"/>
        </w:rPr>
        <w:t>74.80</w:t>
      </w:r>
      <w:r>
        <w:rPr>
          <w:szCs w:val="32"/>
        </w:rPr>
        <w:t>万元，占</w:t>
      </w:r>
      <w:r>
        <w:rPr>
          <w:rFonts w:hint="eastAsia"/>
          <w:szCs w:val="32"/>
          <w:lang w:val="en-US" w:eastAsia="zh-CN"/>
        </w:rPr>
        <w:t>15.93</w:t>
      </w:r>
      <w:r>
        <w:rPr>
          <w:szCs w:val="32"/>
        </w:rPr>
        <w:t>%。基本支出中，人员经费</w:t>
      </w:r>
      <w:r>
        <w:rPr>
          <w:rFonts w:hint="eastAsia"/>
          <w:szCs w:val="32"/>
          <w:lang w:val="en-US" w:eastAsia="zh-CN"/>
        </w:rPr>
        <w:t>331.95</w:t>
      </w:r>
      <w:r>
        <w:rPr>
          <w:szCs w:val="32"/>
        </w:rPr>
        <w:t>万元，占</w:t>
      </w:r>
      <w:r>
        <w:rPr>
          <w:rFonts w:hint="eastAsia"/>
          <w:szCs w:val="32"/>
          <w:lang w:val="en-US" w:eastAsia="zh-CN"/>
        </w:rPr>
        <w:t>84.07</w:t>
      </w:r>
      <w:r>
        <w:rPr>
          <w:szCs w:val="32"/>
        </w:rPr>
        <w:t>%；公用经费</w:t>
      </w:r>
      <w:r>
        <w:rPr>
          <w:rFonts w:hint="eastAsia"/>
          <w:szCs w:val="32"/>
          <w:lang w:val="en-US" w:eastAsia="zh-CN"/>
        </w:rPr>
        <w:t>62.92</w:t>
      </w:r>
      <w:r>
        <w:rPr>
          <w:szCs w:val="32"/>
        </w:rPr>
        <w:t>万元，占</w:t>
      </w:r>
      <w:r>
        <w:rPr>
          <w:rFonts w:hint="eastAsia"/>
          <w:szCs w:val="32"/>
          <w:lang w:val="en-US" w:eastAsia="zh-CN"/>
        </w:rPr>
        <w:t>15.93</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一般公共服务（类）支出支出</w:t>
      </w:r>
      <w:r>
        <w:rPr>
          <w:rFonts w:hint="eastAsia"/>
          <w:szCs w:val="32"/>
          <w:lang w:val="en-US" w:eastAsia="zh-CN"/>
        </w:rPr>
        <w:t>379.62</w:t>
      </w:r>
      <w:r>
        <w:rPr>
          <w:szCs w:val="32"/>
        </w:rPr>
        <w:t>万元，占</w:t>
      </w:r>
      <w:r>
        <w:rPr>
          <w:rFonts w:hint="eastAsia"/>
          <w:szCs w:val="32"/>
          <w:lang w:val="en-US" w:eastAsia="zh-CN"/>
        </w:rPr>
        <w:t>80.83</w:t>
      </w:r>
      <w:r>
        <w:rPr>
          <w:szCs w:val="32"/>
        </w:rPr>
        <w:t>%，主要用于</w:t>
      </w:r>
      <w:r>
        <w:rPr>
          <w:rFonts w:hint="eastAsia" w:ascii="Times New Roman" w:hAnsi="Times New Roman" w:cs="Times New Roman"/>
          <w:szCs w:val="32"/>
        </w:rPr>
        <w:t>保障职工工资，维持机关正常运转，完成年度统计工作任务</w:t>
      </w:r>
      <w:r>
        <w:rPr>
          <w:szCs w:val="32"/>
        </w:rPr>
        <w:t>。</w:t>
      </w:r>
    </w:p>
    <w:p>
      <w:pPr>
        <w:spacing w:line="520" w:lineRule="exact"/>
        <w:ind w:firstLine="200"/>
        <w:rPr>
          <w:szCs w:val="32"/>
        </w:rPr>
      </w:pPr>
      <w:r>
        <w:rPr>
          <w:szCs w:val="32"/>
        </w:rPr>
        <w:t>社会保障和就业（类）支出</w:t>
      </w:r>
      <w:r>
        <w:rPr>
          <w:rFonts w:hint="eastAsia"/>
          <w:szCs w:val="32"/>
          <w:lang w:val="en-US" w:eastAsia="zh-CN"/>
        </w:rPr>
        <w:t>48.07</w:t>
      </w:r>
      <w:r>
        <w:rPr>
          <w:szCs w:val="32"/>
        </w:rPr>
        <w:t>万元，占</w:t>
      </w:r>
      <w:r>
        <w:rPr>
          <w:rFonts w:hint="eastAsia"/>
          <w:szCs w:val="32"/>
          <w:lang w:val="en-US" w:eastAsia="zh-CN"/>
        </w:rPr>
        <w:t>10.23</w:t>
      </w:r>
      <w:r>
        <w:rPr>
          <w:szCs w:val="32"/>
        </w:rPr>
        <w:t>%，主要用于</w:t>
      </w:r>
      <w:r>
        <w:rPr>
          <w:rFonts w:hint="eastAsia" w:ascii="Times New Roman" w:hAnsi="Times New Roman" w:cs="Times New Roman"/>
          <w:szCs w:val="32"/>
        </w:rPr>
        <w:t>机关事业单位基本养老保险缴费支出</w:t>
      </w:r>
      <w:r>
        <w:rPr>
          <w:szCs w:val="32"/>
        </w:rPr>
        <w:t>。</w:t>
      </w:r>
    </w:p>
    <w:p>
      <w:pPr>
        <w:spacing w:line="520" w:lineRule="exact"/>
        <w:ind w:firstLine="200"/>
        <w:rPr>
          <w:rFonts w:hint="eastAsia" w:cs="Times New Roman"/>
          <w:szCs w:val="32"/>
          <w:lang w:eastAsia="zh-CN"/>
        </w:rPr>
      </w:pPr>
      <w:r>
        <w:rPr>
          <w:rFonts w:hint="eastAsia" w:ascii="Times New Roman" w:hAnsi="Times New Roman" w:cs="Times New Roman"/>
          <w:szCs w:val="32"/>
        </w:rPr>
        <w:t>卫生健康（类）支出</w:t>
      </w:r>
      <w:r>
        <w:rPr>
          <w:rFonts w:hint="eastAsia" w:cs="Times New Roman"/>
          <w:szCs w:val="32"/>
          <w:lang w:val="en-US" w:eastAsia="zh-CN"/>
        </w:rPr>
        <w:t>11.02</w:t>
      </w:r>
      <w:r>
        <w:rPr>
          <w:rFonts w:hint="eastAsia" w:ascii="Times New Roman" w:hAnsi="Times New Roman" w:cs="Times New Roman"/>
          <w:szCs w:val="32"/>
        </w:rPr>
        <w:t>万元，占</w:t>
      </w:r>
      <w:r>
        <w:rPr>
          <w:rFonts w:hint="eastAsia" w:cs="Times New Roman"/>
          <w:szCs w:val="32"/>
          <w:lang w:val="en-US" w:eastAsia="zh-CN"/>
        </w:rPr>
        <w:t>2.35</w:t>
      </w:r>
      <w:r>
        <w:rPr>
          <w:rFonts w:hint="eastAsia" w:ascii="Times New Roman" w:hAnsi="Times New Roman" w:cs="Times New Roman"/>
          <w:szCs w:val="32"/>
        </w:rPr>
        <w:t>%，主要用于缴纳职工医疗保险</w:t>
      </w:r>
      <w:r>
        <w:rPr>
          <w:rFonts w:hint="eastAsia" w:cs="Times New Roman"/>
          <w:szCs w:val="32"/>
          <w:lang w:eastAsia="zh-CN"/>
        </w:rPr>
        <w:t>。</w:t>
      </w:r>
    </w:p>
    <w:p>
      <w:pPr>
        <w:spacing w:line="520" w:lineRule="exact"/>
        <w:ind w:firstLine="200"/>
        <w:rPr>
          <w:rFonts w:hint="eastAsia"/>
          <w:szCs w:val="32"/>
        </w:rPr>
      </w:pPr>
      <w:r>
        <w:rPr>
          <w:szCs w:val="32"/>
        </w:rPr>
        <w:t>住房保障（类）支出</w:t>
      </w:r>
      <w:r>
        <w:rPr>
          <w:rFonts w:hint="eastAsia"/>
          <w:szCs w:val="32"/>
          <w:lang w:val="en-US" w:eastAsia="zh-CN"/>
        </w:rPr>
        <w:t>30.96</w:t>
      </w:r>
      <w:r>
        <w:rPr>
          <w:szCs w:val="32"/>
        </w:rPr>
        <w:t>万元，占</w:t>
      </w:r>
      <w:r>
        <w:rPr>
          <w:rFonts w:hint="eastAsia"/>
          <w:szCs w:val="32"/>
          <w:lang w:val="en-US" w:eastAsia="zh-CN"/>
        </w:rPr>
        <w:t>6.59</w:t>
      </w:r>
      <w:r>
        <w:rPr>
          <w:szCs w:val="32"/>
        </w:rPr>
        <w:t>%，主要用于</w:t>
      </w:r>
      <w:r>
        <w:rPr>
          <w:rFonts w:hint="eastAsia" w:ascii="Times New Roman" w:hAnsi="Times New Roman" w:cs="Times New Roman"/>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394.87</w:t>
      </w:r>
      <w:r>
        <w:rPr>
          <w:szCs w:val="32"/>
        </w:rPr>
        <w:t>万元，其中：</w:t>
      </w:r>
    </w:p>
    <w:p>
      <w:pPr>
        <w:ind w:firstLine="640" w:firstLineChars="200"/>
        <w:rPr>
          <w:szCs w:val="32"/>
        </w:rPr>
      </w:pPr>
      <w:r>
        <w:rPr>
          <w:szCs w:val="32"/>
        </w:rPr>
        <w:t>人员经费</w:t>
      </w:r>
      <w:r>
        <w:rPr>
          <w:rFonts w:hint="eastAsia"/>
          <w:szCs w:val="32"/>
          <w:lang w:val="en-US" w:eastAsia="zh-CN"/>
        </w:rPr>
        <w:t>331.95</w:t>
      </w:r>
      <w:r>
        <w:rPr>
          <w:szCs w:val="32"/>
        </w:rPr>
        <w:t>万元，主要包括：基本工资、津贴补贴、奖金、</w:t>
      </w:r>
      <w:r>
        <w:rPr>
          <w:rFonts w:hint="eastAsia"/>
          <w:szCs w:val="32"/>
          <w:lang w:val="en-US" w:eastAsia="zh-CN"/>
        </w:rPr>
        <w:t>机关事业单位基本养老保险缴费、职工基本医疗保险缴费、其他</w:t>
      </w:r>
      <w:r>
        <w:rPr>
          <w:szCs w:val="32"/>
        </w:rPr>
        <w:t>社会保障缴费、住房公积金、</w:t>
      </w:r>
      <w:r>
        <w:rPr>
          <w:rFonts w:hint="eastAsia"/>
          <w:szCs w:val="32"/>
          <w:lang w:val="en-US" w:eastAsia="zh-CN"/>
        </w:rPr>
        <w:t>医疗费、</w:t>
      </w:r>
      <w:r>
        <w:rPr>
          <w:szCs w:val="32"/>
        </w:rPr>
        <w:t>其他工资福利支出、退休费、其他对个人和家庭的补助支出。</w:t>
      </w:r>
    </w:p>
    <w:p>
      <w:pPr>
        <w:ind w:firstLine="640" w:firstLineChars="200"/>
        <w:rPr>
          <w:szCs w:val="32"/>
        </w:rPr>
      </w:pPr>
      <w:r>
        <w:rPr>
          <w:kern w:val="0"/>
          <w:szCs w:val="32"/>
        </w:rPr>
        <w:t>公用经费</w:t>
      </w:r>
      <w:r>
        <w:rPr>
          <w:rFonts w:hint="eastAsia"/>
          <w:szCs w:val="32"/>
          <w:lang w:val="en-US" w:eastAsia="zh-CN"/>
        </w:rPr>
        <w:t>62.92</w:t>
      </w:r>
      <w:r>
        <w:rPr>
          <w:szCs w:val="32"/>
        </w:rPr>
        <w:t>万元，主要包括：</w:t>
      </w:r>
      <w:r>
        <w:rPr>
          <w:kern w:val="0"/>
          <w:szCs w:val="32"/>
        </w:rPr>
        <w:t>办公费</w:t>
      </w:r>
      <w:r>
        <w:rPr>
          <w:szCs w:val="32"/>
        </w:rPr>
        <w:t>、</w:t>
      </w:r>
      <w:r>
        <w:rPr>
          <w:kern w:val="0"/>
          <w:szCs w:val="32"/>
        </w:rPr>
        <w:t>印刷费</w:t>
      </w:r>
      <w:r>
        <w:rPr>
          <w:szCs w:val="32"/>
        </w:rPr>
        <w:t>、</w:t>
      </w:r>
      <w:r>
        <w:rPr>
          <w:kern w:val="0"/>
          <w:szCs w:val="32"/>
        </w:rPr>
        <w:t>电费</w:t>
      </w:r>
      <w:r>
        <w:rPr>
          <w:szCs w:val="32"/>
        </w:rPr>
        <w:t>、</w:t>
      </w:r>
      <w:r>
        <w:rPr>
          <w:kern w:val="0"/>
          <w:szCs w:val="32"/>
        </w:rPr>
        <w:t>邮电费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rFonts w:hint="eastAsia"/>
          <w:szCs w:val="32"/>
          <w:lang w:val="en-US" w:eastAsia="zh-CN"/>
        </w:rPr>
        <w:t>劳务费、</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3.33</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0.56</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0.56</w:t>
      </w:r>
      <w:r>
        <w:rPr>
          <w:szCs w:val="32"/>
        </w:rPr>
        <w:t>万元，主要原因是</w:t>
      </w:r>
      <w:r>
        <w:rPr>
          <w:rFonts w:hint="eastAsia"/>
          <w:szCs w:val="32"/>
          <w:lang w:val="en-US" w:eastAsia="zh-CN"/>
        </w:rPr>
        <w:t>本年度压减了公用经费预算</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3.33</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3.33</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eastAsia="楷体"/>
          <w:szCs w:val="32"/>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r>
        <w:rPr>
          <w:rFonts w:hint="eastAsia"/>
          <w:szCs w:val="32"/>
          <w:lang w:val="en-US" w:eastAsia="zh-CN"/>
        </w:rPr>
        <w:t xml:space="preserve">         </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eastAsia="楷体"/>
          <w:szCs w:val="32"/>
        </w:rPr>
      </w:pPr>
      <w:r>
        <w:rPr>
          <w:rFonts w:hint="eastAsia"/>
          <w:szCs w:val="32"/>
          <w:lang w:eastAsia="zh-CN"/>
        </w:rPr>
        <w:t>本</w:t>
      </w:r>
      <w:r>
        <w:rPr>
          <w:rFonts w:hint="eastAsia"/>
          <w:szCs w:val="32"/>
          <w:lang w:val="en-US" w:eastAsia="zh-CN"/>
        </w:rPr>
        <w:t>单位</w:t>
      </w:r>
      <w:r>
        <w:rPr>
          <w:rFonts w:hint="eastAsia"/>
          <w:szCs w:val="32"/>
          <w:lang w:eastAsia="zh-CN"/>
        </w:rPr>
        <w:t>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szCs w:val="32"/>
          <w:lang w:val="en-US" w:eastAsia="zh-CN"/>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62.92</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9.78</w:t>
      </w:r>
      <w:r>
        <w:rPr>
          <w:szCs w:val="32"/>
        </w:rPr>
        <w:t>万元，下降</w:t>
      </w:r>
      <w:r>
        <w:rPr>
          <w:rFonts w:hint="eastAsia"/>
          <w:szCs w:val="32"/>
          <w:lang w:val="en-US" w:eastAsia="zh-CN"/>
        </w:rPr>
        <w:t>13.45</w:t>
      </w:r>
      <w:r>
        <w:rPr>
          <w:szCs w:val="32"/>
        </w:rPr>
        <w:t>%</w:t>
      </w:r>
      <w:r>
        <w:rPr>
          <w:rFonts w:hint="eastAsia"/>
          <w:szCs w:val="32"/>
        </w:rPr>
        <w:t>，</w:t>
      </w:r>
      <w:r>
        <w:rPr>
          <w:rFonts w:hint="eastAsia"/>
          <w:szCs w:val="32"/>
          <w:lang w:val="en-US" w:eastAsia="zh-CN"/>
        </w:rPr>
        <w:t>主要原因是认真贯彻落实中共中央八项规定精神和省财政厅“过紧日子”有关要求，厉行节约，压减了机关运行经费预算。</w:t>
      </w:r>
    </w:p>
    <w:p>
      <w:pPr>
        <w:spacing w:line="540" w:lineRule="exact"/>
        <w:ind w:firstLine="640" w:firstLineChars="200"/>
        <w:rPr>
          <w:rFonts w:eastAsia="楷体"/>
          <w:szCs w:val="32"/>
        </w:rPr>
      </w:pPr>
      <w:r>
        <w:rPr>
          <w:rFonts w:hint="eastAsia"/>
          <w:szCs w:val="32"/>
          <w:lang w:val="en-US" w:eastAsia="zh-CN"/>
        </w:rPr>
        <w:t>（二</w:t>
      </w:r>
      <w:r>
        <w:rPr>
          <w:rFonts w:eastAsia="楷体"/>
          <w:szCs w:val="32"/>
        </w:rPr>
        <w:t>）政府采购情况</w:t>
      </w:r>
    </w:p>
    <w:p>
      <w:pPr>
        <w:spacing w:line="540" w:lineRule="exact"/>
        <w:ind w:firstLine="640" w:firstLineChars="200"/>
        <w:rPr>
          <w:rFonts w:hint="eastAsia"/>
          <w:szCs w:val="32"/>
          <w:lang w:val="en-US" w:eastAsia="zh-CN"/>
        </w:rPr>
      </w:pPr>
      <w:r>
        <w:rPr>
          <w:rFonts w:hint="eastAsia"/>
          <w:szCs w:val="32"/>
          <w:lang w:val="en-US" w:eastAsia="zh-CN"/>
        </w:rPr>
        <w:t>本单位无政府采购预算。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单位</w:t>
      </w:r>
      <w:r>
        <w:rPr>
          <w:rFonts w:hint="eastAsia"/>
          <w:szCs w:val="32"/>
        </w:rPr>
        <w:t>本级共有车辆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975.34</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74.80</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74.80</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74.80</w:t>
      </w:r>
      <w:r>
        <w:rPr>
          <w:rFonts w:hint="eastAsia" w:ascii="宋体" w:hAnsi="宋体"/>
        </w:rPr>
        <w:t>万元。</w:t>
      </w:r>
    </w:p>
    <w:p>
      <w:pPr>
        <w:ind w:firstLine="645"/>
        <w:rPr>
          <w:rFonts w:eastAsia="楷体"/>
          <w:szCs w:val="32"/>
        </w:rPr>
      </w:pPr>
    </w:p>
    <w:p>
      <w:pPr>
        <w:rPr>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59E4C-E6CA-4A2F-8A11-A8312A6ADD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36FE71-0AA5-4836-AB9A-9305D490FDB4}"/>
  </w:font>
  <w:font w:name="仿宋_GB2312">
    <w:panose1 w:val="02010609030101010101"/>
    <w:charset w:val="86"/>
    <w:family w:val="modern"/>
    <w:pitch w:val="default"/>
    <w:sig w:usb0="00000001" w:usb1="080E0000" w:usb2="00000000" w:usb3="00000000" w:csb0="00040000" w:csb1="00000000"/>
    <w:embedRegular r:id="rId3" w:fontKey="{B59998B5-4A81-432D-B66E-E367BC34287C}"/>
  </w:font>
  <w:font w:name="华文细黑">
    <w:panose1 w:val="02010600040101010101"/>
    <w:charset w:val="86"/>
    <w:family w:val="auto"/>
    <w:pitch w:val="default"/>
    <w:sig w:usb0="00000287" w:usb1="080F0000" w:usb2="00000000" w:usb3="00000000" w:csb0="0004009F" w:csb1="DFD70000"/>
    <w:embedRegular r:id="rId4" w:fontKey="{4415575E-3E7F-4D3D-9018-F49DE04F4508}"/>
  </w:font>
  <w:font w:name="方正小标宋简体">
    <w:panose1 w:val="02000000000000000000"/>
    <w:charset w:val="86"/>
    <w:family w:val="auto"/>
    <w:pitch w:val="default"/>
    <w:sig w:usb0="00000001" w:usb1="08000000" w:usb2="00000000" w:usb3="00000000" w:csb0="00040000" w:csb1="00000000"/>
    <w:embedRegular r:id="rId5" w:fontKey="{B962E579-E38A-4B94-A9B1-92478E06A91D}"/>
  </w:font>
  <w:font w:name="楷体_GB2312">
    <w:panose1 w:val="02010609030101010101"/>
    <w:charset w:val="86"/>
    <w:family w:val="modern"/>
    <w:pitch w:val="default"/>
    <w:sig w:usb0="00000001" w:usb1="080E0000" w:usb2="00000000" w:usb3="00000000" w:csb0="00040000" w:csb1="00000000"/>
    <w:embedRegular r:id="rId6" w:fontKey="{EB33FCBC-2F62-4C9D-A88C-DB444F15D91B}"/>
  </w:font>
  <w:font w:name="仿宋">
    <w:panose1 w:val="02010609060101010101"/>
    <w:charset w:val="86"/>
    <w:family w:val="modern"/>
    <w:pitch w:val="default"/>
    <w:sig w:usb0="800002BF" w:usb1="38CF7CFA" w:usb2="00000016" w:usb3="00000000" w:csb0="00040001" w:csb1="00000000"/>
    <w:embedRegular r:id="rId7" w:fontKey="{CB320368-B9E0-463A-BCAF-FCE927B01703}"/>
  </w:font>
  <w:font w:name="楷体">
    <w:panose1 w:val="02010609060101010101"/>
    <w:charset w:val="86"/>
    <w:family w:val="modern"/>
    <w:pitch w:val="default"/>
    <w:sig w:usb0="800002BF" w:usb1="38CF7CFA" w:usb2="00000016" w:usb3="00000000" w:csb0="00040001" w:csb1="00000000"/>
    <w:embedRegular r:id="rId8" w:fontKey="{9ED89C1D-013F-4F9B-9D94-CD470D608F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WJiMjg5Y2RjM2JhNWQzNWU2YWZkMmRiOGIzZTQ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2DD090F"/>
    <w:rsid w:val="031D7D4B"/>
    <w:rsid w:val="037F2004"/>
    <w:rsid w:val="038A201F"/>
    <w:rsid w:val="039D2E92"/>
    <w:rsid w:val="042E253E"/>
    <w:rsid w:val="0486486A"/>
    <w:rsid w:val="04954460"/>
    <w:rsid w:val="04B818D1"/>
    <w:rsid w:val="050D06DA"/>
    <w:rsid w:val="05310B72"/>
    <w:rsid w:val="05513E94"/>
    <w:rsid w:val="056F5A6D"/>
    <w:rsid w:val="059B3770"/>
    <w:rsid w:val="063949A0"/>
    <w:rsid w:val="06BD5BC7"/>
    <w:rsid w:val="06F008FF"/>
    <w:rsid w:val="079E5032"/>
    <w:rsid w:val="08716E9D"/>
    <w:rsid w:val="09015F14"/>
    <w:rsid w:val="09016473"/>
    <w:rsid w:val="091C5C63"/>
    <w:rsid w:val="09421190"/>
    <w:rsid w:val="09A0082A"/>
    <w:rsid w:val="0A00435B"/>
    <w:rsid w:val="0A740EC6"/>
    <w:rsid w:val="0AAA1697"/>
    <w:rsid w:val="0ABA06FE"/>
    <w:rsid w:val="0B49202F"/>
    <w:rsid w:val="0B5F5ADA"/>
    <w:rsid w:val="0BCF4419"/>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2E96D17"/>
    <w:rsid w:val="136D62BD"/>
    <w:rsid w:val="136E4388"/>
    <w:rsid w:val="13F21722"/>
    <w:rsid w:val="1441443C"/>
    <w:rsid w:val="14AE3227"/>
    <w:rsid w:val="14C12787"/>
    <w:rsid w:val="15593E10"/>
    <w:rsid w:val="159F7E25"/>
    <w:rsid w:val="15F848D0"/>
    <w:rsid w:val="16062B64"/>
    <w:rsid w:val="160E1FA5"/>
    <w:rsid w:val="160F2600"/>
    <w:rsid w:val="16C829AB"/>
    <w:rsid w:val="16DD34F5"/>
    <w:rsid w:val="172872C1"/>
    <w:rsid w:val="175355D1"/>
    <w:rsid w:val="17765BCA"/>
    <w:rsid w:val="17A027D8"/>
    <w:rsid w:val="17CC2625"/>
    <w:rsid w:val="185A16FC"/>
    <w:rsid w:val="19132BE0"/>
    <w:rsid w:val="191F4716"/>
    <w:rsid w:val="1954649C"/>
    <w:rsid w:val="1A817DF8"/>
    <w:rsid w:val="1A8A6135"/>
    <w:rsid w:val="1ADC594E"/>
    <w:rsid w:val="1AEB5252"/>
    <w:rsid w:val="1B0E2C71"/>
    <w:rsid w:val="1B2E0C1E"/>
    <w:rsid w:val="1B8A03E4"/>
    <w:rsid w:val="1B9C1459"/>
    <w:rsid w:val="1C1B73F4"/>
    <w:rsid w:val="1C852172"/>
    <w:rsid w:val="1CA40C0C"/>
    <w:rsid w:val="1CFF4A32"/>
    <w:rsid w:val="1D833200"/>
    <w:rsid w:val="1DCD0BC2"/>
    <w:rsid w:val="1E3A3FD0"/>
    <w:rsid w:val="1EB55C07"/>
    <w:rsid w:val="1F351A10"/>
    <w:rsid w:val="1F857EA5"/>
    <w:rsid w:val="1FED47E9"/>
    <w:rsid w:val="1FF41D86"/>
    <w:rsid w:val="206816AC"/>
    <w:rsid w:val="21134335"/>
    <w:rsid w:val="226E581D"/>
    <w:rsid w:val="22A4003E"/>
    <w:rsid w:val="23135C25"/>
    <w:rsid w:val="23353491"/>
    <w:rsid w:val="23EC61F6"/>
    <w:rsid w:val="244C543C"/>
    <w:rsid w:val="24624768"/>
    <w:rsid w:val="24F77B8A"/>
    <w:rsid w:val="259B5BC5"/>
    <w:rsid w:val="25F62C4E"/>
    <w:rsid w:val="26643D6C"/>
    <w:rsid w:val="26FE109D"/>
    <w:rsid w:val="27073E1E"/>
    <w:rsid w:val="27B04AB3"/>
    <w:rsid w:val="27B16E5E"/>
    <w:rsid w:val="282C3BA1"/>
    <w:rsid w:val="28A63332"/>
    <w:rsid w:val="28C96E8E"/>
    <w:rsid w:val="29C45F24"/>
    <w:rsid w:val="2A16744D"/>
    <w:rsid w:val="2D9038E4"/>
    <w:rsid w:val="2DF8796C"/>
    <w:rsid w:val="2EB22F18"/>
    <w:rsid w:val="2EE12108"/>
    <w:rsid w:val="2EED35E3"/>
    <w:rsid w:val="2F0B5068"/>
    <w:rsid w:val="2F250383"/>
    <w:rsid w:val="2F63610B"/>
    <w:rsid w:val="2FBC646B"/>
    <w:rsid w:val="2FE06533"/>
    <w:rsid w:val="300965A3"/>
    <w:rsid w:val="30730D6E"/>
    <w:rsid w:val="308B20C9"/>
    <w:rsid w:val="30B91A70"/>
    <w:rsid w:val="30F84C22"/>
    <w:rsid w:val="310C6AA2"/>
    <w:rsid w:val="31793674"/>
    <w:rsid w:val="31894469"/>
    <w:rsid w:val="32332703"/>
    <w:rsid w:val="32CF2C5D"/>
    <w:rsid w:val="32EE2C61"/>
    <w:rsid w:val="335402B5"/>
    <w:rsid w:val="335C05C6"/>
    <w:rsid w:val="339466B2"/>
    <w:rsid w:val="34164C19"/>
    <w:rsid w:val="34555AF5"/>
    <w:rsid w:val="34FF687B"/>
    <w:rsid w:val="354C4987"/>
    <w:rsid w:val="35616772"/>
    <w:rsid w:val="35EA1663"/>
    <w:rsid w:val="364C598E"/>
    <w:rsid w:val="368A3622"/>
    <w:rsid w:val="36B543E5"/>
    <w:rsid w:val="36CC2B0F"/>
    <w:rsid w:val="36FC762F"/>
    <w:rsid w:val="377A59CA"/>
    <w:rsid w:val="3838492F"/>
    <w:rsid w:val="383A009B"/>
    <w:rsid w:val="3887374F"/>
    <w:rsid w:val="38CB0ABC"/>
    <w:rsid w:val="39041A07"/>
    <w:rsid w:val="39043B77"/>
    <w:rsid w:val="39670895"/>
    <w:rsid w:val="397B4EE2"/>
    <w:rsid w:val="3A387412"/>
    <w:rsid w:val="3A387943"/>
    <w:rsid w:val="3A657F9A"/>
    <w:rsid w:val="3A9113D4"/>
    <w:rsid w:val="3AC54F32"/>
    <w:rsid w:val="3B144A0A"/>
    <w:rsid w:val="3B254018"/>
    <w:rsid w:val="3B5257F8"/>
    <w:rsid w:val="3BC92948"/>
    <w:rsid w:val="3BE370D4"/>
    <w:rsid w:val="3C1A026D"/>
    <w:rsid w:val="3C29381E"/>
    <w:rsid w:val="3C526A0A"/>
    <w:rsid w:val="3C711E1D"/>
    <w:rsid w:val="3C7F463D"/>
    <w:rsid w:val="3CAE3960"/>
    <w:rsid w:val="3CEF6494"/>
    <w:rsid w:val="3D365BF6"/>
    <w:rsid w:val="3D7F7007"/>
    <w:rsid w:val="3DB008AA"/>
    <w:rsid w:val="3DBA42C7"/>
    <w:rsid w:val="3DF23324"/>
    <w:rsid w:val="3EA14040"/>
    <w:rsid w:val="3EE8108D"/>
    <w:rsid w:val="3F8201A3"/>
    <w:rsid w:val="402675EA"/>
    <w:rsid w:val="40B80EFF"/>
    <w:rsid w:val="41A35364"/>
    <w:rsid w:val="41C31686"/>
    <w:rsid w:val="41C837BC"/>
    <w:rsid w:val="41F879A4"/>
    <w:rsid w:val="421643AC"/>
    <w:rsid w:val="42982B4E"/>
    <w:rsid w:val="429F5D0C"/>
    <w:rsid w:val="42D83665"/>
    <w:rsid w:val="434A6B47"/>
    <w:rsid w:val="436B1E42"/>
    <w:rsid w:val="44446C38"/>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395FE1"/>
    <w:rsid w:val="4D4E2809"/>
    <w:rsid w:val="4D643F2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A46F68"/>
    <w:rsid w:val="52071113"/>
    <w:rsid w:val="52085509"/>
    <w:rsid w:val="522774C4"/>
    <w:rsid w:val="522A7431"/>
    <w:rsid w:val="525A440D"/>
    <w:rsid w:val="52626449"/>
    <w:rsid w:val="532F1CD9"/>
    <w:rsid w:val="544E1A56"/>
    <w:rsid w:val="544E511A"/>
    <w:rsid w:val="54741940"/>
    <w:rsid w:val="54810E66"/>
    <w:rsid w:val="548D25DB"/>
    <w:rsid w:val="549A0AF6"/>
    <w:rsid w:val="54C063E4"/>
    <w:rsid w:val="54C2556E"/>
    <w:rsid w:val="55480EEF"/>
    <w:rsid w:val="55694986"/>
    <w:rsid w:val="558A46C7"/>
    <w:rsid w:val="561A5A4B"/>
    <w:rsid w:val="569B7F91"/>
    <w:rsid w:val="56D21BED"/>
    <w:rsid w:val="572651B2"/>
    <w:rsid w:val="57AE5C26"/>
    <w:rsid w:val="57DD75A9"/>
    <w:rsid w:val="5801059F"/>
    <w:rsid w:val="58256ABD"/>
    <w:rsid w:val="58C27FDB"/>
    <w:rsid w:val="59472AC7"/>
    <w:rsid w:val="59D514A6"/>
    <w:rsid w:val="59EC6E09"/>
    <w:rsid w:val="5AB343F7"/>
    <w:rsid w:val="5ABF50F2"/>
    <w:rsid w:val="5AC02939"/>
    <w:rsid w:val="5AF25D13"/>
    <w:rsid w:val="5AF76904"/>
    <w:rsid w:val="5B052E7A"/>
    <w:rsid w:val="5B3D7F7E"/>
    <w:rsid w:val="5B561CFC"/>
    <w:rsid w:val="5B7C7777"/>
    <w:rsid w:val="5BEC6771"/>
    <w:rsid w:val="5C263F17"/>
    <w:rsid w:val="5CA506B9"/>
    <w:rsid w:val="5CF74CE4"/>
    <w:rsid w:val="5D5A7C63"/>
    <w:rsid w:val="5E256F6F"/>
    <w:rsid w:val="5F6235A9"/>
    <w:rsid w:val="60DC439E"/>
    <w:rsid w:val="614125C2"/>
    <w:rsid w:val="61AA1D1F"/>
    <w:rsid w:val="624C5C52"/>
    <w:rsid w:val="63DC38E5"/>
    <w:rsid w:val="63DF08E4"/>
    <w:rsid w:val="64462101"/>
    <w:rsid w:val="64790728"/>
    <w:rsid w:val="64C04AFD"/>
    <w:rsid w:val="655B219F"/>
    <w:rsid w:val="661A7B69"/>
    <w:rsid w:val="66455323"/>
    <w:rsid w:val="664909C1"/>
    <w:rsid w:val="66635AE4"/>
    <w:rsid w:val="66C63EB5"/>
    <w:rsid w:val="66D63C10"/>
    <w:rsid w:val="67592674"/>
    <w:rsid w:val="679461D3"/>
    <w:rsid w:val="6858287E"/>
    <w:rsid w:val="68593A1E"/>
    <w:rsid w:val="68C04D52"/>
    <w:rsid w:val="68D33DE9"/>
    <w:rsid w:val="69157114"/>
    <w:rsid w:val="691A443E"/>
    <w:rsid w:val="69E203A0"/>
    <w:rsid w:val="6A2148F9"/>
    <w:rsid w:val="6A5B6D7D"/>
    <w:rsid w:val="6A765FBC"/>
    <w:rsid w:val="6A80735F"/>
    <w:rsid w:val="6AC17181"/>
    <w:rsid w:val="6ACC5E47"/>
    <w:rsid w:val="6AD43ED1"/>
    <w:rsid w:val="6B11024D"/>
    <w:rsid w:val="6B7D5B36"/>
    <w:rsid w:val="6C834DAA"/>
    <w:rsid w:val="6C993CCE"/>
    <w:rsid w:val="6CF120A8"/>
    <w:rsid w:val="6D0936FF"/>
    <w:rsid w:val="6D72413D"/>
    <w:rsid w:val="6FF50B81"/>
    <w:rsid w:val="70330B9C"/>
    <w:rsid w:val="706C2EEF"/>
    <w:rsid w:val="714213DD"/>
    <w:rsid w:val="717F272E"/>
    <w:rsid w:val="72783A23"/>
    <w:rsid w:val="728027C6"/>
    <w:rsid w:val="73D62FA6"/>
    <w:rsid w:val="73FE7ACC"/>
    <w:rsid w:val="74556746"/>
    <w:rsid w:val="74743258"/>
    <w:rsid w:val="75974000"/>
    <w:rsid w:val="761B13C4"/>
    <w:rsid w:val="764B6A8A"/>
    <w:rsid w:val="76C17E06"/>
    <w:rsid w:val="76CA67BD"/>
    <w:rsid w:val="774E6400"/>
    <w:rsid w:val="775B0046"/>
    <w:rsid w:val="79047EA3"/>
    <w:rsid w:val="79700BEF"/>
    <w:rsid w:val="798D552B"/>
    <w:rsid w:val="79D00993"/>
    <w:rsid w:val="7A090695"/>
    <w:rsid w:val="7A1D5951"/>
    <w:rsid w:val="7AE175F4"/>
    <w:rsid w:val="7B417685"/>
    <w:rsid w:val="7B5220F0"/>
    <w:rsid w:val="7BA169C0"/>
    <w:rsid w:val="7BAB5214"/>
    <w:rsid w:val="7BC55243"/>
    <w:rsid w:val="7C036DFE"/>
    <w:rsid w:val="7C2F4A9A"/>
    <w:rsid w:val="7C395948"/>
    <w:rsid w:val="7C507B69"/>
    <w:rsid w:val="7CAD595B"/>
    <w:rsid w:val="7CDA3824"/>
    <w:rsid w:val="7CF65D07"/>
    <w:rsid w:val="7D20753B"/>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6250</Words>
  <Characters>7611</Characters>
  <Lines>71</Lines>
  <Paragraphs>20</Paragraphs>
  <TotalTime>16</TotalTime>
  <ScaleCrop>false</ScaleCrop>
  <LinksUpToDate>false</LinksUpToDate>
  <CharactersWithSpaces>8267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笑笑十年少</cp:lastModifiedBy>
  <cp:lastPrinted>2024-01-23T03:39:00Z</cp:lastPrinted>
  <dcterms:modified xsi:type="dcterms:W3CDTF">2024-02-26T02:33:17Z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