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松原市统计局宁江区分局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color w:val="auto"/>
          <w:sz w:val="44"/>
          <w:szCs w:val="44"/>
          <w:shd w:val="clear" w:color="auto" w:fill="auto"/>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color w:val="auto"/>
          <w:shd w:val="clear" w:color="auto" w:fill="auto"/>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color w:val="auto"/>
          <w:shd w:val="clear" w:color="auto" w:fill="auto"/>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 w:hAnsi="仿宋" w:eastAsia="仿宋"/>
        </w:rPr>
      </w:pPr>
      <w:r>
        <w:rPr>
          <w:rFonts w:hint="eastAsia" w:ascii="仿宋" w:hAnsi="仿宋" w:eastAsia="仿宋"/>
        </w:rPr>
        <w:t>1.贯彻执行国家统计方针、政策和法律法规，</w:t>
      </w:r>
      <w:r>
        <w:rPr>
          <w:rFonts w:hint="eastAsia" w:ascii="仿宋" w:hAnsi="仿宋" w:eastAsia="仿宋" w:cs="宋体"/>
          <w:color w:val="000000"/>
          <w:szCs w:val="32"/>
        </w:rPr>
        <w:t>制定全区统计工作规章制度、统计信息化建设计划</w:t>
      </w:r>
      <w:r>
        <w:rPr>
          <w:rFonts w:hint="eastAsia" w:ascii="仿宋" w:hAnsi="仿宋" w:eastAsia="仿宋"/>
        </w:rPr>
        <w:t>，监督检查统计法律、法规的实施情况。组织领导全区统计工作，承担确保统计数据真实、准确、及时的责任。</w:t>
      </w:r>
    </w:p>
    <w:p>
      <w:pPr>
        <w:ind w:firstLine="640" w:firstLineChars="200"/>
        <w:rPr>
          <w:rFonts w:hint="eastAsia" w:ascii="仿宋" w:hAnsi="仿宋" w:eastAsia="仿宋" w:cs="宋体"/>
          <w:color w:val="000000"/>
          <w:szCs w:val="32"/>
        </w:rPr>
      </w:pPr>
      <w:r>
        <w:rPr>
          <w:rFonts w:hint="eastAsia" w:ascii="仿宋" w:hAnsi="仿宋" w:eastAsia="仿宋"/>
        </w:rPr>
        <w:t>2.根据全国统一的基本统计制度，</w:t>
      </w:r>
      <w:r>
        <w:rPr>
          <w:rFonts w:hint="eastAsia" w:ascii="仿宋" w:hAnsi="仿宋" w:eastAsia="仿宋" w:cs="宋体"/>
          <w:color w:val="000000"/>
          <w:szCs w:val="32"/>
        </w:rPr>
        <w:t>贯彻执行国家国民经济核算体系，统计指标体系和基本统计制度；结合全区情况完善和统一管理全区各项核算制度；制定地方统计调查制度；组织、领导、协调全区各部门、各乡镇（街道）统计工作和国民经济核算，统一组织管理全区统计报表。</w:t>
      </w:r>
    </w:p>
    <w:p>
      <w:pPr>
        <w:ind w:firstLine="640" w:firstLineChars="200"/>
        <w:rPr>
          <w:rFonts w:hint="eastAsia" w:ascii="仿宋" w:hAnsi="仿宋" w:eastAsia="仿宋"/>
        </w:rPr>
      </w:pPr>
      <w:r>
        <w:rPr>
          <w:rFonts w:hint="eastAsia" w:ascii="仿宋" w:hAnsi="仿宋" w:eastAsia="仿宋"/>
        </w:rPr>
        <w:t>3.</w:t>
      </w:r>
      <w:r>
        <w:rPr>
          <w:rFonts w:hint="eastAsia" w:ascii="仿宋" w:hAnsi="仿宋" w:eastAsia="仿宋" w:cs="宋体"/>
          <w:color w:val="000000"/>
          <w:szCs w:val="32"/>
        </w:rPr>
        <w:t>组织开展各项普查任务、社会经济调查，审查全区各项统计调查任务；</w:t>
      </w:r>
      <w:r>
        <w:rPr>
          <w:rFonts w:hint="eastAsia" w:ascii="仿宋" w:hAnsi="仿宋" w:eastAsia="仿宋"/>
        </w:rPr>
        <w:t>对国民经济各行业、科技、资源环境和社会发展等情况进行统计分析、统计预测预警和统计监督，向区委、区政府及有关部门提供统计信息和咨询建议；收集、整理、提供</w:t>
      </w:r>
      <w:r>
        <w:rPr>
          <w:rFonts w:hint="eastAsia" w:ascii="仿宋" w:hAnsi="仿宋" w:eastAsia="仿宋" w:cs="宋体"/>
          <w:color w:val="000000"/>
          <w:szCs w:val="32"/>
        </w:rPr>
        <w:t>全区的</w:t>
      </w:r>
      <w:r>
        <w:rPr>
          <w:rFonts w:hint="eastAsia" w:ascii="仿宋" w:hAnsi="仿宋" w:eastAsia="仿宋"/>
        </w:rPr>
        <w:t>统计资料，并进行对比分析和研究。</w:t>
      </w:r>
    </w:p>
    <w:p>
      <w:pPr>
        <w:ind w:firstLine="640" w:firstLineChars="200"/>
        <w:rPr>
          <w:rFonts w:hint="eastAsia" w:ascii="仿宋" w:hAnsi="仿宋" w:eastAsia="仿宋"/>
        </w:rPr>
      </w:pPr>
      <w:r>
        <w:rPr>
          <w:rFonts w:hint="eastAsia" w:ascii="仿宋" w:hAnsi="仿宋" w:eastAsia="仿宋"/>
        </w:rPr>
        <w:t>4.</w:t>
      </w:r>
      <w:r>
        <w:rPr>
          <w:rFonts w:hint="eastAsia" w:ascii="仿宋" w:hAnsi="仿宋" w:eastAsia="仿宋" w:cs="宋体"/>
          <w:color w:val="000000"/>
          <w:szCs w:val="32"/>
        </w:rPr>
        <w:t>统一核定、管理、公布全区基本统计资料，定期发布全区国民经济和社会发展情况的统计公报。</w:t>
      </w:r>
    </w:p>
    <w:p>
      <w:pPr>
        <w:ind w:firstLine="640" w:firstLineChars="200"/>
        <w:rPr>
          <w:rFonts w:hint="eastAsia" w:ascii="仿宋" w:hAnsi="仿宋" w:eastAsia="仿宋"/>
        </w:rPr>
      </w:pPr>
      <w:r>
        <w:rPr>
          <w:rFonts w:hint="eastAsia" w:ascii="仿宋" w:hAnsi="仿宋" w:eastAsia="仿宋"/>
        </w:rPr>
        <w:t>5.依法管理</w:t>
      </w:r>
      <w:r>
        <w:rPr>
          <w:rFonts w:hint="eastAsia" w:ascii="仿宋" w:hAnsi="仿宋" w:eastAsia="仿宋" w:cs="宋体"/>
          <w:color w:val="000000"/>
          <w:szCs w:val="32"/>
        </w:rPr>
        <w:t>全区各部门、各乡镇（街道）</w:t>
      </w:r>
      <w:r>
        <w:rPr>
          <w:rFonts w:hint="eastAsia" w:ascii="仿宋" w:hAnsi="仿宋" w:eastAsia="仿宋"/>
        </w:rPr>
        <w:t>统计调查项目和统计标准，完成专业统计基础工作、统计基层业务基础建设，</w:t>
      </w:r>
      <w:r>
        <w:rPr>
          <w:rFonts w:hint="eastAsia" w:ascii="仿宋" w:hAnsi="仿宋" w:eastAsia="仿宋" w:cs="宋体"/>
          <w:color w:val="000000"/>
          <w:szCs w:val="32"/>
        </w:rPr>
        <w:t>组织全区统计业务培训，加强业务指导。</w:t>
      </w:r>
      <w:r>
        <w:rPr>
          <w:rFonts w:hint="eastAsia" w:ascii="仿宋" w:hAnsi="仿宋" w:eastAsia="仿宋"/>
        </w:rPr>
        <w:t>组织建立服务业统计信息管理制度，建立健全统计数据质量审核、监控和评估制度，负责重要统计数据的审核、监控和评估，依法监督管理涉外调查活动。</w:t>
      </w:r>
    </w:p>
    <w:p>
      <w:pPr>
        <w:ind w:firstLine="640" w:firstLineChars="200"/>
        <w:rPr>
          <w:rFonts w:hint="eastAsia" w:ascii="仿宋" w:hAnsi="仿宋" w:eastAsia="仿宋"/>
        </w:rPr>
      </w:pPr>
      <w:r>
        <w:rPr>
          <w:rFonts w:hint="eastAsia" w:ascii="仿宋" w:hAnsi="仿宋" w:eastAsia="仿宋"/>
        </w:rPr>
        <w:t>6.承办区政府交办的其他事项。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ascii="仿宋" w:hAnsi="仿宋" w:eastAsia="仿宋"/>
        </w:rPr>
        <w:t>根据上述职责，</w:t>
      </w:r>
      <w:r>
        <w:rPr>
          <w:rFonts w:hint="eastAsia" w:ascii="仿宋" w:hAnsi="仿宋" w:eastAsia="仿宋"/>
        </w:rPr>
        <w:t>松原市统计局宁江区分局</w:t>
      </w:r>
      <w:r>
        <w:rPr>
          <w:rFonts w:ascii="仿宋" w:hAnsi="仿宋" w:eastAsia="仿宋"/>
        </w:rPr>
        <w:t>内设</w:t>
      </w:r>
      <w:r>
        <w:rPr>
          <w:rFonts w:hint="eastAsia" w:ascii="仿宋" w:hAnsi="仿宋" w:eastAsia="仿宋"/>
        </w:rPr>
        <w:t>2</w:t>
      </w:r>
      <w:r>
        <w:rPr>
          <w:rFonts w:ascii="仿宋" w:hAnsi="仿宋" w:eastAsia="仿宋"/>
        </w:rPr>
        <w:t>个机构，分别为</w:t>
      </w:r>
      <w:r>
        <w:rPr>
          <w:rFonts w:hint="eastAsia" w:ascii="仿宋" w:hAnsi="仿宋" w:eastAsia="仿宋"/>
        </w:rPr>
        <w:t>综合科、 社会经济统计科</w:t>
      </w:r>
      <w:r>
        <w:rPr>
          <w:rFonts w:ascii="仿宋" w:hAnsi="仿宋" w:eastAsia="仿宋"/>
        </w:rPr>
        <w:t>。</w:t>
      </w:r>
    </w:p>
    <w:p>
      <w:pPr>
        <w:pStyle w:val="48"/>
        <w:ind w:firstLine="640" w:firstLineChars="200"/>
        <w:rPr>
          <w:rFonts w:eastAsia="楷体"/>
        </w:rPr>
      </w:pPr>
      <w:r>
        <w:rPr>
          <w:rFonts w:hint="eastAsia" w:ascii="仿宋" w:hAnsi="仿宋" w:eastAsia="仿宋"/>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148.94</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148.85</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21.20</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kern w:val="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2.39</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6.74</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b/>
                <w:bCs/>
                <w:kern w:val="0"/>
                <w:sz w:val="20"/>
              </w:rPr>
            </w:pPr>
            <w:r>
              <w:rPr>
                <w:rFonts w:hint="default" w:ascii="Arial" w:hAnsi="Arial" w:eastAsia="宋体" w:cs="Arial"/>
                <w:i w:val="0"/>
                <w:iCs w:val="0"/>
                <w:color w:val="000000"/>
                <w:kern w:val="0"/>
                <w:sz w:val="16"/>
                <w:szCs w:val="16"/>
                <w:u w:val="none"/>
                <w:lang w:val="en-US" w:eastAsia="zh-CN" w:bidi="ar"/>
              </w:rPr>
              <w:t>179.27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137" w:type="dxa"/>
        <w:jc w:val="center"/>
        <w:tblLayout w:type="fixed"/>
        <w:tblCellMar>
          <w:top w:w="0" w:type="dxa"/>
          <w:left w:w="108" w:type="dxa"/>
          <w:bottom w:w="0" w:type="dxa"/>
          <w:right w:w="108" w:type="dxa"/>
        </w:tblCellMar>
      </w:tblPr>
      <w:tblGrid>
        <w:gridCol w:w="1488"/>
        <w:gridCol w:w="710"/>
        <w:gridCol w:w="717"/>
        <w:gridCol w:w="800"/>
        <w:gridCol w:w="425"/>
        <w:gridCol w:w="450"/>
        <w:gridCol w:w="433"/>
        <w:gridCol w:w="442"/>
        <w:gridCol w:w="194"/>
        <w:gridCol w:w="247"/>
        <w:gridCol w:w="442"/>
        <w:gridCol w:w="483"/>
        <w:gridCol w:w="434"/>
        <w:gridCol w:w="634"/>
        <w:gridCol w:w="617"/>
        <w:gridCol w:w="240"/>
        <w:gridCol w:w="150"/>
        <w:gridCol w:w="384"/>
        <w:gridCol w:w="450"/>
        <w:gridCol w:w="397"/>
      </w:tblGrid>
      <w:tr>
        <w:tblPrEx>
          <w:tblCellMar>
            <w:top w:w="0" w:type="dxa"/>
            <w:left w:w="108" w:type="dxa"/>
            <w:bottom w:w="0" w:type="dxa"/>
            <w:right w:w="108" w:type="dxa"/>
          </w:tblCellMar>
        </w:tblPrEx>
        <w:trPr>
          <w:trHeight w:val="338" w:hRule="atLeast"/>
          <w:jc w:val="center"/>
        </w:trPr>
        <w:tc>
          <w:tcPr>
            <w:tcW w:w="1488" w:type="dxa"/>
            <w:tcBorders>
              <w:bottom w:val="single" w:color="000000" w:sz="4" w:space="0"/>
            </w:tcBorders>
            <w:noWrap w:val="0"/>
            <w:vAlign w:val="top"/>
          </w:tcPr>
          <w:p>
            <w:pPr>
              <w:autoSpaceDN w:val="0"/>
              <w:jc w:val="left"/>
              <w:textAlignment w:val="center"/>
              <w:rPr>
                <w:rFonts w:eastAsia="华文细黑"/>
                <w:color w:val="000000"/>
                <w:sz w:val="20"/>
              </w:rPr>
            </w:pPr>
          </w:p>
        </w:tc>
        <w:tc>
          <w:tcPr>
            <w:tcW w:w="4171"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172" w:type="dxa"/>
            <w:gridSpan w:val="3"/>
            <w:noWrap w:val="0"/>
            <w:vAlign w:val="center"/>
          </w:tcPr>
          <w:p>
            <w:pPr>
              <w:autoSpaceDN w:val="0"/>
              <w:jc w:val="left"/>
              <w:textAlignment w:val="center"/>
              <w:rPr>
                <w:rFonts w:eastAsia="华文细黑"/>
                <w:color w:val="000000"/>
                <w:sz w:val="20"/>
              </w:rPr>
            </w:pPr>
          </w:p>
        </w:tc>
        <w:tc>
          <w:tcPr>
            <w:tcW w:w="434" w:type="dxa"/>
            <w:noWrap w:val="0"/>
            <w:vAlign w:val="center"/>
          </w:tcPr>
          <w:p>
            <w:pPr>
              <w:autoSpaceDN w:val="0"/>
              <w:jc w:val="left"/>
              <w:textAlignment w:val="center"/>
              <w:rPr>
                <w:rFonts w:eastAsia="华文细黑"/>
                <w:color w:val="000000"/>
                <w:sz w:val="20"/>
              </w:rPr>
            </w:pPr>
          </w:p>
        </w:tc>
        <w:tc>
          <w:tcPr>
            <w:tcW w:w="1251" w:type="dxa"/>
            <w:gridSpan w:val="2"/>
            <w:noWrap w:val="0"/>
            <w:vAlign w:val="center"/>
          </w:tcPr>
          <w:p>
            <w:pPr>
              <w:autoSpaceDN w:val="0"/>
              <w:jc w:val="left"/>
              <w:textAlignment w:val="center"/>
              <w:rPr>
                <w:rFonts w:eastAsia="华文细黑"/>
                <w:color w:val="000000"/>
                <w:sz w:val="20"/>
              </w:rPr>
            </w:pPr>
          </w:p>
        </w:tc>
        <w:tc>
          <w:tcPr>
            <w:tcW w:w="240" w:type="dxa"/>
            <w:noWrap w:val="0"/>
            <w:vAlign w:val="bottom"/>
          </w:tcPr>
          <w:p>
            <w:pPr>
              <w:autoSpaceDN w:val="0"/>
              <w:jc w:val="right"/>
              <w:textAlignment w:val="bottom"/>
              <w:rPr>
                <w:rFonts w:eastAsia="宋体"/>
                <w:color w:val="000000"/>
                <w:sz w:val="20"/>
              </w:rPr>
            </w:pPr>
          </w:p>
        </w:tc>
        <w:tc>
          <w:tcPr>
            <w:tcW w:w="1381" w:type="dxa"/>
            <w:gridSpan w:val="4"/>
            <w:noWrap w:val="0"/>
            <w:vAlign w:val="bottom"/>
          </w:tcPr>
          <w:p>
            <w:pPr>
              <w:wordWrap/>
              <w:autoSpaceDN w:val="0"/>
              <w:ind w:firstLine="200" w:firstLineChars="10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42" w:hRule="atLeast"/>
          <w:jc w:val="center"/>
        </w:trPr>
        <w:tc>
          <w:tcPr>
            <w:tcW w:w="1488"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auto"/>
                <w:sz w:val="20"/>
                <w:shd w:val="clear" w:color="auto" w:fill="auto"/>
                <w:lang w:eastAsia="zh-CN"/>
              </w:rPr>
              <w:t>单位名称</w:t>
            </w:r>
          </w:p>
        </w:tc>
        <w:tc>
          <w:tcPr>
            <w:tcW w:w="71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67"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72"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43" w:hRule="atLeast"/>
          <w:jc w:val="center"/>
        </w:trPr>
        <w:tc>
          <w:tcPr>
            <w:tcW w:w="1488"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1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17"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7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433"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242"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金收入</w:t>
            </w:r>
          </w:p>
        </w:tc>
        <w:tc>
          <w:tcPr>
            <w:tcW w:w="634"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91"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847"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69" w:hRule="atLeast"/>
          <w:jc w:val="center"/>
        </w:trPr>
        <w:tc>
          <w:tcPr>
            <w:tcW w:w="1488"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1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1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0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2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33"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3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8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806" w:hRule="atLeast"/>
          <w:jc w:val="center"/>
        </w:trPr>
        <w:tc>
          <w:tcPr>
            <w:tcW w:w="148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松原市统计局宁江区分局</w:t>
            </w:r>
          </w:p>
        </w:tc>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179.27</w:t>
            </w: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179.18</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179.18</w:t>
            </w: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0.09</w:t>
            </w: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0.09</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42" w:hRule="atLeast"/>
          <w:jc w:val="center"/>
        </w:trPr>
        <w:tc>
          <w:tcPr>
            <w:tcW w:w="148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42" w:hRule="atLeast"/>
          <w:jc w:val="center"/>
        </w:trPr>
        <w:tc>
          <w:tcPr>
            <w:tcW w:w="148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42" w:hRule="atLeast"/>
          <w:jc w:val="center"/>
        </w:trPr>
        <w:tc>
          <w:tcPr>
            <w:tcW w:w="148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75" w:hRule="atLeast"/>
          <w:jc w:val="center"/>
        </w:trPr>
        <w:tc>
          <w:tcPr>
            <w:tcW w:w="148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179.27</w:t>
            </w:r>
          </w:p>
        </w:tc>
        <w:tc>
          <w:tcPr>
            <w:tcW w:w="7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179.18</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179.18</w:t>
            </w: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3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0.09</w:t>
            </w:r>
          </w:p>
        </w:tc>
        <w:tc>
          <w:tcPr>
            <w:tcW w:w="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0.09</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10420" w:type="dxa"/>
        <w:jc w:val="center"/>
        <w:tblLayout w:type="fixed"/>
        <w:tblCellMar>
          <w:top w:w="0" w:type="dxa"/>
          <w:left w:w="108" w:type="dxa"/>
          <w:bottom w:w="0" w:type="dxa"/>
          <w:right w:w="108" w:type="dxa"/>
        </w:tblCellMar>
      </w:tblPr>
      <w:tblGrid>
        <w:gridCol w:w="10420"/>
      </w:tblGrid>
      <w:tr>
        <w:tblPrEx>
          <w:tblCellMar>
            <w:top w:w="0" w:type="dxa"/>
            <w:left w:w="108" w:type="dxa"/>
            <w:bottom w:w="0" w:type="dxa"/>
            <w:right w:w="108" w:type="dxa"/>
          </w:tblCellMar>
        </w:tblPrEx>
        <w:trPr>
          <w:trHeight w:val="8365" w:hRule="atLeast"/>
          <w:jc w:val="center"/>
        </w:trPr>
        <w:tc>
          <w:tcPr>
            <w:tcW w:w="10420"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0093" w:type="dxa"/>
              <w:tblInd w:w="189" w:type="dxa"/>
              <w:tblLayout w:type="fixed"/>
              <w:tblCellMar>
                <w:top w:w="15" w:type="dxa"/>
                <w:left w:w="15" w:type="dxa"/>
                <w:bottom w:w="15" w:type="dxa"/>
                <w:right w:w="15" w:type="dxa"/>
              </w:tblCellMar>
            </w:tblPr>
            <w:tblGrid>
              <w:gridCol w:w="2530"/>
              <w:gridCol w:w="1139"/>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6065"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111" w:hRule="atLeast"/>
              </w:trPr>
              <w:tc>
                <w:tcPr>
                  <w:tcW w:w="253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9"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384"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148.94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148.94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46.87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专项普查活动</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41.58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41.58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社会保障和就业支出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hint="eastAsia" w:eastAsia="华文细黑"/>
                      <w:color w:val="000000"/>
                      <w:kern w:val="0"/>
                      <w:sz w:val="20"/>
                      <w:lang w:val="en-US" w:eastAsia="zh-CN"/>
                    </w:rPr>
                    <w:t xml:space="preserve">      </w:t>
                  </w:r>
                  <w:r>
                    <w:rPr>
                      <w:rFonts w:hint="eastAsia" w:eastAsia="宋体"/>
                      <w:color w:val="000000"/>
                      <w:kern w:val="0"/>
                      <w:sz w:val="20"/>
                    </w:rPr>
                    <w:t>机关事业单位基本养老保险缴费支出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rPr>
                  </w:pPr>
                  <w:r>
                    <w:rPr>
                      <w:rFonts w:hint="eastAsia" w:eastAsia="宋体"/>
                      <w:color w:val="000000"/>
                      <w:kern w:val="0"/>
                      <w:sz w:val="20"/>
                      <w:lang w:eastAsia="zh-CN"/>
                    </w:rPr>
                    <w:t>三、</w:t>
                  </w:r>
                  <w:r>
                    <w:rPr>
                      <w:rFonts w:hint="eastAsia" w:eastAsia="宋体"/>
                      <w:color w:val="000000"/>
                      <w:kern w:val="0"/>
                      <w:sz w:val="20"/>
                    </w:rPr>
                    <w:t>卫生健康支出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hint="eastAsia" w:eastAsia="宋体"/>
                      <w:color w:val="000000"/>
                      <w:kern w:val="0"/>
                      <w:sz w:val="20"/>
                    </w:rPr>
                  </w:pPr>
                  <w:r>
                    <w:rPr>
                      <w:rFonts w:hint="eastAsia" w:eastAsia="宋体"/>
                      <w:color w:val="000000"/>
                      <w:kern w:val="0"/>
                      <w:sz w:val="20"/>
                    </w:rPr>
                    <w:t>行政事业单位医疗</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eastAsia="宋体"/>
                      <w:color w:val="000000"/>
                      <w:kern w:val="0"/>
                      <w:sz w:val="20"/>
                    </w:rPr>
                  </w:pPr>
                  <w:r>
                    <w:rPr>
                      <w:rFonts w:hint="eastAsia" w:eastAsia="宋体"/>
                      <w:color w:val="000000"/>
                      <w:kern w:val="0"/>
                      <w:sz w:val="20"/>
                    </w:rPr>
                    <w:t>行政单位医疗</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9"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hint="eastAsia" w:eastAsia="宋体"/>
                      <w:color w:val="000000"/>
                      <w:kern w:val="0"/>
                      <w:sz w:val="20"/>
                    </w:rPr>
                  </w:pPr>
                  <w:r>
                    <w:rPr>
                      <w:rFonts w:hint="eastAsia" w:eastAsia="宋体"/>
                      <w:color w:val="000000"/>
                      <w:kern w:val="0"/>
                      <w:sz w:val="20"/>
                    </w:rPr>
                    <w:t>住房改革支出</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eastAsia="宋体"/>
                      <w:color w:val="000000"/>
                      <w:kern w:val="0"/>
                      <w:sz w:val="20"/>
                    </w:rPr>
                  </w:pPr>
                  <w:r>
                    <w:rPr>
                      <w:rFonts w:hint="eastAsia" w:eastAsia="宋体"/>
                      <w:color w:val="000000"/>
                      <w:kern w:val="0"/>
                      <w:sz w:val="20"/>
                    </w:rPr>
                    <w:t>住房公积金</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6" w:hRule="atLeast"/>
              </w:trPr>
              <w:tc>
                <w:tcPr>
                  <w:tcW w:w="253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179.27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90.82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p>
      <w:pPr>
        <w:ind w:firstLine="640" w:firstLineChars="200"/>
      </w:pPr>
    </w:p>
    <w:tbl>
      <w:tblPr>
        <w:tblStyle w:val="9"/>
        <w:tblW w:w="9844" w:type="dxa"/>
        <w:jc w:val="center"/>
        <w:tblLayout w:type="fixed"/>
        <w:tblCellMar>
          <w:top w:w="0" w:type="dxa"/>
          <w:left w:w="108" w:type="dxa"/>
          <w:bottom w:w="0" w:type="dxa"/>
          <w:right w:w="108" w:type="dxa"/>
        </w:tblCellMar>
      </w:tblPr>
      <w:tblGrid>
        <w:gridCol w:w="9844"/>
      </w:tblGrid>
      <w:tr>
        <w:tblPrEx>
          <w:tblCellMar>
            <w:top w:w="0" w:type="dxa"/>
            <w:left w:w="108" w:type="dxa"/>
            <w:bottom w:w="0" w:type="dxa"/>
            <w:right w:w="108" w:type="dxa"/>
          </w:tblCellMar>
        </w:tblPrEx>
        <w:trPr>
          <w:trHeight w:val="11083" w:hRule="atLeast"/>
          <w:jc w:val="center"/>
        </w:trPr>
        <w:tc>
          <w:tcPr>
            <w:tcW w:w="9844"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szCs w:val="22"/>
                    </w:rPr>
                  </w:pPr>
                  <w:r>
                    <w:rPr>
                      <w:rFonts w:hint="default" w:ascii="Arial" w:hAnsi="Arial" w:eastAsia="宋体" w:cs="Arial"/>
                      <w:i w:val="0"/>
                      <w:iCs w:val="0"/>
                      <w:color w:val="000000"/>
                      <w:kern w:val="0"/>
                      <w:sz w:val="16"/>
                      <w:szCs w:val="16"/>
                      <w:u w:val="none"/>
                      <w:lang w:val="en-US" w:eastAsia="zh-CN" w:bidi="ar"/>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148.94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148.85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21.20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21.20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2.39</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6.74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6.74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0.09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179.27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179.18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148.94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148.94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46.87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41.58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41.58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hint="eastAsia" w:eastAsia="华文细黑"/>
                      <w:color w:val="000000"/>
                      <w:kern w:val="0"/>
                      <w:sz w:val="20"/>
                      <w:lang w:val="en-US" w:eastAsia="zh-CN"/>
                    </w:rPr>
                    <w:t xml:space="preserve">      </w:t>
                  </w: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hint="eastAsia" w:eastAsia="宋体"/>
                      <w:color w:val="000000"/>
                      <w:kern w:val="0"/>
                      <w:sz w:val="20"/>
                      <w:lang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eastAsia="华文细黑"/>
                      <w:color w:val="000000"/>
                      <w:kern w:val="0"/>
                      <w:sz w:val="20"/>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eastAsia="华文细黑"/>
                      <w:color w:val="000000"/>
                      <w:kern w:val="0"/>
                      <w:sz w:val="20"/>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eastAsia="华文细黑"/>
                      <w:color w:val="000000"/>
                      <w:kern w:val="0"/>
                      <w:sz w:val="20"/>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eastAsia="华文细黑"/>
                      <w:color w:val="000000"/>
                      <w:kern w:val="0"/>
                      <w:sz w:val="20"/>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hint="eastAsia"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179.27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88.45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988"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56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61.64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61.64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22.46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22.46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13.30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13.30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7.34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1.28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0.86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0.86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13.90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13.90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1.56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1.56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0.81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0.81</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0.24</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0.35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0.35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2.12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2.12</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0.49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0.49</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0.72</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3.51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3.51</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3.30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default"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0.80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val="en-US" w:eastAsia="zh-CN"/>
              </w:rPr>
              <w:t>三、</w:t>
            </w:r>
            <w:r>
              <w:rPr>
                <w:rFonts w:hint="default" w:eastAsia="宋体"/>
                <w:color w:val="000000"/>
                <w:kern w:val="0"/>
                <w:sz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14.77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14.77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14.51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14.51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四、</w:t>
            </w:r>
            <w:r>
              <w:rPr>
                <w:rFonts w:hint="default" w:eastAsia="宋体"/>
                <w:color w:val="000000"/>
                <w:kern w:val="0"/>
                <w:sz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0.50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0.50</w:t>
            </w: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说明:</w:t>
            </w:r>
          </w:p>
          <w:p>
            <w:pPr>
              <w:widowControl/>
              <w:ind w:firstLine="840" w:firstLineChars="300"/>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1、“2024年预算数”的单位范围包括单位本级及所属1个预算单位。</w:t>
            </w:r>
          </w:p>
          <w:p>
            <w:pPr>
              <w:widowControl/>
              <w:ind w:firstLine="840" w:firstLineChars="300"/>
              <w:jc w:val="both"/>
              <w:rPr>
                <w:rFonts w:hint="eastAsia" w:eastAsia="仿宋_GB2312"/>
                <w:color w:val="000000"/>
                <w:kern w:val="0"/>
                <w:sz w:val="28"/>
                <w:szCs w:val="28"/>
                <w:lang w:val="en-US" w:eastAsia="zh-CN"/>
              </w:rPr>
            </w:pPr>
            <w:r>
              <w:rPr>
                <w:rFonts w:hint="eastAsia" w:ascii="楷体" w:hAnsi="楷体" w:eastAsia="楷体" w:cs="楷体"/>
                <w:color w:val="000000"/>
                <w:kern w:val="0"/>
                <w:sz w:val="28"/>
                <w:szCs w:val="28"/>
                <w:lang w:val="en-US" w:eastAsia="zh-CN"/>
              </w:rPr>
              <w:t>2、“2024年预算数”的实有人员16人，其中:在职人员5人,离退休人员11人。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bookmarkStart w:id="0" w:name="_GoBack"/>
      <w:bookmarkEnd w:id="0"/>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54"/>
        <w:gridCol w:w="893"/>
        <w:gridCol w:w="987"/>
        <w:gridCol w:w="617"/>
        <w:gridCol w:w="644"/>
        <w:gridCol w:w="511"/>
        <w:gridCol w:w="750"/>
        <w:gridCol w:w="504"/>
        <w:gridCol w:w="504"/>
        <w:gridCol w:w="528"/>
        <w:gridCol w:w="431"/>
        <w:gridCol w:w="654"/>
        <w:gridCol w:w="624"/>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0" w:type="auto"/>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0" w:type="auto"/>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0" w:type="auto"/>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8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1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989"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0" w:type="auto"/>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0" w:type="auto"/>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87"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auto"/>
                <w:sz w:val="20"/>
                <w:szCs w:val="22"/>
                <w:shd w:val="clear" w:color="auto" w:fill="auto"/>
                <w:lang w:eastAsia="zh-CN"/>
              </w:rPr>
              <w:t>单位名称</w:t>
            </w:r>
          </w:p>
        </w:tc>
        <w:tc>
          <w:tcPr>
            <w:tcW w:w="61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89"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0" w:type="auto"/>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0" w:type="auto"/>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0" w:type="auto"/>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87"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17"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853"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0" w:type="auto"/>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0" w:type="auto"/>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0" w:type="auto"/>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结转</w:t>
            </w:r>
          </w:p>
        </w:tc>
        <w:tc>
          <w:tcPr>
            <w:tcW w:w="0" w:type="auto"/>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0" w:type="auto"/>
            <w:vMerge w:val="continue"/>
            <w:noWrap w:val="0"/>
            <w:vAlign w:val="center"/>
          </w:tcPr>
          <w:p>
            <w:pPr>
              <w:autoSpaceDN w:val="0"/>
              <w:jc w:val="center"/>
              <w:textAlignment w:val="center"/>
              <w:rPr>
                <w:rFonts w:ascii="Calibri" w:hAnsi="Calibri" w:eastAsia="华文细黑"/>
                <w:color w:val="000000"/>
                <w:sz w:val="20"/>
                <w:szCs w:val="22"/>
              </w:rPr>
            </w:pPr>
          </w:p>
        </w:tc>
        <w:tc>
          <w:tcPr>
            <w:tcW w:w="0" w:type="auto"/>
            <w:vMerge w:val="continue"/>
            <w:noWrap w:val="0"/>
            <w:vAlign w:val="center"/>
          </w:tcPr>
          <w:p>
            <w:pPr>
              <w:autoSpaceDN w:val="0"/>
              <w:jc w:val="center"/>
              <w:textAlignment w:val="center"/>
              <w:rPr>
                <w:rFonts w:ascii="Calibri" w:hAnsi="Calibri" w:eastAsia="华文细黑"/>
                <w:color w:val="000000"/>
                <w:sz w:val="20"/>
                <w:szCs w:val="22"/>
              </w:rPr>
            </w:pPr>
          </w:p>
        </w:tc>
        <w:tc>
          <w:tcPr>
            <w:tcW w:w="0" w:type="auto"/>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87" w:type="dxa"/>
            <w:vMerge w:val="continue"/>
            <w:noWrap w:val="0"/>
            <w:vAlign w:val="center"/>
          </w:tcPr>
          <w:p>
            <w:pPr>
              <w:autoSpaceDN w:val="0"/>
              <w:jc w:val="center"/>
              <w:textAlignment w:val="center"/>
              <w:rPr>
                <w:rFonts w:ascii="Calibri" w:hAnsi="Calibri" w:eastAsia="华文细黑"/>
                <w:color w:val="000000"/>
                <w:sz w:val="20"/>
                <w:szCs w:val="22"/>
              </w:rPr>
            </w:pPr>
          </w:p>
        </w:tc>
        <w:tc>
          <w:tcPr>
            <w:tcW w:w="617" w:type="dxa"/>
            <w:vMerge w:val="continue"/>
            <w:noWrap w:val="0"/>
            <w:vAlign w:val="center"/>
          </w:tcPr>
          <w:p>
            <w:pPr>
              <w:autoSpaceDN w:val="0"/>
              <w:jc w:val="center"/>
              <w:textAlignment w:val="center"/>
              <w:rPr>
                <w:rFonts w:ascii="Calibri" w:hAnsi="Calibri" w:eastAsia="华文细黑"/>
                <w:color w:val="000000"/>
                <w:sz w:val="20"/>
                <w:szCs w:val="22"/>
              </w:rPr>
            </w:pPr>
          </w:p>
        </w:tc>
        <w:tc>
          <w:tcPr>
            <w:tcW w:w="64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0" w:type="auto"/>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0" w:type="auto"/>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0" w:type="auto"/>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0" w:type="auto"/>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1"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0" w:type="auto"/>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0" w:type="auto"/>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0" w:type="auto"/>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0" w:type="auto"/>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专项业务</w:t>
            </w:r>
            <w:r>
              <w:rPr>
                <w:rFonts w:hint="eastAsia" w:ascii="Calibri" w:hAnsi="Calibri" w:eastAsia="华文细黑"/>
                <w:color w:val="000000"/>
                <w:sz w:val="20"/>
                <w:szCs w:val="22"/>
                <w:lang w:eastAsia="zh-CN"/>
              </w:rPr>
              <w:t>支</w:t>
            </w:r>
            <w:r>
              <w:rPr>
                <w:rFonts w:hint="eastAsia" w:ascii="Calibri" w:hAnsi="Calibri" w:eastAsia="华文细黑"/>
                <w:color w:val="000000"/>
                <w:sz w:val="20"/>
                <w:szCs w:val="22"/>
              </w:rPr>
              <w:t>出</w:t>
            </w:r>
          </w:p>
        </w:tc>
        <w:tc>
          <w:tcPr>
            <w:tcW w:w="0" w:type="auto"/>
            <w:noWrap w:val="0"/>
            <w:vAlign w:val="center"/>
          </w:tcPr>
          <w:p>
            <w:pPr>
              <w:autoSpaceDN w:val="0"/>
              <w:jc w:val="center"/>
              <w:textAlignment w:val="center"/>
              <w:rPr>
                <w:rFonts w:hint="eastAsia" w:ascii="Calibri" w:hAnsi="Calibri" w:eastAsia="华文细黑"/>
                <w:color w:val="000000"/>
                <w:sz w:val="20"/>
                <w:szCs w:val="22"/>
              </w:rPr>
            </w:pPr>
          </w:p>
        </w:tc>
        <w:tc>
          <w:tcPr>
            <w:tcW w:w="0" w:type="auto"/>
            <w:noWrap w:val="0"/>
            <w:vAlign w:val="center"/>
          </w:tcPr>
          <w:p>
            <w:pPr>
              <w:spacing w:line="700" w:lineRule="exact"/>
              <w:jc w:val="center"/>
              <w:rPr>
                <w:rFonts w:ascii="Calibri" w:hAnsi="Calibri" w:eastAsia="楷体"/>
                <w:kern w:val="0"/>
                <w:szCs w:val="32"/>
              </w:rPr>
            </w:pPr>
          </w:p>
        </w:tc>
        <w:tc>
          <w:tcPr>
            <w:tcW w:w="987" w:type="dxa"/>
            <w:noWrap w:val="0"/>
            <w:vAlign w:val="center"/>
          </w:tcPr>
          <w:p>
            <w:pPr>
              <w:spacing w:line="700" w:lineRule="exact"/>
              <w:jc w:val="center"/>
              <w:rPr>
                <w:rFonts w:ascii="Calibri" w:hAnsi="Calibri" w:eastAsia="楷体"/>
                <w:kern w:val="0"/>
                <w:szCs w:val="32"/>
              </w:rPr>
            </w:pPr>
          </w:p>
        </w:tc>
        <w:tc>
          <w:tcPr>
            <w:tcW w:w="617"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88.45</w:t>
            </w:r>
          </w:p>
        </w:tc>
        <w:tc>
          <w:tcPr>
            <w:tcW w:w="644"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88.43</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hint="default" w:ascii="Calibri" w:hAnsi="Calibri" w:eastAsia="楷体"/>
                <w:kern w:val="0"/>
                <w:szCs w:val="32"/>
                <w:lang w:val="en-US" w:eastAsia="zh-CN"/>
              </w:rPr>
            </w:pPr>
            <w:r>
              <w:rPr>
                <w:rFonts w:hint="eastAsia" w:ascii="Arial" w:hAnsi="Arial" w:eastAsia="宋体" w:cs="Arial"/>
                <w:i w:val="0"/>
                <w:iCs w:val="0"/>
                <w:color w:val="000000"/>
                <w:kern w:val="0"/>
                <w:sz w:val="16"/>
                <w:szCs w:val="16"/>
                <w:u w:val="none"/>
                <w:lang w:val="en-US" w:eastAsia="zh-CN" w:bidi="ar"/>
              </w:rPr>
              <w:t>0.02</w:t>
            </w: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noWrap w:val="0"/>
            <w:vAlign w:val="center"/>
          </w:tcPr>
          <w:p>
            <w:pPr>
              <w:spacing w:line="240" w:lineRule="auto"/>
              <w:jc w:val="center"/>
              <w:rPr>
                <w:rFonts w:hint="eastAsia" w:ascii="Calibri" w:hAnsi="Calibri" w:eastAsia="华文细黑"/>
                <w:color w:val="000000"/>
                <w:sz w:val="20"/>
                <w:szCs w:val="22"/>
              </w:rPr>
            </w:pPr>
          </w:p>
        </w:tc>
        <w:tc>
          <w:tcPr>
            <w:tcW w:w="0" w:type="auto"/>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专项普查活动</w:t>
            </w:r>
          </w:p>
        </w:tc>
        <w:tc>
          <w:tcPr>
            <w:tcW w:w="0" w:type="auto"/>
            <w:noWrap w:val="0"/>
            <w:vAlign w:val="center"/>
          </w:tcPr>
          <w:p>
            <w:pPr>
              <w:spacing w:line="700" w:lineRule="exact"/>
              <w:jc w:val="center"/>
              <w:rPr>
                <w:rFonts w:ascii="Calibri" w:hAnsi="Calibri" w:eastAsia="楷体"/>
                <w:kern w:val="0"/>
                <w:szCs w:val="32"/>
              </w:rPr>
            </w:pPr>
          </w:p>
        </w:tc>
        <w:tc>
          <w:tcPr>
            <w:tcW w:w="987" w:type="dxa"/>
            <w:noWrap w:val="0"/>
            <w:vAlign w:val="center"/>
          </w:tcPr>
          <w:p>
            <w:pPr>
              <w:spacing w:line="700" w:lineRule="exact"/>
              <w:jc w:val="center"/>
              <w:rPr>
                <w:rFonts w:ascii="Calibri" w:hAnsi="Calibri" w:eastAsia="楷体"/>
                <w:kern w:val="0"/>
                <w:szCs w:val="32"/>
              </w:rPr>
            </w:pPr>
          </w:p>
        </w:tc>
        <w:tc>
          <w:tcPr>
            <w:tcW w:w="617"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41.58</w:t>
            </w:r>
          </w:p>
        </w:tc>
        <w:tc>
          <w:tcPr>
            <w:tcW w:w="644"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41.58</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第五次全国经济普查经费</w:t>
            </w:r>
          </w:p>
        </w:tc>
        <w:tc>
          <w:tcPr>
            <w:tcW w:w="987" w:type="dxa"/>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松原市统计局宁江区分局</w:t>
            </w:r>
          </w:p>
        </w:tc>
        <w:tc>
          <w:tcPr>
            <w:tcW w:w="617"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41.58</w:t>
            </w:r>
          </w:p>
        </w:tc>
        <w:tc>
          <w:tcPr>
            <w:tcW w:w="644"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41.58</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专项统计业务</w:t>
            </w:r>
          </w:p>
        </w:tc>
        <w:tc>
          <w:tcPr>
            <w:tcW w:w="0" w:type="auto"/>
            <w:noWrap w:val="0"/>
            <w:vAlign w:val="center"/>
          </w:tcPr>
          <w:p>
            <w:pPr>
              <w:spacing w:line="700" w:lineRule="exact"/>
              <w:jc w:val="center"/>
              <w:rPr>
                <w:rFonts w:ascii="Calibri" w:hAnsi="Calibri" w:eastAsia="楷体"/>
                <w:kern w:val="0"/>
                <w:szCs w:val="32"/>
              </w:rPr>
            </w:pPr>
          </w:p>
        </w:tc>
        <w:tc>
          <w:tcPr>
            <w:tcW w:w="987" w:type="dxa"/>
            <w:noWrap w:val="0"/>
            <w:vAlign w:val="center"/>
          </w:tcPr>
          <w:p>
            <w:pPr>
              <w:spacing w:line="700" w:lineRule="exact"/>
              <w:jc w:val="center"/>
              <w:rPr>
                <w:rFonts w:ascii="Calibri" w:hAnsi="Calibri" w:eastAsia="楷体"/>
                <w:kern w:val="0"/>
                <w:szCs w:val="32"/>
              </w:rPr>
            </w:pPr>
          </w:p>
        </w:tc>
        <w:tc>
          <w:tcPr>
            <w:tcW w:w="617"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46.87</w:t>
            </w:r>
          </w:p>
        </w:tc>
        <w:tc>
          <w:tcPr>
            <w:tcW w:w="644"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46.85</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0.02</w:t>
            </w: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统计调查经费</w:t>
            </w:r>
          </w:p>
        </w:tc>
        <w:tc>
          <w:tcPr>
            <w:tcW w:w="987" w:type="dxa"/>
            <w:noWrap w:val="0"/>
            <w:vAlign w:val="center"/>
          </w:tcPr>
          <w:p>
            <w:pPr>
              <w:spacing w:line="240" w:lineRule="auto"/>
              <w:jc w:val="center"/>
              <w:rPr>
                <w:rFonts w:ascii="Calibri" w:hAnsi="Calibri" w:eastAsia="楷体"/>
                <w:kern w:val="0"/>
                <w:szCs w:val="32"/>
              </w:rPr>
            </w:pPr>
            <w:r>
              <w:rPr>
                <w:rFonts w:hint="eastAsia" w:ascii="Calibri" w:hAnsi="Calibri" w:eastAsia="华文细黑"/>
                <w:color w:val="000000"/>
                <w:sz w:val="20"/>
                <w:szCs w:val="22"/>
              </w:rPr>
              <w:t>松原市统计局宁江区分局</w:t>
            </w:r>
          </w:p>
        </w:tc>
        <w:tc>
          <w:tcPr>
            <w:tcW w:w="617"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46.87</w:t>
            </w:r>
          </w:p>
        </w:tc>
        <w:tc>
          <w:tcPr>
            <w:tcW w:w="644"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46.85</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0.02</w:t>
            </w: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0" w:type="auto"/>
            <w:noWrap w:val="0"/>
            <w:vAlign w:val="center"/>
          </w:tcPr>
          <w:p>
            <w:pPr>
              <w:autoSpaceDN w:val="0"/>
              <w:jc w:val="center"/>
              <w:textAlignment w:val="center"/>
              <w:rPr>
                <w:rFonts w:ascii="Calibri" w:hAnsi="Calibri" w:eastAsia="华文细黑"/>
                <w:color w:val="000000"/>
                <w:sz w:val="20"/>
                <w:szCs w:val="22"/>
              </w:rPr>
            </w:pPr>
          </w:p>
        </w:tc>
        <w:tc>
          <w:tcPr>
            <w:tcW w:w="0" w:type="auto"/>
            <w:noWrap w:val="0"/>
            <w:vAlign w:val="center"/>
          </w:tcPr>
          <w:p>
            <w:pPr>
              <w:spacing w:line="700" w:lineRule="exact"/>
              <w:jc w:val="center"/>
              <w:rPr>
                <w:rFonts w:ascii="Calibri" w:hAnsi="Calibri" w:eastAsia="楷体"/>
                <w:kern w:val="0"/>
                <w:szCs w:val="32"/>
              </w:rPr>
            </w:pPr>
          </w:p>
        </w:tc>
        <w:tc>
          <w:tcPr>
            <w:tcW w:w="987" w:type="dxa"/>
            <w:noWrap w:val="0"/>
            <w:vAlign w:val="center"/>
          </w:tcPr>
          <w:p>
            <w:pPr>
              <w:spacing w:line="700" w:lineRule="exact"/>
              <w:jc w:val="center"/>
              <w:rPr>
                <w:rFonts w:ascii="Calibri" w:hAnsi="Calibri" w:eastAsia="楷体"/>
                <w:kern w:val="0"/>
                <w:szCs w:val="32"/>
              </w:rPr>
            </w:pPr>
          </w:p>
        </w:tc>
        <w:tc>
          <w:tcPr>
            <w:tcW w:w="617"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88.45</w:t>
            </w:r>
          </w:p>
        </w:tc>
        <w:tc>
          <w:tcPr>
            <w:tcW w:w="644" w:type="dxa"/>
            <w:noWrap w:val="0"/>
            <w:vAlign w:val="center"/>
          </w:tcPr>
          <w:p>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88.43</w:t>
            </w: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527"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0.02</w:t>
            </w:r>
          </w:p>
        </w:tc>
        <w:tc>
          <w:tcPr>
            <w:tcW w:w="431" w:type="dxa"/>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c>
          <w:tcPr>
            <w:tcW w:w="0" w:type="auto"/>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auto"/>
                <w:sz w:val="20"/>
                <w:szCs w:val="20"/>
                <w:shd w:val="clear" w:color="auto" w:fill="auto"/>
                <w:lang w:val="en-US" w:eastAsia="zh-CN"/>
              </w:rPr>
              <w:t>单位项目名称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88"/>
        <w:gridCol w:w="1088"/>
        <w:gridCol w:w="1088"/>
        <w:gridCol w:w="651"/>
        <w:gridCol w:w="1184"/>
        <w:gridCol w:w="1033"/>
        <w:gridCol w:w="810"/>
        <w:gridCol w:w="773"/>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8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108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松原市统计局宁江区分局</w:t>
            </w:r>
          </w:p>
        </w:tc>
        <w:tc>
          <w:tcPr>
            <w:tcW w:w="108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108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41.58</w:t>
            </w:r>
          </w:p>
        </w:tc>
        <w:tc>
          <w:tcPr>
            <w:tcW w:w="108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按照国家经济普查制度规定，开展第五次全国经济普查，完成普查的培训、宣传、录入等工作，为服务现代化经济体系建设、优化产业结构，推动高质量发展、编制国民经济和社会发展规划提供科学依据。</w:t>
            </w:r>
          </w:p>
        </w:tc>
        <w:tc>
          <w:tcPr>
            <w:tcW w:w="651"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8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3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773"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400人</w:t>
            </w:r>
          </w:p>
        </w:tc>
        <w:tc>
          <w:tcPr>
            <w:tcW w:w="5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5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3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劳务费发放及时性</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反映劳务费发放及时性情况</w:t>
            </w:r>
          </w:p>
        </w:tc>
        <w:tc>
          <w:tcPr>
            <w:tcW w:w="773"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7月31日前</w:t>
            </w:r>
          </w:p>
        </w:tc>
        <w:tc>
          <w:tcPr>
            <w:tcW w:w="5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5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8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3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773"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覆盖率100%</w:t>
            </w:r>
          </w:p>
        </w:tc>
        <w:tc>
          <w:tcPr>
            <w:tcW w:w="5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40</w:t>
            </w: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tbl>
      <w:tblPr>
        <w:tblStyle w:val="10"/>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86"/>
        <w:gridCol w:w="1005"/>
        <w:gridCol w:w="1116"/>
        <w:gridCol w:w="784"/>
        <w:gridCol w:w="1133"/>
        <w:gridCol w:w="1067"/>
        <w:gridCol w:w="736"/>
        <w:gridCol w:w="89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77"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松原市统计局宁江区分局</w:t>
            </w:r>
          </w:p>
        </w:tc>
        <w:tc>
          <w:tcPr>
            <w:tcW w:w="108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10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46.85</w:t>
            </w:r>
          </w:p>
        </w:tc>
        <w:tc>
          <w:tcPr>
            <w:tcW w:w="1116"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按照上级统计部门工作要求，组织实施年度统计调查任务，全面、及时、准确地上报各专业统计报表，及时发布统计公报，为社会公众需要和政府决策提供翔实统计数据。</w:t>
            </w:r>
          </w:p>
        </w:tc>
        <w:tc>
          <w:tcPr>
            <w:tcW w:w="78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400元/人/天</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4"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33"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6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89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eastAsia" w:ascii="华文细黑" w:hAnsi="华文细黑" w:eastAsia="华文细黑" w:cs="华文细黑"/>
                <w:kern w:val="0"/>
                <w:sz w:val="20"/>
                <w:szCs w:val="20"/>
                <w:vertAlign w:val="baseline"/>
              </w:rPr>
              <w:t>100人</w:t>
            </w:r>
          </w:p>
        </w:tc>
        <w:tc>
          <w:tcPr>
            <w:tcW w:w="567"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8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8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0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11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784" w:type="dxa"/>
            <w:vMerge w:val="continue"/>
            <w:noWrap w:val="0"/>
            <w:vAlign w:val="center"/>
          </w:tcPr>
          <w:p>
            <w:pPr>
              <w:spacing w:line="240" w:lineRule="auto"/>
              <w:jc w:val="center"/>
              <w:rPr>
                <w:szCs w:val="22"/>
              </w:rPr>
            </w:pPr>
          </w:p>
        </w:tc>
        <w:tc>
          <w:tcPr>
            <w:tcW w:w="1133" w:type="dxa"/>
            <w:vMerge w:val="continue"/>
            <w:noWrap w:val="0"/>
            <w:vAlign w:val="center"/>
          </w:tcPr>
          <w:p>
            <w:pPr>
              <w:spacing w:line="240" w:lineRule="auto"/>
              <w:jc w:val="center"/>
              <w:rPr>
                <w:szCs w:val="22"/>
              </w:rPr>
            </w:pPr>
          </w:p>
        </w:tc>
        <w:tc>
          <w:tcPr>
            <w:tcW w:w="106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反映年鉴印刷册数情况</w:t>
            </w:r>
          </w:p>
        </w:tc>
        <w:tc>
          <w:tcPr>
            <w:tcW w:w="89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28册</w:t>
            </w:r>
          </w:p>
        </w:tc>
        <w:tc>
          <w:tcPr>
            <w:tcW w:w="56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33"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67"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及时完成培训</w:t>
            </w:r>
          </w:p>
        </w:tc>
        <w:tc>
          <w:tcPr>
            <w:tcW w:w="7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及时完成四上企业业务培训</w:t>
            </w:r>
          </w:p>
        </w:tc>
        <w:tc>
          <w:tcPr>
            <w:tcW w:w="89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12月31日前</w:t>
            </w:r>
          </w:p>
        </w:tc>
        <w:tc>
          <w:tcPr>
            <w:tcW w:w="56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4"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33"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67"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年鉴被访问次数</w:t>
            </w:r>
          </w:p>
        </w:tc>
        <w:tc>
          <w:tcPr>
            <w:tcW w:w="7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反映年鉴被引用数量的情况。</w:t>
            </w:r>
          </w:p>
        </w:tc>
        <w:tc>
          <w:tcPr>
            <w:tcW w:w="89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25次</w:t>
            </w:r>
          </w:p>
        </w:tc>
        <w:tc>
          <w:tcPr>
            <w:tcW w:w="56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8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8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0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11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784" w:type="dxa"/>
            <w:vMerge w:val="continue"/>
            <w:noWrap w:val="0"/>
            <w:vAlign w:val="center"/>
          </w:tcPr>
          <w:p>
            <w:pPr>
              <w:spacing w:line="240" w:lineRule="auto"/>
              <w:jc w:val="center"/>
              <w:rPr>
                <w:szCs w:val="22"/>
              </w:rPr>
            </w:pPr>
          </w:p>
        </w:tc>
        <w:tc>
          <w:tcPr>
            <w:tcW w:w="1133" w:type="dxa"/>
            <w:vMerge w:val="continue"/>
            <w:noWrap w:val="0"/>
            <w:vAlign w:val="center"/>
          </w:tcPr>
          <w:p>
            <w:pPr>
              <w:spacing w:line="240" w:lineRule="auto"/>
              <w:jc w:val="center"/>
              <w:rPr>
                <w:szCs w:val="22"/>
              </w:rPr>
            </w:pPr>
          </w:p>
        </w:tc>
        <w:tc>
          <w:tcPr>
            <w:tcW w:w="1067"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培训覆盖率</w:t>
            </w:r>
          </w:p>
        </w:tc>
        <w:tc>
          <w:tcPr>
            <w:tcW w:w="7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反映培训覆盖情况。</w:t>
            </w:r>
          </w:p>
        </w:tc>
        <w:tc>
          <w:tcPr>
            <w:tcW w:w="89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覆盖率100%</w:t>
            </w:r>
          </w:p>
        </w:tc>
        <w:tc>
          <w:tcPr>
            <w:tcW w:w="56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15</w:t>
            </w:r>
          </w:p>
        </w:tc>
      </w:tr>
    </w:tbl>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eastAsia="仿宋_GB2312"/>
          <w:szCs w:val="32"/>
          <w:lang w:eastAsia="zh-CN"/>
        </w:rPr>
      </w:pPr>
      <w:r>
        <w:rPr>
          <w:szCs w:val="32"/>
        </w:rPr>
        <w:t>按照综合预算的原则，所有收入和支出全部纳入</w:t>
      </w:r>
      <w:r>
        <w:rPr>
          <w:rFonts w:hint="eastAsia"/>
          <w:color w:val="auto"/>
          <w:szCs w:val="32"/>
          <w:shd w:val="clear" w:color="auto" w:fill="auto"/>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rPr>
        <w:t>卫生健康支出</w:t>
      </w:r>
      <w:r>
        <w:rPr>
          <w:rFonts w:hint="eastAsia"/>
          <w:szCs w:val="32"/>
          <w:lang w:eastAsia="zh-CN"/>
        </w:rPr>
        <w:t>、</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rPr>
        <w:t>179.27</w:t>
      </w:r>
      <w:r>
        <w:rPr>
          <w:szCs w:val="32"/>
        </w:rPr>
        <w:t>万元</w:t>
      </w:r>
      <w:r>
        <w:rPr>
          <w:rFonts w:hint="eastAsia"/>
          <w:szCs w:val="32"/>
          <w:lang w:eastAsia="zh-CN"/>
        </w:rPr>
        <w:t>，其中：本年预算</w:t>
      </w:r>
      <w:r>
        <w:rPr>
          <w:rFonts w:hint="eastAsia"/>
          <w:szCs w:val="32"/>
        </w:rPr>
        <w:t>179.18</w:t>
      </w:r>
      <w:r>
        <w:rPr>
          <w:rFonts w:hint="eastAsia"/>
          <w:szCs w:val="32"/>
          <w:lang w:eastAsia="zh-CN"/>
        </w:rPr>
        <w:t>万元；上年结转</w:t>
      </w:r>
      <w:r>
        <w:rPr>
          <w:rFonts w:hint="eastAsia"/>
          <w:szCs w:val="32"/>
          <w:lang w:val="en-US" w:eastAsia="zh-CN"/>
        </w:rPr>
        <w:t>0.09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41.48</w:t>
      </w:r>
      <w:r>
        <w:rPr>
          <w:szCs w:val="32"/>
        </w:rPr>
        <w:t>万元，主要原因是</w:t>
      </w:r>
      <w:r>
        <w:rPr>
          <w:rFonts w:hint="eastAsia"/>
          <w:szCs w:val="32"/>
          <w:lang w:eastAsia="zh-CN"/>
        </w:rPr>
        <w:t>增加了第五次全国经济普查两员劳务费。</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rPr>
        <w:t>179.27</w:t>
      </w:r>
      <w:r>
        <w:rPr>
          <w:szCs w:val="32"/>
        </w:rPr>
        <w:t>万元，其中：本年收入</w:t>
      </w:r>
      <w:r>
        <w:rPr>
          <w:rFonts w:hint="eastAsia"/>
          <w:szCs w:val="32"/>
        </w:rPr>
        <w:t>179.18</w:t>
      </w:r>
      <w:r>
        <w:rPr>
          <w:szCs w:val="32"/>
        </w:rPr>
        <w:t>万元，占</w:t>
      </w:r>
      <w:r>
        <w:rPr>
          <w:rFonts w:hint="eastAsia"/>
          <w:szCs w:val="32"/>
          <w:lang w:val="en-US" w:eastAsia="zh-CN"/>
        </w:rPr>
        <w:t>99.95</w:t>
      </w:r>
      <w:r>
        <w:rPr>
          <w:szCs w:val="32"/>
        </w:rPr>
        <w:t>%；上年结转</w:t>
      </w:r>
      <w:r>
        <w:rPr>
          <w:rFonts w:hint="eastAsia"/>
          <w:szCs w:val="32"/>
          <w:lang w:eastAsia="zh-CN"/>
        </w:rPr>
        <w:t>结余</w:t>
      </w:r>
      <w:r>
        <w:rPr>
          <w:rFonts w:hint="eastAsia"/>
          <w:szCs w:val="32"/>
          <w:lang w:val="en-US" w:eastAsia="zh-CN"/>
        </w:rPr>
        <w:t>0.09</w:t>
      </w:r>
      <w:r>
        <w:rPr>
          <w:szCs w:val="32"/>
        </w:rPr>
        <w:t>万元，占</w:t>
      </w:r>
      <w:r>
        <w:rPr>
          <w:rFonts w:hint="eastAsia"/>
          <w:szCs w:val="32"/>
          <w:lang w:val="en-US" w:eastAsia="zh-CN"/>
        </w:rPr>
        <w:t>0.05</w:t>
      </w:r>
      <w:r>
        <w:rPr>
          <w:szCs w:val="32"/>
        </w:rPr>
        <w:t>%。本年收入中，一般公共预算拨款收入</w:t>
      </w:r>
      <w:r>
        <w:rPr>
          <w:rFonts w:hint="eastAsia"/>
          <w:szCs w:val="32"/>
        </w:rPr>
        <w:t>179.18</w:t>
      </w:r>
      <w:r>
        <w:rPr>
          <w:szCs w:val="32"/>
        </w:rPr>
        <w:t>万元，占</w:t>
      </w:r>
      <w:r>
        <w:rPr>
          <w:rFonts w:hint="eastAsia"/>
          <w:szCs w:val="32"/>
          <w:lang w:val="en-US" w:eastAsia="zh-CN"/>
        </w:rPr>
        <w:t>99.95</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0.09</w:t>
      </w:r>
      <w:r>
        <w:rPr>
          <w:szCs w:val="32"/>
        </w:rPr>
        <w:t>万元，占</w:t>
      </w:r>
      <w:r>
        <w:rPr>
          <w:rFonts w:hint="eastAsia"/>
          <w:szCs w:val="32"/>
          <w:lang w:val="en-US" w:eastAsia="zh-CN"/>
        </w:rPr>
        <w:t>0.05</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rPr>
        <w:t>179.27</w:t>
      </w:r>
      <w:r>
        <w:rPr>
          <w:szCs w:val="32"/>
        </w:rPr>
        <w:t>万元，其中：基本支出</w:t>
      </w:r>
      <w:r>
        <w:rPr>
          <w:rFonts w:hint="eastAsia"/>
          <w:szCs w:val="32"/>
          <w:lang w:val="en-US" w:eastAsia="zh-CN"/>
        </w:rPr>
        <w:t>90.82</w:t>
      </w:r>
      <w:r>
        <w:rPr>
          <w:szCs w:val="32"/>
        </w:rPr>
        <w:t>万元，占</w:t>
      </w:r>
      <w:r>
        <w:rPr>
          <w:rFonts w:hint="eastAsia"/>
          <w:szCs w:val="32"/>
          <w:lang w:val="en-US" w:eastAsia="zh-CN"/>
        </w:rPr>
        <w:t>50.66</w:t>
      </w:r>
      <w:r>
        <w:rPr>
          <w:szCs w:val="32"/>
        </w:rPr>
        <w:t>%；项目支出</w:t>
      </w:r>
      <w:r>
        <w:rPr>
          <w:rFonts w:hint="eastAsia"/>
          <w:szCs w:val="32"/>
          <w:lang w:val="en-US" w:eastAsia="zh-CN"/>
        </w:rPr>
        <w:t>88.45</w:t>
      </w:r>
      <w:r>
        <w:rPr>
          <w:szCs w:val="32"/>
        </w:rPr>
        <w:t>万元，占</w:t>
      </w:r>
      <w:r>
        <w:rPr>
          <w:rFonts w:hint="eastAsia"/>
          <w:szCs w:val="32"/>
          <w:lang w:val="en-US" w:eastAsia="zh-CN"/>
        </w:rPr>
        <w:t>49.34</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rPr>
        <w:t>179.27</w:t>
      </w:r>
      <w:r>
        <w:rPr>
          <w:szCs w:val="32"/>
        </w:rPr>
        <w:t>万元，其中：</w:t>
      </w:r>
      <w:r>
        <w:rPr>
          <w:rFonts w:hint="eastAsia"/>
          <w:szCs w:val="32"/>
        </w:rPr>
        <w:t>本年</w:t>
      </w:r>
      <w:r>
        <w:rPr>
          <w:rFonts w:hint="eastAsia"/>
          <w:szCs w:val="32"/>
          <w:lang w:eastAsia="zh-CN"/>
        </w:rPr>
        <w:t>预算</w:t>
      </w:r>
      <w:r>
        <w:rPr>
          <w:rFonts w:hint="eastAsia"/>
          <w:szCs w:val="32"/>
        </w:rPr>
        <w:t>179.18</w:t>
      </w:r>
      <w:r>
        <w:rPr>
          <w:szCs w:val="32"/>
        </w:rPr>
        <w:t>万元</w:t>
      </w:r>
      <w:r>
        <w:rPr>
          <w:rFonts w:hint="eastAsia"/>
          <w:szCs w:val="32"/>
        </w:rPr>
        <w:t>，上年结转</w:t>
      </w:r>
      <w:r>
        <w:rPr>
          <w:rFonts w:hint="eastAsia"/>
          <w:szCs w:val="32"/>
          <w:lang w:val="en-US" w:eastAsia="zh-CN"/>
        </w:rPr>
        <w:t>0.09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148.94</w:t>
      </w:r>
      <w:r>
        <w:rPr>
          <w:szCs w:val="32"/>
        </w:rPr>
        <w:t>万元，</w:t>
      </w:r>
      <w:r>
        <w:rPr>
          <w:kern w:val="0"/>
          <w:szCs w:val="32"/>
        </w:rPr>
        <w:t>社会保障和就业支出</w:t>
      </w:r>
      <w:r>
        <w:rPr>
          <w:rFonts w:hint="eastAsia"/>
          <w:szCs w:val="32"/>
          <w:lang w:val="en-US" w:eastAsia="zh-CN"/>
        </w:rPr>
        <w:t>21.20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2.39</w:t>
      </w:r>
      <w:r>
        <w:rPr>
          <w:szCs w:val="32"/>
        </w:rPr>
        <w:t>万元，</w:t>
      </w:r>
      <w:r>
        <w:rPr>
          <w:kern w:val="0"/>
          <w:szCs w:val="32"/>
        </w:rPr>
        <w:t>住房保障支出</w:t>
      </w:r>
      <w:r>
        <w:rPr>
          <w:rFonts w:hint="eastAsia"/>
          <w:szCs w:val="32"/>
          <w:lang w:val="en-US" w:eastAsia="zh-CN"/>
        </w:rPr>
        <w:t>6.74</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179.27</w:t>
      </w:r>
      <w:r>
        <w:rPr>
          <w:szCs w:val="32"/>
        </w:rPr>
        <w:t>万元，其中：基本支出</w:t>
      </w:r>
      <w:r>
        <w:rPr>
          <w:rFonts w:hint="eastAsia"/>
          <w:szCs w:val="32"/>
          <w:lang w:val="en-US" w:eastAsia="zh-CN"/>
        </w:rPr>
        <w:t>90.82</w:t>
      </w:r>
      <w:r>
        <w:rPr>
          <w:szCs w:val="32"/>
        </w:rPr>
        <w:t>万元，占</w:t>
      </w:r>
      <w:r>
        <w:rPr>
          <w:rFonts w:hint="eastAsia"/>
          <w:szCs w:val="32"/>
          <w:lang w:val="en-US" w:eastAsia="zh-CN"/>
        </w:rPr>
        <w:t>50.66</w:t>
      </w:r>
      <w:r>
        <w:rPr>
          <w:szCs w:val="32"/>
        </w:rPr>
        <w:t>%；项目支出</w:t>
      </w:r>
      <w:r>
        <w:rPr>
          <w:rFonts w:hint="eastAsia"/>
          <w:szCs w:val="32"/>
          <w:lang w:val="en-US" w:eastAsia="zh-CN"/>
        </w:rPr>
        <w:t>88.45</w:t>
      </w:r>
      <w:r>
        <w:rPr>
          <w:szCs w:val="32"/>
        </w:rPr>
        <w:t>万元，占</w:t>
      </w:r>
      <w:r>
        <w:rPr>
          <w:rFonts w:hint="eastAsia"/>
          <w:szCs w:val="32"/>
          <w:lang w:val="en-US" w:eastAsia="zh-CN"/>
        </w:rPr>
        <w:t>49.34</w:t>
      </w:r>
      <w:r>
        <w:rPr>
          <w:szCs w:val="32"/>
        </w:rPr>
        <w:t>%。基本支出中，人员经费</w:t>
      </w:r>
      <w:r>
        <w:rPr>
          <w:rFonts w:hint="eastAsia"/>
          <w:szCs w:val="32"/>
          <w:lang w:val="en-US" w:eastAsia="zh-CN"/>
        </w:rPr>
        <w:t>76.41</w:t>
      </w:r>
      <w:r>
        <w:rPr>
          <w:szCs w:val="32"/>
        </w:rPr>
        <w:t>万元，占</w:t>
      </w:r>
      <w:r>
        <w:rPr>
          <w:rFonts w:hint="eastAsia"/>
          <w:szCs w:val="32"/>
          <w:lang w:val="en-US" w:eastAsia="zh-CN"/>
        </w:rPr>
        <w:t>84.13</w:t>
      </w:r>
      <w:r>
        <w:rPr>
          <w:szCs w:val="32"/>
        </w:rPr>
        <w:t>%；公用经费</w:t>
      </w:r>
      <w:r>
        <w:rPr>
          <w:rFonts w:hint="eastAsia"/>
          <w:szCs w:val="32"/>
          <w:lang w:val="en-US" w:eastAsia="zh-CN"/>
        </w:rPr>
        <w:t>14.41</w:t>
      </w:r>
      <w:r>
        <w:rPr>
          <w:szCs w:val="32"/>
        </w:rPr>
        <w:t>万元，占</w:t>
      </w:r>
      <w:r>
        <w:rPr>
          <w:rFonts w:hint="eastAsia"/>
          <w:szCs w:val="32"/>
          <w:lang w:val="en-US" w:eastAsia="zh-CN"/>
        </w:rPr>
        <w:t>15.87</w:t>
      </w:r>
      <w:r>
        <w:rPr>
          <w:szCs w:val="32"/>
        </w:rPr>
        <w:t>%。</w:t>
      </w:r>
    </w:p>
    <w:p>
      <w:pPr>
        <w:spacing w:line="520" w:lineRule="exact"/>
        <w:ind w:firstLine="200"/>
        <w:rPr>
          <w:szCs w:val="32"/>
        </w:rPr>
      </w:pPr>
      <w:r>
        <w:rPr>
          <w:szCs w:val="32"/>
        </w:rPr>
        <w:t>一般公共服务（类）支出</w:t>
      </w:r>
      <w:r>
        <w:rPr>
          <w:rFonts w:hint="eastAsia"/>
          <w:szCs w:val="32"/>
          <w:lang w:val="en-US" w:eastAsia="zh-CN"/>
        </w:rPr>
        <w:t>148.94</w:t>
      </w:r>
      <w:r>
        <w:rPr>
          <w:szCs w:val="32"/>
        </w:rPr>
        <w:t>万元，占</w:t>
      </w:r>
      <w:r>
        <w:rPr>
          <w:rFonts w:hint="eastAsia"/>
          <w:szCs w:val="32"/>
          <w:lang w:val="en-US" w:eastAsia="zh-CN"/>
        </w:rPr>
        <w:t>83.08</w:t>
      </w:r>
      <w:r>
        <w:rPr>
          <w:szCs w:val="32"/>
        </w:rPr>
        <w:t>%，主要用于</w:t>
      </w:r>
      <w:r>
        <w:rPr>
          <w:rFonts w:hint="eastAsia" w:ascii="仿宋_GB2312" w:hAnsi="仿宋" w:cs="仿宋_GB2312"/>
          <w:szCs w:val="32"/>
        </w:rPr>
        <w:t>保障职工工资，维持机关正常运转，完成年度统计工作任务</w:t>
      </w:r>
      <w:r>
        <w:rPr>
          <w:szCs w:val="32"/>
        </w:rPr>
        <w:t>。</w:t>
      </w:r>
    </w:p>
    <w:p>
      <w:pPr>
        <w:spacing w:line="520" w:lineRule="exact"/>
        <w:ind w:firstLine="200"/>
        <w:rPr>
          <w:szCs w:val="32"/>
        </w:rPr>
      </w:pPr>
      <w:r>
        <w:rPr>
          <w:rFonts w:hint="eastAsia"/>
          <w:szCs w:val="32"/>
        </w:rPr>
        <w:t>社会保障和就业（类）支出21.20</w:t>
      </w:r>
      <w:r>
        <w:rPr>
          <w:szCs w:val="32"/>
        </w:rPr>
        <w:t>万元，占</w:t>
      </w:r>
      <w:r>
        <w:rPr>
          <w:rFonts w:hint="eastAsia"/>
          <w:szCs w:val="32"/>
          <w:lang w:val="en-US" w:eastAsia="zh-CN"/>
        </w:rPr>
        <w:t>11.83</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ind w:firstLine="200"/>
        <w:rPr>
          <w:szCs w:val="32"/>
        </w:rPr>
      </w:pPr>
      <w:r>
        <w:rPr>
          <w:rFonts w:hint="eastAsia"/>
          <w:szCs w:val="32"/>
        </w:rPr>
        <w:t>卫生健康支出（类）支出</w:t>
      </w:r>
      <w:r>
        <w:rPr>
          <w:rFonts w:hint="eastAsia"/>
          <w:szCs w:val="32"/>
          <w:lang w:val="en-US" w:eastAsia="zh-CN"/>
        </w:rPr>
        <w:t>2.39</w:t>
      </w:r>
      <w:r>
        <w:rPr>
          <w:szCs w:val="32"/>
        </w:rPr>
        <w:t>万元，占</w:t>
      </w:r>
      <w:r>
        <w:rPr>
          <w:rFonts w:hint="eastAsia"/>
          <w:szCs w:val="32"/>
          <w:lang w:val="en-US" w:eastAsia="zh-CN"/>
        </w:rPr>
        <w:t>1.33</w:t>
      </w:r>
      <w:r>
        <w:rPr>
          <w:szCs w:val="32"/>
        </w:rPr>
        <w:t>%，主要用于</w:t>
      </w:r>
      <w:r>
        <w:rPr>
          <w:rFonts w:hint="eastAsia"/>
          <w:szCs w:val="32"/>
        </w:rPr>
        <w:t>缴纳职工医疗保险</w:t>
      </w:r>
      <w:r>
        <w:rPr>
          <w:szCs w:val="32"/>
        </w:rPr>
        <w:t>。</w:t>
      </w:r>
    </w:p>
    <w:p>
      <w:pPr>
        <w:spacing w:line="520" w:lineRule="exact"/>
        <w:ind w:firstLine="200"/>
        <w:rPr>
          <w:rFonts w:hint="eastAsia"/>
          <w:szCs w:val="32"/>
        </w:rPr>
      </w:pPr>
      <w:r>
        <w:rPr>
          <w:szCs w:val="32"/>
        </w:rPr>
        <w:t>住房保障（类）支出</w:t>
      </w:r>
      <w:r>
        <w:rPr>
          <w:rFonts w:hint="eastAsia"/>
          <w:szCs w:val="32"/>
          <w:lang w:val="en-US" w:eastAsia="zh-CN"/>
        </w:rPr>
        <w:t>6.74</w:t>
      </w:r>
      <w:r>
        <w:rPr>
          <w:szCs w:val="32"/>
        </w:rPr>
        <w:t>万元，占</w:t>
      </w:r>
      <w:r>
        <w:rPr>
          <w:rFonts w:hint="eastAsia"/>
          <w:szCs w:val="32"/>
          <w:lang w:val="en-US" w:eastAsia="zh-CN"/>
        </w:rPr>
        <w:t>3.76</w:t>
      </w:r>
      <w:r>
        <w:rPr>
          <w:szCs w:val="32"/>
        </w:rPr>
        <w:t>%，主要用于</w:t>
      </w:r>
      <w:r>
        <w:rPr>
          <w:rFonts w:hint="eastAsia"/>
          <w:szCs w:val="32"/>
        </w:rPr>
        <w:t>为职工缴纳住房公积金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90.82</w:t>
      </w:r>
      <w:r>
        <w:rPr>
          <w:szCs w:val="32"/>
        </w:rPr>
        <w:t>万元，其中：</w:t>
      </w:r>
    </w:p>
    <w:p>
      <w:pPr>
        <w:ind w:firstLine="640" w:firstLineChars="200"/>
        <w:rPr>
          <w:kern w:val="0"/>
          <w:szCs w:val="32"/>
        </w:rPr>
      </w:pPr>
      <w:r>
        <w:rPr>
          <w:szCs w:val="32"/>
        </w:rPr>
        <w:t>人员经费</w:t>
      </w:r>
      <w:r>
        <w:rPr>
          <w:rFonts w:hint="eastAsia"/>
          <w:szCs w:val="32"/>
          <w:lang w:val="en-US" w:eastAsia="zh-CN"/>
        </w:rPr>
        <w:t>76.41</w:t>
      </w:r>
      <w:r>
        <w:rPr>
          <w:szCs w:val="32"/>
        </w:rPr>
        <w:t>万元，主要包括：</w:t>
      </w:r>
      <w:r>
        <w:rPr>
          <w:rFonts w:hint="eastAsia" w:ascii="仿宋_GB2312" w:hAnsi="仿宋"/>
          <w:kern w:val="0"/>
          <w:szCs w:val="32"/>
        </w:rPr>
        <w:t>基本工资、津贴补贴</w:t>
      </w:r>
      <w:r>
        <w:rPr>
          <w:rFonts w:hint="eastAsia" w:ascii="仿宋_GB2312" w:hAnsi="仿宋"/>
          <w:szCs w:val="32"/>
        </w:rPr>
        <w:t>、</w:t>
      </w:r>
      <w:r>
        <w:rPr>
          <w:rFonts w:hint="eastAsia" w:ascii="仿宋_GB2312" w:hAnsi="仿宋"/>
          <w:kern w:val="0"/>
          <w:szCs w:val="32"/>
        </w:rPr>
        <w:t>奖金</w:t>
      </w:r>
      <w:r>
        <w:rPr>
          <w:rFonts w:hint="eastAsia" w:ascii="仿宋_GB2312" w:hAnsi="仿宋"/>
          <w:szCs w:val="32"/>
        </w:rPr>
        <w:t>、机关事业单位基本养老保险缴费、职工基本医疗保险缴费、其他</w:t>
      </w:r>
      <w:r>
        <w:rPr>
          <w:rFonts w:hint="eastAsia" w:ascii="仿宋_GB2312" w:hAnsi="仿宋"/>
          <w:kern w:val="0"/>
          <w:szCs w:val="32"/>
        </w:rPr>
        <w:t>社会保障缴费</w:t>
      </w:r>
      <w:r>
        <w:rPr>
          <w:rFonts w:hint="eastAsia" w:ascii="仿宋_GB2312" w:hAnsi="仿宋"/>
          <w:szCs w:val="32"/>
        </w:rPr>
        <w:t>、</w:t>
      </w:r>
      <w:r>
        <w:rPr>
          <w:rFonts w:hint="eastAsia" w:ascii="仿宋_GB2312" w:hAnsi="仿宋"/>
          <w:kern w:val="0"/>
          <w:szCs w:val="32"/>
        </w:rPr>
        <w:t>住房公积金</w:t>
      </w:r>
      <w:r>
        <w:rPr>
          <w:rFonts w:hint="eastAsia" w:ascii="仿宋_GB2312" w:hAnsi="仿宋"/>
          <w:szCs w:val="32"/>
        </w:rPr>
        <w:t>、医疗费、</w:t>
      </w:r>
      <w:r>
        <w:rPr>
          <w:rFonts w:hint="eastAsia" w:ascii="仿宋_GB2312" w:hAnsi="仿宋"/>
          <w:kern w:val="0"/>
          <w:szCs w:val="32"/>
        </w:rPr>
        <w:t>其他工资福利支出</w:t>
      </w:r>
      <w:r>
        <w:rPr>
          <w:rFonts w:hint="eastAsia" w:ascii="仿宋_GB2312" w:hAnsi="仿宋"/>
          <w:szCs w:val="32"/>
        </w:rPr>
        <w:t>、退休费、</w:t>
      </w:r>
      <w:r>
        <w:rPr>
          <w:rFonts w:hint="eastAsia" w:ascii="仿宋_GB2312" w:hAnsi="仿宋"/>
          <w:kern w:val="0"/>
          <w:szCs w:val="32"/>
        </w:rPr>
        <w:t>其他对个人和家庭的补助支出</w:t>
      </w:r>
      <w:r>
        <w:rPr>
          <w:kern w:val="0"/>
          <w:szCs w:val="32"/>
        </w:rPr>
        <w:t>。</w:t>
      </w:r>
    </w:p>
    <w:p>
      <w:pPr>
        <w:ind w:firstLine="640" w:firstLineChars="200"/>
        <w:rPr>
          <w:szCs w:val="32"/>
        </w:rPr>
      </w:pPr>
      <w:r>
        <w:rPr>
          <w:kern w:val="0"/>
          <w:szCs w:val="32"/>
        </w:rPr>
        <w:t>公用经费</w:t>
      </w:r>
      <w:r>
        <w:rPr>
          <w:rFonts w:hint="eastAsia"/>
          <w:szCs w:val="32"/>
          <w:lang w:val="en-US" w:eastAsia="zh-CN"/>
        </w:rPr>
        <w:t>14.41</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color w:val="auto"/>
          <w:szCs w:val="32"/>
          <w:shd w:val="clear" w:color="auto" w:fill="auto"/>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0.15</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color w:val="auto"/>
          <w:szCs w:val="32"/>
          <w:shd w:val="clear" w:color="auto" w:fill="auto"/>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color w:val="auto"/>
          <w:szCs w:val="32"/>
          <w:shd w:val="clear" w:color="auto" w:fill="auto"/>
          <w:lang w:val="en-US" w:eastAsia="zh-CN"/>
        </w:rPr>
        <w:t>0.00</w:t>
      </w:r>
      <w:r>
        <w:rPr>
          <w:szCs w:val="32"/>
        </w:rPr>
        <w:t>万元</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color w:val="auto"/>
          <w:szCs w:val="32"/>
          <w:shd w:val="clear" w:color="auto" w:fill="auto"/>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0.15</w:t>
      </w:r>
      <w:r>
        <w:rPr>
          <w:szCs w:val="32"/>
        </w:rPr>
        <w:t>万元，主要原因是</w:t>
      </w:r>
      <w:r>
        <w:rPr>
          <w:rFonts w:hint="eastAsia"/>
          <w:color w:val="auto"/>
          <w:szCs w:val="32"/>
        </w:rPr>
        <w:t>贯彻落实省财政厅“过紧日子”的工作要求，压减“三公”经费预算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color w:val="auto"/>
          <w:szCs w:val="32"/>
          <w:shd w:val="clear" w:color="auto" w:fill="auto"/>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color w:val="auto"/>
          <w:szCs w:val="32"/>
          <w:shd w:val="clear" w:color="auto" w:fill="auto"/>
          <w:lang w:val="en-US" w:eastAsia="zh-CN"/>
        </w:rPr>
        <w:t>0.00</w:t>
      </w:r>
      <w:r>
        <w:rPr>
          <w:szCs w:val="32"/>
        </w:rPr>
        <w:t>万元。公务用车运行维护费</w:t>
      </w:r>
      <w:r>
        <w:rPr>
          <w:rFonts w:hint="eastAsia"/>
          <w:color w:val="auto"/>
          <w:szCs w:val="32"/>
          <w:shd w:val="clear" w:color="auto" w:fill="auto"/>
          <w:lang w:val="en-US" w:eastAsia="zh-CN"/>
        </w:rPr>
        <w:t>0.00</w:t>
      </w:r>
      <w:r>
        <w:rPr>
          <w:szCs w:val="32"/>
        </w:rPr>
        <w:t>万元</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color w:val="auto"/>
          <w:szCs w:val="32"/>
          <w:shd w:val="clear" w:color="auto" w:fill="auto"/>
          <w:lang w:val="en-US" w:eastAsia="zh-CN"/>
        </w:rPr>
        <w:t>0.00</w:t>
      </w:r>
      <w:r>
        <w:rPr>
          <w:szCs w:val="32"/>
        </w:rPr>
        <w:t>万元；公务用车购置费</w:t>
      </w:r>
      <w:r>
        <w:rPr>
          <w:rFonts w:hint="eastAsia"/>
          <w:color w:val="auto"/>
          <w:szCs w:val="32"/>
          <w:shd w:val="clear" w:color="auto" w:fill="auto"/>
          <w:lang w:val="en-US" w:eastAsia="zh-CN"/>
        </w:rPr>
        <w:t>0.00</w:t>
      </w:r>
      <w:r>
        <w:rPr>
          <w:szCs w:val="32"/>
        </w:rPr>
        <w:t>万元</w:t>
      </w:r>
      <w:r>
        <w:rPr>
          <w:rFonts w:hint="eastAsia"/>
          <w:szCs w:val="32"/>
          <w:lang w:eastAsia="zh-CN"/>
        </w:rPr>
        <w:t>，</w:t>
      </w:r>
      <w:r>
        <w:rPr>
          <w:rFonts w:hint="eastAsia"/>
          <w:szCs w:val="32"/>
          <w:lang w:val="en-US" w:eastAsia="zh-CN"/>
        </w:rPr>
        <w:t>2024年当年预算数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color w:val="auto"/>
          <w:szCs w:val="32"/>
          <w:shd w:val="clear" w:color="auto" w:fill="auto"/>
          <w:lang w:val="en-US" w:eastAsia="zh-CN"/>
        </w:rPr>
        <w:t>0.00</w:t>
      </w:r>
      <w:r>
        <w:rPr>
          <w:szCs w:val="32"/>
        </w:rPr>
        <w:t>万元。</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szCs w:val="32"/>
        </w:rPr>
      </w:pPr>
      <w:r>
        <w:rPr>
          <w:rFonts w:hint="eastAsia" w:ascii="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单位本级1家行政单位的</w:t>
      </w:r>
      <w:r>
        <w:rPr>
          <w:szCs w:val="32"/>
        </w:rPr>
        <w:t>机关运行经费财政拨款预算</w:t>
      </w:r>
      <w:r>
        <w:rPr>
          <w:rFonts w:hint="eastAsia"/>
          <w:szCs w:val="32"/>
          <w:lang w:val="en-US" w:eastAsia="zh-CN"/>
        </w:rPr>
        <w:t>14.41</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3.14</w:t>
      </w:r>
      <w:r>
        <w:rPr>
          <w:szCs w:val="32"/>
        </w:rPr>
        <w:t>万元，下降</w:t>
      </w:r>
      <w:r>
        <w:rPr>
          <w:rFonts w:hint="eastAsia"/>
          <w:szCs w:val="32"/>
          <w:lang w:val="en-US" w:eastAsia="zh-CN"/>
        </w:rPr>
        <w:t>17.89</w:t>
      </w:r>
      <w:r>
        <w:rPr>
          <w:szCs w:val="32"/>
        </w:rPr>
        <w:t>%</w:t>
      </w:r>
      <w:r>
        <w:rPr>
          <w:rFonts w:hint="eastAsia"/>
          <w:szCs w:val="32"/>
        </w:rPr>
        <w:t>，主要原因是在职人员减少</w:t>
      </w:r>
      <w:r>
        <w:rPr>
          <w:rFonts w:hint="eastAsia"/>
          <w:szCs w:val="32"/>
          <w:lang w:val="en-US" w:eastAsia="zh-CN"/>
        </w:rPr>
        <w:t>2</w:t>
      </w:r>
      <w:r>
        <w:rPr>
          <w:rFonts w:hint="eastAsia"/>
          <w:szCs w:val="32"/>
        </w:rPr>
        <w:t>人，公用经费支出相应减少，所以机关运行经费减少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本单位无国有资产占用使用情况。</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color w:val="auto"/>
          <w:shd w:val="clear" w:color="auto" w:fill="auto"/>
          <w:lang w:eastAsia="zh-CN"/>
        </w:rPr>
        <w:t>单位</w:t>
      </w:r>
      <w:r>
        <w:t>项目支出</w:t>
      </w:r>
      <w:r>
        <w:rPr>
          <w:rFonts w:hint="eastAsia"/>
          <w:szCs w:val="32"/>
          <w:lang w:val="en-US" w:eastAsia="zh-CN"/>
        </w:rPr>
        <w:t>88.45</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88.43</w:t>
      </w:r>
      <w:r>
        <w:rPr>
          <w:szCs w:val="32"/>
        </w:rPr>
        <w:t>万元，</w:t>
      </w:r>
      <w:r>
        <w:rPr>
          <w:rFonts w:hint="eastAsia"/>
          <w:szCs w:val="32"/>
        </w:rPr>
        <w:t>财政拨款结转</w:t>
      </w:r>
      <w:r>
        <w:rPr>
          <w:rFonts w:hint="eastAsia"/>
          <w:szCs w:val="32"/>
          <w:lang w:val="en-US" w:eastAsia="zh-CN"/>
        </w:rPr>
        <w:t>0.02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color w:val="auto"/>
          <w:shd w:val="clear" w:color="auto" w:fill="auto"/>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88.45</w:t>
      </w:r>
      <w:r>
        <w:rPr>
          <w:rFonts w:hint="eastAsia" w:ascii="宋体" w:hAnsi="宋体"/>
        </w:rPr>
        <w:t>万元。</w:t>
      </w: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jc w:val="both"/>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633743-8E94-4E7D-ABC1-C6A0D050C110}"/>
  </w:font>
  <w:font w:name="黑体">
    <w:panose1 w:val="02010609060101010101"/>
    <w:charset w:val="86"/>
    <w:family w:val="auto"/>
    <w:pitch w:val="default"/>
    <w:sig w:usb0="800002BF" w:usb1="38CF7CFA" w:usb2="00000016" w:usb3="00000000" w:csb0="00040001" w:csb1="00000000"/>
    <w:embedRegular r:id="rId2" w:fontKey="{EFB93918-2757-4361-B838-9EFBED865D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DD84417-0B03-47DC-AE2E-AE1989B0D2EB}"/>
  </w:font>
  <w:font w:name="仿宋_GB2312">
    <w:panose1 w:val="02010609030101010101"/>
    <w:charset w:val="86"/>
    <w:family w:val="modern"/>
    <w:pitch w:val="default"/>
    <w:sig w:usb0="00000001" w:usb1="080E0000" w:usb2="00000000" w:usb3="00000000" w:csb0="00040000" w:csb1="00000000"/>
    <w:embedRegular r:id="rId4" w:fontKey="{CDA2AF70-A756-4A3E-A37A-8F49E68078DC}"/>
  </w:font>
  <w:font w:name="华文细黑">
    <w:panose1 w:val="02010600040101010101"/>
    <w:charset w:val="86"/>
    <w:family w:val="auto"/>
    <w:pitch w:val="default"/>
    <w:sig w:usb0="00000287" w:usb1="080F0000" w:usb2="00000000" w:usb3="00000000" w:csb0="0004009F" w:csb1="DFD70000"/>
    <w:embedRegular r:id="rId5" w:fontKey="{AB0A602A-5AAC-4A11-86F9-89B21A0CCCAE}"/>
  </w:font>
  <w:font w:name="方正小标宋简体">
    <w:panose1 w:val="02000000000000000000"/>
    <w:charset w:val="86"/>
    <w:family w:val="auto"/>
    <w:pitch w:val="default"/>
    <w:sig w:usb0="00000001" w:usb1="08000000" w:usb2="00000000" w:usb3="00000000" w:csb0="00040000" w:csb1="00000000"/>
    <w:embedRegular r:id="rId6" w:fontKey="{158DFE7B-8895-426E-BE91-AE8353691C6C}"/>
  </w:font>
  <w:font w:name="楷体_GB2312">
    <w:panose1 w:val="02010609030101010101"/>
    <w:charset w:val="86"/>
    <w:family w:val="modern"/>
    <w:pitch w:val="default"/>
    <w:sig w:usb0="00000001" w:usb1="080E0000" w:usb2="00000000" w:usb3="00000000" w:csb0="00040000" w:csb1="00000000"/>
    <w:embedRegular r:id="rId7" w:fontKey="{0D90FD95-4B52-4885-B766-3DC3482593D3}"/>
  </w:font>
  <w:font w:name="仿宋">
    <w:panose1 w:val="02010609060101010101"/>
    <w:charset w:val="86"/>
    <w:family w:val="modern"/>
    <w:pitch w:val="default"/>
    <w:sig w:usb0="800002BF" w:usb1="38CF7CFA" w:usb2="00000016" w:usb3="00000000" w:csb0="00040001" w:csb1="00000000"/>
    <w:embedRegular r:id="rId8" w:fontKey="{6E96A5DF-3285-4300-8DD6-B3AD69B272CD}"/>
  </w:font>
  <w:font w:name="楷体">
    <w:panose1 w:val="02010609060101010101"/>
    <w:charset w:val="86"/>
    <w:family w:val="modern"/>
    <w:pitch w:val="default"/>
    <w:sig w:usb0="800002BF" w:usb1="38CF7CFA" w:usb2="00000016" w:usb3="00000000" w:csb0="00040001" w:csb1="00000000"/>
    <w:embedRegular r:id="rId9" w:fontKey="{3EF717AF-E94E-4659-9CC6-1094104488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WJiMjg5Y2RjM2JhNWQzNWU2YWZkMmRiOGIzZTQ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127B9"/>
    <w:rsid w:val="063949A0"/>
    <w:rsid w:val="06723488"/>
    <w:rsid w:val="06BD5BC7"/>
    <w:rsid w:val="06F008FF"/>
    <w:rsid w:val="06F8257C"/>
    <w:rsid w:val="079E5032"/>
    <w:rsid w:val="09015F14"/>
    <w:rsid w:val="091C5C63"/>
    <w:rsid w:val="09421190"/>
    <w:rsid w:val="09A0082A"/>
    <w:rsid w:val="0A00435B"/>
    <w:rsid w:val="0A1A41E1"/>
    <w:rsid w:val="0AAA1697"/>
    <w:rsid w:val="0ABA06FE"/>
    <w:rsid w:val="0B49202F"/>
    <w:rsid w:val="0B5F5ADA"/>
    <w:rsid w:val="0C2A5C84"/>
    <w:rsid w:val="0C4F64D9"/>
    <w:rsid w:val="0C583939"/>
    <w:rsid w:val="0C6D1BAE"/>
    <w:rsid w:val="0D2A2435"/>
    <w:rsid w:val="0DA001B0"/>
    <w:rsid w:val="0DB96584"/>
    <w:rsid w:val="0DEB170B"/>
    <w:rsid w:val="0E323D14"/>
    <w:rsid w:val="0E4C7841"/>
    <w:rsid w:val="0E7867E8"/>
    <w:rsid w:val="0E97506F"/>
    <w:rsid w:val="0F3E0406"/>
    <w:rsid w:val="0F980230"/>
    <w:rsid w:val="0FD62F63"/>
    <w:rsid w:val="0FDE2A27"/>
    <w:rsid w:val="10AE7F82"/>
    <w:rsid w:val="10C93B35"/>
    <w:rsid w:val="11032FA4"/>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1E56"/>
    <w:rsid w:val="17A027D8"/>
    <w:rsid w:val="17CC2625"/>
    <w:rsid w:val="19132BE0"/>
    <w:rsid w:val="191F4716"/>
    <w:rsid w:val="1954649C"/>
    <w:rsid w:val="1A817DF8"/>
    <w:rsid w:val="1A8A6135"/>
    <w:rsid w:val="1ADC594E"/>
    <w:rsid w:val="1AE9320B"/>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0375FF"/>
    <w:rsid w:val="2E70502B"/>
    <w:rsid w:val="2EB22F18"/>
    <w:rsid w:val="2EE12108"/>
    <w:rsid w:val="2EED35E3"/>
    <w:rsid w:val="2F0B5068"/>
    <w:rsid w:val="2F250383"/>
    <w:rsid w:val="2F63610B"/>
    <w:rsid w:val="2FBC646B"/>
    <w:rsid w:val="300965A3"/>
    <w:rsid w:val="30285046"/>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8F7C14"/>
    <w:rsid w:val="36B543E5"/>
    <w:rsid w:val="36CC2B0F"/>
    <w:rsid w:val="36FC762F"/>
    <w:rsid w:val="3838492F"/>
    <w:rsid w:val="383A009B"/>
    <w:rsid w:val="3887374F"/>
    <w:rsid w:val="38CB0ABC"/>
    <w:rsid w:val="39041A07"/>
    <w:rsid w:val="39043B77"/>
    <w:rsid w:val="39670895"/>
    <w:rsid w:val="397B4EE2"/>
    <w:rsid w:val="39F978FE"/>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35075D"/>
    <w:rsid w:val="3EA14040"/>
    <w:rsid w:val="3EE8108D"/>
    <w:rsid w:val="3F8201A3"/>
    <w:rsid w:val="3FEC78C5"/>
    <w:rsid w:val="402675EA"/>
    <w:rsid w:val="40B80EFF"/>
    <w:rsid w:val="41A35364"/>
    <w:rsid w:val="41C31686"/>
    <w:rsid w:val="41C837BC"/>
    <w:rsid w:val="421643AC"/>
    <w:rsid w:val="42982B4E"/>
    <w:rsid w:val="429F5D0C"/>
    <w:rsid w:val="42D83665"/>
    <w:rsid w:val="434A6B47"/>
    <w:rsid w:val="436B1E42"/>
    <w:rsid w:val="456D114B"/>
    <w:rsid w:val="45D4223E"/>
    <w:rsid w:val="45EB670F"/>
    <w:rsid w:val="46AB7C0D"/>
    <w:rsid w:val="46D44808"/>
    <w:rsid w:val="46ED776B"/>
    <w:rsid w:val="479D2523"/>
    <w:rsid w:val="47CF49E6"/>
    <w:rsid w:val="48674ED2"/>
    <w:rsid w:val="487708E6"/>
    <w:rsid w:val="48B540F2"/>
    <w:rsid w:val="493F6F72"/>
    <w:rsid w:val="49645F71"/>
    <w:rsid w:val="496F29A9"/>
    <w:rsid w:val="499F5C68"/>
    <w:rsid w:val="4A52465C"/>
    <w:rsid w:val="4A5C4AC6"/>
    <w:rsid w:val="4A662FBF"/>
    <w:rsid w:val="4AF16062"/>
    <w:rsid w:val="4B0A57E5"/>
    <w:rsid w:val="4B646DDD"/>
    <w:rsid w:val="4B7F44F8"/>
    <w:rsid w:val="4BAC24C5"/>
    <w:rsid w:val="4BFA0656"/>
    <w:rsid w:val="4D3439E8"/>
    <w:rsid w:val="4D3D5C71"/>
    <w:rsid w:val="4D4E2809"/>
    <w:rsid w:val="4D730507"/>
    <w:rsid w:val="4D741DD3"/>
    <w:rsid w:val="4DB02DA8"/>
    <w:rsid w:val="4DC93207"/>
    <w:rsid w:val="4E010C4C"/>
    <w:rsid w:val="4E214B2B"/>
    <w:rsid w:val="4E8D5761"/>
    <w:rsid w:val="4EB5773B"/>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2996C97"/>
    <w:rsid w:val="531C32CA"/>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AF39F6"/>
    <w:rsid w:val="59CA6DFB"/>
    <w:rsid w:val="59D514A6"/>
    <w:rsid w:val="59EC6E09"/>
    <w:rsid w:val="5AB343F7"/>
    <w:rsid w:val="5ABF50F2"/>
    <w:rsid w:val="5AF25D13"/>
    <w:rsid w:val="5AF76904"/>
    <w:rsid w:val="5B052E7A"/>
    <w:rsid w:val="5B3D7F7E"/>
    <w:rsid w:val="5B7C7777"/>
    <w:rsid w:val="5BEC6771"/>
    <w:rsid w:val="5CA506B9"/>
    <w:rsid w:val="5CF74CE4"/>
    <w:rsid w:val="5D4E1D47"/>
    <w:rsid w:val="5D5A7C63"/>
    <w:rsid w:val="5E256F6F"/>
    <w:rsid w:val="5F6235A9"/>
    <w:rsid w:val="60B90738"/>
    <w:rsid w:val="60DC439E"/>
    <w:rsid w:val="614125C2"/>
    <w:rsid w:val="61AA1D1F"/>
    <w:rsid w:val="624C5C52"/>
    <w:rsid w:val="63DF08E4"/>
    <w:rsid w:val="647E785E"/>
    <w:rsid w:val="64C04AFD"/>
    <w:rsid w:val="655B219F"/>
    <w:rsid w:val="661A7B69"/>
    <w:rsid w:val="66455323"/>
    <w:rsid w:val="664909C1"/>
    <w:rsid w:val="66635AE4"/>
    <w:rsid w:val="66C63EB5"/>
    <w:rsid w:val="67592674"/>
    <w:rsid w:val="679461D3"/>
    <w:rsid w:val="6858287E"/>
    <w:rsid w:val="68593A1E"/>
    <w:rsid w:val="68A8291A"/>
    <w:rsid w:val="68C04D52"/>
    <w:rsid w:val="68D33DE9"/>
    <w:rsid w:val="69157114"/>
    <w:rsid w:val="691A443E"/>
    <w:rsid w:val="69E203A0"/>
    <w:rsid w:val="69EF02B7"/>
    <w:rsid w:val="6A5B6D7D"/>
    <w:rsid w:val="6A765FBC"/>
    <w:rsid w:val="6A80735F"/>
    <w:rsid w:val="6AC17181"/>
    <w:rsid w:val="6ACC5E47"/>
    <w:rsid w:val="6AD43ED1"/>
    <w:rsid w:val="6B11024D"/>
    <w:rsid w:val="6B337956"/>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57F383B"/>
    <w:rsid w:val="761B13C4"/>
    <w:rsid w:val="764B6A8A"/>
    <w:rsid w:val="76C17E06"/>
    <w:rsid w:val="76CA67BD"/>
    <w:rsid w:val="774E6400"/>
    <w:rsid w:val="775B0046"/>
    <w:rsid w:val="77804DFC"/>
    <w:rsid w:val="78E26444"/>
    <w:rsid w:val="79700BEF"/>
    <w:rsid w:val="798D552B"/>
    <w:rsid w:val="7A090695"/>
    <w:rsid w:val="7A1C5986"/>
    <w:rsid w:val="7A1D5951"/>
    <w:rsid w:val="7AE175F4"/>
    <w:rsid w:val="7B417685"/>
    <w:rsid w:val="7B5220F0"/>
    <w:rsid w:val="7B5D0C8F"/>
    <w:rsid w:val="7BA169C0"/>
    <w:rsid w:val="7BC55243"/>
    <w:rsid w:val="7C2F4A9A"/>
    <w:rsid w:val="7CAD595B"/>
    <w:rsid w:val="7CF65D07"/>
    <w:rsid w:val="7D2975D1"/>
    <w:rsid w:val="7D2F3083"/>
    <w:rsid w:val="7D906046"/>
    <w:rsid w:val="7DCC0CD6"/>
    <w:rsid w:val="7DCD5F8F"/>
    <w:rsid w:val="7FE053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5774</Words>
  <Characters>7005</Characters>
  <Lines>71</Lines>
  <Paragraphs>20</Paragraphs>
  <TotalTime>7</TotalTime>
  <ScaleCrop>false</ScaleCrop>
  <LinksUpToDate>false</LinksUpToDate>
  <CharactersWithSpaces>7606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笑笑十年少</cp:lastModifiedBy>
  <cp:lastPrinted>2024-02-22T05:49:00Z</cp:lastPrinted>
  <dcterms:modified xsi:type="dcterms:W3CDTF">2024-02-26T02:39:27Z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