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color w:val="auto"/>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lang w:eastAsia="zh-CN"/>
        </w:rPr>
      </w:pPr>
      <w:r>
        <w:rPr>
          <w:rFonts w:hint="eastAsia" w:eastAsia="方正小标宋简体"/>
          <w:sz w:val="44"/>
          <w:szCs w:val="44"/>
          <w:u w:val="none"/>
          <w:lang w:eastAsia="zh-CN"/>
        </w:rPr>
        <w:t>长岭县统计局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hint="eastAsia" w:eastAsia="方正小标宋简体"/>
          <w:sz w:val="44"/>
          <w:szCs w:val="44"/>
          <w:u w:val="none"/>
          <w:lang w:eastAsia="zh-CN"/>
        </w:rPr>
        <w:t>年</w:t>
      </w:r>
      <w:r>
        <w:rPr>
          <w:rFonts w:hint="eastAsia" w:eastAsia="方正小标宋简体"/>
          <w:sz w:val="44"/>
          <w:szCs w:val="44"/>
          <w:u w:val="none"/>
          <w:lang w:val="en-US" w:eastAsia="zh-CN"/>
        </w:rPr>
        <w:t>单位</w:t>
      </w:r>
      <w:r>
        <w:rPr>
          <w:rFonts w:hint="eastAsia" w:eastAsia="方正小标宋简体"/>
          <w:sz w:val="44"/>
          <w:szCs w:val="44"/>
          <w:u w:val="none"/>
          <w:lang w:eastAsia="zh-CN"/>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320" w:firstLineChars="100"/>
        <w:rPr>
          <w:rFonts w:hint="eastAsia" w:ascii="Times New Roman" w:hAnsi="Times New Roman"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（一）贯彻执行国家统计方针、政策以及法律、法规，制定全市统计规划及统计调查计划；监督检查统计法律、法规的实施。组织领导全县统计工作，承担确保统计数据真实、准确、及时的责任</w:t>
      </w:r>
      <w:r>
        <w:rPr>
          <w:rFonts w:hint="eastAsia" w:ascii="Times New Roman" w:hAnsi="Times New Roman" w:cs="Times New Roman"/>
          <w:kern w:val="0"/>
          <w:sz w:val="32"/>
          <w:szCs w:val="32"/>
          <w:lang w:val="en-US" w:eastAsia="zh-CN" w:bidi="ar-SA"/>
        </w:rPr>
        <w:t>。</w:t>
      </w:r>
    </w:p>
    <w:p>
      <w:pPr>
        <w:ind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（二）根据国家统一的基本统计制度，建立健全全县国民经济核算体系和统计指标体系，贯彻执行全省统一的基本统计报表制度和统计标准；汇编提供全县国民经济核算资料。</w:t>
      </w:r>
    </w:p>
    <w:p>
      <w:pPr>
        <w:ind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（三）组织实施重大省情省力普查计划；统一组织协调全县</w:t>
      </w:r>
    </w:p>
    <w:p>
      <w:pP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社会经济统计调查；汇总、整理全县基本统计资料；对国民经济、科技进步和社会发展等情况进行统计分析、统计预测预警和统计监督，向县委、县政府及有关部门提供统计信息和咨询建议。</w:t>
      </w:r>
    </w:p>
    <w:p>
      <w:pPr>
        <w:numPr>
          <w:ilvl w:val="0"/>
          <w:numId w:val="1"/>
        </w:numPr>
        <w:ind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统一核定、管理、公布全县基本统计资料，定期向社会公众发布全县国民经济和社会发展情况的统计信息。</w:t>
      </w:r>
    </w:p>
    <w:p>
      <w:pPr>
        <w:numPr>
          <w:ilvl w:val="0"/>
          <w:numId w:val="1"/>
        </w:numPr>
        <w:ind w:left="0" w:leftChars="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建立、完善和管理全县统计信息自动化系统和全县统计数据库体系。</w:t>
      </w:r>
    </w:p>
    <w:p>
      <w:pPr>
        <w:numPr>
          <w:ilvl w:val="0"/>
          <w:numId w:val="1"/>
        </w:numPr>
        <w:ind w:left="0" w:leftChars="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负责全县统计系统的干部人事、劳动工资、机构编制和财务经费、审计监督及资产设施管理。</w:t>
      </w:r>
    </w:p>
    <w:p>
      <w:pPr>
        <w:numPr>
          <w:ilvl w:val="0"/>
          <w:numId w:val="1"/>
        </w:numPr>
        <w:ind w:left="0" w:leftChars="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领导局属事业单位。</w:t>
      </w:r>
    </w:p>
    <w:p>
      <w:pPr>
        <w:numPr>
          <w:ilvl w:val="0"/>
          <w:numId w:val="0"/>
        </w:numPr>
        <w:ind w:leftChars="100"/>
        <w:rPr>
          <w:color w:val="000000"/>
          <w:szCs w:val="32"/>
        </w:rPr>
      </w:pPr>
      <w:r>
        <w:rPr>
          <w:rFonts w:hint="eastAsia" w:ascii="Times New Roman" w:hAnsi="Times New Roman" w:eastAsia="仿宋_GB2312" w:cs="Times New Roman"/>
          <w:kern w:val="0"/>
          <w:sz w:val="32"/>
          <w:szCs w:val="32"/>
          <w:lang w:val="en-US" w:eastAsia="zh-CN" w:bidi="ar-SA"/>
        </w:rPr>
        <w:t>（八）承办松原市统计局和长岭县政府交办的其他事项。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eastAsia="仿宋_GB2312"/>
          <w:u w:val="none"/>
        </w:rPr>
        <w:t>，</w:t>
      </w:r>
      <w:r>
        <w:rPr>
          <w:rFonts w:hint="eastAsia" w:eastAsia="仿宋_GB2312"/>
          <w:u w:val="none"/>
          <w:lang w:val="en-US" w:eastAsia="zh-CN"/>
        </w:rPr>
        <w:t>长岭县统计局</w:t>
      </w:r>
      <w:r>
        <w:rPr>
          <w:rFonts w:eastAsia="仿宋_GB2312"/>
        </w:rPr>
        <w:t>内设</w:t>
      </w:r>
      <w:r>
        <w:rPr>
          <w:rFonts w:eastAsia="仿宋_GB2312"/>
          <w:u w:val="none"/>
        </w:rPr>
        <w:t xml:space="preserve"> </w:t>
      </w:r>
      <w:r>
        <w:rPr>
          <w:rFonts w:hint="eastAsia" w:eastAsia="仿宋_GB2312"/>
          <w:u w:val="none"/>
          <w:lang w:val="en-US" w:eastAsia="zh-CN"/>
        </w:rPr>
        <w:t>3</w:t>
      </w:r>
      <w:r>
        <w:rPr>
          <w:rFonts w:eastAsia="仿宋_GB2312"/>
          <w:u w:val="none"/>
        </w:rPr>
        <w:t xml:space="preserve"> </w:t>
      </w:r>
      <w:r>
        <w:rPr>
          <w:rFonts w:eastAsia="仿宋_GB2312"/>
        </w:rPr>
        <w:t>个机构，分别为</w:t>
      </w:r>
      <w:r>
        <w:rPr>
          <w:rFonts w:hint="eastAsia" w:eastAsia="仿宋_GB2312"/>
          <w:lang w:val="en-US" w:eastAsia="zh-CN"/>
        </w:rPr>
        <w:t>办公室、综合统计科、社会经济统计科</w:t>
      </w:r>
      <w:r>
        <w:rPr>
          <w:rFonts w:eastAsia="仿宋_GB2312"/>
        </w:rPr>
        <w:t>。</w:t>
      </w:r>
    </w:p>
    <w:p>
      <w:pPr>
        <w:pStyle w:val="48"/>
        <w:ind w:firstLine="640" w:firstLineChars="200"/>
        <w:rPr>
          <w:rFonts w:eastAsia="仿宋_GB2312"/>
        </w:rPr>
      </w:pPr>
      <w:r>
        <w:rPr>
          <w:rFonts w:hint="eastAsia" w:eastAsia="仿宋_GB2312"/>
          <w:lang w:val="en-US" w:eastAsia="zh-CN"/>
        </w:rPr>
        <w:t>本</w:t>
      </w:r>
      <w:r>
        <w:rPr>
          <w:rFonts w:eastAsia="仿宋_GB2312"/>
        </w:rPr>
        <w:t>单</w:t>
      </w:r>
      <w:r>
        <w:rPr>
          <w:rFonts w:hint="eastAsia" w:eastAsia="仿宋_GB2312"/>
          <w:lang w:eastAsia="zh-CN"/>
        </w:rPr>
        <w:t>位</w:t>
      </w:r>
      <w:r>
        <w:rPr>
          <w:rFonts w:hint="eastAsia" w:eastAsia="仿宋_GB2312"/>
          <w:lang w:val="en-US" w:eastAsia="zh-CN"/>
        </w:rPr>
        <w:t>无下设预算单位</w:t>
      </w:r>
      <w:r>
        <w:rPr>
          <w:rFonts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185.47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219.83</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0.88</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20.11</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3.93</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10.32</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bCs/>
                <w:kern w:val="0"/>
                <w:sz w:val="20"/>
                <w:lang w:val="en-US" w:eastAsia="zh-CN"/>
              </w:rPr>
              <w:t>220.71</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49" w:type="dxa"/>
        <w:jc w:val="center"/>
        <w:tblLayout w:type="fixed"/>
        <w:tblCellMar>
          <w:top w:w="0" w:type="dxa"/>
          <w:left w:w="108" w:type="dxa"/>
          <w:bottom w:w="0" w:type="dxa"/>
          <w:right w:w="108" w:type="dxa"/>
        </w:tblCellMar>
      </w:tblPr>
      <w:tblGrid>
        <w:gridCol w:w="827"/>
        <w:gridCol w:w="810"/>
        <w:gridCol w:w="780"/>
        <w:gridCol w:w="780"/>
        <w:gridCol w:w="416"/>
        <w:gridCol w:w="416"/>
        <w:gridCol w:w="416"/>
        <w:gridCol w:w="416"/>
        <w:gridCol w:w="416"/>
        <w:gridCol w:w="416"/>
        <w:gridCol w:w="416"/>
        <w:gridCol w:w="138"/>
        <w:gridCol w:w="280"/>
        <w:gridCol w:w="218"/>
        <w:gridCol w:w="397"/>
        <w:gridCol w:w="599"/>
        <w:gridCol w:w="236"/>
        <w:gridCol w:w="241"/>
        <w:gridCol w:w="477"/>
        <w:gridCol w:w="477"/>
        <w:gridCol w:w="477"/>
      </w:tblGrid>
      <w:tr>
        <w:tblPrEx>
          <w:tblCellMar>
            <w:top w:w="0" w:type="dxa"/>
            <w:left w:w="108" w:type="dxa"/>
            <w:bottom w:w="0" w:type="dxa"/>
            <w:right w:w="108" w:type="dxa"/>
          </w:tblCellMar>
        </w:tblPrEx>
        <w:trPr>
          <w:trHeight w:val="335" w:hRule="atLeast"/>
          <w:jc w:val="center"/>
        </w:trPr>
        <w:tc>
          <w:tcPr>
            <w:tcW w:w="827" w:type="dxa"/>
            <w:tcBorders>
              <w:bottom w:val="single" w:color="000000" w:sz="4" w:space="0"/>
            </w:tcBorders>
            <w:noWrap w:val="0"/>
            <w:vAlign w:val="top"/>
          </w:tcPr>
          <w:p>
            <w:pPr>
              <w:autoSpaceDN w:val="0"/>
              <w:jc w:val="left"/>
              <w:textAlignment w:val="center"/>
              <w:rPr>
                <w:rFonts w:eastAsia="华文细黑"/>
                <w:color w:val="000000"/>
                <w:sz w:val="20"/>
              </w:rPr>
            </w:pPr>
          </w:p>
        </w:tc>
        <w:tc>
          <w:tcPr>
            <w:tcW w:w="4450"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70"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996"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827" w:type="dxa"/>
            <w:vMerge w:val="restart"/>
            <w:tcBorders>
              <w:left w:val="single" w:color="000000" w:sz="4" w:space="0"/>
              <w:right w:val="single" w:color="000000" w:sz="4" w:space="0"/>
            </w:tcBorders>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pPr>
              <w:widowControl/>
              <w:jc w:val="left"/>
              <w:rPr>
                <w:rFonts w:hint="eastAsia" w:ascii="宋体" w:hAnsi="宋体" w:eastAsia="宋体" w:cs="宋体"/>
                <w:color w:val="000000"/>
                <w:sz w:val="20"/>
                <w:lang w:eastAsia="zh-CN"/>
              </w:rPr>
            </w:pPr>
            <w:r>
              <w:rPr>
                <w:rFonts w:hint="eastAsia" w:eastAsia="宋体"/>
                <w:color w:val="000000"/>
                <w:sz w:val="20"/>
                <w:shd w:val="clear" w:color="auto" w:fill="FFFFFF"/>
                <w:lang w:eastAsia="zh-CN"/>
              </w:rPr>
              <w:t>名称</w:t>
            </w:r>
          </w:p>
        </w:tc>
        <w:tc>
          <w:tcPr>
            <w:tcW w:w="81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890"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122"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827"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8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12"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416"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082"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1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954"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82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8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16"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16"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1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1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9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7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8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长岭县统计局</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220.71</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219.83</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219.83</w:t>
            </w:r>
          </w:p>
        </w:tc>
        <w:tc>
          <w:tcPr>
            <w:tcW w:w="4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0.88</w:t>
            </w:r>
          </w:p>
        </w:tc>
        <w:tc>
          <w:tcPr>
            <w:tcW w:w="59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0.88</w:t>
            </w: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9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9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9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8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220.71</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219.83</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219.83</w:t>
            </w:r>
          </w:p>
        </w:tc>
        <w:tc>
          <w:tcPr>
            <w:tcW w:w="41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61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0.88</w:t>
            </w:r>
          </w:p>
        </w:tc>
        <w:tc>
          <w:tcPr>
            <w:tcW w:w="59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0.88</w:t>
            </w:r>
          </w:p>
        </w:tc>
        <w:tc>
          <w:tcPr>
            <w:tcW w:w="4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982"/>
              <w:gridCol w:w="976"/>
              <w:gridCol w:w="854"/>
              <w:gridCol w:w="122"/>
              <w:gridCol w:w="976"/>
              <w:gridCol w:w="199"/>
              <w:gridCol w:w="777"/>
              <w:gridCol w:w="519"/>
              <w:gridCol w:w="457"/>
              <w:gridCol w:w="840"/>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3"/>
                  <w:tcBorders>
                    <w:bottom w:val="single" w:color="000000" w:sz="4" w:space="0"/>
                  </w:tcBorders>
                  <w:noWrap w:val="0"/>
                  <w:vAlign w:val="center"/>
                </w:tcPr>
                <w:p>
                  <w:pPr>
                    <w:widowControl/>
                    <w:jc w:val="left"/>
                    <w:rPr>
                      <w:rFonts w:eastAsia="华文细黑"/>
                      <w:color w:val="000000"/>
                      <w:kern w:val="0"/>
                      <w:sz w:val="20"/>
                    </w:rPr>
                  </w:pPr>
                </w:p>
              </w:tc>
              <w:tc>
                <w:tcPr>
                  <w:tcW w:w="1297" w:type="dxa"/>
                  <w:gridSpan w:val="3"/>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398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76"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83.05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83.05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24.01</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24.01</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专项普查活动</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59.04</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59.04</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12.11</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12.11</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行政事业单位医疗</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700" w:firstLineChars="350"/>
                    <w:jc w:val="left"/>
                    <w:rPr>
                      <w:rFonts w:eastAsia="宋体"/>
                      <w:color w:val="000000"/>
                      <w:kern w:val="0"/>
                      <w:sz w:val="20"/>
                    </w:rPr>
                  </w:pPr>
                  <w:r>
                    <w:rPr>
                      <w:rFonts w:hint="eastAsia" w:ascii="Times New Roman" w:hAnsi="Times New Roman" w:eastAsia="宋体" w:cs="Times New Roman"/>
                      <w:color w:val="000000"/>
                      <w:kern w:val="0"/>
                      <w:sz w:val="20"/>
                    </w:rPr>
                    <w:t>行政单位医疗</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四、</w:t>
                  </w:r>
                  <w:r>
                    <w:rPr>
                      <w:rFonts w:hint="eastAsia" w:ascii="Times New Roman" w:hAnsi="Times New Roman" w:eastAsia="宋体" w:cs="Times New Roman"/>
                      <w:color w:val="000000"/>
                      <w:kern w:val="0"/>
                      <w:sz w:val="20"/>
                    </w:rPr>
                    <w:t>住房保障支出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住房改革支出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220.71</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137.66</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83.05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95"/>
              <w:gridCol w:w="1108"/>
              <w:gridCol w:w="1108"/>
              <w:gridCol w:w="1109"/>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9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0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0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0.88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220.71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219.83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0.88</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186.35</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185.47</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r>
            <w:tr>
              <w:tblPrEx>
                <w:tblCellMar>
                  <w:top w:w="0" w:type="dxa"/>
                  <w:left w:w="108" w:type="dxa"/>
                  <w:bottom w:w="0" w:type="dxa"/>
                  <w:right w:w="108" w:type="dxa"/>
                </w:tblCellMar>
              </w:tblPrEx>
              <w:trPr>
                <w:trHeight w:val="40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kern w:val="0"/>
                      <w:sz w:val="20"/>
                      <w:lang w:eastAsia="zh-CN"/>
                    </w:rPr>
                    <w:t>社会保障和就业支出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20.11</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20.11</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3.93</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3.93</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（四）住房保障支出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10.32</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10.32</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220.71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219.83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0.88</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220.71</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219.83</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21.15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83.05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21.15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83.05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21.15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24.01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lang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59.04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left="698" w:leftChars="62" w:hanging="500" w:hangingChars="250"/>
                    <w:jc w:val="left"/>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700" w:firstLineChars="350"/>
                    <w:jc w:val="left"/>
                    <w:rPr>
                      <w:rFonts w:eastAsia="宋体"/>
                      <w:color w:val="000000"/>
                      <w:kern w:val="0"/>
                      <w:sz w:val="20"/>
                    </w:rPr>
                  </w:pPr>
                  <w:r>
                    <w:rPr>
                      <w:rFonts w:hint="eastAsia" w:ascii="Times New Roman" w:hAnsi="Times New Roman" w:eastAsia="宋体" w:cs="Times New Roman"/>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四、</w:t>
                  </w:r>
                  <w:r>
                    <w:rPr>
                      <w:rFonts w:hint="eastAsia" w:ascii="Times New Roman" w:hAnsi="Times New Roman" w:eastAsia="宋体" w:cs="Times New Roman"/>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116.51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21.15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83.05</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768"/>
        <w:gridCol w:w="1628"/>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768"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628"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768"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1628"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108.07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108.07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eastAsia="宋体"/>
                <w:color w:val="000000"/>
                <w:sz w:val="20"/>
              </w:rPr>
              <w:t>津贴补贴</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3.81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其他社会保障缴费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住房公积金</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kern w:val="0"/>
                <w:sz w:val="20"/>
              </w:rPr>
              <w:t>医疗费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kern w:val="0"/>
                <w:sz w:val="20"/>
              </w:rPr>
              <w:t>其他工资福利支出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eastAsia="宋体"/>
                <w:color w:val="000000"/>
                <w:kern w:val="0"/>
                <w:sz w:val="20"/>
                <w:lang w:val="en-US" w:eastAsia="zh-CN"/>
              </w:rPr>
              <w:t>二、</w:t>
            </w:r>
            <w:r>
              <w:rPr>
                <w:rFonts w:hint="eastAsia" w:eastAsia="宋体"/>
                <w:color w:val="000000"/>
                <w:kern w:val="0"/>
                <w:sz w:val="20"/>
              </w:rPr>
              <w:t>商品和服务支出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20.15</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办公费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1.44</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印刷费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0.40</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邮电费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0.20</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差旅费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3.56</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会议费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0.20</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培训费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2.98</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工会经费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1.19</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福利费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3.76</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其他交通费用</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5.40</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kern w:val="0"/>
                <w:sz w:val="20"/>
              </w:rPr>
              <w:t>其他商品和服务支出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1.02</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eastAsia="宋体"/>
                <w:color w:val="000000"/>
                <w:kern w:val="0"/>
                <w:sz w:val="20"/>
                <w:lang w:val="en-US" w:eastAsia="zh-CN"/>
              </w:rPr>
              <w:t>三、</w:t>
            </w:r>
            <w:r>
              <w:rPr>
                <w:rFonts w:hint="eastAsia" w:eastAsia="宋体"/>
                <w:color w:val="000000"/>
                <w:kern w:val="0"/>
                <w:sz w:val="20"/>
              </w:rPr>
              <w:t>对个人和家庭的补助</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hint="eastAsia" w:eastAsia="宋体"/>
                <w:color w:val="000000"/>
                <w:kern w:val="0"/>
                <w:sz w:val="20"/>
                <w:lang w:val="en-US" w:eastAsia="zh-CN"/>
              </w:rPr>
              <w:t>　  退休费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kern w:val="0"/>
                <w:sz w:val="20"/>
                <w:lang w:val="en-US" w:eastAsia="zh-CN"/>
              </w:rPr>
              <w:t>其他对个人和家庭的补助</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hint="eastAsia" w:eastAsia="宋体"/>
                <w:color w:val="000000"/>
                <w:kern w:val="0"/>
                <w:sz w:val="20"/>
                <w:lang w:val="en-US" w:eastAsia="zh-CN"/>
              </w:rPr>
              <w:t>四、资本性支出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hint="eastAsia" w:eastAsia="宋体"/>
                <w:color w:val="000000"/>
                <w:kern w:val="0"/>
                <w:sz w:val="20"/>
                <w:lang w:val="en-US" w:eastAsia="zh-CN"/>
              </w:rPr>
              <w:t>　  办公设备购置</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r>
    </w:tbl>
    <w:p>
      <w:pPr>
        <w:rPr>
          <w:sz w:val="16"/>
          <w:szCs w:val="16"/>
        </w:rPr>
      </w:pPr>
    </w:p>
    <w:p>
      <w:pPr>
        <w:rPr>
          <w:sz w:val="16"/>
          <w:szCs w:val="16"/>
        </w:rPr>
      </w:pPr>
    </w:p>
    <w:p>
      <w:pPr>
        <w:rPr>
          <w:sz w:val="16"/>
          <w:szCs w:val="16"/>
        </w:rPr>
      </w:pPr>
    </w:p>
    <w:p>
      <w:pPr>
        <w:ind w:firstLine="636"/>
        <w:rPr>
          <w:rFonts w:hAnsi="楷体" w:eastAsia="楷体"/>
        </w:rPr>
      </w:pPr>
    </w:p>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的单位范围包括部门本级及所属</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color w:val="000000"/>
                <w:kern w:val="0"/>
                <w:sz w:val="28"/>
                <w:szCs w:val="28"/>
                <w:lang w:val="en-US" w:eastAsia="zh-CN"/>
              </w:rPr>
              <w:t>15</w:t>
            </w:r>
            <w:bookmarkStart w:id="0" w:name="_GoBack"/>
            <w:bookmarkEnd w:id="0"/>
            <w:r>
              <w:rPr>
                <w:color w:val="000000"/>
                <w:kern w:val="0"/>
                <w:sz w:val="28"/>
                <w:szCs w:val="28"/>
              </w:rPr>
              <w:t>人，其中：在职人员</w:t>
            </w:r>
            <w:r>
              <w:rPr>
                <w:rFonts w:hint="eastAsia"/>
                <w:color w:val="000000"/>
                <w:kern w:val="0"/>
                <w:sz w:val="28"/>
                <w:szCs w:val="28"/>
                <w:lang w:val="en-US" w:eastAsia="zh-CN"/>
              </w:rPr>
              <w:t>8</w:t>
            </w:r>
            <w:r>
              <w:rPr>
                <w:color w:val="000000"/>
                <w:kern w:val="0"/>
                <w:sz w:val="28"/>
                <w:szCs w:val="28"/>
              </w:rPr>
              <w:t>人，离退休人员</w:t>
            </w:r>
            <w:r>
              <w:rPr>
                <w:rFonts w:hint="eastAsia"/>
                <w:color w:val="000000"/>
                <w:kern w:val="0"/>
                <w:sz w:val="28"/>
                <w:szCs w:val="28"/>
                <w:lang w:val="en-US" w:eastAsia="zh-CN"/>
              </w:rPr>
              <w:t>7</w:t>
            </w:r>
            <w:r>
              <w:rPr>
                <w:color w:val="000000"/>
                <w:kern w:val="0"/>
                <w:sz w:val="28"/>
                <w:szCs w:val="28"/>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int="eastAsia" w:eastAsia="楷体"/>
          <w:kern w:val="0"/>
          <w:szCs w:val="32"/>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1222"/>
        <w:gridCol w:w="1125"/>
        <w:gridCol w:w="450"/>
        <w:gridCol w:w="450"/>
        <w:gridCol w:w="450"/>
        <w:gridCol w:w="390"/>
        <w:gridCol w:w="420"/>
        <w:gridCol w:w="360"/>
        <w:gridCol w:w="345"/>
        <w:gridCol w:w="375"/>
        <w:gridCol w:w="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2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6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8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单位名称</w:t>
            </w:r>
          </w:p>
        </w:tc>
        <w:tc>
          <w:tcPr>
            <w:tcW w:w="122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86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88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122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202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5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9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12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60"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1222" w:type="dxa"/>
            <w:vMerge w:val="continue"/>
            <w:noWrap w:val="0"/>
            <w:vAlign w:val="center"/>
          </w:tcPr>
          <w:p>
            <w:pPr>
              <w:autoSpaceDN w:val="0"/>
              <w:jc w:val="center"/>
              <w:textAlignment w:val="center"/>
              <w:rPr>
                <w:rFonts w:ascii="Calibri" w:hAnsi="Calibri" w:eastAsia="华文细黑"/>
                <w:color w:val="000000"/>
                <w:sz w:val="20"/>
                <w:szCs w:val="22"/>
              </w:rPr>
            </w:pPr>
          </w:p>
        </w:tc>
        <w:tc>
          <w:tcPr>
            <w:tcW w:w="112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9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6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4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7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85"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专项业务支出</w:t>
            </w: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1222"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83.05</w:t>
            </w:r>
          </w:p>
        </w:tc>
        <w:tc>
          <w:tcPr>
            <w:tcW w:w="1125"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83.05</w:t>
            </w: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390" w:type="dxa"/>
            <w:noWrap w:val="0"/>
            <w:vAlign w:val="center"/>
          </w:tcPr>
          <w:p>
            <w:pPr>
              <w:spacing w:line="240" w:lineRule="auto"/>
              <w:jc w:val="center"/>
              <w:rPr>
                <w:rFonts w:hint="eastAsia" w:ascii="楷体" w:hAnsi="楷体" w:eastAsia="楷体" w:cs="楷体"/>
                <w:kern w:val="0"/>
                <w:sz w:val="20"/>
                <w:szCs w:val="20"/>
              </w:rPr>
            </w:pPr>
          </w:p>
        </w:tc>
        <w:tc>
          <w:tcPr>
            <w:tcW w:w="420" w:type="dxa"/>
            <w:noWrap w:val="0"/>
            <w:vAlign w:val="center"/>
          </w:tcPr>
          <w:p>
            <w:pPr>
              <w:spacing w:line="240" w:lineRule="auto"/>
              <w:jc w:val="center"/>
              <w:rPr>
                <w:rFonts w:hint="eastAsia" w:ascii="楷体" w:hAnsi="楷体" w:eastAsia="楷体" w:cs="楷体"/>
                <w:kern w:val="0"/>
                <w:sz w:val="20"/>
                <w:szCs w:val="20"/>
              </w:rPr>
            </w:pPr>
          </w:p>
        </w:tc>
        <w:tc>
          <w:tcPr>
            <w:tcW w:w="360" w:type="dxa"/>
            <w:noWrap w:val="0"/>
            <w:vAlign w:val="center"/>
          </w:tcPr>
          <w:p>
            <w:pPr>
              <w:spacing w:line="240" w:lineRule="auto"/>
              <w:jc w:val="center"/>
              <w:rPr>
                <w:rFonts w:hint="eastAsia" w:ascii="楷体" w:hAnsi="楷体" w:eastAsia="楷体" w:cs="楷体"/>
                <w:kern w:val="0"/>
                <w:sz w:val="20"/>
                <w:szCs w:val="20"/>
              </w:rPr>
            </w:pPr>
          </w:p>
        </w:tc>
        <w:tc>
          <w:tcPr>
            <w:tcW w:w="345" w:type="dxa"/>
            <w:noWrap w:val="0"/>
            <w:vAlign w:val="center"/>
          </w:tcPr>
          <w:p>
            <w:pPr>
              <w:spacing w:line="240" w:lineRule="auto"/>
              <w:jc w:val="center"/>
              <w:rPr>
                <w:rFonts w:hint="eastAsia" w:ascii="楷体" w:hAnsi="楷体" w:eastAsia="楷体" w:cs="楷体"/>
                <w:kern w:val="0"/>
                <w:sz w:val="20"/>
                <w:szCs w:val="20"/>
              </w:rPr>
            </w:pPr>
          </w:p>
        </w:tc>
        <w:tc>
          <w:tcPr>
            <w:tcW w:w="375" w:type="dxa"/>
            <w:noWrap w:val="0"/>
            <w:vAlign w:val="center"/>
          </w:tcPr>
          <w:p>
            <w:pPr>
              <w:spacing w:line="240" w:lineRule="auto"/>
              <w:jc w:val="center"/>
              <w:rPr>
                <w:rFonts w:hint="eastAsia" w:ascii="楷体" w:hAnsi="楷体" w:eastAsia="楷体" w:cs="楷体"/>
                <w:kern w:val="0"/>
                <w:sz w:val="20"/>
                <w:szCs w:val="20"/>
              </w:rPr>
            </w:pPr>
          </w:p>
        </w:tc>
        <w:tc>
          <w:tcPr>
            <w:tcW w:w="385" w:type="dxa"/>
            <w:noWrap w:val="0"/>
            <w:vAlign w:val="center"/>
          </w:tcPr>
          <w:p>
            <w:pPr>
              <w:spacing w:line="240" w:lineRule="auto"/>
              <w:jc w:val="center"/>
              <w:rPr>
                <w:rFonts w:hint="eastAsia" w:ascii="楷体" w:hAnsi="楷体" w:eastAsia="楷体" w:cs="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p>
        </w:tc>
        <w:tc>
          <w:tcPr>
            <w:tcW w:w="78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专项普查活动</w:t>
            </w: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1222"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59.04</w:t>
            </w:r>
          </w:p>
        </w:tc>
        <w:tc>
          <w:tcPr>
            <w:tcW w:w="1125"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59.04</w:t>
            </w: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390" w:type="dxa"/>
            <w:noWrap w:val="0"/>
            <w:vAlign w:val="center"/>
          </w:tcPr>
          <w:p>
            <w:pPr>
              <w:spacing w:line="240" w:lineRule="auto"/>
              <w:jc w:val="center"/>
              <w:rPr>
                <w:rFonts w:hint="eastAsia" w:ascii="楷体" w:hAnsi="楷体" w:eastAsia="楷体" w:cs="楷体"/>
                <w:kern w:val="0"/>
                <w:sz w:val="20"/>
                <w:szCs w:val="20"/>
              </w:rPr>
            </w:pPr>
          </w:p>
        </w:tc>
        <w:tc>
          <w:tcPr>
            <w:tcW w:w="420" w:type="dxa"/>
            <w:noWrap w:val="0"/>
            <w:vAlign w:val="center"/>
          </w:tcPr>
          <w:p>
            <w:pPr>
              <w:spacing w:line="240" w:lineRule="auto"/>
              <w:jc w:val="center"/>
              <w:rPr>
                <w:rFonts w:hint="eastAsia" w:ascii="楷体" w:hAnsi="楷体" w:eastAsia="楷体" w:cs="楷体"/>
                <w:kern w:val="0"/>
                <w:sz w:val="20"/>
                <w:szCs w:val="20"/>
              </w:rPr>
            </w:pPr>
          </w:p>
        </w:tc>
        <w:tc>
          <w:tcPr>
            <w:tcW w:w="360" w:type="dxa"/>
            <w:noWrap w:val="0"/>
            <w:vAlign w:val="center"/>
          </w:tcPr>
          <w:p>
            <w:pPr>
              <w:spacing w:line="240" w:lineRule="auto"/>
              <w:jc w:val="center"/>
              <w:rPr>
                <w:rFonts w:hint="eastAsia" w:ascii="楷体" w:hAnsi="楷体" w:eastAsia="楷体" w:cs="楷体"/>
                <w:kern w:val="0"/>
                <w:sz w:val="20"/>
                <w:szCs w:val="20"/>
              </w:rPr>
            </w:pPr>
          </w:p>
        </w:tc>
        <w:tc>
          <w:tcPr>
            <w:tcW w:w="345" w:type="dxa"/>
            <w:noWrap w:val="0"/>
            <w:vAlign w:val="center"/>
          </w:tcPr>
          <w:p>
            <w:pPr>
              <w:spacing w:line="240" w:lineRule="auto"/>
              <w:jc w:val="center"/>
              <w:rPr>
                <w:rFonts w:hint="eastAsia" w:ascii="楷体" w:hAnsi="楷体" w:eastAsia="楷体" w:cs="楷体"/>
                <w:kern w:val="0"/>
                <w:sz w:val="20"/>
                <w:szCs w:val="20"/>
              </w:rPr>
            </w:pPr>
          </w:p>
        </w:tc>
        <w:tc>
          <w:tcPr>
            <w:tcW w:w="375" w:type="dxa"/>
            <w:noWrap w:val="0"/>
            <w:vAlign w:val="center"/>
          </w:tcPr>
          <w:p>
            <w:pPr>
              <w:spacing w:line="240" w:lineRule="auto"/>
              <w:jc w:val="center"/>
              <w:rPr>
                <w:rFonts w:hint="eastAsia" w:ascii="楷体" w:hAnsi="楷体" w:eastAsia="楷体" w:cs="楷体"/>
                <w:kern w:val="0"/>
                <w:sz w:val="20"/>
                <w:szCs w:val="20"/>
              </w:rPr>
            </w:pPr>
          </w:p>
        </w:tc>
        <w:tc>
          <w:tcPr>
            <w:tcW w:w="385" w:type="dxa"/>
            <w:noWrap w:val="0"/>
            <w:vAlign w:val="center"/>
          </w:tcPr>
          <w:p>
            <w:pPr>
              <w:spacing w:line="240" w:lineRule="auto"/>
              <w:jc w:val="center"/>
              <w:rPr>
                <w:rFonts w:hint="eastAsia" w:ascii="楷体" w:hAnsi="楷体" w:eastAsia="楷体" w:cs="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第五次全国经济普查经费</w:t>
            </w:r>
          </w:p>
        </w:tc>
        <w:tc>
          <w:tcPr>
            <w:tcW w:w="62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长岭县统计局</w:t>
            </w:r>
          </w:p>
        </w:tc>
        <w:tc>
          <w:tcPr>
            <w:tcW w:w="1222"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59.04</w:t>
            </w:r>
          </w:p>
        </w:tc>
        <w:tc>
          <w:tcPr>
            <w:tcW w:w="1125"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59.04</w:t>
            </w: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390" w:type="dxa"/>
            <w:noWrap w:val="0"/>
            <w:vAlign w:val="center"/>
          </w:tcPr>
          <w:p>
            <w:pPr>
              <w:spacing w:line="240" w:lineRule="auto"/>
              <w:jc w:val="center"/>
              <w:rPr>
                <w:rFonts w:hint="eastAsia" w:ascii="楷体" w:hAnsi="楷体" w:eastAsia="楷体" w:cs="楷体"/>
                <w:kern w:val="0"/>
                <w:sz w:val="20"/>
                <w:szCs w:val="20"/>
              </w:rPr>
            </w:pPr>
          </w:p>
        </w:tc>
        <w:tc>
          <w:tcPr>
            <w:tcW w:w="420" w:type="dxa"/>
            <w:noWrap w:val="0"/>
            <w:vAlign w:val="center"/>
          </w:tcPr>
          <w:p>
            <w:pPr>
              <w:spacing w:line="240" w:lineRule="auto"/>
              <w:jc w:val="center"/>
              <w:rPr>
                <w:rFonts w:hint="eastAsia" w:ascii="楷体" w:hAnsi="楷体" w:eastAsia="楷体" w:cs="楷体"/>
                <w:kern w:val="0"/>
                <w:sz w:val="20"/>
                <w:szCs w:val="20"/>
              </w:rPr>
            </w:pPr>
          </w:p>
        </w:tc>
        <w:tc>
          <w:tcPr>
            <w:tcW w:w="360" w:type="dxa"/>
            <w:noWrap w:val="0"/>
            <w:vAlign w:val="center"/>
          </w:tcPr>
          <w:p>
            <w:pPr>
              <w:spacing w:line="240" w:lineRule="auto"/>
              <w:jc w:val="center"/>
              <w:rPr>
                <w:rFonts w:hint="eastAsia" w:ascii="楷体" w:hAnsi="楷体" w:eastAsia="楷体" w:cs="楷体"/>
                <w:kern w:val="0"/>
                <w:sz w:val="20"/>
                <w:szCs w:val="20"/>
              </w:rPr>
            </w:pPr>
          </w:p>
        </w:tc>
        <w:tc>
          <w:tcPr>
            <w:tcW w:w="345" w:type="dxa"/>
            <w:noWrap w:val="0"/>
            <w:vAlign w:val="center"/>
          </w:tcPr>
          <w:p>
            <w:pPr>
              <w:spacing w:line="240" w:lineRule="auto"/>
              <w:jc w:val="center"/>
              <w:rPr>
                <w:rFonts w:hint="eastAsia" w:ascii="楷体" w:hAnsi="楷体" w:eastAsia="楷体" w:cs="楷体"/>
                <w:kern w:val="0"/>
                <w:sz w:val="20"/>
                <w:szCs w:val="20"/>
              </w:rPr>
            </w:pPr>
          </w:p>
        </w:tc>
        <w:tc>
          <w:tcPr>
            <w:tcW w:w="375" w:type="dxa"/>
            <w:noWrap w:val="0"/>
            <w:vAlign w:val="center"/>
          </w:tcPr>
          <w:p>
            <w:pPr>
              <w:spacing w:line="240" w:lineRule="auto"/>
              <w:jc w:val="center"/>
              <w:rPr>
                <w:rFonts w:hint="eastAsia" w:ascii="楷体" w:hAnsi="楷体" w:eastAsia="楷体" w:cs="楷体"/>
                <w:kern w:val="0"/>
                <w:sz w:val="20"/>
                <w:szCs w:val="20"/>
              </w:rPr>
            </w:pPr>
          </w:p>
        </w:tc>
        <w:tc>
          <w:tcPr>
            <w:tcW w:w="385" w:type="dxa"/>
            <w:noWrap w:val="0"/>
            <w:vAlign w:val="center"/>
          </w:tcPr>
          <w:p>
            <w:pPr>
              <w:spacing w:line="240" w:lineRule="auto"/>
              <w:jc w:val="center"/>
              <w:rPr>
                <w:rFonts w:hint="eastAsia" w:ascii="楷体" w:hAnsi="楷体" w:eastAsia="楷体" w:cs="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p>
        </w:tc>
        <w:tc>
          <w:tcPr>
            <w:tcW w:w="78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专项统计业务</w:t>
            </w: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1222"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24.01</w:t>
            </w:r>
          </w:p>
        </w:tc>
        <w:tc>
          <w:tcPr>
            <w:tcW w:w="1125"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24.01</w:t>
            </w: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390" w:type="dxa"/>
            <w:noWrap w:val="0"/>
            <w:vAlign w:val="center"/>
          </w:tcPr>
          <w:p>
            <w:pPr>
              <w:spacing w:line="240" w:lineRule="auto"/>
              <w:jc w:val="center"/>
              <w:rPr>
                <w:rFonts w:hint="eastAsia" w:ascii="楷体" w:hAnsi="楷体" w:eastAsia="楷体" w:cs="楷体"/>
                <w:kern w:val="0"/>
                <w:sz w:val="20"/>
                <w:szCs w:val="20"/>
              </w:rPr>
            </w:pPr>
          </w:p>
        </w:tc>
        <w:tc>
          <w:tcPr>
            <w:tcW w:w="420" w:type="dxa"/>
            <w:noWrap w:val="0"/>
            <w:vAlign w:val="center"/>
          </w:tcPr>
          <w:p>
            <w:pPr>
              <w:spacing w:line="240" w:lineRule="auto"/>
              <w:jc w:val="center"/>
              <w:rPr>
                <w:rFonts w:hint="eastAsia" w:ascii="楷体" w:hAnsi="楷体" w:eastAsia="楷体" w:cs="楷体"/>
                <w:kern w:val="0"/>
                <w:sz w:val="20"/>
                <w:szCs w:val="20"/>
              </w:rPr>
            </w:pPr>
          </w:p>
        </w:tc>
        <w:tc>
          <w:tcPr>
            <w:tcW w:w="360" w:type="dxa"/>
            <w:noWrap w:val="0"/>
            <w:vAlign w:val="center"/>
          </w:tcPr>
          <w:p>
            <w:pPr>
              <w:spacing w:line="240" w:lineRule="auto"/>
              <w:jc w:val="center"/>
              <w:rPr>
                <w:rFonts w:hint="eastAsia" w:ascii="楷体" w:hAnsi="楷体" w:eastAsia="楷体" w:cs="楷体"/>
                <w:kern w:val="0"/>
                <w:sz w:val="20"/>
                <w:szCs w:val="20"/>
              </w:rPr>
            </w:pPr>
          </w:p>
        </w:tc>
        <w:tc>
          <w:tcPr>
            <w:tcW w:w="345" w:type="dxa"/>
            <w:noWrap w:val="0"/>
            <w:vAlign w:val="center"/>
          </w:tcPr>
          <w:p>
            <w:pPr>
              <w:spacing w:line="240" w:lineRule="auto"/>
              <w:jc w:val="center"/>
              <w:rPr>
                <w:rFonts w:hint="eastAsia" w:ascii="楷体" w:hAnsi="楷体" w:eastAsia="楷体" w:cs="楷体"/>
                <w:kern w:val="0"/>
                <w:sz w:val="20"/>
                <w:szCs w:val="20"/>
              </w:rPr>
            </w:pPr>
          </w:p>
        </w:tc>
        <w:tc>
          <w:tcPr>
            <w:tcW w:w="375" w:type="dxa"/>
            <w:noWrap w:val="0"/>
            <w:vAlign w:val="center"/>
          </w:tcPr>
          <w:p>
            <w:pPr>
              <w:spacing w:line="240" w:lineRule="auto"/>
              <w:jc w:val="center"/>
              <w:rPr>
                <w:rFonts w:hint="eastAsia" w:ascii="楷体" w:hAnsi="楷体" w:eastAsia="楷体" w:cs="楷体"/>
                <w:kern w:val="0"/>
                <w:sz w:val="20"/>
                <w:szCs w:val="20"/>
              </w:rPr>
            </w:pPr>
          </w:p>
        </w:tc>
        <w:tc>
          <w:tcPr>
            <w:tcW w:w="385" w:type="dxa"/>
            <w:noWrap w:val="0"/>
            <w:vAlign w:val="center"/>
          </w:tcPr>
          <w:p>
            <w:pPr>
              <w:spacing w:line="240" w:lineRule="auto"/>
              <w:jc w:val="center"/>
              <w:rPr>
                <w:rFonts w:hint="eastAsia" w:ascii="楷体" w:hAnsi="楷体" w:eastAsia="楷体" w:cs="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统计调查经费</w:t>
            </w:r>
          </w:p>
        </w:tc>
        <w:tc>
          <w:tcPr>
            <w:tcW w:w="62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长岭县统计局</w:t>
            </w:r>
          </w:p>
        </w:tc>
        <w:tc>
          <w:tcPr>
            <w:tcW w:w="1222"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24.01</w:t>
            </w:r>
          </w:p>
        </w:tc>
        <w:tc>
          <w:tcPr>
            <w:tcW w:w="1125"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24.01</w:t>
            </w: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390" w:type="dxa"/>
            <w:noWrap w:val="0"/>
            <w:vAlign w:val="center"/>
          </w:tcPr>
          <w:p>
            <w:pPr>
              <w:spacing w:line="240" w:lineRule="auto"/>
              <w:jc w:val="center"/>
              <w:rPr>
                <w:rFonts w:hint="eastAsia" w:ascii="楷体" w:hAnsi="楷体" w:eastAsia="楷体" w:cs="楷体"/>
                <w:kern w:val="0"/>
                <w:sz w:val="20"/>
                <w:szCs w:val="20"/>
              </w:rPr>
            </w:pPr>
          </w:p>
        </w:tc>
        <w:tc>
          <w:tcPr>
            <w:tcW w:w="420" w:type="dxa"/>
            <w:noWrap w:val="0"/>
            <w:vAlign w:val="center"/>
          </w:tcPr>
          <w:p>
            <w:pPr>
              <w:spacing w:line="240" w:lineRule="auto"/>
              <w:jc w:val="center"/>
              <w:rPr>
                <w:rFonts w:hint="eastAsia" w:ascii="楷体" w:hAnsi="楷体" w:eastAsia="楷体" w:cs="楷体"/>
                <w:kern w:val="0"/>
                <w:sz w:val="20"/>
                <w:szCs w:val="20"/>
              </w:rPr>
            </w:pPr>
          </w:p>
        </w:tc>
        <w:tc>
          <w:tcPr>
            <w:tcW w:w="360" w:type="dxa"/>
            <w:noWrap w:val="0"/>
            <w:vAlign w:val="center"/>
          </w:tcPr>
          <w:p>
            <w:pPr>
              <w:spacing w:line="240" w:lineRule="auto"/>
              <w:jc w:val="center"/>
              <w:rPr>
                <w:rFonts w:hint="eastAsia" w:ascii="楷体" w:hAnsi="楷体" w:eastAsia="楷体" w:cs="楷体"/>
                <w:kern w:val="0"/>
                <w:sz w:val="20"/>
                <w:szCs w:val="20"/>
              </w:rPr>
            </w:pPr>
          </w:p>
        </w:tc>
        <w:tc>
          <w:tcPr>
            <w:tcW w:w="345" w:type="dxa"/>
            <w:noWrap w:val="0"/>
            <w:vAlign w:val="center"/>
          </w:tcPr>
          <w:p>
            <w:pPr>
              <w:spacing w:line="240" w:lineRule="auto"/>
              <w:jc w:val="center"/>
              <w:rPr>
                <w:rFonts w:hint="eastAsia" w:ascii="楷体" w:hAnsi="楷体" w:eastAsia="楷体" w:cs="楷体"/>
                <w:kern w:val="0"/>
                <w:sz w:val="20"/>
                <w:szCs w:val="20"/>
              </w:rPr>
            </w:pPr>
          </w:p>
        </w:tc>
        <w:tc>
          <w:tcPr>
            <w:tcW w:w="375" w:type="dxa"/>
            <w:noWrap w:val="0"/>
            <w:vAlign w:val="center"/>
          </w:tcPr>
          <w:p>
            <w:pPr>
              <w:spacing w:line="240" w:lineRule="auto"/>
              <w:jc w:val="center"/>
              <w:rPr>
                <w:rFonts w:hint="eastAsia" w:ascii="楷体" w:hAnsi="楷体" w:eastAsia="楷体" w:cs="楷体"/>
                <w:kern w:val="0"/>
                <w:sz w:val="20"/>
                <w:szCs w:val="20"/>
              </w:rPr>
            </w:pPr>
          </w:p>
        </w:tc>
        <w:tc>
          <w:tcPr>
            <w:tcW w:w="385" w:type="dxa"/>
            <w:noWrap w:val="0"/>
            <w:vAlign w:val="center"/>
          </w:tcPr>
          <w:p>
            <w:pPr>
              <w:spacing w:line="240" w:lineRule="auto"/>
              <w:jc w:val="center"/>
              <w:rPr>
                <w:rFonts w:hint="eastAsia" w:ascii="楷体" w:hAnsi="楷体" w:eastAsia="楷体" w:cs="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1222"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83.05</w:t>
            </w:r>
          </w:p>
        </w:tc>
        <w:tc>
          <w:tcPr>
            <w:tcW w:w="1125" w:type="dxa"/>
            <w:noWrap w:val="0"/>
            <w:vAlign w:val="center"/>
          </w:tcPr>
          <w:p>
            <w:pPr>
              <w:widowControl/>
              <w:jc w:val="right"/>
              <w:rPr>
                <w:rFonts w:hint="default" w:eastAsia="宋体" w:cs="Times New Roman"/>
                <w:color w:val="000000"/>
                <w:kern w:val="0"/>
                <w:sz w:val="20"/>
                <w:lang w:val="en-US" w:eastAsia="zh-CN"/>
              </w:rPr>
            </w:pPr>
            <w:r>
              <w:rPr>
                <w:rFonts w:hint="eastAsia" w:eastAsia="宋体" w:cs="Times New Roman"/>
                <w:color w:val="000000"/>
                <w:kern w:val="0"/>
                <w:sz w:val="20"/>
                <w:lang w:val="en-US" w:eastAsia="zh-CN"/>
              </w:rPr>
              <w:t>83.05</w:t>
            </w: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450" w:type="dxa"/>
            <w:noWrap w:val="0"/>
            <w:vAlign w:val="center"/>
          </w:tcPr>
          <w:p>
            <w:pPr>
              <w:spacing w:line="240" w:lineRule="auto"/>
              <w:jc w:val="center"/>
              <w:rPr>
                <w:rFonts w:hint="eastAsia" w:ascii="楷体" w:hAnsi="楷体" w:eastAsia="楷体" w:cs="楷体"/>
                <w:kern w:val="0"/>
                <w:sz w:val="20"/>
                <w:szCs w:val="20"/>
              </w:rPr>
            </w:pPr>
          </w:p>
        </w:tc>
        <w:tc>
          <w:tcPr>
            <w:tcW w:w="390" w:type="dxa"/>
            <w:noWrap w:val="0"/>
            <w:vAlign w:val="center"/>
          </w:tcPr>
          <w:p>
            <w:pPr>
              <w:spacing w:line="240" w:lineRule="auto"/>
              <w:jc w:val="center"/>
              <w:rPr>
                <w:rFonts w:hint="eastAsia" w:ascii="楷体" w:hAnsi="楷体" w:eastAsia="楷体" w:cs="楷体"/>
                <w:kern w:val="0"/>
                <w:sz w:val="20"/>
                <w:szCs w:val="20"/>
              </w:rPr>
            </w:pPr>
          </w:p>
        </w:tc>
        <w:tc>
          <w:tcPr>
            <w:tcW w:w="420" w:type="dxa"/>
            <w:noWrap w:val="0"/>
            <w:vAlign w:val="center"/>
          </w:tcPr>
          <w:p>
            <w:pPr>
              <w:spacing w:line="240" w:lineRule="auto"/>
              <w:jc w:val="center"/>
              <w:rPr>
                <w:rFonts w:hint="eastAsia" w:ascii="楷体" w:hAnsi="楷体" w:eastAsia="楷体" w:cs="楷体"/>
                <w:kern w:val="0"/>
                <w:sz w:val="20"/>
                <w:szCs w:val="20"/>
              </w:rPr>
            </w:pPr>
          </w:p>
        </w:tc>
        <w:tc>
          <w:tcPr>
            <w:tcW w:w="360" w:type="dxa"/>
            <w:noWrap w:val="0"/>
            <w:vAlign w:val="center"/>
          </w:tcPr>
          <w:p>
            <w:pPr>
              <w:spacing w:line="240" w:lineRule="auto"/>
              <w:jc w:val="center"/>
              <w:rPr>
                <w:rFonts w:hint="eastAsia" w:ascii="楷体" w:hAnsi="楷体" w:eastAsia="楷体" w:cs="楷体"/>
                <w:kern w:val="0"/>
                <w:sz w:val="20"/>
                <w:szCs w:val="20"/>
              </w:rPr>
            </w:pPr>
          </w:p>
        </w:tc>
        <w:tc>
          <w:tcPr>
            <w:tcW w:w="345" w:type="dxa"/>
            <w:noWrap w:val="0"/>
            <w:vAlign w:val="center"/>
          </w:tcPr>
          <w:p>
            <w:pPr>
              <w:spacing w:line="240" w:lineRule="auto"/>
              <w:jc w:val="center"/>
              <w:rPr>
                <w:rFonts w:hint="eastAsia" w:ascii="楷体" w:hAnsi="楷体" w:eastAsia="楷体" w:cs="楷体"/>
                <w:kern w:val="0"/>
                <w:sz w:val="20"/>
                <w:szCs w:val="20"/>
              </w:rPr>
            </w:pPr>
          </w:p>
        </w:tc>
        <w:tc>
          <w:tcPr>
            <w:tcW w:w="375" w:type="dxa"/>
            <w:noWrap w:val="0"/>
            <w:vAlign w:val="center"/>
          </w:tcPr>
          <w:p>
            <w:pPr>
              <w:spacing w:line="240" w:lineRule="auto"/>
              <w:jc w:val="center"/>
              <w:rPr>
                <w:rFonts w:hint="eastAsia" w:ascii="楷体" w:hAnsi="楷体" w:eastAsia="楷体" w:cs="楷体"/>
                <w:kern w:val="0"/>
                <w:sz w:val="20"/>
                <w:szCs w:val="20"/>
              </w:rPr>
            </w:pPr>
          </w:p>
        </w:tc>
        <w:tc>
          <w:tcPr>
            <w:tcW w:w="385" w:type="dxa"/>
            <w:noWrap w:val="0"/>
            <w:vAlign w:val="center"/>
          </w:tcPr>
          <w:p>
            <w:pPr>
              <w:spacing w:line="240" w:lineRule="auto"/>
              <w:jc w:val="center"/>
              <w:rPr>
                <w:rFonts w:hint="eastAsia" w:ascii="楷体" w:hAnsi="楷体" w:eastAsia="楷体" w:cs="楷体"/>
                <w:kern w:val="0"/>
                <w:sz w:val="20"/>
                <w:szCs w:val="20"/>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tabs>
                <w:tab w:val="center" w:pos="800"/>
              </w:tabs>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hint="eastAsia" w:eastAsia="楷体"/>
          <w:kern w:val="0"/>
          <w:szCs w:val="32"/>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65"/>
        <w:gridCol w:w="1111"/>
        <w:gridCol w:w="778"/>
        <w:gridCol w:w="751"/>
        <w:gridCol w:w="675"/>
        <w:gridCol w:w="1260"/>
        <w:gridCol w:w="870"/>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143027004-长岭县统计局</w:t>
            </w:r>
          </w:p>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经费</w:t>
            </w:r>
          </w:p>
        </w:tc>
        <w:tc>
          <w:tcPr>
            <w:tcW w:w="9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24.01</w:t>
            </w:r>
          </w:p>
        </w:tc>
        <w:tc>
          <w:tcPr>
            <w:tcW w:w="111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2024年：按时完成四上专业年报和定报培训；完成统计月报的印制；完成统计年鉴的印制；完成统计专业数据核查等工作，提升统计数据质量。</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5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400元</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675"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单册年鉴出版成本</w:t>
            </w:r>
          </w:p>
        </w:tc>
        <w:tc>
          <w:tcPr>
            <w:tcW w:w="126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反映编制单册年鉴的成本情况。</w:t>
            </w:r>
          </w:p>
        </w:tc>
        <w:tc>
          <w:tcPr>
            <w:tcW w:w="87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260元</w:t>
            </w:r>
          </w:p>
        </w:tc>
        <w:tc>
          <w:tcPr>
            <w:tcW w:w="455" w:type="dxa"/>
            <w:tcBorders>
              <w:top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51"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12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反映年鉴印刷册数情况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eastAsia" w:ascii="华文细黑" w:hAnsi="华文细黑" w:eastAsia="华文细黑" w:cs="华文细黑"/>
                <w:kern w:val="0"/>
                <w:sz w:val="20"/>
                <w:szCs w:val="20"/>
                <w:vertAlign w:val="baseline"/>
              </w:rPr>
              <w:t>150册</w:t>
            </w:r>
          </w:p>
        </w:tc>
        <w:tc>
          <w:tcPr>
            <w:tcW w:w="45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p>
            <w:pPr>
              <w:spacing w:line="240" w:lineRule="auto"/>
              <w:jc w:val="center"/>
              <w:rPr>
                <w:rFonts w:hint="eastAsia" w:ascii="华文细黑" w:hAnsi="华文细黑" w:eastAsia="华文细黑" w:cs="华文细黑"/>
                <w:kern w:val="0"/>
                <w:sz w:val="20"/>
                <w:szCs w:val="20"/>
                <w:vertAlign w:val="baseline"/>
              </w:rPr>
            </w:pP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p>
            <w:pPr>
              <w:bidi w:val="0"/>
              <w:jc w:val="left"/>
              <w:rPr>
                <w:rFonts w:hint="eastAsia"/>
                <w:szCs w:val="22"/>
                <w:lang w:val="en-US" w:eastAsia="zh-CN"/>
              </w:rPr>
            </w:pPr>
          </w:p>
        </w:tc>
        <w:tc>
          <w:tcPr>
            <w:tcW w:w="12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反映住户调查员业务培训情况。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eastAsia" w:ascii="华文细黑" w:hAnsi="华文细黑" w:eastAsia="华文细黑" w:cs="华文细黑"/>
                <w:kern w:val="0"/>
                <w:sz w:val="20"/>
                <w:szCs w:val="20"/>
                <w:vertAlign w:val="baseline"/>
              </w:rPr>
              <w:t>8次</w:t>
            </w:r>
          </w:p>
        </w:tc>
        <w:tc>
          <w:tcPr>
            <w:tcW w:w="45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p>
            <w:pPr>
              <w:spacing w:line="240" w:lineRule="auto"/>
              <w:jc w:val="center"/>
              <w:rPr>
                <w:rFonts w:hint="eastAsia" w:ascii="华文细黑" w:hAnsi="华文细黑" w:eastAsia="华文细黑" w:cs="华文细黑"/>
                <w:kern w:val="0"/>
                <w:sz w:val="20"/>
                <w:szCs w:val="20"/>
                <w:vertAlign w:val="baseline"/>
              </w:rPr>
            </w:pPr>
          </w:p>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5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培训对象覆盖率</w:t>
            </w:r>
          </w:p>
        </w:tc>
        <w:tc>
          <w:tcPr>
            <w:tcW w:w="12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反映培训对象覆盖情况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45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941" w:type="dxa"/>
            <w:gridSpan w:val="10"/>
            <w:tcBorders>
              <w:top w:val="nil"/>
              <w:left w:val="nil"/>
              <w:bottom w:val="single" w:color="000000" w:sz="4" w:space="0"/>
              <w:right w:val="nil"/>
            </w:tcBorders>
            <w:noWrap w:val="0"/>
            <w:vAlign w:val="top"/>
          </w:tcPr>
          <w:p>
            <w:pPr>
              <w:widowControl/>
              <w:jc w:val="both"/>
              <w:rPr>
                <w:rFonts w:hint="eastAsia" w:ascii="Calibri" w:hAnsi="Calibri" w:eastAsia="方正小标宋简体" w:cs="Times New Roman"/>
                <w:kern w:val="0"/>
                <w:sz w:val="44"/>
                <w:szCs w:val="44"/>
              </w:rPr>
            </w:pPr>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143027004-长岭县统计局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9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59.04</w:t>
            </w:r>
          </w:p>
        </w:tc>
        <w:tc>
          <w:tcPr>
            <w:tcW w:w="111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2024年：按时完成发放五经普两员补贴，完成第五次全国经济普查2024年普查登记、数据处理、数据质量抽查和技术总结阶段。</w:t>
            </w: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5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12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900人</w:t>
            </w:r>
          </w:p>
        </w:tc>
        <w:tc>
          <w:tcPr>
            <w:tcW w:w="45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1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5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126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45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bl>
    <w:p>
      <w:pPr>
        <w:spacing w:line="700" w:lineRule="exact"/>
        <w:rPr>
          <w:rFonts w:hint="eastAsia"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color w:val="auto"/>
          <w:szCs w:val="32"/>
          <w:shd w:val="clear" w:color="auto" w:fill="auto"/>
        </w:rPr>
        <w:t>、</w:t>
      </w:r>
      <w:r>
        <w:rPr>
          <w:szCs w:val="32"/>
        </w:rPr>
        <w:t>上年结转</w:t>
      </w:r>
      <w:r>
        <w:rPr>
          <w:rFonts w:hint="eastAsia"/>
          <w:szCs w:val="32"/>
        </w:rPr>
        <w:t>结余</w:t>
      </w:r>
      <w:r>
        <w:rPr>
          <w:szCs w:val="32"/>
        </w:rPr>
        <w:t>；支出包括：一般公共服务支出、社会保障和就业支出、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220.71</w:t>
      </w:r>
      <w:r>
        <w:rPr>
          <w:szCs w:val="32"/>
        </w:rPr>
        <w:t>万元</w:t>
      </w:r>
      <w:r>
        <w:rPr>
          <w:rFonts w:hint="eastAsia"/>
          <w:szCs w:val="32"/>
          <w:lang w:eastAsia="zh-CN"/>
        </w:rPr>
        <w:t>，其中：本年预算</w:t>
      </w:r>
      <w:r>
        <w:rPr>
          <w:rFonts w:hint="eastAsia"/>
          <w:szCs w:val="32"/>
          <w:lang w:val="en-US" w:eastAsia="zh-CN"/>
        </w:rPr>
        <w:t>219.83</w:t>
      </w:r>
      <w:r>
        <w:rPr>
          <w:rFonts w:hint="eastAsia"/>
          <w:szCs w:val="32"/>
          <w:lang w:eastAsia="zh-CN"/>
        </w:rPr>
        <w:t>万元；上年结转</w:t>
      </w:r>
      <w:r>
        <w:rPr>
          <w:rFonts w:hint="eastAsia"/>
          <w:szCs w:val="32"/>
          <w:lang w:val="en-US" w:eastAsia="zh-CN"/>
        </w:rPr>
        <w:t>0.88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55.17</w:t>
      </w:r>
      <w:r>
        <w:rPr>
          <w:szCs w:val="32"/>
        </w:rPr>
        <w:t>万元，主要原因是</w:t>
      </w:r>
      <w:r>
        <w:rPr>
          <w:rFonts w:hint="eastAsia"/>
          <w:szCs w:val="32"/>
          <w:lang w:val="en-US" w:eastAsia="zh-CN"/>
        </w:rPr>
        <w:t>2024年比2023年增加第五次全国经济普查项目经费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eastAsia="仿宋_GB2312"/>
          <w:szCs w:val="32"/>
          <w:lang w:val="en-US" w:eastAsia="zh-CN"/>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220.71</w:t>
      </w:r>
      <w:r>
        <w:rPr>
          <w:szCs w:val="32"/>
        </w:rPr>
        <w:t>万元，其中：本年收入</w:t>
      </w:r>
      <w:r>
        <w:rPr>
          <w:rFonts w:hint="eastAsia"/>
          <w:szCs w:val="32"/>
          <w:lang w:val="en-US" w:eastAsia="zh-CN"/>
        </w:rPr>
        <w:t>219.83</w:t>
      </w:r>
      <w:r>
        <w:rPr>
          <w:szCs w:val="32"/>
        </w:rPr>
        <w:t>万元，占</w:t>
      </w:r>
      <w:r>
        <w:rPr>
          <w:rFonts w:hint="eastAsia"/>
          <w:szCs w:val="32"/>
          <w:lang w:val="en-US" w:eastAsia="zh-CN"/>
        </w:rPr>
        <w:t>99.60</w:t>
      </w:r>
      <w:r>
        <w:rPr>
          <w:szCs w:val="32"/>
        </w:rPr>
        <w:t>%；上年结转</w:t>
      </w:r>
      <w:r>
        <w:rPr>
          <w:rFonts w:hint="eastAsia"/>
          <w:szCs w:val="32"/>
          <w:lang w:eastAsia="zh-CN"/>
        </w:rPr>
        <w:t>结余</w:t>
      </w:r>
      <w:r>
        <w:rPr>
          <w:rFonts w:hint="eastAsia"/>
          <w:szCs w:val="32"/>
          <w:lang w:val="en-US" w:eastAsia="zh-CN"/>
        </w:rPr>
        <w:t>0.88</w:t>
      </w:r>
      <w:r>
        <w:rPr>
          <w:szCs w:val="32"/>
        </w:rPr>
        <w:t>万元，占</w:t>
      </w:r>
      <w:r>
        <w:rPr>
          <w:rFonts w:hint="eastAsia"/>
          <w:szCs w:val="32"/>
          <w:lang w:val="en-US" w:eastAsia="zh-CN"/>
        </w:rPr>
        <w:t>0.40</w:t>
      </w:r>
      <w:r>
        <w:rPr>
          <w:szCs w:val="32"/>
        </w:rPr>
        <w:t>%。本年收入中，一般公共预算拨款收入</w:t>
      </w:r>
      <w:r>
        <w:rPr>
          <w:rFonts w:hint="eastAsia"/>
          <w:szCs w:val="32"/>
          <w:lang w:val="en-US" w:eastAsia="zh-CN"/>
        </w:rPr>
        <w:t>219.83</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0.88</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eastAsia="黑体"/>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220.71</w:t>
      </w:r>
      <w:r>
        <w:rPr>
          <w:szCs w:val="32"/>
        </w:rPr>
        <w:t>万元，其中：基本支出</w:t>
      </w:r>
      <w:r>
        <w:rPr>
          <w:rFonts w:hint="eastAsia"/>
          <w:szCs w:val="32"/>
          <w:lang w:val="en-US" w:eastAsia="zh-CN"/>
        </w:rPr>
        <w:t>137.66</w:t>
      </w:r>
      <w:r>
        <w:rPr>
          <w:szCs w:val="32"/>
        </w:rPr>
        <w:t>万元，占</w:t>
      </w:r>
      <w:r>
        <w:rPr>
          <w:rFonts w:hint="eastAsia"/>
          <w:szCs w:val="32"/>
          <w:lang w:val="en-US" w:eastAsia="zh-CN"/>
        </w:rPr>
        <w:t>62.37</w:t>
      </w:r>
      <w:r>
        <w:rPr>
          <w:szCs w:val="32"/>
        </w:rPr>
        <w:t>%；项目支出</w:t>
      </w:r>
      <w:r>
        <w:rPr>
          <w:rFonts w:hint="eastAsia"/>
          <w:szCs w:val="32"/>
          <w:lang w:val="en-US" w:eastAsia="zh-CN"/>
        </w:rPr>
        <w:t>83.05</w:t>
      </w:r>
      <w:r>
        <w:rPr>
          <w:szCs w:val="32"/>
        </w:rPr>
        <w:t>万元，占</w:t>
      </w:r>
      <w:r>
        <w:rPr>
          <w:rFonts w:hint="eastAsia"/>
          <w:szCs w:val="32"/>
          <w:lang w:val="en-US" w:eastAsia="zh-CN"/>
        </w:rPr>
        <w:t>37.63</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220.71</w:t>
      </w:r>
      <w:r>
        <w:rPr>
          <w:szCs w:val="32"/>
        </w:rPr>
        <w:t>万元，其中：</w:t>
      </w:r>
      <w:r>
        <w:rPr>
          <w:rFonts w:hint="eastAsia"/>
          <w:szCs w:val="32"/>
        </w:rPr>
        <w:t>本年</w:t>
      </w:r>
      <w:r>
        <w:rPr>
          <w:rFonts w:hint="eastAsia"/>
          <w:szCs w:val="32"/>
          <w:lang w:eastAsia="zh-CN"/>
        </w:rPr>
        <w:t>预算</w:t>
      </w:r>
      <w:r>
        <w:rPr>
          <w:rFonts w:hint="eastAsia"/>
          <w:szCs w:val="32"/>
          <w:lang w:val="en-US" w:eastAsia="zh-CN"/>
        </w:rPr>
        <w:t>219.83</w:t>
      </w:r>
      <w:r>
        <w:rPr>
          <w:szCs w:val="32"/>
        </w:rPr>
        <w:t>万元</w:t>
      </w:r>
      <w:r>
        <w:rPr>
          <w:rFonts w:hint="eastAsia"/>
          <w:szCs w:val="32"/>
        </w:rPr>
        <w:t>，上年结转</w:t>
      </w:r>
      <w:r>
        <w:rPr>
          <w:rFonts w:hint="eastAsia"/>
          <w:szCs w:val="32"/>
          <w:lang w:val="en-US" w:eastAsia="zh-CN"/>
        </w:rPr>
        <w:t>0.88</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186.35</w:t>
      </w:r>
      <w:r>
        <w:rPr>
          <w:szCs w:val="32"/>
        </w:rPr>
        <w:t>万元，</w:t>
      </w:r>
      <w:r>
        <w:rPr>
          <w:kern w:val="0"/>
          <w:szCs w:val="32"/>
        </w:rPr>
        <w:t>社会保障和就业支出</w:t>
      </w:r>
      <w:r>
        <w:rPr>
          <w:rFonts w:hint="eastAsia"/>
          <w:szCs w:val="32"/>
          <w:lang w:val="en-US" w:eastAsia="zh-CN"/>
        </w:rPr>
        <w:t>20.11</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3.93</w:t>
      </w:r>
      <w:r>
        <w:rPr>
          <w:szCs w:val="32"/>
        </w:rPr>
        <w:t>万元，</w:t>
      </w:r>
      <w:r>
        <w:rPr>
          <w:kern w:val="0"/>
          <w:szCs w:val="32"/>
        </w:rPr>
        <w:t>住房保障支出</w:t>
      </w:r>
      <w:r>
        <w:rPr>
          <w:rFonts w:hint="eastAsia"/>
          <w:szCs w:val="32"/>
          <w:lang w:val="en-US" w:eastAsia="zh-CN"/>
        </w:rPr>
        <w:t>10.32</w:t>
      </w:r>
      <w:r>
        <w:rPr>
          <w:szCs w:val="32"/>
        </w:rPr>
        <w:t>万元。</w:t>
      </w:r>
    </w:p>
    <w:p>
      <w:pPr>
        <w:ind w:firstLine="640" w:firstLineChars="200"/>
        <w:rPr>
          <w:rFonts w:eastAsia="黑体"/>
          <w:szCs w:val="32"/>
        </w:rPr>
      </w:pPr>
      <w:r>
        <w:rPr>
          <w:rFonts w:eastAsia="黑体"/>
          <w:szCs w:val="32"/>
        </w:rPr>
        <w:t>五、20</w:t>
      </w:r>
      <w:r>
        <w:rPr>
          <w:rFonts w:hint="eastAsia" w:eastAsia="黑体"/>
          <w:szCs w:val="32"/>
        </w:rPr>
        <w:t>2</w:t>
      </w:r>
      <w:r>
        <w:rPr>
          <w:rFonts w:hint="eastAsia" w:eastAsia="黑体"/>
          <w:szCs w:val="32"/>
          <w:lang w:val="en-US" w:eastAsia="zh-CN"/>
        </w:rPr>
        <w:t>4</w:t>
      </w:r>
      <w:r>
        <w:rPr>
          <w:rFonts w:eastAsia="黑体"/>
          <w:szCs w:val="32"/>
        </w:rPr>
        <w:t>年一般公共预算</w:t>
      </w:r>
      <w:r>
        <w:rPr>
          <w:rFonts w:hint="eastAsia" w:eastAsia="黑体"/>
          <w:szCs w:val="32"/>
        </w:rPr>
        <w:t>支出</w:t>
      </w:r>
      <w:r>
        <w:rPr>
          <w:rFonts w:eastAsia="黑体"/>
          <w:szCs w:val="32"/>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220.71</w:t>
      </w:r>
      <w:r>
        <w:rPr>
          <w:szCs w:val="32"/>
        </w:rPr>
        <w:t>万元，其中：基本支出</w:t>
      </w:r>
      <w:r>
        <w:rPr>
          <w:rFonts w:hint="eastAsia"/>
          <w:szCs w:val="32"/>
          <w:lang w:val="en-US" w:eastAsia="zh-CN"/>
        </w:rPr>
        <w:t>137.66</w:t>
      </w:r>
      <w:r>
        <w:rPr>
          <w:szCs w:val="32"/>
        </w:rPr>
        <w:t>万元，占</w:t>
      </w:r>
      <w:r>
        <w:rPr>
          <w:rFonts w:hint="eastAsia"/>
          <w:szCs w:val="32"/>
          <w:lang w:val="en-US" w:eastAsia="zh-CN"/>
        </w:rPr>
        <w:t>62.37</w:t>
      </w:r>
      <w:r>
        <w:rPr>
          <w:szCs w:val="32"/>
        </w:rPr>
        <w:t>%；项目支出</w:t>
      </w:r>
      <w:r>
        <w:rPr>
          <w:rFonts w:hint="eastAsia"/>
          <w:szCs w:val="32"/>
          <w:lang w:val="en-US" w:eastAsia="zh-CN"/>
        </w:rPr>
        <w:t>83.05</w:t>
      </w:r>
      <w:r>
        <w:rPr>
          <w:szCs w:val="32"/>
        </w:rPr>
        <w:t>万元，占</w:t>
      </w:r>
      <w:r>
        <w:rPr>
          <w:rFonts w:hint="eastAsia"/>
          <w:szCs w:val="32"/>
          <w:lang w:val="en-US" w:eastAsia="zh-CN"/>
        </w:rPr>
        <w:t>37.63</w:t>
      </w:r>
      <w:r>
        <w:rPr>
          <w:szCs w:val="32"/>
        </w:rPr>
        <w:t>%。基本支出中，人员经费</w:t>
      </w:r>
      <w:r>
        <w:rPr>
          <w:rFonts w:hint="eastAsia"/>
          <w:szCs w:val="32"/>
          <w:lang w:val="en-US" w:eastAsia="zh-CN"/>
        </w:rPr>
        <w:t>116.51</w:t>
      </w:r>
      <w:r>
        <w:rPr>
          <w:szCs w:val="32"/>
        </w:rPr>
        <w:t>万元，占</w:t>
      </w:r>
      <w:r>
        <w:rPr>
          <w:rFonts w:hint="eastAsia"/>
          <w:szCs w:val="32"/>
          <w:lang w:val="en-US" w:eastAsia="zh-CN"/>
        </w:rPr>
        <w:t>84.64</w:t>
      </w:r>
      <w:r>
        <w:rPr>
          <w:szCs w:val="32"/>
        </w:rPr>
        <w:t>%；公用经费</w:t>
      </w:r>
      <w:r>
        <w:rPr>
          <w:rFonts w:hint="eastAsia"/>
          <w:szCs w:val="32"/>
          <w:lang w:val="en-US" w:eastAsia="zh-CN"/>
        </w:rPr>
        <w:t>21.15</w:t>
      </w:r>
      <w:r>
        <w:rPr>
          <w:szCs w:val="32"/>
        </w:rPr>
        <w:t>万元，占</w:t>
      </w:r>
      <w:r>
        <w:rPr>
          <w:rFonts w:hint="eastAsia"/>
          <w:szCs w:val="32"/>
          <w:lang w:val="en-US" w:eastAsia="zh-CN"/>
        </w:rPr>
        <w:t>15.36</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一般公共服务（类）支出</w:t>
      </w:r>
      <w:r>
        <w:rPr>
          <w:rFonts w:hint="eastAsia"/>
          <w:szCs w:val="32"/>
          <w:lang w:val="en-US" w:eastAsia="zh-CN"/>
        </w:rPr>
        <w:t>186.35</w:t>
      </w:r>
      <w:r>
        <w:rPr>
          <w:szCs w:val="32"/>
        </w:rPr>
        <w:t>万元，占</w:t>
      </w:r>
      <w:r>
        <w:rPr>
          <w:rFonts w:hint="eastAsia"/>
          <w:szCs w:val="32"/>
          <w:lang w:val="en-US" w:eastAsia="zh-CN"/>
        </w:rPr>
        <w:t>84.43</w:t>
      </w:r>
      <w:r>
        <w:rPr>
          <w:szCs w:val="32"/>
        </w:rPr>
        <w:t>%，主要用于</w:t>
      </w:r>
      <w:r>
        <w:rPr>
          <w:rFonts w:hint="eastAsia" w:ascii="仿宋" w:hAnsi="仿宋" w:eastAsia="仿宋" w:cs="仿宋"/>
          <w:szCs w:val="32"/>
          <w:lang w:eastAsia="zh-CN"/>
        </w:rPr>
        <w:t>行政运行、统计抽样调查和专项普查活动</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社会保障和就业（类）支出</w:t>
      </w:r>
      <w:r>
        <w:rPr>
          <w:rFonts w:hint="eastAsia"/>
          <w:szCs w:val="32"/>
          <w:lang w:val="en-US" w:eastAsia="zh-CN"/>
        </w:rPr>
        <w:t>20.11</w:t>
      </w:r>
      <w:r>
        <w:rPr>
          <w:szCs w:val="32"/>
        </w:rPr>
        <w:t>万元，占</w:t>
      </w:r>
      <w:r>
        <w:rPr>
          <w:rFonts w:hint="eastAsia"/>
          <w:szCs w:val="32"/>
          <w:lang w:val="en-US" w:eastAsia="zh-CN"/>
        </w:rPr>
        <w:t>9.11</w:t>
      </w:r>
      <w:r>
        <w:rPr>
          <w:szCs w:val="32"/>
        </w:rPr>
        <w:t>%，主要用于</w:t>
      </w:r>
      <w:r>
        <w:rPr>
          <w:rFonts w:hint="eastAsia" w:ascii="仿宋" w:hAnsi="仿宋" w:eastAsia="仿宋" w:cs="仿宋"/>
          <w:szCs w:val="32"/>
          <w:lang w:eastAsia="zh-CN"/>
        </w:rPr>
        <w:t>行政事业单位养老支出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rFonts w:hint="eastAsia"/>
          <w:szCs w:val="32"/>
          <w:lang w:eastAsia="zh-CN"/>
        </w:rPr>
        <w:t>卫生健康</w:t>
      </w:r>
      <w:r>
        <w:rPr>
          <w:szCs w:val="32"/>
        </w:rPr>
        <w:t>（类）支出</w:t>
      </w:r>
      <w:r>
        <w:rPr>
          <w:rFonts w:hint="eastAsia"/>
          <w:szCs w:val="32"/>
          <w:lang w:val="en-US" w:eastAsia="zh-CN"/>
        </w:rPr>
        <w:t>3.93</w:t>
      </w:r>
      <w:r>
        <w:rPr>
          <w:szCs w:val="32"/>
        </w:rPr>
        <w:t>万元，占</w:t>
      </w:r>
      <w:r>
        <w:rPr>
          <w:rFonts w:hint="eastAsia"/>
          <w:szCs w:val="32"/>
          <w:lang w:val="en-US" w:eastAsia="zh-CN"/>
        </w:rPr>
        <w:t>1.78</w:t>
      </w:r>
      <w:r>
        <w:rPr>
          <w:szCs w:val="32"/>
        </w:rPr>
        <w:t>%，主要用于</w:t>
      </w:r>
      <w:r>
        <w:rPr>
          <w:rFonts w:hint="eastAsia" w:ascii="仿宋" w:hAnsi="仿宋" w:eastAsia="仿宋" w:cs="仿宋"/>
          <w:szCs w:val="32"/>
          <w:lang w:eastAsia="zh-CN"/>
        </w:rPr>
        <w:t>行政事业单位人员行政医疗</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rFonts w:hint="eastAsia"/>
          <w:szCs w:val="32"/>
        </w:rPr>
      </w:pPr>
      <w:r>
        <w:rPr>
          <w:szCs w:val="32"/>
        </w:rPr>
        <w:t>住房保障（类）支出</w:t>
      </w:r>
      <w:r>
        <w:rPr>
          <w:rFonts w:hint="eastAsia"/>
          <w:szCs w:val="32"/>
          <w:lang w:val="en-US" w:eastAsia="zh-CN"/>
        </w:rPr>
        <w:t>10.32</w:t>
      </w:r>
      <w:r>
        <w:rPr>
          <w:szCs w:val="32"/>
        </w:rPr>
        <w:t>万元，占</w:t>
      </w:r>
      <w:r>
        <w:rPr>
          <w:rFonts w:hint="eastAsia"/>
          <w:szCs w:val="32"/>
          <w:lang w:val="en-US" w:eastAsia="zh-CN"/>
        </w:rPr>
        <w:t>4.68</w:t>
      </w:r>
      <w:r>
        <w:rPr>
          <w:szCs w:val="32"/>
        </w:rPr>
        <w:t>%，主要用于</w:t>
      </w:r>
      <w:r>
        <w:rPr>
          <w:rFonts w:hint="eastAsia" w:ascii="仿宋" w:hAnsi="仿宋" w:eastAsia="仿宋" w:cs="仿宋"/>
          <w:szCs w:val="32"/>
          <w:lang w:eastAsia="zh-CN"/>
        </w:rPr>
        <w:t>行政事业单位人员住房公积金</w:t>
      </w:r>
      <w:r>
        <w:rPr>
          <w:szCs w:val="32"/>
        </w:rPr>
        <w:t>。</w:t>
      </w:r>
    </w:p>
    <w:p>
      <w:pPr>
        <w:ind w:firstLine="640" w:firstLineChars="200"/>
        <w:rPr>
          <w:rFonts w:eastAsia="黑体"/>
          <w:szCs w:val="32"/>
        </w:rPr>
      </w:pPr>
      <w:r>
        <w:rPr>
          <w:rFonts w:eastAsia="黑体"/>
          <w:szCs w:val="32"/>
        </w:rPr>
        <w:t>六、20</w:t>
      </w:r>
      <w:r>
        <w:rPr>
          <w:rFonts w:hint="eastAsia" w:eastAsia="黑体"/>
          <w:szCs w:val="32"/>
        </w:rPr>
        <w:t>2</w:t>
      </w:r>
      <w:r>
        <w:rPr>
          <w:rFonts w:hint="eastAsia" w:eastAsia="黑体"/>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137.66</w:t>
      </w:r>
      <w:r>
        <w:rPr>
          <w:szCs w:val="32"/>
        </w:rPr>
        <w:t>万元，其中：</w:t>
      </w:r>
    </w:p>
    <w:p>
      <w:pPr>
        <w:ind w:firstLine="640" w:firstLineChars="200"/>
        <w:rPr>
          <w:rFonts w:hint="default"/>
          <w:szCs w:val="32"/>
          <w:lang w:val="en-US" w:eastAsia="zh-CN"/>
        </w:rPr>
      </w:pPr>
      <w:r>
        <w:rPr>
          <w:szCs w:val="32"/>
        </w:rPr>
        <w:t>人员经费</w:t>
      </w:r>
      <w:r>
        <w:rPr>
          <w:rFonts w:hint="eastAsia"/>
          <w:szCs w:val="32"/>
          <w:lang w:val="en-US" w:eastAsia="zh-CN"/>
        </w:rPr>
        <w:t>116.51</w:t>
      </w:r>
      <w:r>
        <w:rPr>
          <w:szCs w:val="32"/>
        </w:rPr>
        <w:t>万元，主要包括：基本工资、津贴补贴、奖金、</w:t>
      </w:r>
      <w:r>
        <w:rPr>
          <w:rFonts w:hint="eastAsia"/>
          <w:szCs w:val="32"/>
          <w:lang w:eastAsia="zh-CN"/>
        </w:rPr>
        <w:t>机关事业单位基本养老保险、职工基本医疗保险缴费、其他</w:t>
      </w:r>
      <w:r>
        <w:rPr>
          <w:rFonts w:hint="eastAsia"/>
          <w:szCs w:val="32"/>
        </w:rPr>
        <w:t>社会保障缴费、</w:t>
      </w:r>
      <w:r>
        <w:rPr>
          <w:szCs w:val="32"/>
        </w:rPr>
        <w:t>住房公积金、</w:t>
      </w:r>
      <w:r>
        <w:rPr>
          <w:rFonts w:hint="eastAsia"/>
          <w:szCs w:val="32"/>
          <w:lang w:eastAsia="zh-CN"/>
        </w:rPr>
        <w:t>医疗费、</w:t>
      </w:r>
      <w:r>
        <w:rPr>
          <w:szCs w:val="32"/>
        </w:rPr>
        <w:t>其他工资福利支出、退休费、</w:t>
      </w:r>
      <w:r>
        <w:rPr>
          <w:szCs w:val="32"/>
        </w:rPr>
        <mc:AlternateContent>
          <mc:Choice Requires="wps">
            <w:drawing>
              <wp:anchor distT="0" distB="0" distL="114300" distR="114300" simplePos="0" relativeHeight="251661312" behindDoc="0" locked="0" layoutInCell="1" allowOverlap="1">
                <wp:simplePos x="0" y="0"/>
                <wp:positionH relativeFrom="column">
                  <wp:posOffset>626745</wp:posOffset>
                </wp:positionH>
                <wp:positionV relativeFrom="paragraph">
                  <wp:posOffset>-335280</wp:posOffset>
                </wp:positionV>
                <wp:extent cx="1786890" cy="431800"/>
                <wp:effectExtent l="0" t="0" r="11430" b="10160"/>
                <wp:wrapNone/>
                <wp:docPr id="11" name="文本框 11"/>
                <wp:cNvGraphicFramePr/>
                <a:graphic xmlns:a="http://schemas.openxmlformats.org/drawingml/2006/main">
                  <a:graphicData uri="http://schemas.microsoft.com/office/word/2010/wordprocessingShape">
                    <wps:wsp>
                      <wps:cNvSpPr txBox="1"/>
                      <wps:spPr>
                        <a:xfrm>
                          <a:off x="4639945" y="1206500"/>
                          <a:ext cx="178689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35pt;margin-top:-26.4pt;height:34pt;width:140.7pt;z-index:251661312;mso-width-relative:page;mso-height-relative:page;" filled="f" stroked="f" coordsize="21600,21600" o:gfxdata="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RAUSdoAAAAJAQAADwAAAAAAAAAB&#10;ACAAAAAiAAAAZHJzL2Rvd25yZXYueG1sUEsBAhQAFAAAAAgAh07iQHG5uNxHAgAAdAQAAA4AAAAA&#10;AAAAAQAgAAAAKQEAAGRycy9lMm9Eb2MueG1sUEsFBgAAAAAGAAYAWQEAAOIFAAAAAA==&#10;">
                <v:fill on="f" focussize="0,0"/>
                <v:stroke on="f" weight="0.5pt"/>
                <v:imagedata o:title=""/>
                <o:lock v:ext="edit" aspectratio="f"/>
                <v:textbox>
                  <w:txbxContent>
                    <w:p>
                      <w:pPr>
                        <w:rPr>
                          <w:b/>
                          <w:bCs/>
                          <w:color w:val="FF0000"/>
                        </w:rPr>
                      </w:pPr>
                    </w:p>
                  </w:txbxContent>
                </v:textbox>
              </v:shape>
            </w:pict>
          </mc:Fallback>
        </mc:AlternateContent>
      </w:r>
      <w:r>
        <w:rPr>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21.15</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eastAsia="zh-CN"/>
        </w:rPr>
        <w:t>邮电费、</w:t>
      </w:r>
      <w:r>
        <w:rPr>
          <w:kern w:val="0"/>
          <w:szCs w:val="32"/>
        </w:rPr>
        <w:t>差旅费</w:t>
      </w:r>
      <w:r>
        <w:rPr>
          <w:szCs w:val="32"/>
        </w:rPr>
        <w:t>、</w:t>
      </w:r>
      <w:r>
        <w:rPr>
          <w:rFonts w:hint="eastAsia"/>
          <w:kern w:val="0"/>
          <w:szCs w:val="32"/>
          <w:lang w:eastAsia="zh-CN"/>
        </w:rPr>
        <w:t>会议费</w:t>
      </w:r>
      <w:r>
        <w:rPr>
          <w:kern w:val="0"/>
          <w:szCs w:val="32"/>
        </w:rPr>
        <w:t>、培训费、工会经费、福利费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ascii="仿宋" w:hAnsi="仿宋" w:eastAsia="仿宋" w:cs="仿宋"/>
          <w:kern w:val="0"/>
          <w:szCs w:val="32"/>
          <w:highlight w:val="none"/>
          <w:lang w:eastAsia="zh-CN"/>
        </w:rPr>
        <w:t>、办公设备购置</w:t>
      </w:r>
      <w:r>
        <w:rPr>
          <w:kern w:val="0"/>
          <w:szCs w:val="32"/>
        </w:rPr>
        <w:t>。</w:t>
      </w:r>
    </w:p>
    <w:p>
      <w:pPr>
        <w:ind w:firstLine="640" w:firstLineChars="200"/>
        <w:rPr>
          <w:rFonts w:eastAsia="黑体"/>
          <w:szCs w:val="32"/>
        </w:rPr>
      </w:pPr>
      <w:r>
        <w:rPr>
          <w:rFonts w:eastAsia="黑体"/>
          <w:szCs w:val="32"/>
        </w:rPr>
        <w:t>七、20</w:t>
      </w:r>
      <w:r>
        <w:rPr>
          <w:rFonts w:hint="eastAsia" w:eastAsia="黑体"/>
          <w:szCs w:val="32"/>
        </w:rPr>
        <w:t>2</w:t>
      </w:r>
      <w:r>
        <w:rPr>
          <w:rFonts w:hint="eastAsia" w:eastAsia="黑体"/>
          <w:szCs w:val="32"/>
          <w:lang w:val="en-US" w:eastAsia="zh-CN"/>
        </w:rPr>
        <w:t>4</w:t>
      </w:r>
      <w:r>
        <w:rPr>
          <w:rFonts w:eastAsia="黑体"/>
          <w:szCs w:val="32"/>
        </w:rPr>
        <w:t>年一般公共预算</w:t>
      </w:r>
      <w:r>
        <w:rPr>
          <w:rFonts w:hint="eastAsia" w:eastAsia="黑体"/>
          <w:szCs w:val="32"/>
        </w:rPr>
        <w:t>财政拨款</w:t>
      </w:r>
      <w:r>
        <w:rPr>
          <w:rFonts w:eastAsia="黑体"/>
          <w:szCs w:val="32"/>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0.24</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0.24</w:t>
      </w:r>
      <w:r>
        <w:rPr>
          <w:szCs w:val="32"/>
        </w:rPr>
        <w:t>万元，主要原因是</w:t>
      </w:r>
      <w:r>
        <w:rPr>
          <w:rFonts w:hint="eastAsia" w:ascii="仿宋" w:hAnsi="仿宋" w:eastAsia="仿宋" w:cs="仿宋"/>
          <w:szCs w:val="32"/>
          <w:lang w:val="en-US" w:eastAsia="zh-CN"/>
        </w:rPr>
        <w:t>本年度压减了公用经费预算</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ascii="Times New Roman" w:hAnsi="Times New Roman" w:cs="Times New Roman"/>
          <w:szCs w:val="32"/>
        </w:rPr>
        <w:t>本</w:t>
      </w:r>
      <w:r>
        <w:rPr>
          <w:rFonts w:hint="eastAsia"/>
          <w:szCs w:val="32"/>
          <w:lang w:eastAsia="zh-CN"/>
        </w:rPr>
        <w:t>单位</w:t>
      </w:r>
      <w:r>
        <w:rPr>
          <w:rFonts w:ascii="Times New Roman" w:hAnsi="Times New Roman" w:cs="Times New Roman"/>
          <w:szCs w:val="32"/>
        </w:rPr>
        <w:t>无政府性基金预算拨款</w:t>
      </w:r>
      <w:r>
        <w:rPr>
          <w:rFonts w:hint="eastAsia" w:ascii="Times New Roman" w:hAnsi="Times New Roman" w:cs="Times New Roman"/>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ascii="Times New Roman" w:hAnsi="Times New Roman" w:cs="Times New Roman"/>
          <w:szCs w:val="32"/>
          <w:lang w:eastAsia="zh-CN"/>
        </w:rPr>
        <w:t>本</w:t>
      </w:r>
      <w:r>
        <w:rPr>
          <w:rFonts w:hint="eastAsia"/>
          <w:szCs w:val="32"/>
          <w:lang w:eastAsia="zh-CN"/>
        </w:rPr>
        <w:t>单位</w:t>
      </w:r>
      <w:r>
        <w:rPr>
          <w:rFonts w:hint="eastAsia" w:ascii="Times New Roman" w:hAnsi="Times New Roman" w:cs="Times New Roman"/>
          <w:szCs w:val="32"/>
        </w:rPr>
        <w:t>无国有资本经营预算拨款</w:t>
      </w:r>
      <w:r>
        <w:rPr>
          <w:rFonts w:hint="eastAsia" w:ascii="Times New Roman" w:hAnsi="Times New Roman" w:cs="Times New Roman"/>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21.15</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4.37</w:t>
      </w:r>
      <w:r>
        <w:rPr>
          <w:szCs w:val="32"/>
        </w:rPr>
        <w:t>万元，下降</w:t>
      </w:r>
      <w:r>
        <w:rPr>
          <w:rFonts w:hint="eastAsia"/>
          <w:szCs w:val="32"/>
          <w:lang w:val="en-US" w:eastAsia="zh-CN"/>
        </w:rPr>
        <w:t>17.12</w:t>
      </w:r>
      <w:r>
        <w:rPr>
          <w:szCs w:val="32"/>
        </w:rPr>
        <w:t>%</w:t>
      </w:r>
      <w:r>
        <w:rPr>
          <w:rFonts w:hint="eastAsia"/>
          <w:szCs w:val="32"/>
        </w:rPr>
        <w:t>，主要原因是</w:t>
      </w:r>
      <w:r>
        <w:rPr>
          <w:rFonts w:hint="eastAsia"/>
          <w:szCs w:val="32"/>
          <w:lang w:val="en-US" w:eastAsia="zh-CN"/>
        </w:rPr>
        <w:t>2024年较2023年少一人经费预算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eastAsia="zh-CN"/>
        </w:rPr>
        <w:t>本单位无</w:t>
      </w:r>
      <w:r>
        <w:rPr>
          <w:szCs w:val="32"/>
        </w:rPr>
        <w:t>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ascii="Times New Roman" w:hAnsi="Times New Roman" w:cs="Times New Roman"/>
          <w:szCs w:val="32"/>
          <w:lang w:eastAsia="zh-CN"/>
        </w:rPr>
        <w:t>本单位无国有资产占有使用情况</w:t>
      </w:r>
      <w:r>
        <w:rPr>
          <w:rFonts w:hint="eastAsia"/>
          <w:szCs w:val="32"/>
        </w:rPr>
        <w:t>。</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83.05</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83.05</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ascii="宋体" w:hAnsi="宋体"/>
          <w:lang w:val="en-US" w:eastAsia="zh-CN"/>
        </w:rPr>
        <w:t>83.05</w:t>
      </w:r>
      <w:r>
        <w:rPr>
          <w:rFonts w:hint="eastAsia" w:ascii="宋体" w:hAnsi="宋体"/>
        </w:rPr>
        <w:t>万元。</w:t>
      </w:r>
    </w:p>
    <w:p>
      <w:pPr>
        <w:ind w:firstLine="645"/>
        <w:rPr>
          <w:rFonts w:eastAsia="楷体"/>
          <w:szCs w:val="32"/>
        </w:rPr>
      </w:pPr>
    </w:p>
    <w:p>
      <w:pPr>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DFC54E-7FA0-40E7-80D9-CB8D92003A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FE83007-C8CC-4EEE-B58D-7DE1C9B025A0}"/>
  </w:font>
  <w:font w:name="仿宋_GB2312">
    <w:altName w:val="仿宋"/>
    <w:panose1 w:val="02010609030101010101"/>
    <w:charset w:val="86"/>
    <w:family w:val="modern"/>
    <w:pitch w:val="default"/>
    <w:sig w:usb0="00000000" w:usb1="00000000" w:usb2="00000000" w:usb3="00000000" w:csb0="00040000" w:csb1="00000000"/>
    <w:embedRegular r:id="rId3" w:fontKey="{4ACB4DBA-56E9-4FDA-B2A4-AF5E2F0879A3}"/>
  </w:font>
  <w:font w:name="华文细黑">
    <w:panose1 w:val="02010600040101010101"/>
    <w:charset w:val="86"/>
    <w:family w:val="auto"/>
    <w:pitch w:val="default"/>
    <w:sig w:usb0="00000287" w:usb1="080F0000" w:usb2="00000000" w:usb3="00000000" w:csb0="0004009F" w:csb1="DFD70000"/>
    <w:embedRegular r:id="rId4" w:fontKey="{7D04A5DF-A7C5-4764-B2ED-7FE662D552F5}"/>
  </w:font>
  <w:font w:name="方正小标宋简体">
    <w:panose1 w:val="02000000000000000000"/>
    <w:charset w:val="86"/>
    <w:family w:val="auto"/>
    <w:pitch w:val="default"/>
    <w:sig w:usb0="00000001" w:usb1="08000000" w:usb2="00000000" w:usb3="00000000" w:csb0="00040000" w:csb1="00000000"/>
    <w:embedRegular r:id="rId5" w:fontKey="{8FE14FD4-217A-41DF-9243-8629DEE18037}"/>
  </w:font>
  <w:font w:name="楷体_GB2312">
    <w:altName w:val="楷体"/>
    <w:panose1 w:val="02010609030101010101"/>
    <w:charset w:val="86"/>
    <w:family w:val="modern"/>
    <w:pitch w:val="default"/>
    <w:sig w:usb0="00000000" w:usb1="00000000" w:usb2="00000000" w:usb3="00000000" w:csb0="00040000" w:csb1="00000000"/>
    <w:embedRegular r:id="rId6" w:fontKey="{722280E2-024B-4DEC-8DB3-2EBDAAC14ECF}"/>
  </w:font>
  <w:font w:name="楷体">
    <w:panose1 w:val="02010609060101010101"/>
    <w:charset w:val="86"/>
    <w:family w:val="modern"/>
    <w:pitch w:val="default"/>
    <w:sig w:usb0="800002BF" w:usb1="38CF7CFA" w:usb2="00000016" w:usb3="00000000" w:csb0="00040001" w:csb1="00000000"/>
    <w:embedRegular r:id="rId7" w:fontKey="{AB6E2D6E-7867-4BB7-ADA1-6452D84B6AE1}"/>
  </w:font>
  <w:font w:name="仿宋">
    <w:panose1 w:val="02010609060101010101"/>
    <w:charset w:val="86"/>
    <w:family w:val="modern"/>
    <w:pitch w:val="default"/>
    <w:sig w:usb0="800002BF" w:usb1="38CF7CFA" w:usb2="00000016" w:usb3="00000000" w:csb0="00040001" w:csb1="00000000"/>
    <w:embedRegular r:id="rId8" w:fontKey="{71A01CD8-BAB9-4BCC-9CA8-F42BF3BA67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C5BD5"/>
    <w:multiLevelType w:val="singleLevel"/>
    <w:tmpl w:val="FB1C5BD5"/>
    <w:lvl w:ilvl="0" w:tentative="0">
      <w:start w:val="4"/>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MzRhNWY2ODU3NjMxNDg0YzExOGU2NTI0YTJhNT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6E265C"/>
    <w:rsid w:val="019B69D8"/>
    <w:rsid w:val="01B7145A"/>
    <w:rsid w:val="02033000"/>
    <w:rsid w:val="020E6D2C"/>
    <w:rsid w:val="02622830"/>
    <w:rsid w:val="02C44267"/>
    <w:rsid w:val="031D7D4B"/>
    <w:rsid w:val="037F2004"/>
    <w:rsid w:val="0486486A"/>
    <w:rsid w:val="04954460"/>
    <w:rsid w:val="04B818D1"/>
    <w:rsid w:val="050D06DA"/>
    <w:rsid w:val="05310B72"/>
    <w:rsid w:val="05513E94"/>
    <w:rsid w:val="05585E5B"/>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C00A7"/>
    <w:rsid w:val="0C6D1BAE"/>
    <w:rsid w:val="0C864C48"/>
    <w:rsid w:val="0D2A2435"/>
    <w:rsid w:val="0DA001B0"/>
    <w:rsid w:val="0DEB170B"/>
    <w:rsid w:val="0E4C7841"/>
    <w:rsid w:val="0E97506F"/>
    <w:rsid w:val="0F0F331A"/>
    <w:rsid w:val="0F3E0406"/>
    <w:rsid w:val="0F980230"/>
    <w:rsid w:val="0FD62F63"/>
    <w:rsid w:val="0FDE2A27"/>
    <w:rsid w:val="10AE7F82"/>
    <w:rsid w:val="10C93B35"/>
    <w:rsid w:val="11177619"/>
    <w:rsid w:val="112605C8"/>
    <w:rsid w:val="11804917"/>
    <w:rsid w:val="11A6707B"/>
    <w:rsid w:val="11B35B2F"/>
    <w:rsid w:val="11B57565"/>
    <w:rsid w:val="12E711B7"/>
    <w:rsid w:val="136D62BD"/>
    <w:rsid w:val="136E4388"/>
    <w:rsid w:val="13F21722"/>
    <w:rsid w:val="1441443C"/>
    <w:rsid w:val="14C12787"/>
    <w:rsid w:val="14DA67E6"/>
    <w:rsid w:val="14E9425E"/>
    <w:rsid w:val="15147567"/>
    <w:rsid w:val="15593E10"/>
    <w:rsid w:val="156E0AC1"/>
    <w:rsid w:val="159F7E25"/>
    <w:rsid w:val="15DC3A19"/>
    <w:rsid w:val="15F848D0"/>
    <w:rsid w:val="160E1FA5"/>
    <w:rsid w:val="160F2600"/>
    <w:rsid w:val="16297009"/>
    <w:rsid w:val="16522385"/>
    <w:rsid w:val="16C829AB"/>
    <w:rsid w:val="16DD34F5"/>
    <w:rsid w:val="17765BCA"/>
    <w:rsid w:val="17A027D8"/>
    <w:rsid w:val="17CC2625"/>
    <w:rsid w:val="18673E19"/>
    <w:rsid w:val="19132BE0"/>
    <w:rsid w:val="191F4716"/>
    <w:rsid w:val="192137DF"/>
    <w:rsid w:val="1954649C"/>
    <w:rsid w:val="1A1B1974"/>
    <w:rsid w:val="1A817DF8"/>
    <w:rsid w:val="1A8A6135"/>
    <w:rsid w:val="1ADC594E"/>
    <w:rsid w:val="1AEB5252"/>
    <w:rsid w:val="1B8A03E4"/>
    <w:rsid w:val="1B9C1459"/>
    <w:rsid w:val="1C7B3A18"/>
    <w:rsid w:val="1C852172"/>
    <w:rsid w:val="1CA40C0C"/>
    <w:rsid w:val="1CFC5477"/>
    <w:rsid w:val="1CFF4A32"/>
    <w:rsid w:val="1D833200"/>
    <w:rsid w:val="1E3A3FD0"/>
    <w:rsid w:val="1EB55C07"/>
    <w:rsid w:val="1F351A10"/>
    <w:rsid w:val="1F857EA5"/>
    <w:rsid w:val="1FED47E9"/>
    <w:rsid w:val="206816AC"/>
    <w:rsid w:val="21134335"/>
    <w:rsid w:val="224E1D42"/>
    <w:rsid w:val="226E581D"/>
    <w:rsid w:val="22A4003E"/>
    <w:rsid w:val="23135C25"/>
    <w:rsid w:val="237F295E"/>
    <w:rsid w:val="23EC61F6"/>
    <w:rsid w:val="244C543C"/>
    <w:rsid w:val="24624768"/>
    <w:rsid w:val="24DD7012"/>
    <w:rsid w:val="259B5BC5"/>
    <w:rsid w:val="25F62C4E"/>
    <w:rsid w:val="26643D6C"/>
    <w:rsid w:val="26AE2EFC"/>
    <w:rsid w:val="26FE109D"/>
    <w:rsid w:val="27073E1E"/>
    <w:rsid w:val="271F5C1D"/>
    <w:rsid w:val="27B04AB3"/>
    <w:rsid w:val="282C3BA1"/>
    <w:rsid w:val="28A63332"/>
    <w:rsid w:val="28A945E1"/>
    <w:rsid w:val="28C96E8E"/>
    <w:rsid w:val="299C4A8E"/>
    <w:rsid w:val="29C45F24"/>
    <w:rsid w:val="2B23759A"/>
    <w:rsid w:val="2BF63AB2"/>
    <w:rsid w:val="2D9038E4"/>
    <w:rsid w:val="2DA52FC1"/>
    <w:rsid w:val="2DF8796C"/>
    <w:rsid w:val="2E225DB9"/>
    <w:rsid w:val="2EB22F18"/>
    <w:rsid w:val="2EBC6814"/>
    <w:rsid w:val="2EC13E2B"/>
    <w:rsid w:val="2EE12108"/>
    <w:rsid w:val="2EED35E3"/>
    <w:rsid w:val="2F0B5068"/>
    <w:rsid w:val="2F250383"/>
    <w:rsid w:val="2F610330"/>
    <w:rsid w:val="2F63610B"/>
    <w:rsid w:val="2FA016AE"/>
    <w:rsid w:val="2FB109D3"/>
    <w:rsid w:val="2FBC646B"/>
    <w:rsid w:val="300965A3"/>
    <w:rsid w:val="30713CDA"/>
    <w:rsid w:val="30730D6E"/>
    <w:rsid w:val="308B20C9"/>
    <w:rsid w:val="30B91A70"/>
    <w:rsid w:val="30F84C22"/>
    <w:rsid w:val="310C6AA2"/>
    <w:rsid w:val="31793674"/>
    <w:rsid w:val="31894469"/>
    <w:rsid w:val="31AE52E1"/>
    <w:rsid w:val="32332703"/>
    <w:rsid w:val="32CF2C5D"/>
    <w:rsid w:val="32EE2C61"/>
    <w:rsid w:val="335402B5"/>
    <w:rsid w:val="339466B2"/>
    <w:rsid w:val="33F6464E"/>
    <w:rsid w:val="344620AF"/>
    <w:rsid w:val="34555AF5"/>
    <w:rsid w:val="34FF687B"/>
    <w:rsid w:val="354C4987"/>
    <w:rsid w:val="35616772"/>
    <w:rsid w:val="35A94B4F"/>
    <w:rsid w:val="35D541AD"/>
    <w:rsid w:val="35E17E79"/>
    <w:rsid w:val="35EA1663"/>
    <w:rsid w:val="364C598E"/>
    <w:rsid w:val="368A3622"/>
    <w:rsid w:val="36B543E5"/>
    <w:rsid w:val="36CC2B0F"/>
    <w:rsid w:val="36FC762F"/>
    <w:rsid w:val="3838492F"/>
    <w:rsid w:val="383A009B"/>
    <w:rsid w:val="3887374F"/>
    <w:rsid w:val="38CB0ABC"/>
    <w:rsid w:val="38EC5F48"/>
    <w:rsid w:val="38EF3C8A"/>
    <w:rsid w:val="38EF593F"/>
    <w:rsid w:val="39041A07"/>
    <w:rsid w:val="39043B77"/>
    <w:rsid w:val="392362F6"/>
    <w:rsid w:val="39670895"/>
    <w:rsid w:val="397B4EE2"/>
    <w:rsid w:val="3A387943"/>
    <w:rsid w:val="3A657F9A"/>
    <w:rsid w:val="3A7909FE"/>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8726E3"/>
    <w:rsid w:val="3DB008AA"/>
    <w:rsid w:val="3DD6477E"/>
    <w:rsid w:val="3DF23324"/>
    <w:rsid w:val="3EA14040"/>
    <w:rsid w:val="3EE8108D"/>
    <w:rsid w:val="3EF73899"/>
    <w:rsid w:val="3F8201A3"/>
    <w:rsid w:val="402675EA"/>
    <w:rsid w:val="40420CAB"/>
    <w:rsid w:val="40B80EFF"/>
    <w:rsid w:val="40E36BB5"/>
    <w:rsid w:val="41556C22"/>
    <w:rsid w:val="41A35364"/>
    <w:rsid w:val="41C31686"/>
    <w:rsid w:val="41C837BC"/>
    <w:rsid w:val="421643AC"/>
    <w:rsid w:val="42982B4E"/>
    <w:rsid w:val="429F5D0C"/>
    <w:rsid w:val="42D83665"/>
    <w:rsid w:val="4335673E"/>
    <w:rsid w:val="434A6B47"/>
    <w:rsid w:val="436B1E42"/>
    <w:rsid w:val="456D114B"/>
    <w:rsid w:val="45985A08"/>
    <w:rsid w:val="45EB670F"/>
    <w:rsid w:val="45EF26A9"/>
    <w:rsid w:val="46AB7C0D"/>
    <w:rsid w:val="46D44808"/>
    <w:rsid w:val="46ED776B"/>
    <w:rsid w:val="479D2523"/>
    <w:rsid w:val="47CF49E6"/>
    <w:rsid w:val="48106440"/>
    <w:rsid w:val="48674ED2"/>
    <w:rsid w:val="487708E6"/>
    <w:rsid w:val="48B540F2"/>
    <w:rsid w:val="493F6F72"/>
    <w:rsid w:val="49645F71"/>
    <w:rsid w:val="499F5C68"/>
    <w:rsid w:val="49A738C0"/>
    <w:rsid w:val="4A52465C"/>
    <w:rsid w:val="4A5C4AC6"/>
    <w:rsid w:val="4A662FBF"/>
    <w:rsid w:val="4ACD5506"/>
    <w:rsid w:val="4AF16062"/>
    <w:rsid w:val="4B0A57E5"/>
    <w:rsid w:val="4B646DDD"/>
    <w:rsid w:val="4B7F44F8"/>
    <w:rsid w:val="4BAC24C5"/>
    <w:rsid w:val="4BFA0656"/>
    <w:rsid w:val="4C0A09EC"/>
    <w:rsid w:val="4C725142"/>
    <w:rsid w:val="4D3439E8"/>
    <w:rsid w:val="4D4E2809"/>
    <w:rsid w:val="4D730507"/>
    <w:rsid w:val="4D741DD3"/>
    <w:rsid w:val="4DC93207"/>
    <w:rsid w:val="4DDA23BB"/>
    <w:rsid w:val="4E010C4C"/>
    <w:rsid w:val="4E214B2B"/>
    <w:rsid w:val="4E8D5761"/>
    <w:rsid w:val="4EF54A85"/>
    <w:rsid w:val="4EF972C6"/>
    <w:rsid w:val="501B3C66"/>
    <w:rsid w:val="504B40C5"/>
    <w:rsid w:val="504F264A"/>
    <w:rsid w:val="50987DC2"/>
    <w:rsid w:val="50A4703E"/>
    <w:rsid w:val="51282B99"/>
    <w:rsid w:val="5136104F"/>
    <w:rsid w:val="51465EDE"/>
    <w:rsid w:val="52071113"/>
    <w:rsid w:val="52085509"/>
    <w:rsid w:val="522774C4"/>
    <w:rsid w:val="522A7431"/>
    <w:rsid w:val="525A440D"/>
    <w:rsid w:val="52626449"/>
    <w:rsid w:val="538C5511"/>
    <w:rsid w:val="53EC2463"/>
    <w:rsid w:val="544E511A"/>
    <w:rsid w:val="54741940"/>
    <w:rsid w:val="54810E66"/>
    <w:rsid w:val="54820D19"/>
    <w:rsid w:val="54C063E4"/>
    <w:rsid w:val="54C2556E"/>
    <w:rsid w:val="54E85C1C"/>
    <w:rsid w:val="551D6CB2"/>
    <w:rsid w:val="55480EEF"/>
    <w:rsid w:val="569B7F91"/>
    <w:rsid w:val="56D21BED"/>
    <w:rsid w:val="572651B2"/>
    <w:rsid w:val="573214BA"/>
    <w:rsid w:val="57AE5C26"/>
    <w:rsid w:val="57DD75A9"/>
    <w:rsid w:val="5801059F"/>
    <w:rsid w:val="58256ABD"/>
    <w:rsid w:val="588C567D"/>
    <w:rsid w:val="58C27FDB"/>
    <w:rsid w:val="59472AC7"/>
    <w:rsid w:val="59D514A6"/>
    <w:rsid w:val="59EC6E09"/>
    <w:rsid w:val="5AB343F7"/>
    <w:rsid w:val="5ABF50F2"/>
    <w:rsid w:val="5AF25D13"/>
    <w:rsid w:val="5AF76904"/>
    <w:rsid w:val="5B052E7A"/>
    <w:rsid w:val="5B3D7F7E"/>
    <w:rsid w:val="5B423835"/>
    <w:rsid w:val="5B7C7777"/>
    <w:rsid w:val="5BEC6771"/>
    <w:rsid w:val="5CA506B9"/>
    <w:rsid w:val="5CF74CE4"/>
    <w:rsid w:val="5D5A7C63"/>
    <w:rsid w:val="5D816970"/>
    <w:rsid w:val="5E256F6F"/>
    <w:rsid w:val="5F6044F5"/>
    <w:rsid w:val="5F6235A9"/>
    <w:rsid w:val="5F992EE3"/>
    <w:rsid w:val="6007737E"/>
    <w:rsid w:val="60DC439E"/>
    <w:rsid w:val="60FF244D"/>
    <w:rsid w:val="610A2A24"/>
    <w:rsid w:val="614125C2"/>
    <w:rsid w:val="61AA1D1F"/>
    <w:rsid w:val="624C5C52"/>
    <w:rsid w:val="63041F5D"/>
    <w:rsid w:val="63DF08E4"/>
    <w:rsid w:val="6420542D"/>
    <w:rsid w:val="64B27796"/>
    <w:rsid w:val="64B85314"/>
    <w:rsid w:val="64C04AFD"/>
    <w:rsid w:val="655B219F"/>
    <w:rsid w:val="661A7B69"/>
    <w:rsid w:val="66455323"/>
    <w:rsid w:val="664909C1"/>
    <w:rsid w:val="66635AE4"/>
    <w:rsid w:val="66C63EB5"/>
    <w:rsid w:val="67592674"/>
    <w:rsid w:val="679461D3"/>
    <w:rsid w:val="67AE1127"/>
    <w:rsid w:val="6858287E"/>
    <w:rsid w:val="68593A1E"/>
    <w:rsid w:val="68C04D52"/>
    <w:rsid w:val="68D33DE9"/>
    <w:rsid w:val="69157114"/>
    <w:rsid w:val="691A443E"/>
    <w:rsid w:val="69E203A0"/>
    <w:rsid w:val="6A5B6D7D"/>
    <w:rsid w:val="6A765FBC"/>
    <w:rsid w:val="6A80097A"/>
    <w:rsid w:val="6A80735F"/>
    <w:rsid w:val="6AC17181"/>
    <w:rsid w:val="6ACC5E47"/>
    <w:rsid w:val="6AD43ED1"/>
    <w:rsid w:val="6B11024D"/>
    <w:rsid w:val="6B7D5B36"/>
    <w:rsid w:val="6BDC36E0"/>
    <w:rsid w:val="6C811BF6"/>
    <w:rsid w:val="6C834DAA"/>
    <w:rsid w:val="6C993CCE"/>
    <w:rsid w:val="6CF120A8"/>
    <w:rsid w:val="6D72413D"/>
    <w:rsid w:val="6DD47DFF"/>
    <w:rsid w:val="6DF30E56"/>
    <w:rsid w:val="6E5043E7"/>
    <w:rsid w:val="6F510D7F"/>
    <w:rsid w:val="6FF50B81"/>
    <w:rsid w:val="70330B9C"/>
    <w:rsid w:val="714213DD"/>
    <w:rsid w:val="717F272E"/>
    <w:rsid w:val="71ED6227"/>
    <w:rsid w:val="72783A23"/>
    <w:rsid w:val="728027C6"/>
    <w:rsid w:val="73D62FA6"/>
    <w:rsid w:val="73DC65DE"/>
    <w:rsid w:val="73FE7ACC"/>
    <w:rsid w:val="74556746"/>
    <w:rsid w:val="74743258"/>
    <w:rsid w:val="75232CEF"/>
    <w:rsid w:val="761B13C4"/>
    <w:rsid w:val="764B6A8A"/>
    <w:rsid w:val="76B42567"/>
    <w:rsid w:val="76C17E06"/>
    <w:rsid w:val="76CA67BD"/>
    <w:rsid w:val="770220DB"/>
    <w:rsid w:val="774E6400"/>
    <w:rsid w:val="775B0046"/>
    <w:rsid w:val="79700BEF"/>
    <w:rsid w:val="798D552B"/>
    <w:rsid w:val="79E72A13"/>
    <w:rsid w:val="7A090695"/>
    <w:rsid w:val="7A1D5951"/>
    <w:rsid w:val="7AD11CFB"/>
    <w:rsid w:val="7AE175F4"/>
    <w:rsid w:val="7B1163FA"/>
    <w:rsid w:val="7B417685"/>
    <w:rsid w:val="7B5220F0"/>
    <w:rsid w:val="7BA169C0"/>
    <w:rsid w:val="7BC55243"/>
    <w:rsid w:val="7C2F4A9A"/>
    <w:rsid w:val="7CAD595B"/>
    <w:rsid w:val="7CF65D07"/>
    <w:rsid w:val="7D2975D1"/>
    <w:rsid w:val="7D2F3083"/>
    <w:rsid w:val="7D906046"/>
    <w:rsid w:val="7DCC0CD6"/>
    <w:rsid w:val="7ECD405B"/>
    <w:rsid w:val="7EE822DB"/>
    <w:rsid w:val="7EF15125"/>
    <w:rsid w:val="7F7C6F68"/>
    <w:rsid w:val="7FED31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陌殇</cp:lastModifiedBy>
  <cp:lastPrinted>2024-02-23T04:31:00Z</cp:lastPrinted>
  <dcterms:modified xsi:type="dcterms:W3CDTF">2024-02-26T02:01:36Z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531AE4B6622D4723967B99278229DA90_13</vt:lpwstr>
  </property>
</Properties>
</file>