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p>
    <w:p>
      <w:pPr>
        <w:spacing w:line="700" w:lineRule="exact"/>
        <w:rPr>
          <w:rFonts w:eastAsia="黑体"/>
        </w:rPr>
      </w:pPr>
    </w:p>
    <w:p>
      <w:pPr>
        <w:spacing w:line="700" w:lineRule="exact"/>
        <w:rPr>
          <w:rFonts w:hint="default" w:ascii="Times New Roman" w:hAnsi="Times New Roman" w:eastAsia="黑体" w:cs="Times New Roman"/>
        </w:rPr>
      </w:pPr>
    </w:p>
    <w:p>
      <w:pPr>
        <w:spacing w:line="700" w:lineRule="exact"/>
        <w:rPr>
          <w:rFonts w:hint="default" w:ascii="Times New Roman" w:hAnsi="Times New Roman" w:eastAsia="黑体" w:cs="Times New Roman"/>
        </w:rPr>
      </w:pP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吉林省统计局延边州农村社会经济调查队</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年单位预算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r>
        <w:rPr>
          <w:rFonts w:hint="eastAsia" w:eastAsia="华文细黑"/>
        </w:rPr>
        <w:t>二</w:t>
      </w:r>
      <w:r>
        <w:rPr>
          <w:rFonts w:eastAsia="华文细黑"/>
        </w:rPr>
        <w:t>月</w:t>
      </w:r>
      <w:r>
        <w:rPr>
          <w:rFonts w:hint="eastAsia" w:eastAsia="华文细黑"/>
        </w:rPr>
        <w:t>二十</w:t>
      </w:r>
      <w:r>
        <w:rPr>
          <w:rFonts w:hint="eastAsia" w:eastAsia="华文细黑"/>
          <w:lang w:eastAsia="zh-CN"/>
        </w:rPr>
        <w:t>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p>
    <w:p>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lang w:eastAsia="zh-CN"/>
        </w:rPr>
        <w:t>预算</w:t>
      </w:r>
      <w:r>
        <w:rPr>
          <w:rFonts w:hint="eastAsia"/>
        </w:rPr>
        <w:t>总</w:t>
      </w:r>
      <w:r>
        <w:t>表</w:t>
      </w:r>
    </w:p>
    <w:p>
      <w:pPr>
        <w:ind w:left="320" w:leftChars="100" w:firstLine="320" w:firstLineChars="100"/>
      </w:pPr>
      <w:r>
        <w:t>二、收入</w:t>
      </w:r>
      <w:r>
        <w:rPr>
          <w:rFonts w:hint="eastAsia"/>
          <w:lang w:eastAsia="zh-CN"/>
        </w:rPr>
        <w:t>预算</w:t>
      </w:r>
      <w:r>
        <w:rPr>
          <w:rFonts w:hint="eastAsia"/>
        </w:rPr>
        <w:t>总</w:t>
      </w:r>
      <w:r>
        <w:t>表</w:t>
      </w:r>
    </w:p>
    <w:p>
      <w:pPr>
        <w:ind w:left="320" w:leftChars="100" w:firstLine="320" w:firstLineChars="100"/>
      </w:pPr>
      <w:r>
        <w:t>三、支出</w:t>
      </w:r>
      <w:r>
        <w:rPr>
          <w:rFonts w:hint="eastAsia"/>
          <w:lang w:eastAsia="zh-CN"/>
        </w:rPr>
        <w:t>预算</w:t>
      </w:r>
      <w:r>
        <w:rPr>
          <w:rFonts w:hint="eastAsia"/>
        </w:rPr>
        <w:t>总</w:t>
      </w:r>
      <w:r>
        <w:t>表</w:t>
      </w:r>
    </w:p>
    <w:p>
      <w:pPr>
        <w:ind w:left="320" w:leftChars="100" w:firstLine="320" w:firstLineChars="100"/>
      </w:pPr>
      <w:r>
        <w:t>四、财政拨款收支</w:t>
      </w:r>
      <w:r>
        <w:rPr>
          <w:rFonts w:hint="eastAsia"/>
          <w:lang w:eastAsia="zh-CN"/>
        </w:rPr>
        <w:t>预算</w:t>
      </w:r>
      <w:r>
        <w:rPr>
          <w:rFonts w:hint="eastAsia"/>
        </w:rPr>
        <w:t>总</w:t>
      </w:r>
      <w:r>
        <w:t>表</w:t>
      </w:r>
    </w:p>
    <w:p>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pPr>
        <w:ind w:left="320" w:leftChars="100" w:firstLine="320" w:firstLineChars="100"/>
      </w:pPr>
      <w:r>
        <w:t>七、一般公共预算“三公”经费支出</w:t>
      </w:r>
      <w:r>
        <w:rPr>
          <w:rFonts w:hint="eastAsia"/>
          <w:lang w:eastAsia="zh-CN"/>
        </w:rPr>
        <w:t>预算</w:t>
      </w:r>
      <w:r>
        <w:t>表</w:t>
      </w:r>
    </w:p>
    <w:p>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pPr>
        <w:ind w:left="320" w:leftChars="100" w:firstLine="320" w:firstLineChars="100"/>
      </w:pPr>
      <w:r>
        <w:rPr>
          <w:rFonts w:hint="eastAsia"/>
        </w:rPr>
        <w:t>九、国有资本经营</w:t>
      </w:r>
      <w:r>
        <w:t>预算支出</w:t>
      </w:r>
      <w:r>
        <w:rPr>
          <w:rFonts w:hint="eastAsia"/>
          <w:lang w:eastAsia="zh-CN"/>
        </w:rPr>
        <w:t>预算</w:t>
      </w:r>
      <w:r>
        <w:t>表</w:t>
      </w:r>
    </w:p>
    <w:p>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pPr>
        <w:ind w:left="320" w:leftChars="100" w:firstLine="320" w:firstLineChars="100"/>
        <w:rPr>
          <w:rFonts w:hint="eastAsia" w:eastAsia="仿宋_GB2312"/>
          <w:lang w:eastAsia="zh-CN"/>
        </w:rPr>
      </w:pPr>
      <w:r>
        <w:rPr>
          <w:rFonts w:hint="eastAsia"/>
          <w:lang w:eastAsia="zh-CN"/>
        </w:rPr>
        <w:t>十一、财政拨款委托业务费支出预算表</w:t>
      </w:r>
    </w:p>
    <w:p>
      <w:pPr>
        <w:ind w:firstLine="640" w:firstLineChars="200"/>
        <w:rPr>
          <w:rFonts w:hint="eastAsia"/>
        </w:rPr>
      </w:pPr>
      <w:r>
        <w:rPr>
          <w:rFonts w:hint="eastAsia"/>
        </w:rPr>
        <w:t>十</w:t>
      </w:r>
      <w:r>
        <w:rPr>
          <w:rFonts w:hint="eastAsia"/>
          <w:lang w:eastAsia="zh-CN"/>
        </w:rPr>
        <w:t>二</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楷体_GB2312"/>
        </w:rPr>
      </w:pPr>
      <w:r>
        <w:rPr>
          <w:rFonts w:eastAsia="黑体"/>
        </w:rPr>
        <w:t xml:space="preserve">第一部分 </w:t>
      </w:r>
      <w:r>
        <w:rPr>
          <w:rFonts w:hint="eastAsia" w:eastAsia="黑体"/>
          <w:lang w:eastAsia="zh-CN"/>
        </w:rPr>
        <w:t>单位</w:t>
      </w:r>
      <w:r>
        <w:rPr>
          <w:rFonts w:eastAsia="黑体"/>
        </w:rPr>
        <w:t>概况</w:t>
      </w:r>
    </w:p>
    <w:p>
      <w:pPr>
        <w:ind w:firstLine="640" w:firstLineChars="200"/>
        <w:rPr>
          <w:rFonts w:eastAsia="楷体_GB2312"/>
        </w:rPr>
      </w:pPr>
      <w:r>
        <w:rPr>
          <w:rFonts w:eastAsia="楷体_GB2312"/>
        </w:rPr>
        <w:t>一、主要职能</w:t>
      </w:r>
    </w:p>
    <w:p>
      <w:pPr>
        <w:ind w:firstLine="640" w:firstLineChars="200"/>
        <w:rPr>
          <w:rFonts w:hint="eastAsia"/>
          <w:kern w:val="0"/>
          <w:szCs w:val="32"/>
        </w:rPr>
      </w:pPr>
      <w:r>
        <w:rPr>
          <w:rFonts w:hint="eastAsia"/>
          <w:kern w:val="0"/>
          <w:szCs w:val="32"/>
        </w:rPr>
        <w:t>1.负责全州农村社会经济抽样调查和专项调查。</w:t>
      </w:r>
    </w:p>
    <w:p>
      <w:pPr>
        <w:ind w:firstLine="640" w:firstLineChars="200"/>
        <w:rPr>
          <w:rFonts w:hint="eastAsia"/>
          <w:kern w:val="0"/>
          <w:szCs w:val="32"/>
        </w:rPr>
      </w:pPr>
      <w:r>
        <w:rPr>
          <w:rFonts w:hint="eastAsia"/>
          <w:kern w:val="0"/>
          <w:szCs w:val="32"/>
        </w:rPr>
        <w:t>2.负责统计调查数据的收集、汇总、整理、分析和预测。</w:t>
      </w:r>
    </w:p>
    <w:p>
      <w:pPr>
        <w:ind w:firstLine="640" w:firstLineChars="200"/>
      </w:pPr>
      <w:r>
        <w:rPr>
          <w:rFonts w:eastAsia="楷体_GB2312"/>
        </w:rPr>
        <w:t>二、机构设置</w:t>
      </w:r>
    </w:p>
    <w:p>
      <w:pPr>
        <w:ind w:firstLine="640" w:firstLineChars="200"/>
        <w:rPr>
          <w:rFonts w:hint="eastAsia"/>
          <w:kern w:val="0"/>
          <w:szCs w:val="32"/>
        </w:rPr>
      </w:pPr>
      <w:r>
        <w:t>根据</w:t>
      </w:r>
      <w:r>
        <w:rPr>
          <w:rFonts w:hint="eastAsia"/>
        </w:rPr>
        <w:t>机构编制管理有关规定</w:t>
      </w:r>
      <w:r>
        <w:t>，</w:t>
      </w:r>
      <w:r>
        <w:rPr>
          <w:rFonts w:hint="eastAsia"/>
          <w:kern w:val="0"/>
          <w:szCs w:val="32"/>
        </w:rPr>
        <w:t>吉林省统计局延边州农村社会经济调查队不设置内设机构。吉林省统计局延边州农村社会经济调查队设2个派出机构，分别是吉林省统计局延边州农村社会经济调查队敦化分队、吉林省统计局延边州农村社会经济调查队龙井分队。</w:t>
      </w:r>
    </w:p>
    <w:p>
      <w:pPr>
        <w:ind w:firstLine="640" w:firstLineChars="200"/>
        <w:rPr>
          <w:rFonts w:hint="eastAsia"/>
          <w:kern w:val="0"/>
          <w:szCs w:val="32"/>
        </w:rPr>
      </w:pPr>
      <w:r>
        <w:rPr>
          <w:rFonts w:hint="eastAsia"/>
          <w:kern w:val="0"/>
          <w:szCs w:val="32"/>
        </w:rPr>
        <w:t>本单位无下设预算单位。</w:t>
      </w: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ind w:firstLine="640" w:firstLineChars="200"/>
        <w:rPr>
          <w:rFonts w:hint="eastAsia"/>
          <w:kern w:val="0"/>
          <w:szCs w:val="32"/>
        </w:rPr>
      </w:pPr>
    </w:p>
    <w:p>
      <w:pPr>
        <w:jc w:val="center"/>
        <w:rPr>
          <w:rFonts w:hint="default" w:ascii="Times New Roman" w:hAnsi="Times New Roman" w:eastAsia="黑体" w:cs="Times New Roman"/>
        </w:rPr>
      </w:pPr>
      <w:r>
        <w:rPr>
          <w:rFonts w:hint="default" w:ascii="Times New Roman" w:hAnsi="Times New Roman" w:eastAsia="黑体" w:cs="Times New Roman"/>
        </w:rPr>
        <w:t>第二部分 预算表格</w:t>
      </w:r>
    </w:p>
    <w:tbl>
      <w:tblPr>
        <w:tblStyle w:val="11"/>
        <w:tblpPr w:leftFromText="180" w:rightFromText="180" w:vertAnchor="text" w:horzAnchor="page" w:tblpX="1188" w:tblpY="1604"/>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1200"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2498" w:type="dxa"/>
            <w:gridSpan w:val="2"/>
            <w:tcBorders>
              <w:top w:val="nil"/>
              <w:left w:val="nil"/>
              <w:bottom w:val="nil"/>
              <w:right w:val="nil"/>
            </w:tcBorders>
            <w:noWrap w:val="0"/>
            <w:vAlign w:val="center"/>
          </w:tcPr>
          <w:p>
            <w:pPr>
              <w:widowControl/>
              <w:jc w:val="center"/>
              <w:rPr>
                <w:rFonts w:hint="default" w:ascii="Times New Roman" w:hAnsi="Times New Roman" w:eastAsia="宋体" w:cs="Times New Roman"/>
                <w:kern w:val="0"/>
                <w:sz w:val="20"/>
              </w:rPr>
            </w:pPr>
          </w:p>
        </w:tc>
        <w:tc>
          <w:tcPr>
            <w:tcW w:w="2340" w:type="dxa"/>
            <w:gridSpan w:val="3"/>
            <w:tcBorders>
              <w:top w:val="nil"/>
              <w:left w:val="nil"/>
              <w:bottom w:val="nil"/>
              <w:right w:val="nil"/>
            </w:tcBorders>
            <w:noWrap w:val="0"/>
            <w:vAlign w:val="bottom"/>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单位：万元</w:t>
            </w:r>
          </w:p>
        </w:tc>
      </w:tr>
      <w:tr>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98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c>
          <w:tcPr>
            <w:tcW w:w="13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结转</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一、财政拨款收入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154.25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136.33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17.92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color w:val="000000"/>
                <w:kern w:val="0"/>
                <w:sz w:val="20"/>
              </w:rPr>
              <w:t>一、一般公共服务</w:t>
            </w:r>
            <w:r>
              <w:rPr>
                <w:rFonts w:hint="default" w:ascii="Times New Roman" w:hAnsi="Times New Roman" w:eastAsia="宋体" w:cs="Times New Roman"/>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116.01</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98.15</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17.86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一般公共预算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154.25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136.33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17.92</w:t>
            </w: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sz w:val="20"/>
              </w:rPr>
              <w:t>二、</w:t>
            </w:r>
            <w:r>
              <w:rPr>
                <w:rFonts w:hint="default" w:ascii="Times New Roman" w:hAnsi="Times New Roman" w:eastAsia="宋体" w:cs="Times New Roman"/>
                <w:color w:val="000000"/>
                <w:sz w:val="20"/>
                <w:lang w:eastAsia="zh-CN"/>
              </w:rPr>
              <w:t>社会保障和就业</w:t>
            </w:r>
            <w:r>
              <w:rPr>
                <w:rFonts w:hint="default" w:ascii="Times New Roman" w:hAnsi="Times New Roman" w:eastAsia="宋体" w:cs="Times New Roman"/>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21.46</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21.40</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0.06</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政府性基金预算</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sz w:val="20"/>
              </w:rPr>
              <w:t>三、</w:t>
            </w:r>
            <w:r>
              <w:rPr>
                <w:rFonts w:hint="default" w:ascii="Times New Roman" w:hAnsi="Times New Roman" w:eastAsia="宋体" w:cs="Times New Roman"/>
                <w:color w:val="000000"/>
                <w:sz w:val="20"/>
                <w:lang w:eastAsia="zh-CN"/>
              </w:rPr>
              <w:t>卫生健康</w:t>
            </w:r>
            <w:r>
              <w:rPr>
                <w:rFonts w:hint="default" w:ascii="Times New Roman" w:hAnsi="Times New Roman" w:eastAsia="宋体" w:cs="Times New Roman"/>
                <w:color w:val="00000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6.31</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6.31</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国有资本经营预算拨款收入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10.47</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10.47</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二、财政专户管理</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三、单位资金收入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事业收入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45" w:hRule="atLeast"/>
        </w:trPr>
        <w:tc>
          <w:tcPr>
            <w:tcW w:w="1932"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宋体" w:cs="Times New Roman"/>
                <w:sz w:val="20"/>
              </w:rPr>
            </w:pPr>
            <w:r>
              <w:rPr>
                <w:rFonts w:hint="default" w:ascii="Times New Roman" w:hAnsi="Times New Roman" w:eastAsia="宋体" w:cs="Times New Roman"/>
                <w:sz w:val="20"/>
              </w:rPr>
              <w:t>事业单位经营收入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上级补助收入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附属单位上缴收入</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其他收入</w:t>
            </w:r>
          </w:p>
        </w:tc>
        <w:tc>
          <w:tcPr>
            <w:tcW w:w="1020" w:type="dxa"/>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ajorEastAsia"/>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ajorEastAsia"/>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ajorEastAsia"/>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本年收入</w:t>
            </w:r>
            <w:r>
              <w:rPr>
                <w:rFonts w:hint="default" w:ascii="Times New Roman" w:hAnsi="Times New Roman" w:eastAsia="宋体" w:cs="Times New Roman"/>
                <w:b/>
                <w:bCs/>
                <w:kern w:val="0"/>
                <w:sz w:val="20"/>
                <w:lang w:val="en-US" w:eastAsia="zh-CN"/>
              </w:rPr>
              <w:t xml:space="preserve">         </w:t>
            </w:r>
            <w:r>
              <w:rPr>
                <w:rFonts w:hint="default" w:ascii="Times New Roman" w:hAnsi="Times New Roman" w:eastAsia="宋体" w:cs="Times New Roman"/>
                <w:b/>
                <w:bCs/>
                <w:kern w:val="0"/>
                <w:sz w:val="20"/>
              </w:rPr>
              <w:t>合计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154.25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136.33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17.92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rPr>
            </w:pPr>
            <w:r>
              <w:rPr>
                <w:rFonts w:hint="default" w:ascii="Times New Roman" w:hAnsi="Times New Roman" w:eastAsia="宋体" w:cs="Times New Roman"/>
                <w:b/>
                <w:bCs/>
                <w:kern w:val="0"/>
                <w:sz w:val="20"/>
              </w:rPr>
              <w:t>本年支出</w:t>
            </w:r>
            <w:r>
              <w:rPr>
                <w:rFonts w:hint="default" w:ascii="Times New Roman" w:hAnsi="Times New Roman" w:eastAsia="宋体" w:cs="Times New Roman"/>
                <w:b/>
                <w:bCs/>
                <w:kern w:val="0"/>
                <w:sz w:val="20"/>
                <w:lang w:val="en-US" w:eastAsia="zh-CN"/>
              </w:rPr>
              <w:t xml:space="preserve">  </w:t>
            </w:r>
            <w:r>
              <w:rPr>
                <w:rFonts w:hint="default" w:ascii="Times New Roman" w:hAnsi="Times New Roman" w:eastAsia="宋体" w:cs="Times New Roman"/>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154.25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136.33</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17.92</w:t>
            </w: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rPr>
              <w:t>财政拨款结转</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结转下年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宋体" w:cs="Times New Roman"/>
                <w:sz w:val="20"/>
                <w:lang w:eastAsia="zh-CN"/>
              </w:rPr>
              <w:t>非财政拨款</w:t>
            </w:r>
            <w:r>
              <w:rPr>
                <w:rFonts w:hint="default" w:ascii="Times New Roman" w:hAnsi="Times New Roman" w:eastAsia="宋体" w:cs="Times New Roman"/>
                <w:sz w:val="20"/>
                <w:lang w:val="en-US" w:eastAsia="zh-CN"/>
              </w:rPr>
              <w:t xml:space="preserve">      </w:t>
            </w:r>
            <w:r>
              <w:rPr>
                <w:rFonts w:hint="default" w:ascii="Times New Roman" w:hAnsi="Times New Roman" w:eastAsia="宋体" w:cs="Times New Roman"/>
                <w:sz w:val="20"/>
              </w:rPr>
              <w:t>结转结余</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rPr>
            </w:pP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ajorEastAsia"/>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p>
        </w:tc>
      </w:tr>
      <w:tr>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0"/>
              </w:rPr>
            </w:pPr>
            <w:r>
              <w:rPr>
                <w:rFonts w:hint="default" w:ascii="Times New Roman" w:hAnsi="Times New Roman" w:eastAsia="黑体" w:cs="Times New Roman"/>
                <w:b/>
                <w:bCs/>
                <w:kern w:val="0"/>
                <w:sz w:val="20"/>
              </w:rPr>
              <w:t>收入总计</w:t>
            </w:r>
          </w:p>
        </w:tc>
        <w:tc>
          <w:tcPr>
            <w:tcW w:w="102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154.25</w:t>
            </w:r>
          </w:p>
        </w:tc>
        <w:tc>
          <w:tcPr>
            <w:tcW w:w="9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136.33</w:t>
            </w:r>
          </w:p>
        </w:tc>
        <w:tc>
          <w:tcPr>
            <w:tcW w:w="1134" w:type="dxa"/>
            <w:tcBorders>
              <w:top w:val="nil"/>
              <w:left w:val="single" w:color="auto" w:sz="4" w:space="0"/>
              <w:bottom w:val="single" w:color="auto" w:sz="4" w:space="0"/>
              <w:right w:val="nil"/>
            </w:tcBorders>
            <w:noWrap w:val="0"/>
            <w:vAlign w:val="center"/>
          </w:tcPr>
          <w:p>
            <w:pPr>
              <w:widowControl/>
              <w:jc w:val="right"/>
              <w:rPr>
                <w:rFonts w:hint="default" w:ascii="Times New Roman" w:hAnsi="Times New Roman" w:cs="Times New Roman" w:eastAsiaTheme="majorEastAsia"/>
                <w:kern w:val="0"/>
                <w:sz w:val="20"/>
                <w:lang w:val="en-US" w:eastAsia="zh-CN" w:bidi="ar-SA"/>
              </w:rPr>
            </w:pPr>
            <w:r>
              <w:rPr>
                <w:rFonts w:hint="default" w:ascii="Times New Roman" w:hAnsi="Times New Roman" w:cs="Times New Roman" w:eastAsiaTheme="majorEastAsia"/>
                <w:kern w:val="0"/>
                <w:sz w:val="20"/>
                <w:lang w:val="en-US" w:eastAsia="zh-CN"/>
              </w:rPr>
              <w:t>17.92</w:t>
            </w: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黑体" w:cs="Times New Roman"/>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154.25</w:t>
            </w:r>
          </w:p>
        </w:tc>
        <w:tc>
          <w:tcPr>
            <w:tcW w:w="118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136.33</w:t>
            </w:r>
          </w:p>
        </w:tc>
        <w:tc>
          <w:tcPr>
            <w:tcW w:w="11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17.92</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trike/>
        </w:rPr>
      </w:pPr>
      <w:r>
        <w:rPr>
          <w:rFonts w:hint="default" w:ascii="Times New Roman" w:hAnsi="Times New Roman" w:eastAsia="方正小标宋简体" w:cs="Times New Roman"/>
          <w:kern w:val="0"/>
          <w:sz w:val="44"/>
          <w:szCs w:val="44"/>
        </w:rPr>
        <w:t>收支</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p>
      <w:pPr>
        <w:ind w:firstLine="640" w:firstLineChars="200"/>
        <w:rPr>
          <w:rFonts w:hint="default" w:ascii="Times New Roman" w:hAnsi="Times New Roman" w:eastAsia="楷体_GB2312" w:cs="Times New Roman"/>
        </w:rPr>
      </w:pPr>
    </w:p>
    <w:p>
      <w:pPr>
        <w:rPr>
          <w:rFonts w:hAnsi="楷体" w:eastAsia="楷体"/>
        </w:rPr>
      </w:pPr>
    </w:p>
    <w:p>
      <w:pPr>
        <w:jc w:val="center"/>
        <w:rPr>
          <w:rFonts w:hint="default" w:ascii="Times New Roman" w:hAnsi="Times New Roman" w:eastAsia="方正小标宋简体" w:cs="Times New Roman"/>
          <w:sz w:val="44"/>
        </w:rPr>
      </w:pPr>
      <w:r>
        <w:rPr>
          <w:rFonts w:hAnsi="楷体" w:eastAsia="楷体"/>
        </w:rPr>
        <w:br w:type="page"/>
      </w:r>
      <w:r>
        <w:rPr>
          <w:rFonts w:hint="default" w:ascii="Times New Roman" w:hAnsi="Times New Roman" w:eastAsia="方正小标宋简体" w:cs="Times New Roman"/>
          <w:sz w:val="44"/>
        </w:rPr>
        <w:t>收入</w:t>
      </w:r>
      <w:r>
        <w:rPr>
          <w:rFonts w:hint="default" w:ascii="Times New Roman" w:hAnsi="Times New Roman" w:eastAsia="方正小标宋简体" w:cs="Times New Roman"/>
          <w:sz w:val="44"/>
          <w:lang w:eastAsia="zh-CN"/>
        </w:rPr>
        <w:t>预算</w:t>
      </w:r>
      <w:r>
        <w:rPr>
          <w:rFonts w:hint="default" w:ascii="Times New Roman" w:hAnsi="Times New Roman" w:eastAsia="方正小标宋简体" w:cs="Times New Roman"/>
          <w:sz w:val="44"/>
        </w:rPr>
        <w:t>总表</w:t>
      </w:r>
    </w:p>
    <w:tbl>
      <w:tblPr>
        <w:tblStyle w:val="11"/>
        <w:tblW w:w="10568" w:type="dxa"/>
        <w:jc w:val="center"/>
        <w:tblLayout w:type="fixed"/>
        <w:tblCellMar>
          <w:top w:w="0" w:type="dxa"/>
          <w:left w:w="108" w:type="dxa"/>
          <w:bottom w:w="0" w:type="dxa"/>
          <w:right w:w="108" w:type="dxa"/>
        </w:tblCellMar>
      </w:tblPr>
      <w:tblGrid>
        <w:gridCol w:w="1250"/>
        <w:gridCol w:w="885"/>
        <w:gridCol w:w="902"/>
        <w:gridCol w:w="938"/>
        <w:gridCol w:w="315"/>
        <w:gridCol w:w="330"/>
        <w:gridCol w:w="425"/>
        <w:gridCol w:w="405"/>
        <w:gridCol w:w="390"/>
        <w:gridCol w:w="325"/>
        <w:gridCol w:w="360"/>
        <w:gridCol w:w="360"/>
        <w:gridCol w:w="780"/>
        <w:gridCol w:w="236"/>
        <w:gridCol w:w="484"/>
        <w:gridCol w:w="61"/>
        <w:gridCol w:w="327"/>
        <w:gridCol w:w="123"/>
        <w:gridCol w:w="298"/>
        <w:gridCol w:w="646"/>
        <w:gridCol w:w="667"/>
        <w:gridCol w:w="61"/>
      </w:tblGrid>
      <w:tr>
        <w:tblPrEx>
          <w:tblCellMar>
            <w:top w:w="0" w:type="dxa"/>
            <w:left w:w="108" w:type="dxa"/>
            <w:bottom w:w="0" w:type="dxa"/>
            <w:right w:w="108" w:type="dxa"/>
          </w:tblCellMar>
        </w:tblPrEx>
        <w:trPr>
          <w:trHeight w:val="335" w:hRule="atLeast"/>
          <w:jc w:val="center"/>
        </w:trPr>
        <w:tc>
          <w:tcPr>
            <w:tcW w:w="1250" w:type="dxa"/>
            <w:tcBorders>
              <w:bottom w:val="single" w:color="000000" w:sz="4" w:space="0"/>
            </w:tcBorders>
            <w:noWrap w:val="0"/>
            <w:vAlign w:val="top"/>
          </w:tcPr>
          <w:p>
            <w:pPr>
              <w:autoSpaceDN w:val="0"/>
              <w:jc w:val="left"/>
              <w:textAlignment w:val="center"/>
              <w:rPr>
                <w:rFonts w:hint="default" w:ascii="Times New Roman" w:hAnsi="Times New Roman" w:eastAsia="华文细黑" w:cs="Times New Roman"/>
                <w:color w:val="000000"/>
                <w:sz w:val="20"/>
              </w:rPr>
            </w:pPr>
          </w:p>
        </w:tc>
        <w:tc>
          <w:tcPr>
            <w:tcW w:w="5635" w:type="dxa"/>
            <w:gridSpan w:val="11"/>
            <w:tcBorders>
              <w:bottom w:val="single" w:color="000000" w:sz="4" w:space="0"/>
            </w:tcBorders>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780" w:type="dxa"/>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236" w:type="dxa"/>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545" w:type="dxa"/>
            <w:gridSpan w:val="2"/>
            <w:noWrap w:val="0"/>
            <w:vAlign w:val="center"/>
          </w:tcPr>
          <w:p>
            <w:pPr>
              <w:autoSpaceDN w:val="0"/>
              <w:jc w:val="left"/>
              <w:textAlignment w:val="center"/>
              <w:rPr>
                <w:rFonts w:hint="default" w:ascii="Times New Roman" w:hAnsi="Times New Roman" w:eastAsia="华文细黑" w:cs="Times New Roman"/>
                <w:color w:val="000000"/>
                <w:sz w:val="20"/>
              </w:rPr>
            </w:pPr>
          </w:p>
        </w:tc>
        <w:tc>
          <w:tcPr>
            <w:tcW w:w="450" w:type="dxa"/>
            <w:gridSpan w:val="2"/>
            <w:noWrap w:val="0"/>
            <w:vAlign w:val="bottom"/>
          </w:tcPr>
          <w:p>
            <w:pPr>
              <w:autoSpaceDN w:val="0"/>
              <w:jc w:val="right"/>
              <w:textAlignment w:val="bottom"/>
              <w:rPr>
                <w:rFonts w:hint="default" w:ascii="Times New Roman" w:hAnsi="Times New Roman" w:eastAsia="宋体" w:cs="Times New Roman"/>
                <w:color w:val="000000"/>
                <w:sz w:val="20"/>
              </w:rPr>
            </w:pPr>
          </w:p>
        </w:tc>
        <w:tc>
          <w:tcPr>
            <w:tcW w:w="1672" w:type="dxa"/>
            <w:gridSpan w:val="4"/>
            <w:noWrap w:val="0"/>
            <w:vAlign w:val="bottom"/>
          </w:tcPr>
          <w:p>
            <w:pPr>
              <w:wordWrap/>
              <w:autoSpaceDN w:val="0"/>
              <w:jc w:val="right"/>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单位：万元</w:t>
            </w:r>
          </w:p>
        </w:tc>
      </w:tr>
      <w:tr>
        <w:tblPrEx>
          <w:tblCellMar>
            <w:top w:w="0" w:type="dxa"/>
            <w:left w:w="108" w:type="dxa"/>
            <w:bottom w:w="0" w:type="dxa"/>
            <w:right w:w="108" w:type="dxa"/>
          </w:tblCellMar>
        </w:tblPrEx>
        <w:trPr>
          <w:gridAfter w:val="1"/>
          <w:wAfter w:w="61" w:type="dxa"/>
          <w:trHeight w:val="517" w:hRule="atLeast"/>
          <w:jc w:val="center"/>
        </w:trPr>
        <w:tc>
          <w:tcPr>
            <w:tcW w:w="1250" w:type="dxa"/>
            <w:vMerge w:val="restart"/>
            <w:tcBorders>
              <w:left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部门（单位）名称</w:t>
            </w:r>
          </w:p>
        </w:tc>
        <w:tc>
          <w:tcPr>
            <w:tcW w:w="885"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总计</w:t>
            </w:r>
          </w:p>
        </w:tc>
        <w:tc>
          <w:tcPr>
            <w:tcW w:w="4750" w:type="dxa"/>
            <w:gridSpan w:val="10"/>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lang w:eastAsia="zh-CN"/>
              </w:rPr>
              <w:t>本年预算</w:t>
            </w:r>
          </w:p>
        </w:tc>
        <w:tc>
          <w:tcPr>
            <w:tcW w:w="3622" w:type="dxa"/>
            <w:gridSpan w:val="9"/>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上年结转结余</w:t>
            </w:r>
          </w:p>
        </w:tc>
      </w:tr>
      <w:tr>
        <w:tblPrEx>
          <w:tblCellMar>
            <w:top w:w="0" w:type="dxa"/>
            <w:left w:w="108" w:type="dxa"/>
            <w:bottom w:w="0" w:type="dxa"/>
            <w:right w:w="108" w:type="dxa"/>
          </w:tblCellMar>
        </w:tblPrEx>
        <w:trPr>
          <w:gridAfter w:val="1"/>
          <w:wAfter w:w="61" w:type="dxa"/>
          <w:trHeight w:val="517" w:hRule="atLeast"/>
          <w:jc w:val="center"/>
        </w:trPr>
        <w:tc>
          <w:tcPr>
            <w:tcW w:w="1250" w:type="dxa"/>
            <w:vMerge w:val="continue"/>
            <w:tcBorders>
              <w:left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000000"/>
                <w:sz w:val="20"/>
                <w:lang w:eastAsia="zh-CN"/>
              </w:rPr>
            </w:pPr>
          </w:p>
        </w:tc>
        <w:tc>
          <w:tcPr>
            <w:tcW w:w="885"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p>
        </w:tc>
        <w:tc>
          <w:tcPr>
            <w:tcW w:w="902"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83" w:type="dxa"/>
            <w:gridSpan w:val="3"/>
            <w:tcBorders>
              <w:top w:val="single" w:color="000000" w:sz="4" w:space="0"/>
              <w:left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财政拨款收入</w:t>
            </w:r>
          </w:p>
        </w:tc>
        <w:tc>
          <w:tcPr>
            <w:tcW w:w="425" w:type="dxa"/>
            <w:vMerge w:val="restart"/>
            <w:tcBorders>
              <w:top w:val="single" w:color="000000" w:sz="4" w:space="0"/>
              <w:left w:val="single" w:color="auto"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财政专户管理资金收入</w:t>
            </w:r>
          </w:p>
        </w:tc>
        <w:tc>
          <w:tcPr>
            <w:tcW w:w="1840" w:type="dxa"/>
            <w:gridSpan w:val="5"/>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单位资</w:t>
            </w:r>
            <w:r>
              <w:rPr>
                <w:rFonts w:hint="default" w:ascii="Times New Roman" w:hAnsi="Times New Roman" w:eastAsia="宋体" w:cs="Times New Roman"/>
                <w:color w:val="000000"/>
                <w:sz w:val="20"/>
                <w:lang w:val="en-US" w:eastAsia="zh-CN"/>
              </w:rPr>
              <w:t xml:space="preserve">            </w:t>
            </w:r>
            <w:r>
              <w:rPr>
                <w:rFonts w:hint="default" w:ascii="Times New Roman" w:hAnsi="Times New Roman" w:eastAsia="宋体" w:cs="Times New Roman"/>
                <w:color w:val="000000"/>
                <w:sz w:val="20"/>
                <w:lang w:eastAsia="zh-CN"/>
              </w:rPr>
              <w:t>金收入</w:t>
            </w:r>
          </w:p>
        </w:tc>
        <w:tc>
          <w:tcPr>
            <w:tcW w:w="780" w:type="dxa"/>
            <w:vMerge w:val="restart"/>
            <w:tcBorders>
              <w:top w:val="single" w:color="000000" w:sz="4" w:space="0"/>
              <w:left w:val="single" w:color="000000" w:sz="4" w:space="0"/>
              <w:right w:val="single" w:color="auto" w:sz="4" w:space="0"/>
            </w:tcBorders>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合计</w:t>
            </w:r>
          </w:p>
        </w:tc>
        <w:tc>
          <w:tcPr>
            <w:tcW w:w="1529" w:type="dxa"/>
            <w:gridSpan w:val="6"/>
            <w:tcBorders>
              <w:top w:val="single" w:color="000000" w:sz="4" w:space="0"/>
              <w:left w:val="single" w:color="auto" w:sz="4" w:space="0"/>
              <w:right w:val="single" w:color="auto"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财政拨</w:t>
            </w:r>
            <w:r>
              <w:rPr>
                <w:rFonts w:hint="default" w:ascii="Times New Roman" w:hAnsi="Times New Roman" w:eastAsia="宋体" w:cs="Times New Roman"/>
                <w:color w:val="000000"/>
                <w:sz w:val="20"/>
                <w:lang w:val="en-US" w:eastAsia="zh-CN"/>
              </w:rPr>
              <w:t xml:space="preserve"> </w:t>
            </w:r>
            <w:r>
              <w:rPr>
                <w:rFonts w:hint="default" w:ascii="Times New Roman" w:hAnsi="Times New Roman" w:eastAsia="宋体" w:cs="Times New Roman"/>
                <w:color w:val="000000"/>
                <w:sz w:val="20"/>
                <w:lang w:eastAsia="zh-CN"/>
              </w:rPr>
              <w:t>款结转</w:t>
            </w:r>
          </w:p>
        </w:tc>
        <w:tc>
          <w:tcPr>
            <w:tcW w:w="1313" w:type="dxa"/>
            <w:gridSpan w:val="2"/>
            <w:tcBorders>
              <w:top w:val="single" w:color="000000"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eastAsia="宋体" w:cs="Times New Roman"/>
                <w:color w:val="000000"/>
                <w:sz w:val="20"/>
                <w:lang w:eastAsia="zh-CN"/>
              </w:rPr>
              <w:t>非财政拨款结转结余</w:t>
            </w:r>
          </w:p>
        </w:tc>
      </w:tr>
      <w:tr>
        <w:tblPrEx>
          <w:tblCellMar>
            <w:top w:w="0" w:type="dxa"/>
            <w:left w:w="108" w:type="dxa"/>
            <w:bottom w:w="0" w:type="dxa"/>
            <w:right w:w="108" w:type="dxa"/>
          </w:tblCellMar>
        </w:tblPrEx>
        <w:trPr>
          <w:gridAfter w:val="1"/>
          <w:wAfter w:w="61" w:type="dxa"/>
          <w:trHeight w:val="2818" w:hRule="atLeast"/>
          <w:jc w:val="center"/>
        </w:trPr>
        <w:tc>
          <w:tcPr>
            <w:tcW w:w="1250" w:type="dxa"/>
            <w:vMerge w:val="continue"/>
            <w:tcBorders>
              <w:left w:val="single" w:color="000000" w:sz="4" w:space="0"/>
              <w:bottom w:val="single" w:color="000000" w:sz="4" w:space="0"/>
              <w:right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85"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90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938"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一般公共预算收入</w:t>
            </w:r>
          </w:p>
        </w:tc>
        <w:tc>
          <w:tcPr>
            <w:tcW w:w="315" w:type="dxa"/>
            <w:tcBorders>
              <w:top w:val="single" w:color="000000" w:sz="4" w:space="0"/>
              <w:left w:val="single" w:color="000000" w:sz="4" w:space="0"/>
              <w:bottom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国有资本经营预算收入</w:t>
            </w:r>
          </w:p>
        </w:tc>
        <w:tc>
          <w:tcPr>
            <w:tcW w:w="42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事业收入</w:t>
            </w: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事业单位经营收入</w:t>
            </w: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附属单位上缴收入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其他收入</w:t>
            </w:r>
          </w:p>
        </w:tc>
        <w:tc>
          <w:tcPr>
            <w:tcW w:w="78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p>
        </w:tc>
        <w:tc>
          <w:tcPr>
            <w:tcW w:w="720"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一般公共预算拨款结转</w:t>
            </w:r>
          </w:p>
        </w:tc>
        <w:tc>
          <w:tcPr>
            <w:tcW w:w="388"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政府性基金预算拨款结转</w:t>
            </w:r>
          </w:p>
        </w:tc>
        <w:tc>
          <w:tcPr>
            <w:tcW w:w="421"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国有资本经营预算拨款结转</w:t>
            </w:r>
          </w:p>
        </w:tc>
        <w:tc>
          <w:tcPr>
            <w:tcW w:w="64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rPr>
            </w:pPr>
            <w:r>
              <w:rPr>
                <w:rFonts w:hint="default" w:ascii="Times New Roman" w:hAnsi="Times New Roman" w:eastAsia="宋体" w:cs="Times New Roman"/>
                <w:color w:val="000000"/>
                <w:sz w:val="20"/>
                <w:shd w:val="clear" w:color="auto" w:fill="FFFFFF"/>
                <w:lang w:eastAsia="zh-CN"/>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pPr>
              <w:shd w:val="solid" w:color="FFFFFF" w:fill="auto"/>
              <w:autoSpaceDN w:val="0"/>
              <w:ind w:left="113" w:right="113"/>
              <w:jc w:val="center"/>
              <w:textAlignment w:val="center"/>
              <w:rPr>
                <w:rFonts w:hint="default" w:ascii="Times New Roman" w:hAnsi="Times New Roman" w:eastAsia="宋体" w:cs="Times New Roman"/>
                <w:color w:val="000000"/>
                <w:sz w:val="20"/>
                <w:shd w:val="clear" w:color="auto" w:fill="FFFFFF"/>
                <w:lang w:eastAsia="zh-CN"/>
              </w:rPr>
            </w:pPr>
            <w:r>
              <w:rPr>
                <w:rFonts w:hint="default" w:ascii="Times New Roman" w:hAnsi="Times New Roman" w:eastAsia="宋体" w:cs="Times New Roman"/>
                <w:color w:val="000000"/>
                <w:sz w:val="20"/>
                <w:shd w:val="clear" w:color="auto" w:fill="FFFFFF"/>
                <w:lang w:eastAsia="zh-CN"/>
              </w:rPr>
              <w:t>单位资金结转结余</w:t>
            </w:r>
          </w:p>
        </w:tc>
      </w:tr>
      <w:tr>
        <w:tblPrEx>
          <w:tblCellMar>
            <w:top w:w="0" w:type="dxa"/>
            <w:left w:w="108" w:type="dxa"/>
            <w:bottom w:w="0" w:type="dxa"/>
            <w:right w:w="108" w:type="dxa"/>
          </w:tblCellMar>
        </w:tblPrEx>
        <w:trPr>
          <w:gridAfter w:val="1"/>
          <w:wAfter w:w="61" w:type="dxa"/>
          <w:trHeight w:val="517" w:hRule="atLeast"/>
          <w:jc w:val="center"/>
        </w:trPr>
        <w:tc>
          <w:tcPr>
            <w:tcW w:w="125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kern w:val="2"/>
                <w:sz w:val="20"/>
                <w:shd w:val="clear" w:color="auto" w:fill="FFFFFF"/>
                <w:lang w:val="en-US" w:eastAsia="zh-CN" w:bidi="ar-SA"/>
              </w:rPr>
            </w:pPr>
            <w:r>
              <w:rPr>
                <w:rFonts w:hint="default" w:ascii="Times New Roman" w:hAnsi="Times New Roman" w:eastAsia="宋体" w:cs="Times New Roman"/>
                <w:color w:val="000000"/>
                <w:sz w:val="20"/>
                <w:shd w:val="clear" w:color="auto" w:fill="FFFFFF"/>
                <w:lang w:eastAsia="zh-CN"/>
              </w:rPr>
              <w:t>吉林省统计局延边州农村社会经济调查队</w:t>
            </w: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154.25</w:t>
            </w: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136.33</w:t>
            </w:r>
          </w:p>
        </w:tc>
        <w:tc>
          <w:tcPr>
            <w:tcW w:w="9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136.33</w:t>
            </w:r>
          </w:p>
        </w:tc>
        <w:tc>
          <w:tcPr>
            <w:tcW w:w="315" w:type="dxa"/>
            <w:tcBorders>
              <w:top w:val="single" w:color="000000" w:sz="4" w:space="0"/>
              <w:left w:val="single" w:color="000000" w:sz="4" w:space="0"/>
              <w:bottom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425" w:type="dxa"/>
            <w:tcBorders>
              <w:top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17.92</w:t>
            </w:r>
          </w:p>
        </w:tc>
        <w:tc>
          <w:tcPr>
            <w:tcW w:w="7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17.92</w:t>
            </w:r>
          </w:p>
        </w:tc>
        <w:tc>
          <w:tcPr>
            <w:tcW w:w="38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gridAfter w:val="1"/>
          <w:wAfter w:w="61" w:type="dxa"/>
          <w:trHeight w:val="517" w:hRule="atLeast"/>
          <w:jc w:val="center"/>
        </w:trPr>
        <w:tc>
          <w:tcPr>
            <w:tcW w:w="125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9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425" w:type="dxa"/>
            <w:tcBorders>
              <w:top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7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8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gridAfter w:val="1"/>
          <w:wAfter w:w="61" w:type="dxa"/>
          <w:trHeight w:val="517" w:hRule="atLeast"/>
          <w:jc w:val="center"/>
        </w:trPr>
        <w:tc>
          <w:tcPr>
            <w:tcW w:w="125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9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425" w:type="dxa"/>
            <w:tcBorders>
              <w:top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7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8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gridAfter w:val="1"/>
          <w:wAfter w:w="61" w:type="dxa"/>
          <w:trHeight w:val="517" w:hRule="atLeast"/>
          <w:jc w:val="center"/>
        </w:trPr>
        <w:tc>
          <w:tcPr>
            <w:tcW w:w="1250" w:type="dxa"/>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ascii="Times New Roman" w:hAnsi="Times New Roman" w:eastAsia="宋体" w:cs="Times New Roman"/>
                <w:color w:val="000000"/>
                <w:sz w:val="20"/>
                <w:shd w:val="clear" w:color="auto" w:fill="FFFFFF"/>
              </w:rPr>
            </w:pP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9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15" w:type="dxa"/>
            <w:tcBorders>
              <w:top w:val="single" w:color="000000" w:sz="4" w:space="0"/>
              <w:left w:val="single" w:color="000000" w:sz="4" w:space="0"/>
              <w:bottom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425" w:type="dxa"/>
            <w:tcBorders>
              <w:top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7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8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eastAsia="宋体" w:cs="Times New Roman"/>
                <w:color w:val="000000"/>
                <w:sz w:val="20"/>
                <w:shd w:val="clear" w:color="auto" w:fill="FFFFFF"/>
              </w:rPr>
            </w:pPr>
          </w:p>
        </w:tc>
      </w:tr>
      <w:tr>
        <w:tblPrEx>
          <w:tblCellMar>
            <w:top w:w="0" w:type="dxa"/>
            <w:left w:w="108" w:type="dxa"/>
            <w:bottom w:w="0" w:type="dxa"/>
            <w:right w:w="108" w:type="dxa"/>
          </w:tblCellMar>
        </w:tblPrEx>
        <w:trPr>
          <w:gridAfter w:val="1"/>
          <w:wAfter w:w="61" w:type="dxa"/>
          <w:trHeight w:val="530" w:hRule="atLeast"/>
          <w:jc w:val="center"/>
        </w:trPr>
        <w:tc>
          <w:tcPr>
            <w:tcW w:w="125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int="default" w:ascii="Times New Roman" w:hAnsi="Times New Roman" w:eastAsia="华文细黑" w:cs="Times New Roman"/>
                <w:color w:val="000000"/>
                <w:sz w:val="20"/>
                <w:shd w:val="clear" w:color="auto" w:fill="FFFFFF"/>
              </w:rPr>
            </w:pPr>
            <w:r>
              <w:rPr>
                <w:rFonts w:hint="default" w:ascii="Times New Roman" w:hAnsi="Times New Roman" w:eastAsia="宋体" w:cs="Times New Roman"/>
                <w:kern w:val="0"/>
                <w:sz w:val="20"/>
              </w:rPr>
              <w:t>合计</w:t>
            </w:r>
          </w:p>
        </w:tc>
        <w:tc>
          <w:tcPr>
            <w:tcW w:w="8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154.25</w:t>
            </w:r>
          </w:p>
        </w:tc>
        <w:tc>
          <w:tcPr>
            <w:tcW w:w="90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136.33</w:t>
            </w:r>
          </w:p>
        </w:tc>
        <w:tc>
          <w:tcPr>
            <w:tcW w:w="93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136.33</w:t>
            </w:r>
          </w:p>
        </w:tc>
        <w:tc>
          <w:tcPr>
            <w:tcW w:w="315" w:type="dxa"/>
            <w:tcBorders>
              <w:top w:val="single" w:color="000000" w:sz="4" w:space="0"/>
              <w:left w:val="single" w:color="000000" w:sz="4" w:space="0"/>
              <w:bottom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425" w:type="dxa"/>
            <w:tcBorders>
              <w:top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17.92</w:t>
            </w:r>
          </w:p>
        </w:tc>
        <w:tc>
          <w:tcPr>
            <w:tcW w:w="72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right"/>
              <w:rPr>
                <w:rFonts w:hint="default" w:ascii="Times New Roman" w:hAnsi="Times New Roman" w:cs="Times New Roman" w:eastAsiaTheme="majorEastAsia"/>
                <w:kern w:val="0"/>
                <w:sz w:val="20"/>
                <w:lang w:val="en-US" w:eastAsia="zh-CN"/>
              </w:rPr>
            </w:pPr>
            <w:r>
              <w:rPr>
                <w:rFonts w:hint="default" w:ascii="Times New Roman" w:hAnsi="Times New Roman" w:cs="Times New Roman" w:eastAsiaTheme="majorEastAsia"/>
                <w:kern w:val="0"/>
                <w:sz w:val="20"/>
                <w:lang w:val="en-US" w:eastAsia="zh-CN"/>
              </w:rPr>
              <w:t>17.92</w:t>
            </w:r>
          </w:p>
        </w:tc>
        <w:tc>
          <w:tcPr>
            <w:tcW w:w="38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jc w:val="right"/>
              <w:rPr>
                <w:rFonts w:hint="default" w:ascii="Times New Roman" w:hAnsi="Times New Roman" w:cs="Times New Roman" w:eastAsiaTheme="majorEastAsia"/>
                <w:kern w:val="0"/>
                <w:sz w:val="20"/>
                <w:lang w:val="en-US" w:eastAsia="zh-CN"/>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Times New Roman" w:hAnsi="Times New Roman" w:cs="Times New Roman"/>
                <w:color w:val="000000"/>
                <w:sz w:val="20"/>
                <w:shd w:val="clear" w:color="auto" w:fill="FFFFFF"/>
              </w:rPr>
            </w:pPr>
          </w:p>
        </w:tc>
      </w:tr>
    </w:tbl>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r>
        <w:rPr>
          <w:rFonts w:hint="default" w:ascii="Times New Roman" w:hAnsi="Times New Roman" w:eastAsia="楷体" w:cs="Times New Roman"/>
        </w:rPr>
        <w:br w:type="page"/>
      </w:r>
    </w:p>
    <w:p>
      <w:pPr>
        <w:jc w:val="center"/>
        <w:rPr>
          <w:rFonts w:hint="default" w:ascii="Times New Roman" w:hAnsi="Times New Roman" w:eastAsia="楷体" w:cs="Times New Roman"/>
        </w:rPr>
      </w:pP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总表</w:t>
      </w:r>
    </w:p>
    <w:tbl>
      <w:tblPr>
        <w:tblStyle w:val="11"/>
        <w:tblW w:w="9368" w:type="dxa"/>
        <w:jc w:val="center"/>
        <w:tblLayout w:type="fixed"/>
        <w:tblCellMar>
          <w:top w:w="15" w:type="dxa"/>
          <w:left w:w="15" w:type="dxa"/>
          <w:bottom w:w="15" w:type="dxa"/>
          <w:right w:w="15" w:type="dxa"/>
        </w:tblCellMar>
      </w:tblPr>
      <w:tblGrid>
        <w:gridCol w:w="2149"/>
        <w:gridCol w:w="1267"/>
        <w:gridCol w:w="1227"/>
        <w:gridCol w:w="1169"/>
        <w:gridCol w:w="1126"/>
        <w:gridCol w:w="1185"/>
        <w:gridCol w:w="282"/>
        <w:gridCol w:w="963"/>
      </w:tblGrid>
      <w:tr>
        <w:tblPrEx>
          <w:tblCellMar>
            <w:top w:w="15" w:type="dxa"/>
            <w:left w:w="15" w:type="dxa"/>
            <w:bottom w:w="15" w:type="dxa"/>
            <w:right w:w="15" w:type="dxa"/>
          </w:tblCellMar>
        </w:tblPrEx>
        <w:trPr>
          <w:trHeight w:val="636" w:hRule="atLeast"/>
          <w:jc w:val="center"/>
        </w:trPr>
        <w:tc>
          <w:tcPr>
            <w:tcW w:w="5812" w:type="dxa"/>
            <w:gridSpan w:val="4"/>
            <w:tcBorders>
              <w:bottom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26" w:type="dxa"/>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tc>
        <w:tc>
          <w:tcPr>
            <w:tcW w:w="1467" w:type="dxa"/>
            <w:gridSpan w:val="2"/>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tc>
        <w:tc>
          <w:tcPr>
            <w:tcW w:w="963" w:type="dxa"/>
            <w:tcBorders>
              <w:bottom w:val="single" w:color="000000" w:sz="4" w:space="0"/>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1281" w:hRule="atLeast"/>
          <w:jc w:val="center"/>
        </w:trPr>
        <w:tc>
          <w:tcPr>
            <w:tcW w:w="214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支出</w:t>
            </w:r>
          </w:p>
          <w:p>
            <w:pPr>
              <w:widowControl/>
              <w:jc w:val="center"/>
              <w:rPr>
                <w:rFonts w:hint="default" w:ascii="Times New Roman" w:hAnsi="Times New Roman" w:eastAsia="华文细黑" w:cs="Times New Roman"/>
                <w:color w:val="000000"/>
                <w:kern w:val="0"/>
                <w:sz w:val="20"/>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事业单位</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经营支出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上缴                                            上级                                                         支出</w:t>
            </w:r>
          </w:p>
        </w:tc>
        <w:tc>
          <w:tcPr>
            <w:tcW w:w="12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对附属                                           单位补                                      助支出</w:t>
            </w:r>
          </w:p>
        </w:tc>
      </w:tr>
      <w:tr>
        <w:tblPrEx>
          <w:tblCellMar>
            <w:top w:w="15" w:type="dxa"/>
            <w:left w:w="15" w:type="dxa"/>
            <w:bottom w:w="15" w:type="dxa"/>
            <w:right w:w="15" w:type="dxa"/>
          </w:tblCellMar>
        </w:tblPrEx>
        <w:trPr>
          <w:trHeight w:val="556"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116.01</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116.01</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116.01</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116.01</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116.01</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116.01</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4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21.46</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21.46</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9"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21.46</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21.46</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p>
            <w:pPr>
              <w:widowControl/>
              <w:jc w:val="right"/>
              <w:rPr>
                <w:rFonts w:hint="default" w:ascii="Times New Roman" w:hAnsi="Times New Roman" w:eastAsia="宋体" w:cs="Times New Roman"/>
                <w:color w:val="000000"/>
                <w:kern w:val="0"/>
                <w:sz w:val="20"/>
              </w:rPr>
            </w:pPr>
          </w:p>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9.96</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9.96</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11.50</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11.50</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6.31</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6.31</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6.31</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lang w:eastAsia="zh-CN"/>
              </w:rPr>
              <w:t>6.31</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3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6.31</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6.31</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49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10.47</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eastAsia="zh-CN" w:bidi="ar"/>
              </w:rPr>
              <w:t>10.47</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10.47</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10.47</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lang w:bidi="ar"/>
              </w:rPr>
            </w:pPr>
            <w:r>
              <w:rPr>
                <w:rFonts w:hint="default" w:ascii="Times New Roman" w:hAnsi="Times New Roman" w:eastAsia="宋体" w:cs="Times New Roman"/>
                <w:color w:val="000000"/>
                <w:kern w:val="0"/>
                <w:sz w:val="20"/>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10.47</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10.47</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jc w:val="right"/>
              <w:rPr>
                <w:rFonts w:hint="default" w:ascii="Times New Roman" w:hAnsi="Times New Roman" w:eastAsia="宋体" w:cs="Times New Roman"/>
                <w:color w:val="000000"/>
                <w:kern w:val="2"/>
                <w:sz w:val="20"/>
                <w:lang w:val="en-US" w:eastAsia="zh-CN" w:bidi="ar-SA"/>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default" w:ascii="Times New Roman" w:hAnsi="Times New Roman" w:eastAsia="宋体" w:cs="Times New Roman"/>
                <w:color w:val="000000"/>
                <w:kern w:val="0"/>
                <w:sz w:val="20"/>
                <w:lang w:bidi="ar"/>
              </w:rPr>
            </w:pPr>
            <w:r>
              <w:rPr>
                <w:rFonts w:hint="default" w:ascii="Times New Roman" w:hAnsi="Times New Roman" w:eastAsia="宋体" w:cs="Times New Roman"/>
                <w:color w:val="000000"/>
                <w:kern w:val="0"/>
                <w:sz w:val="20"/>
                <w:lang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154.25</w:t>
            </w:r>
          </w:p>
        </w:tc>
        <w:tc>
          <w:tcPr>
            <w:tcW w:w="122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eastAsia="zh-CN" w:bidi="ar"/>
              </w:rPr>
              <w:t>154.25</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eastAsia="宋体" w:cs="Times New Roman"/>
                <w:color w:val="000000"/>
                <w:kern w:val="0"/>
                <w:sz w:val="16"/>
                <w:szCs w:val="16"/>
                <w:lang w:val="en-US" w:eastAsia="zh-CN" w:bidi="ar"/>
              </w:rPr>
            </w:pPr>
          </w:p>
        </w:tc>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18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tbl>
      <w:tblPr>
        <w:tblStyle w:val="11"/>
        <w:tblpPr w:leftFromText="180" w:rightFromText="180" w:vertAnchor="page" w:horzAnchor="page" w:tblpX="1345" w:tblpY="3479"/>
        <w:tblOverlap w:val="never"/>
        <w:tblW w:w="9640" w:type="dxa"/>
        <w:jc w:val="center"/>
        <w:tblLayout w:type="fixed"/>
        <w:tblCellMar>
          <w:top w:w="0" w:type="dxa"/>
          <w:left w:w="108" w:type="dxa"/>
          <w:bottom w:w="0" w:type="dxa"/>
          <w:right w:w="108" w:type="dxa"/>
        </w:tblCellMar>
      </w:tblPr>
      <w:tblGrid>
        <w:gridCol w:w="1442"/>
        <w:gridCol w:w="1126"/>
        <w:gridCol w:w="1126"/>
        <w:gridCol w:w="1126"/>
        <w:gridCol w:w="1478"/>
        <w:gridCol w:w="1044"/>
        <w:gridCol w:w="1148"/>
        <w:gridCol w:w="1150"/>
      </w:tblGrid>
      <w:tr>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 xml:space="preserve"> 单位：万元</w:t>
            </w:r>
          </w:p>
        </w:tc>
      </w:tr>
      <w:tr>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支      出</w:t>
            </w:r>
          </w:p>
        </w:tc>
      </w:tr>
      <w:tr>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val="en-US" w:eastAsia="zh-CN"/>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26"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c>
          <w:tcPr>
            <w:tcW w:w="147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项  目</w:t>
            </w:r>
          </w:p>
        </w:tc>
        <w:tc>
          <w:tcPr>
            <w:tcW w:w="104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lang w:eastAsia="zh-CN"/>
              </w:rPr>
            </w:pPr>
            <w:r>
              <w:rPr>
                <w:rFonts w:hint="default" w:ascii="Times New Roman" w:hAnsi="Times New Roman" w:eastAsia="宋体" w:cs="Times New Roman"/>
                <w:kern w:val="0"/>
                <w:sz w:val="20"/>
              </w:rPr>
              <w:t>202</w:t>
            </w:r>
            <w:r>
              <w:rPr>
                <w:rFonts w:hint="default" w:ascii="Times New Roman" w:hAnsi="Times New Roman" w:eastAsia="宋体" w:cs="Times New Roman"/>
                <w:kern w:val="0"/>
                <w:sz w:val="20"/>
                <w:lang w:val="en-US" w:eastAsia="zh-CN"/>
              </w:rPr>
              <w:t>4</w:t>
            </w:r>
            <w:r>
              <w:rPr>
                <w:rFonts w:hint="default" w:ascii="Times New Roman" w:hAnsi="Times New Roman" w:eastAsia="宋体" w:cs="Times New Roman"/>
                <w:kern w:val="0"/>
                <w:sz w:val="20"/>
              </w:rPr>
              <w:t>年</w:t>
            </w:r>
            <w:r>
              <w:rPr>
                <w:rFonts w:hint="default" w:ascii="Times New Roman" w:hAnsi="Times New Roman" w:eastAsia="宋体" w:cs="Times New Roman"/>
                <w:kern w:val="0"/>
                <w:sz w:val="20"/>
                <w:lang w:val="en-US" w:eastAsia="zh-CN"/>
              </w:rPr>
              <w:t xml:space="preserve">   </w:t>
            </w:r>
            <w:r>
              <w:rPr>
                <w:rFonts w:hint="default" w:ascii="Times New Roman" w:hAnsi="Times New Roman" w:eastAsia="宋体" w:cs="Times New Roman"/>
                <w:kern w:val="0"/>
                <w:sz w:val="20"/>
              </w:rPr>
              <w:t>预算</w:t>
            </w:r>
            <w:r>
              <w:rPr>
                <w:rFonts w:hint="default" w:ascii="Times New Roman" w:hAnsi="Times New Roman" w:eastAsia="宋体" w:cs="Times New Roman"/>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eastAsia="zh-CN"/>
              </w:rPr>
              <w:t>本</w:t>
            </w:r>
            <w:r>
              <w:rPr>
                <w:rFonts w:hint="default" w:ascii="Times New Roman" w:hAnsi="Times New Roman" w:eastAsia="宋体" w:cs="Times New Roman"/>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rPr>
              <w:t>上年结转</w:t>
            </w:r>
          </w:p>
        </w:tc>
      </w:tr>
      <w:tr>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154.25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136.33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17.92</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color w:val="000000"/>
                <w:kern w:val="0"/>
                <w:sz w:val="20"/>
              </w:rPr>
              <w:t>一、本年</w:t>
            </w:r>
            <w:r>
              <w:rPr>
                <w:rFonts w:hint="default" w:ascii="Times New Roman" w:hAnsi="Times New Roman" w:eastAsia="宋体" w:cs="Times New Roman"/>
                <w:color w:val="000000"/>
                <w:kern w:val="0"/>
                <w:sz w:val="20"/>
                <w:lang w:eastAsia="zh-CN"/>
              </w:rPr>
              <w:t>支出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154.25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136.33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17.92</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154.25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136.33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bidi="ar-SA"/>
              </w:rPr>
            </w:pPr>
            <w:r>
              <w:rPr>
                <w:rFonts w:hint="default" w:ascii="Times New Roman" w:hAnsi="Times New Roman" w:cs="Times New Roman" w:eastAsiaTheme="minorEastAsia"/>
                <w:kern w:val="0"/>
                <w:sz w:val="20"/>
                <w:lang w:val="en-US" w:eastAsia="zh-CN"/>
              </w:rPr>
              <w:t>17.92</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一般公共服务支出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116.01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98.15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17.86</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（二）</w:t>
            </w:r>
            <w:r>
              <w:rPr>
                <w:rFonts w:hint="default" w:ascii="Times New Roman" w:hAnsi="Times New Roman" w:eastAsia="宋体" w:cs="Times New Roman"/>
                <w:color w:val="000000"/>
                <w:sz w:val="20"/>
              </w:rPr>
              <w:t>社会保障和就业支出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21.46</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21.40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0.06</w:t>
            </w: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三</w:t>
            </w:r>
            <w:r>
              <w:rPr>
                <w:rFonts w:hint="default" w:ascii="Times New Roman" w:hAnsi="Times New Roman" w:eastAsia="宋体" w:cs="Times New Roman"/>
                <w:color w:val="000000"/>
                <w:sz w:val="20"/>
                <w:lang w:eastAsia="zh-CN"/>
              </w:rPr>
              <w:t>）</w:t>
            </w:r>
            <w:r>
              <w:rPr>
                <w:rFonts w:hint="default" w:ascii="Times New Roman" w:hAnsi="Times New Roman" w:eastAsia="宋体" w:cs="Times New Roman"/>
                <w:color w:val="000000"/>
                <w:sz w:val="20"/>
              </w:rPr>
              <w:t>卫生健康支出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6.31</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6.31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四</w:t>
            </w:r>
            <w:r>
              <w:rPr>
                <w:rFonts w:hint="default" w:ascii="Times New Roman" w:hAnsi="Times New Roman" w:eastAsia="宋体" w:cs="Times New Roman"/>
                <w:color w:val="000000"/>
                <w:kern w:val="0"/>
                <w:sz w:val="20"/>
                <w:lang w:eastAsia="zh-CN"/>
              </w:rPr>
              <w:t>）</w:t>
            </w:r>
            <w:r>
              <w:rPr>
                <w:rFonts w:hint="default" w:ascii="Times New Roman" w:hAnsi="Times New Roman" w:eastAsia="宋体" w:cs="Times New Roman"/>
                <w:color w:val="000000"/>
                <w:kern w:val="0"/>
                <w:sz w:val="20"/>
              </w:rPr>
              <w:t>住房保障支出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10.47</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10.47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rPr>
              <w:t>　</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jc w:val="right"/>
              <w:rPr>
                <w:rFonts w:hint="default" w:ascii="Times New Roman" w:hAnsi="Times New Roman" w:cs="Times New Roman" w:eastAsiaTheme="minorEastAsia"/>
                <w:kern w:val="0"/>
                <w:sz w:val="20"/>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eastAsia="zh-CN"/>
              </w:rPr>
              <w:t>二、</w:t>
            </w:r>
            <w:r>
              <w:rPr>
                <w:rFonts w:hint="default" w:ascii="Times New Roman" w:hAnsi="Times New Roman" w:eastAsia="宋体" w:cs="Times New Roman"/>
                <w:kern w:val="0"/>
                <w:sz w:val="20"/>
              </w:rPr>
              <w:t>结转下年</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p>
        </w:tc>
      </w:tr>
      <w:tr>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Cs/>
                <w:kern w:val="0"/>
                <w:sz w:val="20"/>
              </w:rPr>
            </w:pPr>
            <w:r>
              <w:rPr>
                <w:rFonts w:hint="default" w:ascii="Times New Roman" w:hAnsi="Times New Roman" w:eastAsia="黑体" w:cs="Times New Roman"/>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lang w:val="en-US" w:eastAsia="zh-CN"/>
              </w:rPr>
              <w:t>154.25</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lang w:val="en-US" w:eastAsia="zh-CN"/>
              </w:rPr>
              <w:t>136.33</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rPr>
            </w:pPr>
            <w:r>
              <w:rPr>
                <w:rFonts w:hint="default" w:ascii="Times New Roman" w:hAnsi="Times New Roman" w:cs="Times New Roman" w:eastAsiaTheme="minorEastAsia"/>
                <w:kern w:val="0"/>
                <w:sz w:val="20"/>
                <w:lang w:val="en-US" w:eastAsia="zh-CN"/>
              </w:rPr>
              <w:t>17.92</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rPr>
            </w:pPr>
            <w:r>
              <w:rPr>
                <w:rFonts w:hint="default" w:ascii="Times New Roman" w:hAnsi="Times New Roman" w:eastAsia="黑体" w:cs="Times New Roman"/>
                <w:b/>
                <w:bCs/>
                <w:kern w:val="0"/>
                <w:sz w:val="20"/>
              </w:rPr>
              <w:t>支出总计</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154.25</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136.33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lang w:val="en-US" w:eastAsia="zh-CN"/>
              </w:rPr>
            </w:pPr>
            <w:r>
              <w:rPr>
                <w:rFonts w:hint="default" w:ascii="Times New Roman" w:hAnsi="Times New Roman" w:cs="Times New Roman" w:eastAsiaTheme="minorEastAsia"/>
                <w:kern w:val="0"/>
                <w:sz w:val="20"/>
                <w:lang w:val="en-US" w:eastAsia="zh-CN"/>
              </w:rPr>
              <w:t>17.92</w:t>
            </w:r>
          </w:p>
        </w:tc>
      </w:tr>
    </w:tbl>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方正小标宋简体" w:cs="Times New Roman"/>
          <w:kern w:val="0"/>
          <w:sz w:val="44"/>
          <w:szCs w:val="44"/>
        </w:rPr>
        <w:t>一般公共预算支出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Spec="center" w:tblpY="491"/>
        <w:tblOverlap w:val="never"/>
        <w:tblW w:w="0" w:type="auto"/>
        <w:jc w:val="center"/>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r>
      <w:tr>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116.01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116.01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2"/>
                <w:sz w:val="20"/>
                <w:szCs w:val="20"/>
                <w:lang w:val="en-US" w:eastAsia="zh-CN" w:bidi="ar-SA"/>
              </w:rPr>
              <w:t>90.31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color w:val="000000"/>
                <w:kern w:val="0"/>
                <w:sz w:val="20"/>
                <w:szCs w:val="20"/>
                <w:lang w:val="en-US" w:eastAsia="zh-CN"/>
              </w:rPr>
              <w:t>25.70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116.01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116.01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2"/>
                <w:sz w:val="20"/>
                <w:szCs w:val="20"/>
                <w:lang w:val="en-US" w:eastAsia="zh-CN" w:bidi="ar-SA"/>
              </w:rPr>
              <w:t>90.31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lang w:val="en-US" w:eastAsia="zh-CN" w:bidi="ar-SA"/>
              </w:rPr>
            </w:pPr>
            <w:r>
              <w:rPr>
                <w:rFonts w:hint="default" w:ascii="Times New Roman" w:hAnsi="Times New Roman" w:cs="Times New Roman" w:eastAsiaTheme="minorEastAsia"/>
                <w:color w:val="000000"/>
                <w:kern w:val="0"/>
                <w:sz w:val="20"/>
                <w:szCs w:val="20"/>
                <w:lang w:val="en-US" w:eastAsia="zh-CN"/>
              </w:rPr>
              <w:t>25.70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116.01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116.01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2"/>
                <w:sz w:val="20"/>
                <w:szCs w:val="20"/>
                <w:lang w:val="en-US" w:eastAsia="zh-CN" w:bidi="ar-SA"/>
              </w:rPr>
              <w:t>90.31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lang w:val="en-US" w:eastAsia="zh-CN" w:bidi="ar-SA"/>
              </w:rPr>
            </w:pPr>
            <w:r>
              <w:rPr>
                <w:rFonts w:hint="default" w:ascii="Times New Roman" w:hAnsi="Times New Roman" w:cs="Times New Roman" w:eastAsiaTheme="minorEastAsia"/>
                <w:color w:val="000000"/>
                <w:kern w:val="0"/>
                <w:sz w:val="20"/>
                <w:szCs w:val="20"/>
                <w:lang w:val="en-US" w:eastAsia="zh-CN"/>
              </w:rPr>
              <w:t>25.70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21.46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21.46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21.46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21.46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21.46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21.46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lang w:bidi="ar"/>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11.50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sz w:val="20"/>
                <w:szCs w:val="20"/>
                <w:lang w:eastAsia="zh-CN"/>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sz w:val="20"/>
                <w:szCs w:val="20"/>
                <w:lang w:eastAsia="zh-CN"/>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6.31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eastAsia="zh-CN" w:bidi="ar"/>
              </w:rPr>
              <w:t>10.47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rPr>
            </w:pPr>
          </w:p>
        </w:tc>
      </w:tr>
      <w:tr>
        <w:tblPrEx>
          <w:tblCellMar>
            <w:top w:w="15" w:type="dxa"/>
            <w:left w:w="15" w:type="dxa"/>
            <w:bottom w:w="15" w:type="dxa"/>
            <w:right w:w="15" w:type="dxa"/>
          </w:tblCellMar>
        </w:tblPrEx>
        <w:trPr>
          <w:trHeight w:val="476"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eastAsia="zh-CN" w:bidi="ar"/>
              </w:rPr>
              <w:t>154.25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eastAsia="zh-CN" w:bidi="ar"/>
              </w:rPr>
              <w:t>154.25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textAlignment w:val="center"/>
              <w:rPr>
                <w:rFonts w:hint="default" w:ascii="Times New Roman" w:hAnsi="Times New Roman" w:cs="Times New Roman" w:eastAsiaTheme="minorEastAsia"/>
                <w:color w:val="000000"/>
                <w:kern w:val="0"/>
                <w:sz w:val="20"/>
                <w:szCs w:val="20"/>
                <w:lang w:val="en-US" w:eastAsia="zh-CN" w:bidi="ar"/>
              </w:rPr>
            </w:pPr>
            <w:r>
              <w:rPr>
                <w:rFonts w:hint="default" w:ascii="Times New Roman" w:hAnsi="Times New Roman" w:cs="Times New Roman" w:eastAsiaTheme="minorEastAsia"/>
                <w:color w:val="000000"/>
                <w:kern w:val="0"/>
                <w:sz w:val="20"/>
                <w:szCs w:val="20"/>
                <w:lang w:val="en-US" w:eastAsia="zh-CN" w:bidi="ar"/>
              </w:rPr>
              <w:t>128.55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lang w:val="en-US" w:eastAsia="zh-CN"/>
              </w:rPr>
            </w:pPr>
            <w:r>
              <w:rPr>
                <w:rFonts w:hint="default" w:ascii="Times New Roman" w:hAnsi="Times New Roman" w:cs="Times New Roman" w:eastAsiaTheme="minorEastAsia"/>
                <w:color w:val="000000"/>
                <w:kern w:val="0"/>
                <w:sz w:val="20"/>
                <w:szCs w:val="20"/>
                <w:lang w:val="en-US" w:eastAsia="zh-CN"/>
              </w:rPr>
              <w:t>25.70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cs="Times New Roman" w:eastAsiaTheme="minorEastAsia"/>
                <w:color w:val="000000"/>
                <w:kern w:val="0"/>
                <w:sz w:val="20"/>
                <w:szCs w:val="20"/>
                <w:lang w:val="en-US" w:eastAsia="zh-CN"/>
              </w:rPr>
            </w:pPr>
          </w:p>
        </w:tc>
      </w:tr>
    </w:tbl>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ind w:firstLine="640" w:firstLineChars="200"/>
        <w:rPr>
          <w:rFonts w:hint="default" w:ascii="Times New Roman" w:hAnsi="Times New Roman"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一般公共预算基本支出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Spec="center" w:tblpY="443"/>
        <w:tblOverlap w:val="never"/>
        <w:tblW w:w="0" w:type="auto"/>
        <w:jc w:val="center"/>
        <w:tblLayout w:type="fixed"/>
        <w:tblCellMar>
          <w:top w:w="0" w:type="dxa"/>
          <w:left w:w="108" w:type="dxa"/>
          <w:bottom w:w="0" w:type="dxa"/>
          <w:right w:w="108" w:type="dxa"/>
        </w:tblCellMar>
      </w:tblPr>
      <w:tblGrid>
        <w:gridCol w:w="3318"/>
        <w:gridCol w:w="2078"/>
        <w:gridCol w:w="1704"/>
        <w:gridCol w:w="1831"/>
      </w:tblGrid>
      <w:tr>
        <w:tblPrEx>
          <w:tblCellMar>
            <w:top w:w="0" w:type="dxa"/>
            <w:left w:w="108" w:type="dxa"/>
            <w:bottom w:w="0" w:type="dxa"/>
            <w:right w:w="108" w:type="dxa"/>
          </w:tblCellMar>
        </w:tblPrEx>
        <w:trPr>
          <w:trHeight w:val="390" w:hRule="atLeast"/>
          <w:jc w:val="center"/>
        </w:trPr>
        <w:tc>
          <w:tcPr>
            <w:tcW w:w="3318"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kern w:val="0"/>
                <w:sz w:val="20"/>
              </w:rPr>
            </w:pPr>
          </w:p>
        </w:tc>
        <w:tc>
          <w:tcPr>
            <w:tcW w:w="2078" w:type="dxa"/>
            <w:tcBorders>
              <w:top w:val="nil"/>
              <w:left w:val="nil"/>
              <w:bottom w:val="single" w:color="auto" w:sz="4" w:space="0"/>
              <w:right w:val="nil"/>
            </w:tcBorders>
            <w:noWrap w:val="0"/>
            <w:vAlign w:val="center"/>
          </w:tcPr>
          <w:p>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3535" w:type="dxa"/>
            <w:gridSpan w:val="2"/>
            <w:tcBorders>
              <w:top w:val="nil"/>
              <w:left w:val="nil"/>
              <w:bottom w:val="single" w:color="auto" w:sz="4" w:space="0"/>
              <w:right w:val="nil"/>
            </w:tcBorders>
            <w:noWrap w:val="0"/>
            <w:vAlign w:val="bottom"/>
          </w:tcPr>
          <w:p>
            <w:pPr>
              <w:widowControl/>
              <w:jc w:val="right"/>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rPr>
              <w:t>　单位：万元</w:t>
            </w:r>
          </w:p>
        </w:tc>
      </w:tr>
      <w:tr>
        <w:tblPrEx>
          <w:tblCellMar>
            <w:top w:w="0" w:type="dxa"/>
            <w:left w:w="108" w:type="dxa"/>
            <w:bottom w:w="0" w:type="dxa"/>
            <w:right w:w="108" w:type="dxa"/>
          </w:tblCellMar>
        </w:tblPrEx>
        <w:trPr>
          <w:trHeight w:val="452" w:hRule="atLeast"/>
          <w:jc w:val="center"/>
        </w:trPr>
        <w:tc>
          <w:tcPr>
            <w:tcW w:w="331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kern w:val="0"/>
                <w:sz w:val="20"/>
                <w:lang w:eastAsia="zh-CN"/>
              </w:rPr>
              <w:t>部门预算支出</w:t>
            </w:r>
            <w:r>
              <w:rPr>
                <w:rFonts w:hint="default" w:ascii="Times New Roman" w:hAnsi="Times New Roman" w:eastAsia="华文细黑" w:cs="Times New Roman"/>
                <w:kern w:val="0"/>
                <w:sz w:val="20"/>
              </w:rPr>
              <w:t>经济分类科目</w:t>
            </w:r>
          </w:p>
        </w:tc>
        <w:tc>
          <w:tcPr>
            <w:tcW w:w="207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华文细黑" w:cs="Times New Roman"/>
                <w:kern w:val="0"/>
                <w:sz w:val="20"/>
              </w:rPr>
            </w:pPr>
            <w:r>
              <w:rPr>
                <w:rFonts w:hint="default" w:ascii="Times New Roman" w:hAnsi="Times New Roman" w:eastAsia="华文细黑" w:cs="Times New Roman"/>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rPr>
            </w:pPr>
            <w:r>
              <w:rPr>
                <w:rFonts w:hint="default" w:ascii="Times New Roman" w:hAnsi="Times New Roman" w:eastAsia="华文细黑" w:cs="Times New Roman"/>
                <w:color w:val="000000"/>
                <w:kern w:val="0"/>
                <w:sz w:val="20"/>
              </w:rPr>
              <w:t>公用经费</w:t>
            </w:r>
          </w:p>
        </w:tc>
      </w:tr>
      <w:tr>
        <w:tblPrEx>
          <w:tblCellMar>
            <w:top w:w="0" w:type="dxa"/>
            <w:left w:w="108" w:type="dxa"/>
            <w:bottom w:w="0" w:type="dxa"/>
            <w:right w:w="108" w:type="dxa"/>
          </w:tblCellMar>
        </w:tblPrEx>
        <w:trPr>
          <w:trHeight w:val="364" w:hRule="atLeast"/>
          <w:jc w:val="center"/>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一、工资福利支出</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117.93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117.93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65" w:hRule="atLeast"/>
          <w:jc w:val="center"/>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基本工资</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38.04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38.04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20" w:hRule="atLeast"/>
          <w:jc w:val="center"/>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津贴补贴</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25.87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25.87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35" w:hRule="atLeast"/>
          <w:jc w:val="center"/>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奖金</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21.83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21.83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65" w:hRule="atLeast"/>
          <w:jc w:val="center"/>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机关事业单位基本养老保险缴费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11.50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11.50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290" w:hRule="atLeast"/>
          <w:jc w:val="center"/>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职工基本医疗保险缴费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3.51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3.51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20" w:hRule="atLeast"/>
          <w:jc w:val="center"/>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公务员医疗补助缴费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2.69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2.69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275" w:hRule="atLeast"/>
          <w:jc w:val="center"/>
        </w:trPr>
        <w:tc>
          <w:tcPr>
            <w:tcW w:w="3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其他社会保障缴费</w:t>
            </w:r>
          </w:p>
        </w:tc>
        <w:tc>
          <w:tcPr>
            <w:tcW w:w="207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0.99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0.99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kern w:val="0"/>
                <w:sz w:val="20"/>
              </w:rPr>
            </w:pPr>
            <w:r>
              <w:rPr>
                <w:rFonts w:hint="default" w:ascii="Times New Roman" w:hAnsi="Times New Roman" w:eastAsia="宋体" w:cs="Times New Roman"/>
                <w:kern w:val="0"/>
                <w:sz w:val="20"/>
                <w:lang w:bidi="ar"/>
              </w:rPr>
              <w:t>　住房公积金</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10.47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10.47</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医疗费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1.44</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1.44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　其他工资福利支出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1.59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1.59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eastAsia="宋体" w:cs="Times New Roman"/>
                <w:kern w:val="0"/>
                <w:sz w:val="20"/>
                <w:lang w:bidi="ar"/>
              </w:rPr>
              <w:t>二、商品和服务支出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25.69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25.69</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kern w:val="0"/>
                <w:sz w:val="20"/>
                <w:lang w:bidi="ar"/>
              </w:rPr>
              <w:t>　</w:t>
            </w:r>
            <w:r>
              <w:rPr>
                <w:rFonts w:hint="default" w:ascii="Times New Roman" w:hAnsi="Times New Roman" w:eastAsia="宋体" w:cs="Times New Roman"/>
                <w:kern w:val="0"/>
                <w:sz w:val="20"/>
                <w:lang w:eastAsia="zh-CN" w:bidi="ar"/>
              </w:rPr>
              <w:t>办公费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8.00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8.00</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eastAsia="宋体" w:cs="Times New Roman"/>
                <w:kern w:val="0"/>
                <w:sz w:val="20"/>
                <w:lang w:bidi="ar"/>
              </w:rPr>
              <w:t>　</w:t>
            </w:r>
            <w:r>
              <w:rPr>
                <w:rFonts w:hint="default" w:ascii="Times New Roman" w:hAnsi="Times New Roman" w:eastAsia="宋体" w:cs="Times New Roman"/>
                <w:kern w:val="0"/>
                <w:sz w:val="20"/>
                <w:lang w:eastAsia="zh-CN" w:bidi="ar"/>
              </w:rPr>
              <w:t>咨询费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0.30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0.30</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 xml:space="preserve">  手续费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0.05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0.05</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 xml:space="preserve">  差旅费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3.97</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3.97</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公务接待费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0.20</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ind w:firstLine="200" w:firstLineChars="100"/>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sz w:val="20"/>
              </w:rPr>
              <w:t>工会经费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1.10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1.10</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福利费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lang w:val="en-US" w:eastAsia="zh-CN"/>
              </w:rPr>
              <w:t>4.46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4.46</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其他交通费用</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5.52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eastAsiaTheme="minorEastAsia"/>
                <w:kern w:val="0"/>
                <w:sz w:val="20"/>
                <w:szCs w:val="20"/>
                <w:lang w:val="en-US" w:eastAsia="zh-CN"/>
              </w:rPr>
              <w:t>5.52</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其他商品和服务支出</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2.09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eastAsiaTheme="minorEastAsia"/>
                <w:kern w:val="0"/>
                <w:sz w:val="20"/>
                <w:szCs w:val="20"/>
                <w:lang w:val="en-US" w:eastAsia="zh-CN"/>
              </w:rPr>
              <w:t>2.09</w:t>
            </w: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三、对个人和家庭的补助</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10.61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10.61</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退休费</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9.96</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9.96</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　其他对个人和家庭的补助</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0.65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0.65</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00" w:hRule="atLeast"/>
          <w:jc w:val="center"/>
        </w:trPr>
        <w:tc>
          <w:tcPr>
            <w:tcW w:w="331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0"/>
                <w:lang w:val="en-US" w:eastAsia="zh-CN" w:bidi="ar-SA"/>
              </w:rPr>
            </w:pPr>
            <w:r>
              <w:rPr>
                <w:rFonts w:hint="default" w:ascii="Times New Roman" w:hAnsi="Times New Roman" w:eastAsia="宋体" w:cs="Times New Roman"/>
                <w:kern w:val="0"/>
                <w:sz w:val="20"/>
                <w:lang w:bidi="ar"/>
              </w:rPr>
              <w:t>合计</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0"/>
                <w:sz w:val="20"/>
                <w:szCs w:val="20"/>
                <w:lang w:val="en-US" w:eastAsia="zh-CN" w:bidi="ar-SA"/>
              </w:rPr>
            </w:pPr>
            <w:r>
              <w:rPr>
                <w:rFonts w:hint="default" w:ascii="Times New Roman" w:hAnsi="Times New Roman" w:cs="Times New Roman" w:eastAsiaTheme="minorEastAsia"/>
                <w:kern w:val="0"/>
                <w:sz w:val="20"/>
                <w:szCs w:val="20"/>
                <w:lang w:val="en-US" w:eastAsia="zh-CN"/>
              </w:rPr>
              <w:t>154.23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eastAsiaTheme="minorEastAsia"/>
                <w:sz w:val="20"/>
                <w:szCs w:val="20"/>
                <w:lang w:val="en-US" w:eastAsia="zh-CN"/>
              </w:rPr>
              <w:t>128.54</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eastAsiaTheme="minorEastAsia"/>
                <w:kern w:val="2"/>
                <w:sz w:val="20"/>
                <w:szCs w:val="20"/>
                <w:lang w:val="en-US" w:eastAsia="zh-CN" w:bidi="ar-SA"/>
              </w:rPr>
              <w:t>25.69</w:t>
            </w:r>
          </w:p>
        </w:tc>
      </w:tr>
    </w:tbl>
    <w:p>
      <w:pPr>
        <w:rPr>
          <w:rFonts w:hint="default" w:ascii="Times New Roman" w:hAnsi="Times New Roman" w:eastAsia="楷体" w:cs="Times New Roman"/>
        </w:rPr>
      </w:pPr>
    </w:p>
    <w:p>
      <w:pPr>
        <w:rPr>
          <w:rFonts w:hint="default" w:ascii="Times New Roman" w:hAnsi="Times New Roman" w:eastAsia="楷体" w:cs="Times New Roman"/>
        </w:rPr>
      </w:pPr>
    </w:p>
    <w:p>
      <w:pPr>
        <w:rPr>
          <w:rFonts w:hint="default" w:ascii="Times New Roman" w:hAnsi="Times New Roman" w:cs="Times New Roman"/>
          <w:sz w:val="16"/>
          <w:szCs w:val="16"/>
        </w:rPr>
      </w:pPr>
    </w:p>
    <w:p>
      <w:pPr>
        <w:rPr>
          <w:rFonts w:hint="default" w:ascii="Times New Roman" w:hAnsi="Times New Roman" w:cs="Times New Roman"/>
          <w:sz w:val="16"/>
          <w:szCs w:val="16"/>
        </w:rPr>
      </w:pPr>
    </w:p>
    <w:p>
      <w:pPr>
        <w:jc w:val="center"/>
        <w:rPr>
          <w:rFonts w:hint="default" w:ascii="Times New Roman" w:hAnsi="Times New Roman" w:eastAsia="方正小标宋简体" w:cs="Times New Roman"/>
          <w:color w:val="000000"/>
          <w:kern w:val="0"/>
          <w:sz w:val="44"/>
          <w:szCs w:val="44"/>
        </w:rPr>
      </w:pPr>
    </w:p>
    <w:p>
      <w:pPr>
        <w:jc w:val="center"/>
        <w:rPr>
          <w:rFonts w:hint="default" w:ascii="Times New Roman" w:hAnsi="Times New Roman" w:cs="Times New Roman"/>
          <w:sz w:val="16"/>
          <w:szCs w:val="16"/>
        </w:rPr>
      </w:pPr>
      <w:r>
        <w:rPr>
          <w:rFonts w:hint="default" w:ascii="Times New Roman" w:hAnsi="Times New Roman" w:eastAsia="方正小标宋简体" w:cs="Times New Roman"/>
          <w:color w:val="000000"/>
          <w:kern w:val="0"/>
          <w:sz w:val="44"/>
          <w:szCs w:val="44"/>
        </w:rPr>
        <w:t>一般公共预算“三公”经费支出</w:t>
      </w:r>
      <w:r>
        <w:rPr>
          <w:rFonts w:hint="default" w:ascii="Times New Roman" w:hAnsi="Times New Roman" w:eastAsia="方正小标宋简体" w:cs="Times New Roman"/>
          <w:color w:val="000000"/>
          <w:kern w:val="0"/>
          <w:sz w:val="44"/>
          <w:szCs w:val="44"/>
          <w:lang w:eastAsia="zh-CN"/>
        </w:rPr>
        <w:t>预算</w:t>
      </w:r>
      <w:r>
        <w:rPr>
          <w:rFonts w:hint="default" w:ascii="Times New Roman" w:hAnsi="Times New Roman" w:eastAsia="方正小标宋简体" w:cs="Times New Roman"/>
          <w:color w:val="000000"/>
          <w:kern w:val="0"/>
          <w:sz w:val="44"/>
          <w:szCs w:val="44"/>
        </w:rPr>
        <w:t>表</w:t>
      </w:r>
    </w:p>
    <w:p>
      <w:pPr>
        <w:rPr>
          <w:rFonts w:hint="default" w:ascii="Times New Roman" w:hAnsi="Times New Roman" w:cs="Times New Roman"/>
          <w:sz w:val="16"/>
          <w:szCs w:val="16"/>
        </w:rPr>
      </w:pPr>
    </w:p>
    <w:tbl>
      <w:tblPr>
        <w:tblStyle w:val="11"/>
        <w:tblW w:w="9140" w:type="dxa"/>
        <w:jc w:val="center"/>
        <w:tblLayout w:type="fixed"/>
        <w:tblCellMar>
          <w:top w:w="0" w:type="dxa"/>
          <w:left w:w="108" w:type="dxa"/>
          <w:bottom w:w="0" w:type="dxa"/>
          <w:right w:w="108" w:type="dxa"/>
        </w:tblCellMar>
      </w:tblPr>
      <w:tblGrid>
        <w:gridCol w:w="5769"/>
        <w:gridCol w:w="3371"/>
      </w:tblGrid>
      <w:tr>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202</w:t>
            </w:r>
            <w:r>
              <w:rPr>
                <w:rFonts w:hint="default" w:ascii="Times New Roman" w:hAnsi="Times New Roman" w:eastAsia="华文细黑" w:cs="Times New Roman"/>
                <w:color w:val="000000"/>
                <w:kern w:val="0"/>
                <w:sz w:val="20"/>
                <w:lang w:val="en-US" w:eastAsia="zh-CN"/>
              </w:rPr>
              <w:t>4</w:t>
            </w:r>
            <w:r>
              <w:rPr>
                <w:rFonts w:hint="default" w:ascii="Times New Roman" w:hAnsi="Times New Roman" w:eastAsia="华文细黑" w:cs="Times New Roman"/>
                <w:color w:val="000000"/>
                <w:kern w:val="0"/>
                <w:sz w:val="20"/>
              </w:rPr>
              <w:t>年预算数</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合    计</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0.20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r>
              <w:rPr>
                <w:rFonts w:hint="default" w:ascii="Times New Roman" w:hAnsi="Times New Roman" w:eastAsia="宋体" w:cs="Times New Roman"/>
                <w:color w:val="000000"/>
                <w:kern w:val="0"/>
                <w:sz w:val="20"/>
                <w:lang w:val="en-US" w:eastAsia="zh-CN"/>
              </w:rPr>
              <w:t>0.20</w:t>
            </w: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lang w:val="en-US" w:eastAsia="zh-CN"/>
              </w:rPr>
            </w:pPr>
          </w:p>
        </w:tc>
      </w:tr>
      <w:tr>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rPr>
            </w:pPr>
          </w:p>
        </w:tc>
      </w:tr>
      <w:tr>
        <w:tblPrEx>
          <w:tblCellMar>
            <w:top w:w="0" w:type="dxa"/>
            <w:left w:w="108" w:type="dxa"/>
            <w:bottom w:w="0" w:type="dxa"/>
            <w:right w:w="108" w:type="dxa"/>
          </w:tblCellMar>
        </w:tblPrEx>
        <w:trPr>
          <w:trHeight w:val="1086" w:hRule="atLeast"/>
          <w:jc w:val="center"/>
        </w:trPr>
        <w:tc>
          <w:tcPr>
            <w:tcW w:w="9140" w:type="dxa"/>
            <w:gridSpan w:val="2"/>
            <w:tcBorders>
              <w:top w:val="single" w:color="auto" w:sz="4" w:space="0"/>
              <w:left w:val="nil"/>
              <w:bottom w:val="nil"/>
              <w:right w:val="nil"/>
            </w:tcBorders>
            <w:noWrap w:val="0"/>
            <w:vAlign w:val="center"/>
          </w:tcPr>
          <w:p>
            <w:pPr>
              <w:widowControl/>
              <w:jc w:val="left"/>
              <w:rPr>
                <w:rFonts w:hint="eastAsia"/>
                <w:color w:val="000000"/>
                <w:kern w:val="0"/>
                <w:sz w:val="28"/>
                <w:szCs w:val="28"/>
              </w:rPr>
            </w:pPr>
            <w:r>
              <w:rPr>
                <w:color w:val="000000"/>
                <w:kern w:val="0"/>
                <w:sz w:val="28"/>
                <w:szCs w:val="28"/>
              </w:rPr>
              <w:t>说明：</w:t>
            </w:r>
          </w:p>
          <w:p>
            <w:pPr>
              <w:widowControl/>
              <w:jc w:val="left"/>
              <w:rPr>
                <w:rFonts w:hint="eastAsia" w:eastAsia="宋体"/>
                <w:color w:val="000000"/>
                <w:kern w:val="0"/>
                <w:sz w:val="28"/>
                <w:szCs w:val="28"/>
              </w:rPr>
            </w:pPr>
            <w:r>
              <w:rPr>
                <w:color w:val="000000"/>
                <w:kern w:val="0"/>
                <w:sz w:val="28"/>
                <w:szCs w:val="28"/>
              </w:rPr>
              <w:t xml:space="preserve">       1、“20</w:t>
            </w:r>
            <w:r>
              <w:rPr>
                <w:rFonts w:hint="eastAsia"/>
                <w:color w:val="000000"/>
                <w:kern w:val="0"/>
                <w:sz w:val="28"/>
                <w:szCs w:val="28"/>
              </w:rPr>
              <w:t>2</w:t>
            </w:r>
            <w:r>
              <w:rPr>
                <w:rFonts w:hint="eastAsia"/>
                <w:color w:val="000000"/>
                <w:kern w:val="0"/>
                <w:sz w:val="28"/>
                <w:szCs w:val="28"/>
                <w:lang w:val="en-US" w:eastAsia="zh-CN"/>
              </w:rPr>
              <w:t>4</w:t>
            </w:r>
            <w:r>
              <w:rPr>
                <w:color w:val="000000"/>
                <w:kern w:val="0"/>
                <w:sz w:val="28"/>
                <w:szCs w:val="28"/>
              </w:rPr>
              <w:t>年预算数”的单位范围包括本级</w:t>
            </w:r>
            <w:r>
              <w:rPr>
                <w:rFonts w:hint="eastAsia" w:eastAsia="宋体"/>
                <w:color w:val="000000"/>
                <w:kern w:val="0"/>
                <w:sz w:val="28"/>
                <w:szCs w:val="28"/>
              </w:rPr>
              <w:t>1</w:t>
            </w:r>
            <w:r>
              <w:rPr>
                <w:color w:val="000000"/>
                <w:kern w:val="0"/>
                <w:sz w:val="28"/>
                <w:szCs w:val="28"/>
              </w:rPr>
              <w:t>个预算单位。</w:t>
            </w:r>
            <w:r>
              <w:rPr>
                <w:rFonts w:eastAsia="宋体"/>
                <w:color w:val="000000"/>
                <w:kern w:val="0"/>
                <w:sz w:val="28"/>
                <w:szCs w:val="28"/>
              </w:rPr>
              <w:t xml:space="preserve">  </w:t>
            </w:r>
          </w:p>
          <w:p>
            <w:pPr>
              <w:widowControl/>
              <w:jc w:val="left"/>
              <w:rPr>
                <w:rFonts w:hint="eastAsia"/>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kern w:val="0"/>
                <w:sz w:val="28"/>
                <w:szCs w:val="28"/>
              </w:rPr>
              <w:t>“20</w:t>
            </w:r>
            <w:r>
              <w:rPr>
                <w:rFonts w:hint="eastAsia" w:eastAsia="宋体"/>
                <w:kern w:val="0"/>
                <w:sz w:val="28"/>
                <w:szCs w:val="28"/>
              </w:rPr>
              <w:t>2</w:t>
            </w:r>
            <w:r>
              <w:rPr>
                <w:rFonts w:hint="eastAsia" w:eastAsia="宋体"/>
                <w:kern w:val="0"/>
                <w:sz w:val="28"/>
                <w:szCs w:val="28"/>
                <w:lang w:val="en-US" w:eastAsia="zh-CN"/>
              </w:rPr>
              <w:t>4</w:t>
            </w:r>
            <w:r>
              <w:rPr>
                <w:kern w:val="0"/>
                <w:sz w:val="28"/>
                <w:szCs w:val="28"/>
              </w:rPr>
              <w:t>年预算数</w:t>
            </w:r>
            <w:r>
              <w:rPr>
                <w:rFonts w:eastAsia="宋体"/>
                <w:kern w:val="0"/>
                <w:sz w:val="28"/>
                <w:szCs w:val="28"/>
              </w:rPr>
              <w:t>”</w:t>
            </w:r>
            <w:r>
              <w:rPr>
                <w:kern w:val="0"/>
                <w:sz w:val="28"/>
                <w:szCs w:val="28"/>
              </w:rPr>
              <w:t>的实有人</w:t>
            </w:r>
            <w:r>
              <w:rPr>
                <w:rFonts w:hint="eastAsia"/>
                <w:color w:val="000000"/>
                <w:kern w:val="0"/>
                <w:sz w:val="28"/>
                <w:szCs w:val="28"/>
              </w:rPr>
              <w:t>员</w:t>
            </w:r>
            <w:r>
              <w:rPr>
                <w:rFonts w:hint="eastAsia"/>
                <w:color w:val="000000"/>
                <w:kern w:val="0"/>
                <w:sz w:val="28"/>
                <w:szCs w:val="28"/>
                <w:lang w:val="en-US" w:eastAsia="zh-CN"/>
              </w:rPr>
              <w:t>16</w:t>
            </w:r>
            <w:r>
              <w:rPr>
                <w:rFonts w:hint="eastAsia"/>
                <w:color w:val="000000"/>
                <w:kern w:val="0"/>
                <w:sz w:val="28"/>
                <w:szCs w:val="28"/>
              </w:rPr>
              <w:t>人，其中：在职人员</w:t>
            </w:r>
            <w:r>
              <w:rPr>
                <w:rFonts w:hint="eastAsia"/>
                <w:color w:val="000000"/>
                <w:kern w:val="0"/>
                <w:sz w:val="28"/>
                <w:szCs w:val="28"/>
                <w:lang w:val="en-US" w:eastAsia="zh-CN"/>
              </w:rPr>
              <w:t>8</w:t>
            </w:r>
            <w:r>
              <w:rPr>
                <w:rFonts w:hint="eastAsia"/>
                <w:color w:val="000000"/>
                <w:kern w:val="0"/>
                <w:sz w:val="28"/>
                <w:szCs w:val="28"/>
              </w:rPr>
              <w:t>人，退休人员</w:t>
            </w:r>
            <w:r>
              <w:rPr>
                <w:rFonts w:hint="eastAsia"/>
                <w:color w:val="000000"/>
                <w:kern w:val="0"/>
                <w:sz w:val="28"/>
                <w:szCs w:val="28"/>
                <w:lang w:val="en-US" w:eastAsia="zh-CN"/>
              </w:rPr>
              <w:t>8</w:t>
            </w:r>
            <w:r>
              <w:rPr>
                <w:rFonts w:hint="eastAsia"/>
                <w:color w:val="000000"/>
                <w:kern w:val="0"/>
                <w:sz w:val="28"/>
                <w:szCs w:val="28"/>
              </w:rPr>
              <w:t>人。</w:t>
            </w:r>
          </w:p>
          <w:p>
            <w:pPr>
              <w:widowControl/>
              <w:jc w:val="both"/>
              <w:rPr>
                <w:rFonts w:hint="default" w:ascii="Times New Roman" w:hAnsi="Times New Roman" w:eastAsia="仿宋_GB2312" w:cs="Times New Roman"/>
                <w:color w:val="000000"/>
                <w:kern w:val="0"/>
                <w:sz w:val="28"/>
                <w:szCs w:val="28"/>
                <w:lang w:val="en-US" w:eastAsia="zh-CN"/>
              </w:rPr>
            </w:pPr>
            <w:bookmarkStart w:id="0" w:name="_GoBack"/>
            <w:bookmarkEnd w:id="0"/>
          </w:p>
        </w:tc>
      </w:tr>
    </w:tbl>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p>
      <w:pPr>
        <w:ind w:firstLine="640" w:firstLineChars="200"/>
        <w:rPr>
          <w:rFonts w:hint="default" w:ascii="Times New Roman" w:hAnsi="Times New Roman" w:eastAsia="楷体" w:cs="Times New Roman"/>
        </w:rPr>
      </w:pPr>
    </w:p>
    <w:tbl>
      <w:tblPr>
        <w:tblStyle w:val="11"/>
        <w:tblpPr w:leftFromText="180" w:rightFromText="180" w:vertAnchor="page" w:horzAnchor="page" w:tblpX="1567" w:tblpY="4015"/>
        <w:tblW w:w="0" w:type="auto"/>
        <w:jc w:val="center"/>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bl>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政府性基金预算</w:t>
      </w:r>
      <w:r>
        <w:rPr>
          <w:rFonts w:hint="default" w:ascii="Times New Roman" w:hAnsi="Times New Roman"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ind w:firstLine="640" w:firstLineChars="200"/>
        <w:rPr>
          <w:rFonts w:hint="default" w:ascii="Times New Roman" w:hAnsi="Times New Roman" w:eastAsia="楷体" w:cs="Times New Roman"/>
          <w:kern w:val="0"/>
          <w:szCs w:val="32"/>
        </w:rPr>
      </w:pPr>
      <w:r>
        <w:rPr>
          <w:rFonts w:hint="default" w:ascii="Times New Roman" w:hAnsi="Times New Roman" w:eastAsia="楷体" w:cs="Times New Roman"/>
          <w:kern w:val="0"/>
          <w:szCs w:val="32"/>
        </w:rPr>
        <w:t xml:space="preserve">    </w:t>
      </w:r>
    </w:p>
    <w:p>
      <w:pPr>
        <w:spacing w:line="700" w:lineRule="exact"/>
        <w:rPr>
          <w:rFonts w:hint="default" w:ascii="Times New Roman" w:hAnsi="Times New Roman" w:eastAsia="楷体_GB2312" w:cs="Times New Roman"/>
          <w:kern w:val="0"/>
          <w:szCs w:val="32"/>
        </w:rPr>
      </w:pPr>
      <w:r>
        <w:rPr>
          <w:rFonts w:hint="default" w:ascii="Times New Roman" w:hAnsi="Times New Roman" w:eastAsia="楷体_GB2312" w:cs="Times New Roman"/>
          <w:kern w:val="0"/>
          <w:szCs w:val="32"/>
        </w:rPr>
        <w:t xml:space="preserve">    </w:t>
      </w:r>
    </w:p>
    <w:p>
      <w:pPr>
        <w:spacing w:line="700" w:lineRule="exact"/>
        <w:rPr>
          <w:rFonts w:hint="default" w:ascii="Times New Roman" w:hAnsi="Times New Roman" w:eastAsia="楷体_GB2312" w:cs="Times New Roman"/>
          <w:kern w:val="0"/>
          <w:szCs w:val="32"/>
        </w:rPr>
      </w:pPr>
    </w:p>
    <w:p>
      <w:pPr>
        <w:spacing w:line="700" w:lineRule="exact"/>
        <w:rPr>
          <w:rFonts w:hint="default" w:ascii="Times New Roman" w:hAnsi="Times New Roman" w:eastAsia="楷体_GB2312" w:cs="Times New Roman"/>
          <w:kern w:val="0"/>
          <w:szCs w:val="32"/>
        </w:rPr>
      </w:pPr>
    </w:p>
    <w:p>
      <w:pPr>
        <w:spacing w:line="700" w:lineRule="exact"/>
        <w:rPr>
          <w:rFonts w:hint="default" w:ascii="Times New Roman" w:hAnsi="Times New Roman" w:eastAsia="楷体_GB2312"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tbl>
      <w:tblPr>
        <w:tblStyle w:val="11"/>
        <w:tblpPr w:leftFromText="180" w:rightFromText="180" w:vertAnchor="page" w:horzAnchor="page" w:tblpX="1627" w:tblpY="4139"/>
        <w:tblW w:w="0" w:type="auto"/>
        <w:tblInd w:w="0" w:type="dxa"/>
        <w:tblLayout w:type="fixed"/>
        <w:tblCellMar>
          <w:top w:w="15" w:type="dxa"/>
          <w:left w:w="15" w:type="dxa"/>
          <w:bottom w:w="15" w:type="dxa"/>
          <w:right w:w="15" w:type="dxa"/>
        </w:tblCellMar>
      </w:tblPr>
      <w:tblGrid>
        <w:gridCol w:w="2197"/>
        <w:gridCol w:w="2197"/>
        <w:gridCol w:w="2197"/>
        <w:gridCol w:w="2198"/>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right"/>
              <w:rPr>
                <w:rFonts w:hint="default" w:ascii="Times New Roman" w:hAnsi="Times New Roman" w:eastAsia="华文细黑" w:cs="Times New Roman"/>
                <w:color w:val="000000"/>
                <w:kern w:val="0"/>
                <w:sz w:val="20"/>
              </w:rPr>
            </w:pPr>
          </w:p>
          <w:p>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华文细黑" w:cs="Times New Roman"/>
                <w:color w:val="000000"/>
                <w:sz w:val="20"/>
              </w:rPr>
            </w:pPr>
            <w:r>
              <w:rPr>
                <w:rFonts w:hint="default" w:ascii="Times New Roman" w:hAnsi="Times New Roman" w:eastAsia="华文细黑" w:cs="Times New Roman"/>
                <w:color w:val="000000"/>
                <w:sz w:val="20"/>
              </w:rPr>
              <w:t>功能分类</w:t>
            </w:r>
          </w:p>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项目支出</w:t>
            </w:r>
          </w:p>
        </w:tc>
      </w:tr>
      <w:tr>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华文细黑"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华文细黑"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Times New Roman" w:hAnsi="Times New Roman" w:eastAsia="宋体" w:cs="Times New Roman"/>
                <w:color w:val="000000"/>
                <w:kern w:val="0"/>
                <w:sz w:val="20"/>
              </w:rPr>
            </w:pPr>
          </w:p>
        </w:tc>
      </w:tr>
      <w:tr>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r>
              <w:rPr>
                <w:rFonts w:hint="default" w:ascii="Times New Roman" w:hAnsi="Times New Roman" w:eastAsia="华文细黑" w:cs="Times New Roman"/>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Times New Roman" w:hAnsi="Times New Roman" w:eastAsia="宋体" w:cs="Times New Roman"/>
                <w:color w:val="000000"/>
                <w:kern w:val="0"/>
                <w:sz w:val="20"/>
              </w:rPr>
            </w:pPr>
          </w:p>
        </w:tc>
      </w:tr>
    </w:tbl>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国有资本经营预算支出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ind w:firstLine="640" w:firstLineChars="200"/>
        <w:rPr>
          <w:rFonts w:hint="default" w:ascii="Times New Roman" w:hAnsi="Times New Roman" w:eastAsia="楷体" w:cs="Times New Roman"/>
          <w:kern w:val="0"/>
          <w:szCs w:val="32"/>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11"/>
        <w:tblpPr w:leftFromText="180" w:rightFromText="180" w:vertAnchor="text" w:horzAnchor="page" w:tblpX="873" w:tblpY="193"/>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70"/>
        <w:gridCol w:w="359"/>
        <w:gridCol w:w="675"/>
        <w:gridCol w:w="1500"/>
        <w:gridCol w:w="737"/>
        <w:gridCol w:w="733"/>
        <w:gridCol w:w="405"/>
        <w:gridCol w:w="450"/>
        <w:gridCol w:w="465"/>
        <w:gridCol w:w="427"/>
        <w:gridCol w:w="398"/>
        <w:gridCol w:w="435"/>
        <w:gridCol w:w="435"/>
        <w:gridCol w:w="60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6"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229" w:type="dxa"/>
            <w:gridSpan w:val="2"/>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675"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500"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7" w:type="dxa"/>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2480" w:type="dxa"/>
            <w:gridSpan w:val="5"/>
            <w:tcBorders>
              <w:top w:val="nil"/>
              <w:left w:val="nil"/>
              <w:right w:val="nil"/>
            </w:tcBorders>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2543" w:type="dxa"/>
            <w:gridSpan w:val="5"/>
            <w:tcBorders>
              <w:top w:val="nil"/>
              <w:left w:val="nil"/>
              <w:right w:val="nil"/>
            </w:tcBorders>
            <w:noWrap w:val="0"/>
            <w:vAlign w:val="bottom"/>
          </w:tcPr>
          <w:p>
            <w:pPr>
              <w:autoSpaceDN w:val="0"/>
              <w:jc w:val="right"/>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16"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类型</w:t>
            </w:r>
          </w:p>
        </w:tc>
        <w:tc>
          <w:tcPr>
            <w:tcW w:w="1904"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项目名称</w:t>
            </w:r>
          </w:p>
        </w:tc>
        <w:tc>
          <w:tcPr>
            <w:tcW w:w="1500" w:type="dxa"/>
            <w:vMerge w:val="restart"/>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部门（单位）名称</w:t>
            </w:r>
          </w:p>
        </w:tc>
        <w:tc>
          <w:tcPr>
            <w:tcW w:w="737"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合计</w:t>
            </w:r>
          </w:p>
        </w:tc>
        <w:tc>
          <w:tcPr>
            <w:tcW w:w="2480" w:type="dxa"/>
            <w:gridSpan w:val="5"/>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本年预算</w:t>
            </w:r>
          </w:p>
        </w:tc>
        <w:tc>
          <w:tcPr>
            <w:tcW w:w="2543" w:type="dxa"/>
            <w:gridSpan w:val="5"/>
            <w:noWrap w:val="0"/>
            <w:vAlign w:val="center"/>
          </w:tcPr>
          <w:p>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16"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870" w:type="dxa"/>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一级项目</w:t>
            </w:r>
          </w:p>
        </w:tc>
        <w:tc>
          <w:tcPr>
            <w:tcW w:w="1034" w:type="dxa"/>
            <w:gridSpan w:val="2"/>
            <w:vMerge w:val="restart"/>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二级项目</w:t>
            </w:r>
          </w:p>
        </w:tc>
        <w:tc>
          <w:tcPr>
            <w:tcW w:w="1500"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737"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588"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w:t>
            </w:r>
          </w:p>
        </w:tc>
        <w:tc>
          <w:tcPr>
            <w:tcW w:w="465" w:type="dxa"/>
            <w:vMerge w:val="restart"/>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427" w:type="dxa"/>
            <w:vMerge w:val="restart"/>
            <w:noWrap w:val="0"/>
            <w:textDirection w:val="tbLrV"/>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lang w:eastAsia="zh-CN"/>
              </w:rPr>
              <w:t>单位资金</w:t>
            </w:r>
          </w:p>
        </w:tc>
        <w:tc>
          <w:tcPr>
            <w:tcW w:w="1268" w:type="dxa"/>
            <w:gridSpan w:val="3"/>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财政拨款结转</w:t>
            </w:r>
          </w:p>
        </w:tc>
        <w:tc>
          <w:tcPr>
            <w:tcW w:w="1275" w:type="dxa"/>
            <w:gridSpan w:val="2"/>
            <w:noWrap w:val="0"/>
            <w:vAlign w:val="center"/>
          </w:tcPr>
          <w:p>
            <w:pPr>
              <w:tabs>
                <w:tab w:val="left" w:pos="492"/>
              </w:tabs>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非财政拨款结转结余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916"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870"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034" w:type="dxa"/>
            <w:gridSpan w:val="2"/>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1500"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7" w:type="dxa"/>
            <w:vMerge w:val="continue"/>
            <w:noWrap w:val="0"/>
            <w:vAlign w:val="center"/>
          </w:tcPr>
          <w:p>
            <w:pPr>
              <w:autoSpaceDN w:val="0"/>
              <w:jc w:val="center"/>
              <w:textAlignment w:val="center"/>
              <w:rPr>
                <w:rFonts w:hint="default" w:ascii="Times New Roman" w:hAnsi="Times New Roman" w:eastAsia="华文细黑" w:cs="Times New Roman"/>
                <w:color w:val="000000"/>
                <w:sz w:val="20"/>
                <w:szCs w:val="22"/>
              </w:rPr>
            </w:pPr>
          </w:p>
        </w:tc>
        <w:tc>
          <w:tcPr>
            <w:tcW w:w="733"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一般公共预算</w:t>
            </w:r>
          </w:p>
        </w:tc>
        <w:tc>
          <w:tcPr>
            <w:tcW w:w="40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p>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基金</w:t>
            </w:r>
          </w:p>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预算</w:t>
            </w:r>
          </w:p>
        </w:tc>
        <w:tc>
          <w:tcPr>
            <w:tcW w:w="450" w:type="dxa"/>
            <w:noWrap w:val="0"/>
            <w:vAlign w:val="center"/>
          </w:tcPr>
          <w:p>
            <w:pPr>
              <w:autoSpaceDN w:val="0"/>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国有资本经营预算</w:t>
            </w:r>
          </w:p>
        </w:tc>
        <w:tc>
          <w:tcPr>
            <w:tcW w:w="465"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p>
        </w:tc>
        <w:tc>
          <w:tcPr>
            <w:tcW w:w="427" w:type="dxa"/>
            <w:vMerge w:val="continue"/>
            <w:noWrap w:val="0"/>
            <w:textDirection w:val="tbLrV"/>
            <w:vAlign w:val="center"/>
          </w:tcPr>
          <w:p>
            <w:pPr>
              <w:autoSpaceDN w:val="0"/>
              <w:ind w:left="113" w:right="113"/>
              <w:jc w:val="center"/>
              <w:textAlignment w:val="center"/>
              <w:rPr>
                <w:rFonts w:hint="default" w:ascii="Times New Roman" w:hAnsi="Times New Roman" w:eastAsia="华文细黑" w:cs="Times New Roman"/>
                <w:color w:val="000000"/>
                <w:sz w:val="20"/>
                <w:szCs w:val="22"/>
              </w:rPr>
            </w:pPr>
          </w:p>
        </w:tc>
        <w:tc>
          <w:tcPr>
            <w:tcW w:w="398"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一般</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公共</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政府性</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基金</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435" w:type="dxa"/>
            <w:noWrap w:val="0"/>
            <w:vAlign w:val="center"/>
          </w:tcPr>
          <w:p>
            <w:pPr>
              <w:autoSpaceDN w:val="0"/>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国有资本经营</w:t>
            </w:r>
            <w:r>
              <w:rPr>
                <w:rFonts w:hint="default" w:ascii="Times New Roman" w:hAnsi="Times New Roman" w:eastAsia="华文细黑" w:cs="Times New Roman"/>
                <w:color w:val="000000"/>
                <w:sz w:val="20"/>
                <w:szCs w:val="22"/>
              </w:rPr>
              <w:br w:type="textWrapping"/>
            </w:r>
            <w:r>
              <w:rPr>
                <w:rFonts w:hint="default" w:ascii="Times New Roman" w:hAnsi="Times New Roman" w:eastAsia="华文细黑" w:cs="Times New Roman"/>
                <w:color w:val="000000"/>
                <w:sz w:val="20"/>
                <w:szCs w:val="22"/>
              </w:rPr>
              <w:t>预算</w:t>
            </w:r>
          </w:p>
        </w:tc>
        <w:tc>
          <w:tcPr>
            <w:tcW w:w="600" w:type="dxa"/>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lang w:eastAsia="zh-CN"/>
              </w:rPr>
            </w:pPr>
            <w:r>
              <w:rPr>
                <w:rFonts w:hint="default" w:ascii="Times New Roman" w:hAnsi="Times New Roman" w:eastAsia="华文细黑" w:cs="Times New Roman"/>
                <w:color w:val="000000"/>
                <w:sz w:val="20"/>
                <w:szCs w:val="22"/>
                <w:lang w:eastAsia="zh-CN"/>
              </w:rPr>
              <w:t>财政专户管理资金</w:t>
            </w:r>
          </w:p>
        </w:tc>
        <w:tc>
          <w:tcPr>
            <w:tcW w:w="675" w:type="dxa"/>
            <w:noWrap w:val="0"/>
            <w:textDirection w:val="tbRlV"/>
            <w:vAlign w:val="center"/>
          </w:tcPr>
          <w:p>
            <w:pPr>
              <w:autoSpaceDN w:val="0"/>
              <w:ind w:left="113" w:right="113"/>
              <w:jc w:val="center"/>
              <w:textAlignment w:val="center"/>
              <w:rPr>
                <w:rFonts w:hint="default" w:ascii="Times New Roman" w:hAnsi="Times New Roman" w:eastAsia="华文细黑" w:cs="Times New Roman"/>
                <w:color w:val="000000"/>
                <w:sz w:val="20"/>
                <w:szCs w:val="22"/>
              </w:rPr>
            </w:pPr>
            <w:r>
              <w:rPr>
                <w:rFonts w:hint="default" w:ascii="Times New Roman" w:hAnsi="Times New Roman" w:eastAsia="华文细黑" w:cs="Times New Roman"/>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6" w:type="dxa"/>
            <w:noWrap w:val="0"/>
            <w:vAlign w:val="center"/>
          </w:tcPr>
          <w:p>
            <w:pPr>
              <w:jc w:val="left"/>
              <w:rPr>
                <w:rFonts w:hint="default" w:ascii="Times New Roman" w:hAnsi="Times New Roman" w:eastAsia="宋体" w:cs="Times New Roman"/>
                <w:kern w:val="0"/>
                <w:sz w:val="20"/>
                <w:lang w:val="en-US" w:eastAsia="zh-CN" w:bidi="ar-SA"/>
              </w:rPr>
            </w:pPr>
          </w:p>
        </w:tc>
        <w:tc>
          <w:tcPr>
            <w:tcW w:w="870" w:type="dxa"/>
            <w:noWrap w:val="0"/>
            <w:vAlign w:val="center"/>
          </w:tcPr>
          <w:p>
            <w:pPr>
              <w:jc w:val="left"/>
              <w:rPr>
                <w:rFonts w:hint="default" w:ascii="Times New Roman" w:hAnsi="Times New Roman" w:eastAsia="宋体" w:cs="Times New Roman"/>
                <w:color w:val="000000"/>
                <w:kern w:val="0"/>
                <w:sz w:val="20"/>
                <w:lang w:val="en-US" w:eastAsia="zh-CN" w:bidi="ar"/>
              </w:rPr>
            </w:pPr>
          </w:p>
        </w:tc>
        <w:tc>
          <w:tcPr>
            <w:tcW w:w="1034" w:type="dxa"/>
            <w:gridSpan w:val="2"/>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50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Cs w:val="32"/>
              </w:rPr>
            </w:pPr>
          </w:p>
        </w:tc>
        <w:tc>
          <w:tcPr>
            <w:tcW w:w="733" w:type="dxa"/>
            <w:noWrap w:val="0"/>
            <w:vAlign w:val="center"/>
          </w:tcPr>
          <w:p>
            <w:pPr>
              <w:spacing w:line="700" w:lineRule="exact"/>
              <w:jc w:val="center"/>
              <w:rPr>
                <w:rFonts w:hint="default" w:ascii="Times New Roman" w:hAnsi="Times New Roman" w:eastAsia="楷体" w:cs="Times New Roman"/>
                <w:kern w:val="0"/>
                <w:szCs w:val="32"/>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6" w:type="dxa"/>
            <w:noWrap w:val="0"/>
            <w:vAlign w:val="center"/>
          </w:tcPr>
          <w:p>
            <w:pPr>
              <w:jc w:val="left"/>
              <w:rPr>
                <w:rFonts w:hint="default" w:ascii="Times New Roman" w:hAnsi="Times New Roman" w:eastAsia="宋体" w:cs="Times New Roman"/>
                <w:kern w:val="0"/>
                <w:sz w:val="20"/>
                <w:lang w:val="en-US" w:eastAsia="zh-CN" w:bidi="ar-SA"/>
              </w:rPr>
            </w:pPr>
          </w:p>
        </w:tc>
        <w:tc>
          <w:tcPr>
            <w:tcW w:w="870" w:type="dxa"/>
            <w:noWrap w:val="0"/>
            <w:vAlign w:val="center"/>
          </w:tcPr>
          <w:p>
            <w:pPr>
              <w:jc w:val="left"/>
              <w:rPr>
                <w:rFonts w:hint="default" w:ascii="Times New Roman" w:hAnsi="Times New Roman" w:eastAsia="宋体" w:cs="Times New Roman"/>
                <w:kern w:val="0"/>
                <w:sz w:val="20"/>
                <w:lang w:val="en-US" w:eastAsia="zh-CN" w:bidi="ar-SA"/>
              </w:rPr>
            </w:pPr>
          </w:p>
        </w:tc>
        <w:tc>
          <w:tcPr>
            <w:tcW w:w="1034" w:type="dxa"/>
            <w:gridSpan w:val="2"/>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50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6" w:type="dxa"/>
            <w:noWrap w:val="0"/>
            <w:vAlign w:val="center"/>
          </w:tcPr>
          <w:p>
            <w:pPr>
              <w:jc w:val="left"/>
              <w:rPr>
                <w:rFonts w:hint="default" w:ascii="Times New Roman" w:hAnsi="Times New Roman" w:eastAsia="宋体" w:cs="Times New Roman"/>
                <w:kern w:val="0"/>
                <w:sz w:val="20"/>
                <w:lang w:val="en-US" w:eastAsia="zh-CN" w:bidi="ar-SA"/>
              </w:rPr>
            </w:pPr>
          </w:p>
        </w:tc>
        <w:tc>
          <w:tcPr>
            <w:tcW w:w="870" w:type="dxa"/>
            <w:noWrap w:val="0"/>
            <w:vAlign w:val="center"/>
          </w:tcPr>
          <w:p>
            <w:pPr>
              <w:jc w:val="left"/>
              <w:rPr>
                <w:rFonts w:hint="default" w:ascii="Times New Roman" w:hAnsi="Times New Roman" w:eastAsia="宋体" w:cs="Times New Roman"/>
                <w:kern w:val="0"/>
                <w:sz w:val="20"/>
                <w:lang w:val="en-US" w:eastAsia="zh-CN" w:bidi="ar-SA"/>
              </w:rPr>
            </w:pPr>
          </w:p>
        </w:tc>
        <w:tc>
          <w:tcPr>
            <w:tcW w:w="1034" w:type="dxa"/>
            <w:gridSpan w:val="2"/>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50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bidi="ar-SA"/>
              </w:rPr>
            </w:pPr>
          </w:p>
        </w:tc>
        <w:tc>
          <w:tcPr>
            <w:tcW w:w="40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5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6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27"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398"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43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00"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c>
          <w:tcPr>
            <w:tcW w:w="675" w:type="dxa"/>
            <w:noWrap w:val="0"/>
            <w:vAlign w:val="center"/>
          </w:tcPr>
          <w:p>
            <w:pPr>
              <w:spacing w:line="700" w:lineRule="exact"/>
              <w:jc w:val="center"/>
              <w:rPr>
                <w:rFonts w:hint="default" w:ascii="Times New Roman" w:hAnsi="Times New Roman" w:eastAsia="楷体"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6" w:type="dxa"/>
            <w:noWrap w:val="0"/>
            <w:vAlign w:val="center"/>
          </w:tcPr>
          <w:p>
            <w:pPr>
              <w:jc w:val="left"/>
              <w:rPr>
                <w:rFonts w:hint="default" w:ascii="Times New Roman" w:hAnsi="Times New Roman" w:eastAsia="宋体" w:cs="Times New Roman"/>
                <w:kern w:val="0"/>
                <w:sz w:val="20"/>
                <w:lang w:val="en-US" w:eastAsia="zh-CN" w:bidi="ar-SA"/>
              </w:rPr>
            </w:pPr>
          </w:p>
        </w:tc>
        <w:tc>
          <w:tcPr>
            <w:tcW w:w="870" w:type="dxa"/>
            <w:noWrap w:val="0"/>
            <w:vAlign w:val="center"/>
          </w:tcPr>
          <w:p>
            <w:pPr>
              <w:jc w:val="left"/>
              <w:rPr>
                <w:rFonts w:hint="default" w:ascii="Times New Roman" w:hAnsi="Times New Roman" w:eastAsia="宋体" w:cs="Times New Roman"/>
                <w:kern w:val="0"/>
                <w:sz w:val="20"/>
                <w:lang w:val="en-US" w:eastAsia="zh-CN" w:bidi="ar-SA"/>
              </w:rPr>
            </w:pPr>
          </w:p>
        </w:tc>
        <w:tc>
          <w:tcPr>
            <w:tcW w:w="1034" w:type="dxa"/>
            <w:gridSpan w:val="2"/>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50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Cs w:val="32"/>
              </w:rPr>
            </w:pPr>
          </w:p>
        </w:tc>
        <w:tc>
          <w:tcPr>
            <w:tcW w:w="733" w:type="dxa"/>
            <w:noWrap w:val="0"/>
            <w:vAlign w:val="center"/>
          </w:tcPr>
          <w:p>
            <w:pPr>
              <w:spacing w:line="700" w:lineRule="exact"/>
              <w:jc w:val="center"/>
              <w:rPr>
                <w:rFonts w:hint="default" w:ascii="Times New Roman" w:hAnsi="Times New Roman" w:eastAsia="楷体" w:cs="Times New Roman"/>
                <w:kern w:val="0"/>
                <w:szCs w:val="32"/>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6" w:type="dxa"/>
            <w:noWrap w:val="0"/>
            <w:vAlign w:val="center"/>
          </w:tcPr>
          <w:p>
            <w:pPr>
              <w:jc w:val="left"/>
              <w:rPr>
                <w:rFonts w:hint="default" w:ascii="Times New Roman" w:hAnsi="Times New Roman" w:eastAsia="宋体" w:cs="Times New Roman"/>
                <w:kern w:val="0"/>
                <w:sz w:val="20"/>
                <w:lang w:val="en-US" w:eastAsia="zh-CN" w:bidi="ar-SA"/>
              </w:rPr>
            </w:pPr>
          </w:p>
        </w:tc>
        <w:tc>
          <w:tcPr>
            <w:tcW w:w="87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034" w:type="dxa"/>
            <w:gridSpan w:val="2"/>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50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6" w:type="dxa"/>
            <w:noWrap w:val="0"/>
            <w:vAlign w:val="center"/>
          </w:tcPr>
          <w:p>
            <w:pPr>
              <w:jc w:val="center"/>
              <w:rPr>
                <w:rFonts w:hint="default" w:ascii="Times New Roman" w:hAnsi="Times New Roman" w:eastAsia="宋体" w:cs="Times New Roman"/>
                <w:color w:val="000000"/>
                <w:kern w:val="0"/>
                <w:sz w:val="20"/>
                <w:lang w:val="en-US" w:eastAsia="zh-CN" w:bidi="ar"/>
              </w:rPr>
            </w:pPr>
            <w:r>
              <w:rPr>
                <w:rFonts w:hint="default" w:ascii="Times New Roman" w:hAnsi="Times New Roman" w:eastAsia="宋体" w:cs="Times New Roman"/>
                <w:color w:val="000000"/>
                <w:kern w:val="0"/>
                <w:sz w:val="20"/>
                <w:lang w:bidi="ar"/>
              </w:rPr>
              <w:t>合计</w:t>
            </w:r>
          </w:p>
        </w:tc>
        <w:tc>
          <w:tcPr>
            <w:tcW w:w="870" w:type="dxa"/>
            <w:noWrap w:val="0"/>
            <w:vAlign w:val="center"/>
          </w:tcPr>
          <w:p>
            <w:pPr>
              <w:widowControl/>
              <w:jc w:val="left"/>
              <w:textAlignment w:val="center"/>
              <w:rPr>
                <w:rFonts w:hint="default" w:ascii="Times New Roman" w:hAnsi="Times New Roman" w:eastAsia="宋体" w:cs="Times New Roman"/>
                <w:kern w:val="0"/>
                <w:sz w:val="20"/>
                <w:lang w:val="en-US" w:eastAsia="zh-CN" w:bidi="ar-SA"/>
              </w:rPr>
            </w:pPr>
          </w:p>
        </w:tc>
        <w:tc>
          <w:tcPr>
            <w:tcW w:w="1034" w:type="dxa"/>
            <w:gridSpan w:val="2"/>
            <w:noWrap w:val="0"/>
            <w:vAlign w:val="center"/>
          </w:tcPr>
          <w:p>
            <w:pPr>
              <w:jc w:val="left"/>
              <w:rPr>
                <w:rFonts w:hint="default" w:ascii="Times New Roman" w:hAnsi="Times New Roman" w:eastAsia="宋体" w:cs="Times New Roman"/>
                <w:kern w:val="0"/>
                <w:sz w:val="20"/>
                <w:lang w:val="en-US" w:eastAsia="zh-CN" w:bidi="ar-SA"/>
              </w:rPr>
            </w:pPr>
          </w:p>
        </w:tc>
        <w:tc>
          <w:tcPr>
            <w:tcW w:w="1500" w:type="dxa"/>
            <w:noWrap w:val="0"/>
            <w:vAlign w:val="center"/>
          </w:tcPr>
          <w:p>
            <w:pPr>
              <w:jc w:val="left"/>
              <w:rPr>
                <w:rFonts w:hint="default" w:ascii="Times New Roman" w:hAnsi="Times New Roman" w:eastAsia="宋体" w:cs="Times New Roman"/>
                <w:kern w:val="0"/>
                <w:sz w:val="20"/>
                <w:lang w:val="en-US" w:eastAsia="zh-CN" w:bidi="ar-SA"/>
              </w:rPr>
            </w:pPr>
          </w:p>
        </w:tc>
        <w:tc>
          <w:tcPr>
            <w:tcW w:w="737"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733" w:type="dxa"/>
            <w:noWrap w:val="0"/>
            <w:vAlign w:val="center"/>
          </w:tcPr>
          <w:p>
            <w:pPr>
              <w:spacing w:line="700" w:lineRule="exact"/>
              <w:jc w:val="center"/>
              <w:rPr>
                <w:rFonts w:hint="default" w:ascii="Times New Roman" w:hAnsi="Times New Roman" w:eastAsia="楷体" w:cs="Times New Roman"/>
                <w:kern w:val="0"/>
                <w:sz w:val="16"/>
                <w:szCs w:val="16"/>
                <w:lang w:val="en-US" w:eastAsia="zh-CN"/>
              </w:rPr>
            </w:pPr>
          </w:p>
        </w:tc>
        <w:tc>
          <w:tcPr>
            <w:tcW w:w="405" w:type="dxa"/>
            <w:noWrap w:val="0"/>
            <w:vAlign w:val="center"/>
          </w:tcPr>
          <w:p>
            <w:pPr>
              <w:spacing w:line="700" w:lineRule="exact"/>
              <w:jc w:val="center"/>
              <w:rPr>
                <w:rFonts w:hint="default" w:ascii="Times New Roman" w:hAnsi="Times New Roman" w:eastAsia="楷体" w:cs="Times New Roman"/>
                <w:kern w:val="0"/>
                <w:szCs w:val="32"/>
              </w:rPr>
            </w:pPr>
          </w:p>
        </w:tc>
        <w:tc>
          <w:tcPr>
            <w:tcW w:w="450" w:type="dxa"/>
            <w:noWrap w:val="0"/>
            <w:vAlign w:val="center"/>
          </w:tcPr>
          <w:p>
            <w:pPr>
              <w:spacing w:line="700" w:lineRule="exact"/>
              <w:jc w:val="center"/>
              <w:rPr>
                <w:rFonts w:hint="default" w:ascii="Times New Roman" w:hAnsi="Times New Roman" w:eastAsia="楷体" w:cs="Times New Roman"/>
                <w:kern w:val="0"/>
                <w:szCs w:val="32"/>
              </w:rPr>
            </w:pPr>
          </w:p>
        </w:tc>
        <w:tc>
          <w:tcPr>
            <w:tcW w:w="465" w:type="dxa"/>
            <w:noWrap w:val="0"/>
            <w:vAlign w:val="center"/>
          </w:tcPr>
          <w:p>
            <w:pPr>
              <w:spacing w:line="700" w:lineRule="exact"/>
              <w:jc w:val="center"/>
              <w:rPr>
                <w:rFonts w:hint="default" w:ascii="Times New Roman" w:hAnsi="Times New Roman" w:eastAsia="楷体" w:cs="Times New Roman"/>
                <w:kern w:val="0"/>
                <w:szCs w:val="32"/>
              </w:rPr>
            </w:pPr>
          </w:p>
        </w:tc>
        <w:tc>
          <w:tcPr>
            <w:tcW w:w="427" w:type="dxa"/>
            <w:noWrap w:val="0"/>
            <w:vAlign w:val="center"/>
          </w:tcPr>
          <w:p>
            <w:pPr>
              <w:spacing w:line="700" w:lineRule="exact"/>
              <w:jc w:val="center"/>
              <w:rPr>
                <w:rFonts w:hint="default" w:ascii="Times New Roman" w:hAnsi="Times New Roman" w:eastAsia="楷体" w:cs="Times New Roman"/>
                <w:kern w:val="0"/>
                <w:szCs w:val="32"/>
              </w:rPr>
            </w:pPr>
          </w:p>
        </w:tc>
        <w:tc>
          <w:tcPr>
            <w:tcW w:w="398"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435" w:type="dxa"/>
            <w:noWrap w:val="0"/>
            <w:vAlign w:val="center"/>
          </w:tcPr>
          <w:p>
            <w:pPr>
              <w:spacing w:line="700" w:lineRule="exact"/>
              <w:jc w:val="center"/>
              <w:rPr>
                <w:rFonts w:hint="default" w:ascii="Times New Roman" w:hAnsi="Times New Roman" w:eastAsia="楷体" w:cs="Times New Roman"/>
                <w:kern w:val="0"/>
                <w:szCs w:val="32"/>
              </w:rPr>
            </w:pPr>
          </w:p>
        </w:tc>
        <w:tc>
          <w:tcPr>
            <w:tcW w:w="600" w:type="dxa"/>
            <w:noWrap w:val="0"/>
            <w:vAlign w:val="center"/>
          </w:tcPr>
          <w:p>
            <w:pPr>
              <w:spacing w:line="700" w:lineRule="exact"/>
              <w:jc w:val="center"/>
              <w:rPr>
                <w:rFonts w:hint="default" w:ascii="Times New Roman" w:hAnsi="Times New Roman" w:eastAsia="楷体" w:cs="Times New Roman"/>
                <w:kern w:val="0"/>
                <w:szCs w:val="32"/>
              </w:rPr>
            </w:pPr>
          </w:p>
        </w:tc>
        <w:tc>
          <w:tcPr>
            <w:tcW w:w="675" w:type="dxa"/>
            <w:noWrap w:val="0"/>
            <w:vAlign w:val="center"/>
          </w:tcPr>
          <w:p>
            <w:pPr>
              <w:spacing w:line="700" w:lineRule="exact"/>
              <w:jc w:val="center"/>
              <w:rPr>
                <w:rFonts w:hint="default" w:ascii="Times New Roman" w:hAnsi="Times New Roman" w:eastAsia="楷体" w:cs="Times New Roman"/>
                <w:kern w:val="0"/>
                <w:szCs w:val="32"/>
              </w:rPr>
            </w:pPr>
          </w:p>
        </w:tc>
      </w:tr>
    </w:tbl>
    <w:p>
      <w:pPr>
        <w:spacing w:line="700" w:lineRule="exact"/>
        <w:jc w:val="center"/>
        <w:rPr>
          <w:rFonts w:hint="default" w:ascii="Times New Roman" w:hAnsi="Times New Roman" w:eastAsia="楷体" w:cs="Times New Roman"/>
          <w:kern w:val="0"/>
          <w:szCs w:val="32"/>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财政拨款委托业务费支出预算表</w:t>
      </w:r>
    </w:p>
    <w:tbl>
      <w:tblPr>
        <w:tblStyle w:val="12"/>
        <w:tblpPr w:leftFromText="180" w:rightFromText="180" w:vertAnchor="text" w:horzAnchor="page" w:tblpXSpec="center" w:tblpY="6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780" w:type="dxa"/>
            <w:gridSpan w:val="9"/>
            <w:tcBorders>
              <w:top w:val="nil"/>
              <w:left w:val="nil"/>
              <w:bottom w:val="single" w:color="auto" w:sz="4" w:space="0"/>
              <w:right w:val="nil"/>
            </w:tcBorders>
            <w:noWrap w:val="0"/>
            <w:vAlign w:val="bottom"/>
          </w:tcPr>
          <w:p>
            <w:pPr>
              <w:spacing w:line="240" w:lineRule="auto"/>
              <w:jc w:val="right"/>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kern w:val="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color w:val="000000"/>
                <w:sz w:val="20"/>
                <w:szCs w:val="20"/>
                <w:lang w:val="en-US" w:eastAsia="zh-CN"/>
              </w:rPr>
            </w:pPr>
            <w:r>
              <w:rPr>
                <w:rFonts w:hint="default" w:ascii="Times New Roman" w:hAnsi="Times New Roman" w:eastAsia="华文细黑" w:cs="Times New Roman"/>
                <w:color w:val="000000"/>
                <w:sz w:val="20"/>
                <w:szCs w:val="20"/>
                <w:lang w:eastAsia="zh-CN"/>
              </w:rPr>
              <w:t>部门</w:t>
            </w:r>
            <w:r>
              <w:rPr>
                <w:rFonts w:hint="default" w:ascii="Times New Roman" w:hAnsi="Times New Roman" w:eastAsia="华文细黑" w:cs="Times New Roman"/>
                <w:color w:val="000000"/>
                <w:sz w:val="20"/>
                <w:szCs w:val="20"/>
                <w:lang w:val="en-US" w:eastAsia="zh-CN"/>
              </w:rPr>
              <w:t>/单位/</w:t>
            </w:r>
          </w:p>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color w:val="000000"/>
                <w:sz w:val="20"/>
                <w:szCs w:val="20"/>
                <w:lang w:eastAsia="zh-CN"/>
              </w:rPr>
              <w:t>委托事</w:t>
            </w:r>
            <w:r>
              <w:rPr>
                <w:rFonts w:hint="default" w:ascii="Times New Roman" w:hAnsi="Times New Roman" w:eastAsia="华文细黑" w:cs="Times New Roman"/>
                <w:color w:val="000000"/>
                <w:sz w:val="20"/>
                <w:szCs w:val="20"/>
                <w:lang w:val="en-US" w:eastAsia="zh-CN"/>
              </w:rPr>
              <w:t xml:space="preserve">    </w:t>
            </w:r>
            <w:r>
              <w:rPr>
                <w:rFonts w:hint="default" w:ascii="Times New Roman" w:hAnsi="Times New Roman" w:eastAsia="华文细黑" w:cs="Times New Roman"/>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是否政府购买服务</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是否政</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府采购</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（是</w:t>
            </w:r>
            <w:r>
              <w:rPr>
                <w:rFonts w:hint="default" w:ascii="Times New Roman" w:hAnsi="Times New Roman" w:eastAsia="华文细黑" w:cs="Times New Roman"/>
                <w:kern w:val="0"/>
                <w:sz w:val="20"/>
                <w:szCs w:val="20"/>
                <w:vertAlign w:val="baseline"/>
                <w:lang w:val="en-US" w:eastAsia="zh-CN"/>
              </w:rPr>
              <w:t>/否</w:t>
            </w:r>
            <w:r>
              <w:rPr>
                <w:rFonts w:hint="default" w:ascii="Times New Roman" w:hAnsi="Times New Roman" w:eastAsia="华文细黑" w:cs="Times New Roman"/>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284"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67"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合计</w:t>
            </w:r>
          </w:p>
        </w:tc>
        <w:tc>
          <w:tcPr>
            <w:tcW w:w="666"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政府性基金预算拨款收入</w:t>
            </w:r>
          </w:p>
        </w:tc>
        <w:tc>
          <w:tcPr>
            <w:tcW w:w="728" w:type="dxa"/>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c>
          <w:tcPr>
            <w:tcW w:w="1036"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c>
          <w:tcPr>
            <w:tcW w:w="803" w:type="dxa"/>
            <w:vMerge w:val="continue"/>
            <w:tcBorders>
              <w:top w:val="single" w:color="auto"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jc w:val="both"/>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部门名称</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项目名称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200" w:firstLineChars="1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eastAsia="zh-CN"/>
              </w:rPr>
              <w:t>单位名称</w:t>
            </w:r>
            <w:r>
              <w:rPr>
                <w:rFonts w:hint="default" w:ascii="Times New Roman" w:hAnsi="Times New Roman" w:eastAsia="华文细黑" w:cs="Times New Roman"/>
                <w:kern w:val="0"/>
                <w:sz w:val="20"/>
                <w:szCs w:val="20"/>
                <w:vertAlign w:val="baseline"/>
                <w:lang w:val="en-US" w:eastAsia="zh-CN"/>
              </w:rPr>
              <w:t>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项目名称1</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pPr>
              <w:spacing w:line="240" w:lineRule="auto"/>
              <w:ind w:firstLine="400" w:firstLineChars="200"/>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项目名称2</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pPr>
              <w:spacing w:line="240" w:lineRule="auto"/>
              <w:jc w:val="both"/>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w:t>
            </w:r>
          </w:p>
        </w:tc>
        <w:tc>
          <w:tcPr>
            <w:tcW w:w="1284"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66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17"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728"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6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1036"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c>
          <w:tcPr>
            <w:tcW w:w="803" w:type="dxa"/>
            <w:noWrap w:val="0"/>
            <w:vAlign w:val="center"/>
          </w:tcPr>
          <w:p>
            <w:pPr>
              <w:spacing w:line="240" w:lineRule="auto"/>
              <w:jc w:val="both"/>
              <w:rPr>
                <w:rFonts w:hint="default" w:ascii="Times New Roman" w:hAnsi="Times New Roman" w:eastAsia="华文细黑" w:cs="Times New Roman"/>
                <w:kern w:val="0"/>
                <w:sz w:val="20"/>
                <w:szCs w:val="20"/>
                <w:vertAlign w:val="baseline"/>
              </w:rPr>
            </w:pPr>
          </w:p>
        </w:tc>
      </w:tr>
    </w:tbl>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jc w:val="center"/>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项目支出绩效目标表</w:t>
      </w:r>
    </w:p>
    <w:tbl>
      <w:tblPr>
        <w:tblStyle w:val="12"/>
        <w:tblpPr w:leftFromText="180" w:rightFromText="180" w:vertAnchor="text" w:horzAnchor="page" w:tblpX="1623" w:tblpY="5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41" w:type="dxa"/>
            <w:gridSpan w:val="10"/>
            <w:tcBorders>
              <w:top w:val="nil"/>
              <w:left w:val="nil"/>
              <w:bottom w:val="single" w:color="000000" w:sz="4" w:space="0"/>
              <w:right w:val="nil"/>
            </w:tcBorders>
            <w:noWrap w:val="0"/>
            <w:vAlign w:val="top"/>
          </w:tcPr>
          <w:p>
            <w:pPr>
              <w:spacing w:line="700" w:lineRule="exact"/>
              <w:ind w:firstLine="640" w:firstLineChars="200"/>
              <w:rPr>
                <w:rFonts w:hint="default" w:ascii="Times New Roman" w:hAnsi="Times New Roman" w:eastAsia="楷体" w:cs="Times New Roman"/>
                <w:kern w:val="0"/>
                <w:szCs w:val="32"/>
                <w:vertAlign w:val="baseline"/>
              </w:rPr>
            </w:pPr>
            <w:r>
              <w:rPr>
                <w:rFonts w:hint="default" w:ascii="Times New Roman" w:hAnsi="Times New Roman" w:eastAsia="楷体" w:cs="Times New Roman"/>
                <w:kern w:val="0"/>
                <w:szCs w:val="32"/>
              </w:rPr>
              <w:br w:type="page"/>
            </w:r>
            <w:r>
              <w:rPr>
                <w:rFonts w:hint="default" w:ascii="Times New Roman" w:hAnsi="Times New Roman" w:eastAsia="华文细黑" w:cs="Times New Roman"/>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年度资</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金总额</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年度绩</w:t>
            </w:r>
            <w:r>
              <w:rPr>
                <w:rFonts w:hint="default" w:ascii="Times New Roman" w:hAnsi="Times New Roman" w:eastAsia="华文细黑" w:cs="Times New Roman"/>
                <w:kern w:val="0"/>
                <w:sz w:val="20"/>
                <w:szCs w:val="20"/>
                <w:vertAlign w:val="baseline"/>
                <w:lang w:val="en-US" w:eastAsia="zh-CN"/>
              </w:rPr>
              <w:t xml:space="preserve">  </w:t>
            </w:r>
            <w:r>
              <w:rPr>
                <w:rFonts w:hint="default" w:ascii="Times New Roman" w:hAnsi="Times New Roman" w:eastAsia="华文细黑" w:cs="Times New Roman"/>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社会成本指标</w:t>
            </w: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tcBorders>
              <w:top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生态环境成本指标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产出指标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数量指标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质量指标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时效指标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restart"/>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效益指标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vMerge w:val="continue"/>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生态效益指标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778"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满意度指标</w:t>
            </w:r>
          </w:p>
        </w:tc>
        <w:tc>
          <w:tcPr>
            <w:tcW w:w="1447" w:type="dxa"/>
            <w:noWrap w:val="0"/>
            <w:vAlign w:val="center"/>
          </w:tcPr>
          <w:p>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服务对象满意度指标</w:t>
            </w: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c>
          <w:tcPr>
            <w:tcW w:w="641" w:type="dxa"/>
            <w:noWrap w:val="0"/>
            <w:vAlign w:val="center"/>
          </w:tcPr>
          <w:p>
            <w:pPr>
              <w:spacing w:line="240" w:lineRule="auto"/>
              <w:jc w:val="center"/>
              <w:rPr>
                <w:rFonts w:hint="default" w:ascii="Times New Roman" w:hAnsi="Times New Roman" w:eastAsia="华文细黑" w:cs="Times New Roman"/>
                <w:kern w:val="0"/>
                <w:sz w:val="20"/>
                <w:szCs w:val="20"/>
                <w:vertAlign w:val="baseline"/>
              </w:rPr>
            </w:pPr>
          </w:p>
        </w:tc>
      </w:tr>
    </w:tbl>
    <w:p>
      <w:pPr>
        <w:spacing w:line="700" w:lineRule="exact"/>
        <w:jc w:val="center"/>
        <w:rPr>
          <w:rFonts w:hint="default" w:ascii="Times New Roman" w:hAnsi="Times New Roman" w:eastAsia="方正小标宋简体" w:cs="Times New Roman"/>
          <w:kern w:val="0"/>
          <w:sz w:val="44"/>
          <w:szCs w:val="44"/>
          <w:lang w:eastAsia="zh-CN"/>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spacing w:line="700" w:lineRule="exact"/>
        <w:ind w:firstLine="640" w:firstLineChars="200"/>
        <w:rPr>
          <w:rFonts w:hint="default" w:ascii="Times New Roman" w:hAnsi="Times New Roman" w:eastAsia="楷体" w:cs="Times New Roman"/>
          <w:kern w:val="0"/>
          <w:szCs w:val="32"/>
        </w:rPr>
      </w:pPr>
    </w:p>
    <w:p>
      <w:pPr>
        <w:ind w:firstLine="640" w:firstLineChars="200"/>
        <w:jc w:val="center"/>
        <w:rPr>
          <w:rFonts w:hint="default" w:ascii="Times New Roman" w:hAnsi="Times New Roman" w:eastAsia="黑体" w:cs="Times New Roman"/>
        </w:rPr>
      </w:pPr>
      <w:r>
        <w:rPr>
          <w:rFonts w:hint="default" w:ascii="Times New Roman" w:hAnsi="Times New Roman" w:eastAsia="黑体" w:cs="Times New Roman"/>
        </w:rPr>
        <w:t>第三部分 情况说明</w:t>
      </w:r>
    </w:p>
    <w:p>
      <w:pPr>
        <w:rPr>
          <w:rFonts w:hint="default" w:ascii="Times New Roman" w:hAnsi="Times New Roman" w:eastAsia="仿宋" w:cs="Times New Roman"/>
          <w:szCs w:val="32"/>
        </w:rPr>
      </w:pP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年收支预算总体情况</w:t>
      </w:r>
    </w:p>
    <w:p>
      <w:pPr>
        <w:ind w:firstLine="640" w:firstLineChars="200"/>
        <w:rPr>
          <w:rFonts w:hint="default" w:ascii="Times New Roman" w:hAnsi="Times New Roman" w:eastAsia="楷体" w:cs="Times New Roman"/>
          <w:szCs w:val="30"/>
        </w:rPr>
      </w:pPr>
      <w:r>
        <w:rPr>
          <w:rFonts w:hint="default" w:ascii="Times New Roman" w:hAnsi="Times New Roman" w:cs="Times New Roman"/>
          <w:szCs w:val="32"/>
        </w:rPr>
        <w:t>按照综合预算的原则，所有收入和支出全部纳入</w:t>
      </w:r>
      <w:r>
        <w:rPr>
          <w:rFonts w:hint="default" w:ascii="Times New Roman" w:hAnsi="Times New Roman" w:cs="Times New Roman"/>
          <w:szCs w:val="32"/>
          <w:lang w:eastAsia="zh-CN"/>
        </w:rPr>
        <w:t>单位</w:t>
      </w:r>
      <w:r>
        <w:rPr>
          <w:rFonts w:hint="default" w:ascii="Times New Roman" w:hAnsi="Times New Roman" w:cs="Times New Roman"/>
          <w:szCs w:val="32"/>
        </w:rPr>
        <w:t>预算管理。收入包括：一般公共预算拨款收入、上年结转结余等；支出包括：一般公共服务支出、社会保障和就业支出、卫生健康支出、住房保障支出等。202</w:t>
      </w:r>
      <w:r>
        <w:rPr>
          <w:rFonts w:hint="default" w:ascii="Times New Roman" w:hAnsi="Times New Roman" w:cs="Times New Roman"/>
          <w:szCs w:val="32"/>
          <w:lang w:val="en-US" w:eastAsia="zh-CN"/>
        </w:rPr>
        <w:t>4</w:t>
      </w:r>
      <w:r>
        <w:rPr>
          <w:rFonts w:hint="default" w:ascii="Times New Roman" w:hAnsi="Times New Roman" w:cs="Times New Roman"/>
          <w:szCs w:val="32"/>
        </w:rPr>
        <w:t>年收支总预算</w:t>
      </w:r>
      <w:r>
        <w:rPr>
          <w:rFonts w:hint="default" w:ascii="Times New Roman" w:hAnsi="Times New Roman" w:cs="Times New Roman"/>
          <w:szCs w:val="32"/>
          <w:lang w:val="en-US" w:eastAsia="zh-CN"/>
        </w:rPr>
        <w:t>154.25</w:t>
      </w:r>
      <w:r>
        <w:rPr>
          <w:rFonts w:hint="default" w:ascii="Times New Roman" w:hAnsi="Times New Roman" w:cs="Times New Roman"/>
          <w:szCs w:val="32"/>
        </w:rPr>
        <w:t>万元，其中：当年预算</w:t>
      </w:r>
      <w:r>
        <w:rPr>
          <w:rFonts w:hint="default" w:ascii="Times New Roman" w:hAnsi="Times New Roman" w:cs="Times New Roman"/>
          <w:szCs w:val="32"/>
          <w:lang w:val="en-US" w:eastAsia="zh-CN"/>
        </w:rPr>
        <w:t>136.33</w:t>
      </w:r>
      <w:r>
        <w:rPr>
          <w:rFonts w:hint="default" w:ascii="Times New Roman" w:hAnsi="Times New Roman" w:cs="Times New Roman"/>
          <w:szCs w:val="32"/>
        </w:rPr>
        <w:t>万元；上年结转</w:t>
      </w:r>
      <w:r>
        <w:rPr>
          <w:rFonts w:hint="default" w:ascii="Times New Roman" w:hAnsi="Times New Roman" w:cs="Times New Roman"/>
          <w:szCs w:val="32"/>
          <w:lang w:val="en-US" w:eastAsia="zh-CN"/>
        </w:rPr>
        <w:t>17.92</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年当年预算比202</w:t>
      </w:r>
      <w:r>
        <w:rPr>
          <w:rFonts w:hint="default" w:ascii="Times New Roman" w:hAnsi="Times New Roman" w:cs="Times New Roman"/>
          <w:szCs w:val="32"/>
          <w:lang w:val="en-US" w:eastAsia="zh-CN"/>
        </w:rPr>
        <w:t>3</w:t>
      </w:r>
      <w:r>
        <w:rPr>
          <w:rFonts w:hint="default" w:ascii="Times New Roman" w:hAnsi="Times New Roman" w:cs="Times New Roman"/>
          <w:szCs w:val="32"/>
        </w:rPr>
        <w:t>年预算增加</w:t>
      </w:r>
      <w:r>
        <w:rPr>
          <w:rFonts w:hint="default" w:ascii="Times New Roman" w:hAnsi="Times New Roman" w:cs="Times New Roman"/>
          <w:szCs w:val="32"/>
          <w:lang w:val="en-US" w:eastAsia="zh-CN"/>
        </w:rPr>
        <w:t>22.04</w:t>
      </w:r>
      <w:r>
        <w:rPr>
          <w:rFonts w:hint="default" w:ascii="Times New Roman" w:hAnsi="Times New Roman" w:cs="Times New Roman"/>
          <w:szCs w:val="32"/>
        </w:rPr>
        <w:t>万元，主要原因是</w:t>
      </w:r>
      <w:r>
        <w:rPr>
          <w:rFonts w:ascii="仿宋" w:hAnsi="仿宋" w:eastAsia="仿宋" w:cs="仿宋"/>
          <w:b w:val="0"/>
          <w:bCs w:val="0"/>
          <w:color w:val="000000"/>
          <w:sz w:val="31"/>
          <w:szCs w:val="31"/>
        </w:rPr>
        <w:t>新招录</w:t>
      </w:r>
      <w:r>
        <w:rPr>
          <w:rFonts w:hint="eastAsia" w:ascii="仿宋" w:hAnsi="仿宋" w:eastAsia="Malgun Gothic" w:cs="仿宋"/>
          <w:b w:val="0"/>
          <w:bCs w:val="0"/>
          <w:color w:val="000000"/>
          <w:sz w:val="31"/>
          <w:szCs w:val="31"/>
          <w:lang w:val="en-US" w:eastAsia="ko-KR"/>
        </w:rPr>
        <w:t>1</w:t>
      </w:r>
      <w:r>
        <w:rPr>
          <w:rFonts w:ascii="仿宋" w:hAnsi="仿宋" w:eastAsia="仿宋" w:cs="仿宋"/>
          <w:b w:val="0"/>
          <w:bCs w:val="0"/>
          <w:color w:val="000000"/>
          <w:sz w:val="31"/>
          <w:szCs w:val="31"/>
        </w:rPr>
        <w:t>名公务员，预算核定的</w:t>
      </w:r>
      <w:r>
        <w:rPr>
          <w:rFonts w:hint="eastAsia" w:ascii="仿宋" w:hAnsi="仿宋" w:eastAsia="仿宋" w:cs="仿宋"/>
          <w:b w:val="0"/>
          <w:bCs w:val="0"/>
          <w:color w:val="000000"/>
          <w:sz w:val="31"/>
          <w:szCs w:val="31"/>
          <w:lang w:eastAsia="zh-CN"/>
        </w:rPr>
        <w:t>公用经费和</w:t>
      </w:r>
      <w:r>
        <w:rPr>
          <w:rFonts w:ascii="仿宋" w:hAnsi="仿宋" w:eastAsia="仿宋" w:cs="仿宋"/>
          <w:b w:val="0"/>
          <w:bCs w:val="0"/>
          <w:color w:val="000000"/>
          <w:sz w:val="31"/>
          <w:szCs w:val="31"/>
        </w:rPr>
        <w:t>人员经费</w:t>
      </w:r>
      <w:r>
        <w:rPr>
          <w:rFonts w:hint="eastAsia" w:ascii="仿宋" w:hAnsi="仿宋" w:eastAsia="仿宋" w:cs="仿宋"/>
          <w:b w:val="0"/>
          <w:bCs w:val="0"/>
          <w:color w:val="000000"/>
          <w:sz w:val="31"/>
          <w:szCs w:val="31"/>
          <w:lang w:eastAsia="zh-CN"/>
        </w:rPr>
        <w:t>相应</w:t>
      </w:r>
      <w:r>
        <w:rPr>
          <w:rFonts w:ascii="仿宋" w:hAnsi="仿宋" w:eastAsia="仿宋" w:cs="仿宋"/>
          <w:b w:val="0"/>
          <w:bCs w:val="0"/>
          <w:color w:val="000000"/>
          <w:sz w:val="31"/>
          <w:szCs w:val="31"/>
        </w:rPr>
        <w:t>增加</w:t>
      </w:r>
      <w:r>
        <w:rPr>
          <w:rFonts w:hint="eastAsia" w:ascii="仿宋" w:hAnsi="仿宋" w:eastAsia="仿宋" w:cs="仿宋"/>
          <w:b w:val="0"/>
          <w:bCs w:val="0"/>
          <w:color w:val="000000"/>
          <w:sz w:val="31"/>
          <w:szCs w:val="31"/>
          <w:lang w:eastAsia="zh-CN"/>
        </w:rPr>
        <w:t>，并</w:t>
      </w:r>
      <w:r>
        <w:rPr>
          <w:rFonts w:hint="eastAsia" w:cs="Times New Roman"/>
          <w:szCs w:val="32"/>
          <w:lang w:eastAsia="zh-CN"/>
        </w:rPr>
        <w:t>本年度</w:t>
      </w:r>
      <w:r>
        <w:rPr>
          <w:rFonts w:hint="eastAsia"/>
          <w:szCs w:val="32"/>
          <w:lang w:eastAsia="zh-CN"/>
        </w:rPr>
        <w:t>将退休人员增加补贴部分纳入年初预算</w:t>
      </w:r>
      <w:r>
        <w:rPr>
          <w:szCs w:val="32"/>
        </w:rPr>
        <w:t>。</w:t>
      </w: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年收入预算情况</w:t>
      </w:r>
    </w:p>
    <w:p>
      <w:pPr>
        <w:ind w:firstLine="640" w:firstLineChars="200"/>
        <w:rPr>
          <w:rFonts w:hint="default" w:ascii="Times New Roman" w:hAnsi="Times New Roman" w:eastAsia="楷体" w:cs="Times New Roman"/>
          <w:szCs w:val="30"/>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年收入预算</w:t>
      </w:r>
      <w:r>
        <w:rPr>
          <w:rFonts w:hint="default" w:ascii="Times New Roman" w:hAnsi="Times New Roman" w:cs="Times New Roman"/>
          <w:szCs w:val="32"/>
          <w:lang w:val="en-US" w:eastAsia="zh-CN"/>
        </w:rPr>
        <w:t>154.25</w:t>
      </w:r>
      <w:r>
        <w:rPr>
          <w:rFonts w:hint="default" w:ascii="Times New Roman" w:hAnsi="Times New Roman" w:cs="Times New Roman"/>
          <w:szCs w:val="32"/>
        </w:rPr>
        <w:t>万元，其中：本年收入</w:t>
      </w:r>
      <w:r>
        <w:rPr>
          <w:rFonts w:hint="default" w:ascii="Times New Roman" w:hAnsi="Times New Roman" w:cs="Times New Roman"/>
          <w:szCs w:val="32"/>
          <w:lang w:val="en-US" w:eastAsia="zh-CN"/>
        </w:rPr>
        <w:t>136.33</w:t>
      </w:r>
      <w:r>
        <w:rPr>
          <w:rFonts w:hint="default" w:ascii="Times New Roman" w:hAnsi="Times New Roman" w:cs="Times New Roman"/>
          <w:szCs w:val="32"/>
        </w:rPr>
        <w:t>万元，占</w:t>
      </w:r>
      <w:r>
        <w:rPr>
          <w:rFonts w:hint="default" w:ascii="Times New Roman" w:hAnsi="Times New Roman" w:cs="Times New Roman"/>
          <w:szCs w:val="32"/>
          <w:lang w:val="en-US" w:eastAsia="zh-CN"/>
        </w:rPr>
        <w:t>88.38</w:t>
      </w:r>
      <w:r>
        <w:rPr>
          <w:rFonts w:hint="default" w:ascii="Times New Roman" w:hAnsi="Times New Roman" w:cs="Times New Roman"/>
          <w:szCs w:val="32"/>
        </w:rPr>
        <w:t>%；上年结转</w:t>
      </w:r>
      <w:r>
        <w:rPr>
          <w:rFonts w:hint="default" w:ascii="Times New Roman" w:hAnsi="Times New Roman" w:cs="Times New Roman"/>
          <w:szCs w:val="32"/>
          <w:lang w:eastAsia="zh-CN"/>
        </w:rPr>
        <w:t>结余</w:t>
      </w:r>
      <w:r>
        <w:rPr>
          <w:rFonts w:hint="default" w:ascii="Times New Roman" w:hAnsi="Times New Roman" w:cs="Times New Roman"/>
          <w:szCs w:val="32"/>
          <w:lang w:val="en-US" w:eastAsia="zh-CN"/>
        </w:rPr>
        <w:t>17.92</w:t>
      </w:r>
      <w:r>
        <w:rPr>
          <w:rFonts w:hint="default" w:ascii="Times New Roman" w:hAnsi="Times New Roman" w:cs="Times New Roman"/>
          <w:szCs w:val="32"/>
        </w:rPr>
        <w:t>万元，占</w:t>
      </w:r>
      <w:r>
        <w:rPr>
          <w:rFonts w:hint="default" w:ascii="Times New Roman" w:hAnsi="Times New Roman" w:cs="Times New Roman"/>
          <w:szCs w:val="32"/>
          <w:lang w:val="en-US" w:eastAsia="zh-CN"/>
        </w:rPr>
        <w:t>11.62</w:t>
      </w:r>
      <w:r>
        <w:rPr>
          <w:rFonts w:hint="default" w:ascii="Times New Roman" w:hAnsi="Times New Roman" w:cs="Times New Roman"/>
          <w:szCs w:val="32"/>
        </w:rPr>
        <w:t>%。本年收入中，一般公共预算拨款收入</w:t>
      </w:r>
      <w:r>
        <w:rPr>
          <w:rFonts w:hint="default" w:ascii="Times New Roman" w:hAnsi="Times New Roman" w:cs="Times New Roman"/>
          <w:szCs w:val="32"/>
          <w:lang w:val="en-US" w:eastAsia="zh-CN"/>
        </w:rPr>
        <w:t>136.33</w:t>
      </w:r>
      <w:r>
        <w:rPr>
          <w:rFonts w:hint="default" w:ascii="Times New Roman" w:hAnsi="Times New Roman" w:cs="Times New Roman"/>
          <w:szCs w:val="32"/>
        </w:rPr>
        <w:t>万元，占100%。上年结转中，一般公共预算拨款结转</w:t>
      </w:r>
      <w:r>
        <w:rPr>
          <w:rFonts w:hint="default" w:ascii="Times New Roman" w:hAnsi="Times New Roman" w:cs="Times New Roman"/>
          <w:szCs w:val="32"/>
          <w:lang w:val="en-US" w:eastAsia="zh-CN"/>
        </w:rPr>
        <w:t>17.92</w:t>
      </w:r>
      <w:r>
        <w:rPr>
          <w:rFonts w:hint="default" w:ascii="Times New Roman" w:hAnsi="Times New Roman" w:cs="Times New Roman"/>
          <w:szCs w:val="32"/>
        </w:rPr>
        <w:t>万元，占100%。</w:t>
      </w:r>
    </w:p>
    <w:p>
      <w:pPr>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三、202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年支出预算情况</w:t>
      </w:r>
    </w:p>
    <w:p>
      <w:pPr>
        <w:ind w:firstLine="6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年支出预算</w:t>
      </w:r>
      <w:r>
        <w:rPr>
          <w:rFonts w:hint="default" w:ascii="Times New Roman" w:hAnsi="Times New Roman" w:cs="Times New Roman"/>
          <w:szCs w:val="32"/>
          <w:lang w:val="en-US" w:eastAsia="zh-CN"/>
        </w:rPr>
        <w:t>154.25</w:t>
      </w:r>
      <w:r>
        <w:rPr>
          <w:rFonts w:hint="default" w:ascii="Times New Roman" w:hAnsi="Times New Roman" w:cs="Times New Roman"/>
          <w:szCs w:val="32"/>
        </w:rPr>
        <w:t>万元，其中：基本支出</w:t>
      </w:r>
      <w:r>
        <w:rPr>
          <w:rFonts w:hint="default" w:ascii="Times New Roman" w:hAnsi="Times New Roman" w:cs="Times New Roman"/>
          <w:szCs w:val="32"/>
          <w:lang w:val="en-US" w:eastAsia="zh-CN"/>
        </w:rPr>
        <w:t>154.25</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 。</w:t>
      </w:r>
    </w:p>
    <w:p>
      <w:pPr>
        <w:ind w:firstLine="600"/>
        <w:rPr>
          <w:rFonts w:hint="default" w:ascii="Times New Roman" w:hAnsi="Times New Roman" w:eastAsia="黑体" w:cs="Times New Roman"/>
          <w:szCs w:val="32"/>
        </w:rPr>
      </w:pPr>
      <w:r>
        <w:rPr>
          <w:rFonts w:hint="default" w:ascii="Times New Roman" w:hAnsi="Times New Roman" w:eastAsia="黑体" w:cs="Times New Roman"/>
          <w:szCs w:val="32"/>
        </w:rPr>
        <w:t>四、202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年财政拨款收支预算情况</w:t>
      </w:r>
    </w:p>
    <w:p>
      <w:pPr>
        <w:ind w:firstLine="6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年财政拨款收支总预算</w:t>
      </w:r>
      <w:r>
        <w:rPr>
          <w:rFonts w:hint="default" w:ascii="Times New Roman" w:hAnsi="Times New Roman" w:cs="Times New Roman"/>
          <w:szCs w:val="32"/>
          <w:lang w:eastAsia="zh-CN"/>
        </w:rPr>
        <w:t>154.25</w:t>
      </w:r>
      <w:r>
        <w:rPr>
          <w:rFonts w:hint="default" w:ascii="Times New Roman" w:hAnsi="Times New Roman" w:cs="Times New Roman"/>
          <w:szCs w:val="32"/>
        </w:rPr>
        <w:t>万元，其中：本年收入</w:t>
      </w:r>
      <w:r>
        <w:rPr>
          <w:rFonts w:hint="default" w:ascii="Times New Roman" w:hAnsi="Times New Roman" w:cs="Times New Roman"/>
          <w:szCs w:val="32"/>
          <w:lang w:eastAsia="zh-CN"/>
        </w:rPr>
        <w:t>136.33</w:t>
      </w:r>
      <w:r>
        <w:rPr>
          <w:rFonts w:hint="default" w:ascii="Times New Roman" w:hAnsi="Times New Roman" w:cs="Times New Roman"/>
          <w:szCs w:val="32"/>
        </w:rPr>
        <w:t>万元，上年结转</w:t>
      </w:r>
      <w:r>
        <w:rPr>
          <w:rFonts w:hint="default" w:ascii="Times New Roman" w:hAnsi="Times New Roman" w:cs="Times New Roman"/>
          <w:szCs w:val="32"/>
          <w:lang w:eastAsia="zh-CN"/>
        </w:rPr>
        <w:t>17.92</w:t>
      </w:r>
      <w:r>
        <w:rPr>
          <w:rFonts w:hint="default" w:ascii="Times New Roman" w:hAnsi="Times New Roman" w:cs="Times New Roman"/>
          <w:szCs w:val="32"/>
        </w:rPr>
        <w:t>万元。支出包括：一般公共服务支出</w:t>
      </w:r>
      <w:r>
        <w:rPr>
          <w:rFonts w:hint="default" w:ascii="Times New Roman" w:hAnsi="Times New Roman" w:cs="Times New Roman"/>
          <w:szCs w:val="32"/>
          <w:lang w:eastAsia="zh-CN"/>
        </w:rPr>
        <w:t>116.01</w:t>
      </w:r>
      <w:r>
        <w:rPr>
          <w:rFonts w:hint="default" w:ascii="Times New Roman" w:hAnsi="Times New Roman" w:cs="Times New Roman"/>
          <w:szCs w:val="32"/>
        </w:rPr>
        <w:t>万元，社会保障和就业支出</w:t>
      </w:r>
      <w:r>
        <w:rPr>
          <w:rFonts w:hint="default" w:ascii="Times New Roman" w:hAnsi="Times New Roman" w:cs="Times New Roman"/>
          <w:szCs w:val="32"/>
          <w:lang w:eastAsia="zh-CN"/>
        </w:rPr>
        <w:t>21.46</w:t>
      </w:r>
      <w:r>
        <w:rPr>
          <w:rFonts w:hint="default" w:ascii="Times New Roman" w:hAnsi="Times New Roman" w:cs="Times New Roman"/>
          <w:szCs w:val="32"/>
        </w:rPr>
        <w:t>万元，卫生健康支出</w:t>
      </w:r>
      <w:r>
        <w:rPr>
          <w:rFonts w:hint="default" w:ascii="Times New Roman" w:hAnsi="Times New Roman" w:cs="Times New Roman"/>
          <w:szCs w:val="32"/>
          <w:lang w:val="en-US" w:eastAsia="zh-CN"/>
        </w:rPr>
        <w:t>6.31</w:t>
      </w:r>
      <w:r>
        <w:rPr>
          <w:rFonts w:hint="default" w:ascii="Times New Roman" w:hAnsi="Times New Roman" w:cs="Times New Roman"/>
          <w:szCs w:val="32"/>
        </w:rPr>
        <w:t>万元，住房保障支出</w:t>
      </w:r>
      <w:r>
        <w:rPr>
          <w:rFonts w:hint="default" w:ascii="Times New Roman" w:hAnsi="Times New Roman" w:cs="Times New Roman"/>
          <w:szCs w:val="32"/>
          <w:lang w:eastAsia="zh-CN"/>
        </w:rPr>
        <w:t>10.47</w:t>
      </w:r>
      <w:r>
        <w:rPr>
          <w:rFonts w:hint="default" w:ascii="Times New Roman" w:hAnsi="Times New Roman" w:cs="Times New Roman"/>
          <w:szCs w:val="32"/>
        </w:rPr>
        <w:t>万元。</w:t>
      </w:r>
    </w:p>
    <w:p>
      <w:pPr>
        <w:ind w:firstLine="600"/>
        <w:rPr>
          <w:rFonts w:hint="default" w:ascii="Times New Roman" w:hAnsi="Times New Roman" w:eastAsia="黑体" w:cs="Times New Roman"/>
          <w:szCs w:val="30"/>
        </w:rPr>
      </w:pPr>
      <w:r>
        <w:rPr>
          <w:rFonts w:hint="default" w:ascii="Times New Roman" w:hAnsi="Times New Roman" w:eastAsia="黑体" w:cs="Times New Roman"/>
          <w:szCs w:val="30"/>
        </w:rPr>
        <w:t>五、202</w:t>
      </w:r>
      <w:r>
        <w:rPr>
          <w:rFonts w:hint="default" w:ascii="Times New Roman" w:hAnsi="Times New Roman" w:cs="Times New Roman"/>
          <w:szCs w:val="32"/>
          <w:lang w:val="en-US" w:eastAsia="zh-CN"/>
        </w:rPr>
        <w:t>4</w:t>
      </w:r>
      <w:r>
        <w:rPr>
          <w:rFonts w:hint="default" w:ascii="Times New Roman" w:hAnsi="Times New Roman" w:eastAsia="黑体" w:cs="Times New Roman"/>
          <w:szCs w:val="30"/>
        </w:rPr>
        <w:t>年一般公共预算支出情况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年一般公共预算拨款</w:t>
      </w:r>
      <w:r>
        <w:rPr>
          <w:rFonts w:hint="default" w:ascii="Times New Roman" w:hAnsi="Times New Roman" w:cs="Times New Roman"/>
          <w:szCs w:val="32"/>
          <w:lang w:eastAsia="zh-CN"/>
        </w:rPr>
        <w:t>154.25</w:t>
      </w:r>
      <w:r>
        <w:rPr>
          <w:rFonts w:hint="default" w:ascii="Times New Roman" w:hAnsi="Times New Roman" w:cs="Times New Roman"/>
          <w:szCs w:val="32"/>
        </w:rPr>
        <w:t>万元，其中：基本支出</w:t>
      </w:r>
      <w:r>
        <w:rPr>
          <w:rFonts w:hint="default" w:ascii="Times New Roman" w:hAnsi="Times New Roman" w:cs="Times New Roman"/>
          <w:szCs w:val="32"/>
          <w:lang w:val="en-US" w:eastAsia="zh-CN"/>
        </w:rPr>
        <w:t>154.25</w:t>
      </w:r>
      <w:r>
        <w:rPr>
          <w:rFonts w:hint="default" w:ascii="Times New Roman" w:hAnsi="Times New Roman" w:cs="Times New Roman"/>
          <w:szCs w:val="32"/>
        </w:rPr>
        <w:t>万元，占</w:t>
      </w:r>
      <w:r>
        <w:rPr>
          <w:rFonts w:hint="default" w:ascii="Times New Roman" w:hAnsi="Times New Roman" w:cs="Times New Roman"/>
          <w:szCs w:val="32"/>
          <w:lang w:val="en-US" w:eastAsia="zh-CN"/>
        </w:rPr>
        <w:t>100</w:t>
      </w:r>
      <w:r>
        <w:rPr>
          <w:rFonts w:hint="default" w:ascii="Times New Roman" w:hAnsi="Times New Roman" w:cs="Times New Roman"/>
          <w:szCs w:val="32"/>
        </w:rPr>
        <w:t>%。基本支出中，人员经费</w:t>
      </w:r>
      <w:r>
        <w:rPr>
          <w:rFonts w:hint="default" w:ascii="Times New Roman" w:hAnsi="Times New Roman" w:cs="Times New Roman"/>
          <w:szCs w:val="32"/>
          <w:lang w:val="en-US" w:eastAsia="zh-CN"/>
        </w:rPr>
        <w:t>128.55</w:t>
      </w:r>
      <w:r>
        <w:rPr>
          <w:rFonts w:hint="default" w:ascii="Times New Roman" w:hAnsi="Times New Roman" w:cs="Times New Roman"/>
          <w:szCs w:val="32"/>
        </w:rPr>
        <w:t>万元，占</w:t>
      </w:r>
      <w:r>
        <w:rPr>
          <w:rFonts w:hint="default" w:ascii="Times New Roman" w:hAnsi="Times New Roman" w:cs="Times New Roman"/>
          <w:szCs w:val="32"/>
          <w:lang w:val="en-US" w:eastAsia="zh-CN"/>
        </w:rPr>
        <w:t>83.34</w:t>
      </w:r>
      <w:r>
        <w:rPr>
          <w:rFonts w:hint="default" w:ascii="Times New Roman" w:hAnsi="Times New Roman" w:cs="Times New Roman"/>
          <w:szCs w:val="32"/>
        </w:rPr>
        <w:t>%；公用经费</w:t>
      </w:r>
      <w:r>
        <w:rPr>
          <w:rFonts w:hint="default" w:ascii="Times New Roman" w:hAnsi="Times New Roman" w:cs="Times New Roman"/>
          <w:szCs w:val="32"/>
          <w:lang w:val="en-US" w:eastAsia="zh-CN"/>
        </w:rPr>
        <w:t>25.70</w:t>
      </w:r>
      <w:r>
        <w:rPr>
          <w:rFonts w:hint="default" w:ascii="Times New Roman" w:hAnsi="Times New Roman" w:cs="Times New Roman"/>
          <w:szCs w:val="32"/>
        </w:rPr>
        <w:t>万元，占</w:t>
      </w:r>
      <w:r>
        <w:rPr>
          <w:rFonts w:hint="default" w:ascii="Times New Roman" w:hAnsi="Times New Roman" w:cs="Times New Roman"/>
          <w:szCs w:val="32"/>
          <w:lang w:val="en-US" w:eastAsia="zh-CN"/>
        </w:rPr>
        <w:t>16.66</w:t>
      </w:r>
      <w:r>
        <w:rPr>
          <w:rFonts w:hint="default" w:ascii="Times New Roman" w:hAnsi="Times New Roman" w:cs="Times New Roman"/>
          <w:szCs w:val="32"/>
        </w:rPr>
        <w:t>%。</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一般公共服务（类）支出</w:t>
      </w:r>
      <w:r>
        <w:rPr>
          <w:rFonts w:hint="default" w:ascii="Times New Roman" w:hAnsi="Times New Roman" w:cs="Times New Roman"/>
          <w:szCs w:val="32"/>
          <w:lang w:eastAsia="zh-CN"/>
        </w:rPr>
        <w:t>116.01</w:t>
      </w:r>
      <w:r>
        <w:rPr>
          <w:rFonts w:hint="default" w:ascii="Times New Roman" w:hAnsi="Times New Roman" w:cs="Times New Roman"/>
          <w:szCs w:val="32"/>
        </w:rPr>
        <w:t>万元，占</w:t>
      </w:r>
      <w:r>
        <w:rPr>
          <w:rFonts w:hint="default" w:ascii="Times New Roman" w:hAnsi="Times New Roman" w:cs="Times New Roman"/>
          <w:szCs w:val="32"/>
          <w:lang w:val="en-US" w:eastAsia="zh-CN"/>
        </w:rPr>
        <w:t>75.21</w:t>
      </w:r>
      <w:r>
        <w:rPr>
          <w:rFonts w:hint="default" w:ascii="Times New Roman" w:hAnsi="Times New Roman" w:cs="Times New Roman"/>
          <w:szCs w:val="32"/>
        </w:rPr>
        <w:t>%，主要用于保障职工工资，维持机关正常运转以及完成年度统计工作任务。</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社会保障和就业（类）支出</w:t>
      </w:r>
      <w:r>
        <w:rPr>
          <w:rFonts w:hint="default" w:ascii="Times New Roman" w:hAnsi="Times New Roman" w:cs="Times New Roman"/>
          <w:szCs w:val="32"/>
          <w:lang w:eastAsia="zh-CN"/>
        </w:rPr>
        <w:t>21.46</w:t>
      </w:r>
      <w:r>
        <w:rPr>
          <w:rFonts w:hint="default" w:ascii="Times New Roman" w:hAnsi="Times New Roman" w:cs="Times New Roman"/>
          <w:szCs w:val="32"/>
        </w:rPr>
        <w:t>万元，占</w:t>
      </w:r>
      <w:r>
        <w:rPr>
          <w:rFonts w:hint="default" w:ascii="Times New Roman" w:hAnsi="Times New Roman" w:cs="Times New Roman"/>
          <w:szCs w:val="32"/>
          <w:lang w:val="en-US" w:eastAsia="zh-CN"/>
        </w:rPr>
        <w:t>13.91</w:t>
      </w:r>
      <w:r>
        <w:rPr>
          <w:rFonts w:hint="default" w:ascii="Times New Roman" w:hAnsi="Times New Roman" w:cs="Times New Roman"/>
          <w:szCs w:val="32"/>
        </w:rPr>
        <w:t>%，主要用于保障机关事业单位基本养老保险缴费支出。</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卫生健康支出</w:t>
      </w:r>
      <w:r>
        <w:rPr>
          <w:rFonts w:hint="default" w:ascii="Times New Roman" w:hAnsi="Times New Roman" w:cs="Times New Roman"/>
          <w:szCs w:val="32"/>
          <w:lang w:val="en-US" w:eastAsia="zh-CN"/>
        </w:rPr>
        <w:t>6.31</w:t>
      </w:r>
      <w:r>
        <w:rPr>
          <w:rFonts w:hint="default" w:ascii="Times New Roman" w:hAnsi="Times New Roman" w:cs="Times New Roman"/>
          <w:szCs w:val="32"/>
        </w:rPr>
        <w:t>万元，占</w:t>
      </w:r>
      <w:r>
        <w:rPr>
          <w:rFonts w:hint="default" w:ascii="Times New Roman" w:hAnsi="Times New Roman" w:cs="Times New Roman"/>
          <w:szCs w:val="32"/>
          <w:lang w:val="en-US" w:eastAsia="zh-CN"/>
        </w:rPr>
        <w:t>4.09</w:t>
      </w:r>
      <w:r>
        <w:rPr>
          <w:rFonts w:hint="default" w:ascii="Times New Roman" w:hAnsi="Times New Roman" w:cs="Times New Roman"/>
          <w:szCs w:val="32"/>
        </w:rPr>
        <w:t>%，主要用于缴纳职工医疗保险。</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住房保障（类）支出</w:t>
      </w:r>
      <w:r>
        <w:rPr>
          <w:rFonts w:hint="default" w:ascii="Times New Roman" w:hAnsi="Times New Roman" w:cs="Times New Roman"/>
          <w:szCs w:val="32"/>
          <w:lang w:eastAsia="zh-CN"/>
        </w:rPr>
        <w:t>10.47</w:t>
      </w:r>
      <w:r>
        <w:rPr>
          <w:rFonts w:hint="default" w:ascii="Times New Roman" w:hAnsi="Times New Roman" w:cs="Times New Roman"/>
          <w:szCs w:val="32"/>
        </w:rPr>
        <w:t>万元，占</w:t>
      </w:r>
      <w:r>
        <w:rPr>
          <w:rFonts w:hint="default" w:ascii="Times New Roman" w:hAnsi="Times New Roman" w:cs="Times New Roman"/>
          <w:szCs w:val="32"/>
          <w:lang w:val="en-US" w:eastAsia="zh-CN"/>
        </w:rPr>
        <w:t>6.79</w:t>
      </w:r>
      <w:r>
        <w:rPr>
          <w:rFonts w:hint="default" w:ascii="Times New Roman" w:hAnsi="Times New Roman" w:cs="Times New Roman"/>
          <w:szCs w:val="32"/>
        </w:rPr>
        <w:t>%，主要用于缴纳职工住房公积金。</w:t>
      </w:r>
    </w:p>
    <w:p>
      <w:pPr>
        <w:spacing w:line="52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六、202</w:t>
      </w:r>
      <w:r>
        <w:rPr>
          <w:rFonts w:hint="default" w:ascii="Times New Roman" w:hAnsi="Times New Roman" w:cs="Times New Roman"/>
          <w:szCs w:val="32"/>
          <w:lang w:val="en-US" w:eastAsia="zh-CN"/>
        </w:rPr>
        <w:t>4</w:t>
      </w:r>
      <w:r>
        <w:rPr>
          <w:rFonts w:hint="default" w:ascii="Times New Roman" w:hAnsi="Times New Roman" w:eastAsia="黑体" w:cs="Times New Roman"/>
          <w:szCs w:val="32"/>
        </w:rPr>
        <w:t>年一般公共预算基本支出情况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年一般公共预算基本支出</w:t>
      </w:r>
      <w:r>
        <w:rPr>
          <w:rFonts w:hint="default" w:ascii="Times New Roman" w:hAnsi="Times New Roman" w:cs="Times New Roman"/>
          <w:szCs w:val="32"/>
          <w:lang w:val="en-US" w:eastAsia="zh-CN"/>
        </w:rPr>
        <w:t>154.25</w:t>
      </w:r>
      <w:r>
        <w:rPr>
          <w:rFonts w:hint="default" w:ascii="Times New Roman" w:hAnsi="Times New Roman" w:cs="Times New Roman"/>
          <w:szCs w:val="32"/>
        </w:rPr>
        <w:t>万元，其中：</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人员经费</w:t>
      </w:r>
      <w:r>
        <w:rPr>
          <w:rFonts w:hint="default" w:ascii="Times New Roman" w:hAnsi="Times New Roman" w:cs="Times New Roman"/>
          <w:szCs w:val="32"/>
          <w:lang w:val="en-US" w:eastAsia="zh-CN"/>
        </w:rPr>
        <w:t>128.55</w:t>
      </w:r>
      <w:r>
        <w:rPr>
          <w:rFonts w:hint="default" w:ascii="Times New Roman" w:hAnsi="Times New Roman" w:cs="Times New Roman"/>
          <w:szCs w:val="32"/>
        </w:rPr>
        <w:t>万元，主要包括：基本工资、津贴补贴、奖金、机关事业单位基本养老保险缴费、职工基本医疗保险缴费、公务员医疗补助缴费、其他社会保障缴费、住房公积金、医疗费、其他工资福利支出、退休费、其他对个人和家庭的补助支出。</w:t>
      </w:r>
    </w:p>
    <w:p>
      <w:pPr>
        <w:ind w:firstLine="640" w:firstLineChars="200"/>
        <w:rPr>
          <w:rFonts w:hint="default" w:ascii="Times New Roman" w:hAnsi="Times New Roman" w:cs="Times New Roman"/>
          <w:kern w:val="0"/>
          <w:szCs w:val="32"/>
          <w:lang w:eastAsia="zh-CN"/>
        </w:rPr>
      </w:pPr>
      <w:r>
        <w:rPr>
          <w:rFonts w:hint="default" w:ascii="Times New Roman" w:hAnsi="Times New Roman" w:cs="Times New Roman"/>
          <w:szCs w:val="32"/>
        </w:rPr>
        <w:t>公用经费</w:t>
      </w:r>
      <w:r>
        <w:rPr>
          <w:rFonts w:hint="default" w:ascii="Times New Roman" w:hAnsi="Times New Roman" w:cs="Times New Roman"/>
          <w:szCs w:val="32"/>
          <w:lang w:val="en-US" w:eastAsia="zh-CN"/>
        </w:rPr>
        <w:t>25.70</w:t>
      </w:r>
      <w:r>
        <w:rPr>
          <w:rFonts w:hint="default" w:ascii="Times New Roman" w:hAnsi="Times New Roman" w:cs="Times New Roman"/>
          <w:szCs w:val="32"/>
        </w:rPr>
        <w:t>万元，主要包括：</w:t>
      </w:r>
      <w:r>
        <w:rPr>
          <w:rFonts w:hint="default" w:ascii="Times New Roman" w:hAnsi="Times New Roman" w:cs="Times New Roman"/>
          <w:kern w:val="0"/>
          <w:szCs w:val="32"/>
        </w:rPr>
        <w:t>办公费</w:t>
      </w:r>
      <w:r>
        <w:rPr>
          <w:rFonts w:hint="default" w:ascii="Times New Roman" w:hAnsi="Times New Roman" w:cs="Times New Roman"/>
          <w:szCs w:val="32"/>
        </w:rPr>
        <w:t>、</w:t>
      </w:r>
      <w:r>
        <w:rPr>
          <w:rFonts w:hint="default" w:ascii="Times New Roman" w:hAnsi="Times New Roman" w:cs="Times New Roman"/>
          <w:kern w:val="0"/>
          <w:szCs w:val="32"/>
          <w:lang w:eastAsia="zh-CN"/>
        </w:rPr>
        <w:t>咨询费</w:t>
      </w:r>
      <w:r>
        <w:rPr>
          <w:rFonts w:hint="default" w:ascii="Times New Roman" w:hAnsi="Times New Roman" w:cs="Times New Roman"/>
          <w:szCs w:val="32"/>
        </w:rPr>
        <w:t>、</w:t>
      </w:r>
      <w:r>
        <w:rPr>
          <w:rFonts w:hint="default" w:ascii="Times New Roman" w:hAnsi="Times New Roman" w:cs="Times New Roman"/>
          <w:szCs w:val="32"/>
          <w:lang w:eastAsia="zh-CN"/>
        </w:rPr>
        <w:t>手续费、</w:t>
      </w:r>
      <w:r>
        <w:rPr>
          <w:rFonts w:hint="default" w:ascii="Times New Roman" w:hAnsi="Times New Roman" w:cs="Times New Roman"/>
          <w:kern w:val="0"/>
          <w:szCs w:val="32"/>
        </w:rPr>
        <w:t>差旅费</w:t>
      </w:r>
      <w:r>
        <w:rPr>
          <w:rFonts w:hint="default" w:ascii="Times New Roman" w:hAnsi="Times New Roman" w:cs="Times New Roman"/>
          <w:szCs w:val="32"/>
        </w:rPr>
        <w:t>、</w:t>
      </w:r>
      <w:r>
        <w:rPr>
          <w:rFonts w:hint="default" w:ascii="Times New Roman" w:hAnsi="Times New Roman" w:cs="Times New Roman"/>
          <w:kern w:val="0"/>
          <w:szCs w:val="32"/>
        </w:rPr>
        <w:t>公务接待费</w:t>
      </w:r>
      <w:r>
        <w:rPr>
          <w:rFonts w:hint="default" w:ascii="Times New Roman" w:hAnsi="Times New Roman" w:cs="Times New Roman"/>
          <w:szCs w:val="32"/>
        </w:rPr>
        <w:t>、</w:t>
      </w:r>
      <w:r>
        <w:rPr>
          <w:rFonts w:hint="default" w:ascii="Times New Roman" w:hAnsi="Times New Roman" w:cs="Times New Roman"/>
          <w:kern w:val="0"/>
          <w:szCs w:val="32"/>
        </w:rPr>
        <w:t>工会经费、福利费</w:t>
      </w:r>
      <w:r>
        <w:rPr>
          <w:rFonts w:hint="default" w:ascii="Times New Roman" w:hAnsi="Times New Roman" w:cs="Times New Roman"/>
          <w:szCs w:val="32"/>
        </w:rPr>
        <w:t>、</w:t>
      </w:r>
      <w:r>
        <w:rPr>
          <w:rFonts w:hint="default" w:ascii="Times New Roman" w:hAnsi="Times New Roman" w:cs="Times New Roman"/>
          <w:kern w:val="0"/>
          <w:szCs w:val="32"/>
        </w:rPr>
        <w:t>其他交通</w:t>
      </w:r>
      <w:r>
        <w:rPr>
          <w:rFonts w:hint="default" w:ascii="Times New Roman" w:hAnsi="Times New Roman" w:cs="Times New Roman"/>
          <w:kern w:val="0"/>
          <w:szCs w:val="32"/>
          <w:lang w:eastAsia="zh-CN"/>
        </w:rPr>
        <w:t>费用</w:t>
      </w:r>
      <w:r>
        <w:rPr>
          <w:rFonts w:hint="default" w:ascii="Times New Roman" w:hAnsi="Times New Roman" w:cs="Times New Roman"/>
          <w:szCs w:val="32"/>
        </w:rPr>
        <w:t>、</w:t>
      </w:r>
      <w:r>
        <w:rPr>
          <w:rFonts w:hint="default" w:ascii="Times New Roman" w:hAnsi="Times New Roman" w:cs="Times New Roman"/>
          <w:kern w:val="0"/>
          <w:szCs w:val="32"/>
        </w:rPr>
        <w:t>其他商品和服务支出</w:t>
      </w:r>
      <w:r>
        <w:rPr>
          <w:rFonts w:hint="default" w:ascii="Times New Roman" w:hAnsi="Times New Roman" w:cs="Times New Roman"/>
          <w:kern w:val="0"/>
          <w:szCs w:val="32"/>
          <w:lang w:eastAsia="zh-CN"/>
        </w:rPr>
        <w:t>。</w:t>
      </w:r>
    </w:p>
    <w:p>
      <w:pPr>
        <w:ind w:firstLine="640" w:firstLineChars="200"/>
        <w:rPr>
          <w:rFonts w:hint="default" w:ascii="Times New Roman" w:hAnsi="Times New Roman" w:eastAsia="黑体" w:cs="Times New Roman"/>
          <w:szCs w:val="30"/>
        </w:rPr>
      </w:pPr>
      <w:r>
        <w:rPr>
          <w:rFonts w:hint="default" w:ascii="Times New Roman" w:hAnsi="Times New Roman" w:eastAsia="黑体" w:cs="Times New Roman"/>
          <w:szCs w:val="30"/>
        </w:rPr>
        <w:t>七、202</w:t>
      </w:r>
      <w:r>
        <w:rPr>
          <w:rFonts w:hint="default" w:ascii="Times New Roman" w:hAnsi="Times New Roman" w:cs="Times New Roman"/>
          <w:szCs w:val="32"/>
          <w:lang w:val="en-US" w:eastAsia="zh-CN"/>
        </w:rPr>
        <w:t>4</w:t>
      </w:r>
      <w:r>
        <w:rPr>
          <w:rFonts w:hint="default" w:ascii="Times New Roman" w:hAnsi="Times New Roman" w:eastAsia="黑体" w:cs="Times New Roman"/>
          <w:szCs w:val="30"/>
        </w:rPr>
        <w:t>年一般公共预算财政拨款“三公”经费情况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年“三公”经费预算数为</w:t>
      </w:r>
      <w:r>
        <w:rPr>
          <w:rFonts w:hint="default" w:ascii="Times New Roman" w:hAnsi="Times New Roman" w:cs="Times New Roman"/>
          <w:szCs w:val="32"/>
          <w:lang w:val="en-US" w:eastAsia="zh-CN"/>
        </w:rPr>
        <w:t>0.20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年预算数比202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增加</w:t>
      </w:r>
      <w:r>
        <w:rPr>
          <w:rFonts w:hint="default" w:ascii="Times New Roman" w:hAnsi="Times New Roman" w:cs="Times New Roman"/>
          <w:szCs w:val="32"/>
          <w:lang w:val="en-US" w:eastAsia="zh-CN"/>
        </w:rPr>
        <w:t>0.02</w:t>
      </w:r>
      <w:r>
        <w:rPr>
          <w:rFonts w:hint="default" w:ascii="Times New Roman" w:hAnsi="Times New Roman" w:cs="Times New Roman"/>
          <w:szCs w:val="32"/>
        </w:rPr>
        <w:t>万元。其中：</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1.因公出国（境）费0万元，202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2.公务接待费</w:t>
      </w:r>
      <w:r>
        <w:rPr>
          <w:rFonts w:hint="default" w:ascii="Times New Roman" w:hAnsi="Times New Roman" w:cs="Times New Roman"/>
          <w:szCs w:val="32"/>
          <w:lang w:eastAsia="zh-CN"/>
        </w:rPr>
        <w:t>0.20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年预算数比202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w:t>
      </w:r>
      <w:r>
        <w:rPr>
          <w:rFonts w:hint="default" w:ascii="Times New Roman" w:hAnsi="Times New Roman" w:cs="Times New Roman"/>
          <w:szCs w:val="32"/>
          <w:lang w:eastAsia="zh-CN"/>
        </w:rPr>
        <w:t>增加</w:t>
      </w:r>
      <w:r>
        <w:rPr>
          <w:rFonts w:hint="default" w:ascii="Times New Roman" w:hAnsi="Times New Roman" w:cs="Times New Roman"/>
          <w:szCs w:val="32"/>
          <w:lang w:val="en-US" w:eastAsia="zh-CN"/>
        </w:rPr>
        <w:t>0.02</w:t>
      </w:r>
      <w:r>
        <w:rPr>
          <w:rFonts w:hint="default" w:ascii="Times New Roman" w:hAnsi="Times New Roman" w:cs="Times New Roman"/>
          <w:szCs w:val="32"/>
        </w:rPr>
        <w:t>万元，主要原因是</w:t>
      </w:r>
      <w:r>
        <w:rPr>
          <w:rFonts w:hint="eastAsia" w:cs="Times New Roman"/>
          <w:szCs w:val="32"/>
          <w:lang w:eastAsia="zh-CN"/>
        </w:rPr>
        <w:t>新招录</w:t>
      </w:r>
      <w:r>
        <w:rPr>
          <w:rFonts w:hint="eastAsia" w:cs="Times New Roman"/>
          <w:szCs w:val="32"/>
          <w:lang w:val="en-US" w:eastAsia="zh-CN"/>
        </w:rPr>
        <w:t>1名公务员</w:t>
      </w:r>
      <w:r>
        <w:rPr>
          <w:rFonts w:hint="default" w:ascii="Times New Roman" w:hAnsi="Times New Roman" w:cs="Times New Roman"/>
          <w:szCs w:val="32"/>
          <w:lang w:eastAsia="zh-CN"/>
        </w:rPr>
        <w:t>，</w:t>
      </w:r>
      <w:r>
        <w:rPr>
          <w:rFonts w:hint="default" w:ascii="Times New Roman" w:hAnsi="Times New Roman" w:cs="Times New Roman"/>
          <w:szCs w:val="32"/>
        </w:rPr>
        <w:t>预算核定的公务接待费相应</w:t>
      </w:r>
      <w:r>
        <w:rPr>
          <w:rFonts w:hint="default" w:ascii="Times New Roman" w:hAnsi="Times New Roman" w:cs="Times New Roman"/>
          <w:szCs w:val="32"/>
          <w:lang w:eastAsia="zh-CN"/>
        </w:rPr>
        <w:t>增加</w:t>
      </w:r>
      <w:r>
        <w:rPr>
          <w:rFonts w:hint="default" w:ascii="Times New Roman" w:hAnsi="Times New Roman" w:cs="Times New Roman"/>
          <w:szCs w:val="32"/>
        </w:rPr>
        <w:t>。</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3.公务用车购置及运行费</w:t>
      </w:r>
      <w:r>
        <w:rPr>
          <w:rFonts w:hint="default" w:ascii="Times New Roman" w:hAnsi="Times New Roman" w:cs="Times New Roman"/>
          <w:szCs w:val="32"/>
          <w:lang w:val="en-US" w:eastAsia="zh-CN"/>
        </w:rPr>
        <w:t>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预算数持平。公务用车运行维护费</w:t>
      </w:r>
      <w:r>
        <w:rPr>
          <w:rFonts w:hint="default" w:ascii="Times New Roman" w:hAnsi="Times New Roman" w:cs="Times New Roman"/>
          <w:szCs w:val="32"/>
          <w:lang w:val="en-US" w:eastAsia="zh-CN"/>
        </w:rPr>
        <w:t>0</w:t>
      </w:r>
      <w:r>
        <w:rPr>
          <w:rFonts w:hint="default" w:ascii="Times New Roman" w:hAnsi="Times New Roman" w:cs="Times New Roman"/>
          <w:szCs w:val="32"/>
        </w:rPr>
        <w:t>万元，202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预算数持平。公务用车购置费0万元</w:t>
      </w:r>
      <w:r>
        <w:rPr>
          <w:rFonts w:hint="default" w:ascii="Times New Roman" w:hAnsi="Times New Roman" w:cs="Times New Roman"/>
          <w:szCs w:val="32"/>
          <w:lang w:eastAsia="zh-CN"/>
        </w:rPr>
        <w:t>，</w:t>
      </w: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w:t>
      </w:r>
      <w:r>
        <w:rPr>
          <w:rFonts w:hint="default" w:ascii="Times New Roman" w:hAnsi="Times New Roman" w:cs="Times New Roman"/>
          <w:szCs w:val="32"/>
          <w:lang w:eastAsia="zh-CN"/>
        </w:rPr>
        <w:t>本</w:t>
      </w:r>
      <w:r>
        <w:rPr>
          <w:rFonts w:hint="default" w:ascii="Times New Roman" w:hAnsi="Times New Roman" w:cs="Times New Roman"/>
          <w:szCs w:val="32"/>
        </w:rPr>
        <w:t>年预算数与202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eastAsia="zh-CN"/>
        </w:rPr>
        <w:t>当年</w:t>
      </w:r>
      <w:r>
        <w:rPr>
          <w:rFonts w:hint="default" w:ascii="Times New Roman" w:hAnsi="Times New Roman" w:cs="Times New Roman"/>
          <w:szCs w:val="32"/>
        </w:rPr>
        <w:t>预算数持平。</w:t>
      </w:r>
    </w:p>
    <w:p>
      <w:pPr>
        <w:spacing w:line="54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八、202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年政府性基金预算支出情况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本单位无政府性基金预算支出。</w:t>
      </w:r>
    </w:p>
    <w:p>
      <w:pPr>
        <w:spacing w:line="54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九、202</w:t>
      </w:r>
      <w:r>
        <w:rPr>
          <w:rFonts w:hint="default" w:ascii="Times New Roman" w:hAnsi="Times New Roman" w:eastAsia="黑体" w:cs="Times New Roman"/>
          <w:szCs w:val="32"/>
          <w:lang w:val="en-US" w:eastAsia="zh-CN"/>
        </w:rPr>
        <w:t>4</w:t>
      </w:r>
      <w:r>
        <w:rPr>
          <w:rFonts w:hint="default" w:ascii="Times New Roman" w:hAnsi="Times New Roman" w:eastAsia="黑体" w:cs="Times New Roman"/>
          <w:szCs w:val="32"/>
        </w:rPr>
        <w:t>年国有资本经营预算支出情况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本单位无国有资本经营预算支出。</w:t>
      </w:r>
    </w:p>
    <w:p>
      <w:pPr>
        <w:spacing w:line="540" w:lineRule="exact"/>
        <w:ind w:firstLine="640"/>
        <w:rPr>
          <w:rFonts w:hint="default" w:ascii="Times New Roman" w:hAnsi="Times New Roman" w:eastAsia="黑体" w:cs="Times New Roman"/>
          <w:szCs w:val="32"/>
        </w:rPr>
      </w:pPr>
      <w:r>
        <w:rPr>
          <w:rFonts w:hint="default" w:ascii="Times New Roman" w:hAnsi="Times New Roman" w:eastAsia="黑体" w:cs="Times New Roman"/>
          <w:szCs w:val="32"/>
        </w:rPr>
        <w:t>十、其他重要事项的说明情况</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（一）机关运行经费</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4</w:t>
      </w:r>
      <w:r>
        <w:rPr>
          <w:rFonts w:hint="default" w:ascii="Times New Roman" w:hAnsi="Times New Roman" w:cs="Times New Roman"/>
          <w:szCs w:val="32"/>
        </w:rPr>
        <w:t>年本单位1家行政单位的机关运行经费财政拨款预算</w:t>
      </w:r>
      <w:r>
        <w:rPr>
          <w:rFonts w:hint="default" w:ascii="Times New Roman" w:hAnsi="Times New Roman" w:cs="Times New Roman"/>
          <w:szCs w:val="32"/>
          <w:lang w:val="en-US" w:eastAsia="zh-CN"/>
        </w:rPr>
        <w:t>25.70</w:t>
      </w:r>
      <w:r>
        <w:rPr>
          <w:rFonts w:hint="default" w:ascii="Times New Roman" w:hAnsi="Times New Roman" w:cs="Times New Roman"/>
          <w:szCs w:val="32"/>
        </w:rPr>
        <w:t>万元，比202</w:t>
      </w:r>
      <w:r>
        <w:rPr>
          <w:rFonts w:hint="default" w:ascii="Times New Roman" w:hAnsi="Times New Roman" w:cs="Times New Roman"/>
          <w:szCs w:val="32"/>
          <w:lang w:val="en-US" w:eastAsia="zh-CN"/>
        </w:rPr>
        <w:t>3</w:t>
      </w:r>
      <w:r>
        <w:rPr>
          <w:rFonts w:hint="default" w:ascii="Times New Roman" w:hAnsi="Times New Roman" w:cs="Times New Roman"/>
          <w:szCs w:val="32"/>
        </w:rPr>
        <w:t>年预算减少</w:t>
      </w:r>
      <w:r>
        <w:rPr>
          <w:rFonts w:hint="default" w:ascii="Times New Roman" w:hAnsi="Times New Roman" w:cs="Times New Roman"/>
          <w:szCs w:val="32"/>
          <w:lang w:val="en-US" w:eastAsia="zh-CN"/>
        </w:rPr>
        <w:t>2.77</w:t>
      </w:r>
      <w:r>
        <w:rPr>
          <w:rFonts w:hint="default" w:ascii="Times New Roman" w:hAnsi="Times New Roman" w:cs="Times New Roman"/>
          <w:szCs w:val="32"/>
        </w:rPr>
        <w:t>万元，下降</w:t>
      </w:r>
      <w:r>
        <w:rPr>
          <w:rFonts w:hint="default" w:ascii="Times New Roman" w:hAnsi="Times New Roman" w:cs="Times New Roman"/>
          <w:szCs w:val="32"/>
          <w:lang w:val="en-US" w:eastAsia="zh-CN"/>
        </w:rPr>
        <w:t>9.73</w:t>
      </w:r>
      <w:r>
        <w:rPr>
          <w:rFonts w:hint="default" w:ascii="Times New Roman" w:hAnsi="Times New Roman" w:cs="Times New Roman"/>
          <w:szCs w:val="32"/>
        </w:rPr>
        <w:t>%，主要原因是</w:t>
      </w:r>
      <w:r>
        <w:rPr>
          <w:rFonts w:hint="default" w:ascii="Times New Roman" w:hAnsi="Times New Roman" w:cs="Times New Roman"/>
          <w:szCs w:val="32"/>
          <w:lang w:val="en-US" w:eastAsia="zh-CN"/>
        </w:rPr>
        <w:t>2024年</w:t>
      </w:r>
      <w:r>
        <w:rPr>
          <w:rFonts w:hint="default" w:ascii="Times New Roman" w:hAnsi="Times New Roman" w:cs="Times New Roman"/>
          <w:szCs w:val="32"/>
          <w:lang w:eastAsia="zh-CN"/>
        </w:rPr>
        <w:t>公用经费上年结转比</w:t>
      </w:r>
      <w:r>
        <w:rPr>
          <w:rFonts w:hint="default" w:ascii="Times New Roman" w:hAnsi="Times New Roman" w:cs="Times New Roman"/>
          <w:szCs w:val="32"/>
          <w:lang w:val="en-US" w:eastAsia="zh-CN"/>
        </w:rPr>
        <w:t>2023</w:t>
      </w:r>
      <w:r>
        <w:rPr>
          <w:rFonts w:hint="default" w:ascii="Times New Roman" w:hAnsi="Times New Roman" w:cs="Times New Roman"/>
          <w:szCs w:val="32"/>
          <w:lang w:eastAsia="zh-CN"/>
        </w:rPr>
        <w:t>年减少</w:t>
      </w:r>
      <w:r>
        <w:rPr>
          <w:rFonts w:hint="default" w:ascii="Times New Roman" w:hAnsi="Times New Roman" w:cs="Times New Roman"/>
          <w:szCs w:val="32"/>
        </w:rPr>
        <w:t>。</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（二）政府采购情况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本单位无政府采购。</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（三）国有资产占有使用情况</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本单位无国有资产。</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（四）项目支出情况说明</w:t>
      </w:r>
    </w:p>
    <w:p>
      <w:pPr>
        <w:spacing w:line="540" w:lineRule="exact"/>
        <w:ind w:firstLine="640" w:firstLineChars="200"/>
        <w:rPr>
          <w:rFonts w:hint="default" w:ascii="Times New Roman" w:hAnsi="Times New Roman" w:cs="Times New Roman"/>
          <w:szCs w:val="32"/>
        </w:rPr>
      </w:pPr>
      <w:r>
        <w:rPr>
          <w:rFonts w:hint="default" w:ascii="Times New Roman" w:hAnsi="Times New Roman" w:cs="Times New Roman"/>
          <w:szCs w:val="32"/>
          <w:lang w:eastAsia="zh-CN"/>
        </w:rPr>
        <w:t>本单位无项目经费预算支出。</w:t>
      </w:r>
      <w:r>
        <w:rPr>
          <w:rFonts w:hint="default" w:ascii="Times New Roman" w:hAnsi="Times New Roman" w:cs="Times New Roman"/>
          <w:szCs w:val="32"/>
        </w:rPr>
        <w:t xml:space="preserve"> </w:t>
      </w:r>
    </w:p>
    <w:p>
      <w:pPr>
        <w:spacing w:line="540" w:lineRule="exact"/>
        <w:ind w:firstLine="640" w:firstLineChars="200"/>
        <w:rPr>
          <w:rFonts w:hint="default" w:ascii="Times New Roman" w:hAnsi="Times New Roman" w:eastAsia="楷体" w:cs="Times New Roman"/>
          <w:szCs w:val="32"/>
        </w:rPr>
      </w:pPr>
      <w:r>
        <w:rPr>
          <w:rFonts w:hint="default" w:ascii="Times New Roman" w:hAnsi="Times New Roman" w:eastAsia="楷体" w:cs="Times New Roman"/>
          <w:szCs w:val="32"/>
        </w:rPr>
        <w:t>（五）项目支出绩效目标情况说明</w:t>
      </w:r>
    </w:p>
    <w:p>
      <w:pPr>
        <w:spacing w:line="540" w:lineRule="exact"/>
        <w:ind w:firstLine="645"/>
        <w:rPr>
          <w:rFonts w:hint="default" w:ascii="Times New Roman" w:hAnsi="Times New Roman" w:eastAsia="楷体" w:cs="Times New Roman"/>
          <w:szCs w:val="32"/>
        </w:rPr>
      </w:pPr>
      <w:r>
        <w:rPr>
          <w:rFonts w:hint="default" w:ascii="Times New Roman" w:hAnsi="Times New Roman" w:cs="Times New Roman"/>
          <w:szCs w:val="32"/>
        </w:rPr>
        <w:t>本单位无项目经费预算支出。</w:t>
      </w: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ind w:firstLine="640" w:firstLineChars="200"/>
        <w:rPr>
          <w:rFonts w:eastAsia="楷体"/>
          <w:szCs w:val="32"/>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p>
    <w:p>
      <w:pPr>
        <w:spacing w:line="540" w:lineRule="exact"/>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pPr>
        <w:ind w:firstLine="640"/>
        <w:rPr>
          <w:szCs w:val="32"/>
        </w:rPr>
      </w:pPr>
      <w:r>
        <w:rPr>
          <w:rFonts w:eastAsia="楷体"/>
          <w:szCs w:val="32"/>
        </w:rPr>
        <w:t>（十）上年结转：</w:t>
      </w:r>
      <w:r>
        <w:rPr>
          <w:szCs w:val="32"/>
        </w:rPr>
        <w:t>指以前年度尚未完成、结转到本年仍按原规定用途继续使用的资金。</w:t>
      </w:r>
    </w:p>
    <w:p>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p>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4"/>
      </w:rPr>
    </w:pPr>
  </w:p>
  <w:p>
    <w:pPr>
      <w:pStyle w:val="8"/>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rPr>
      <w:t>0</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pPr>
      <w:pStyle w:val="8"/>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jNiYzI4ODc0ZDJmM2I1YjgyYTdhNmZjN2ZjOGM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7F6FA4"/>
    <w:rsid w:val="0486486A"/>
    <w:rsid w:val="04954460"/>
    <w:rsid w:val="04B818D1"/>
    <w:rsid w:val="050D06DA"/>
    <w:rsid w:val="05310B72"/>
    <w:rsid w:val="05513E94"/>
    <w:rsid w:val="056F5A6D"/>
    <w:rsid w:val="059B3770"/>
    <w:rsid w:val="063949A0"/>
    <w:rsid w:val="06BD5BC7"/>
    <w:rsid w:val="06F008FF"/>
    <w:rsid w:val="079E5032"/>
    <w:rsid w:val="083777B6"/>
    <w:rsid w:val="09015F14"/>
    <w:rsid w:val="091C5C63"/>
    <w:rsid w:val="09421190"/>
    <w:rsid w:val="09A0082A"/>
    <w:rsid w:val="0A00435B"/>
    <w:rsid w:val="0AAA1697"/>
    <w:rsid w:val="0ABA06FE"/>
    <w:rsid w:val="0B213749"/>
    <w:rsid w:val="0B49202F"/>
    <w:rsid w:val="0B5F5ADA"/>
    <w:rsid w:val="0C0A7D39"/>
    <w:rsid w:val="0C2A5C84"/>
    <w:rsid w:val="0C4F64D9"/>
    <w:rsid w:val="0C583939"/>
    <w:rsid w:val="0C6D1BAE"/>
    <w:rsid w:val="0D2A2435"/>
    <w:rsid w:val="0D3B068C"/>
    <w:rsid w:val="0DA001B0"/>
    <w:rsid w:val="0DEB170B"/>
    <w:rsid w:val="0E4C7841"/>
    <w:rsid w:val="0E97506F"/>
    <w:rsid w:val="0F3E0406"/>
    <w:rsid w:val="0F980230"/>
    <w:rsid w:val="0FD62F63"/>
    <w:rsid w:val="0FDE2A27"/>
    <w:rsid w:val="107D33B4"/>
    <w:rsid w:val="10AE7F82"/>
    <w:rsid w:val="10C93B35"/>
    <w:rsid w:val="11177619"/>
    <w:rsid w:val="112605C8"/>
    <w:rsid w:val="11A6707B"/>
    <w:rsid w:val="11B35B2F"/>
    <w:rsid w:val="11E53B4F"/>
    <w:rsid w:val="1226519C"/>
    <w:rsid w:val="12E711B7"/>
    <w:rsid w:val="136D62BD"/>
    <w:rsid w:val="136E4388"/>
    <w:rsid w:val="13F21722"/>
    <w:rsid w:val="1441443C"/>
    <w:rsid w:val="1457163D"/>
    <w:rsid w:val="14C12787"/>
    <w:rsid w:val="15593E10"/>
    <w:rsid w:val="159F7E25"/>
    <w:rsid w:val="15F848D0"/>
    <w:rsid w:val="160E1FA5"/>
    <w:rsid w:val="160F2600"/>
    <w:rsid w:val="16C829AB"/>
    <w:rsid w:val="16DD34F5"/>
    <w:rsid w:val="17765BCA"/>
    <w:rsid w:val="17A027D8"/>
    <w:rsid w:val="17CC2625"/>
    <w:rsid w:val="19132BE0"/>
    <w:rsid w:val="191F4716"/>
    <w:rsid w:val="193957B5"/>
    <w:rsid w:val="1954649C"/>
    <w:rsid w:val="1A817DF8"/>
    <w:rsid w:val="1A8A6135"/>
    <w:rsid w:val="1ADC594E"/>
    <w:rsid w:val="1AEB5252"/>
    <w:rsid w:val="1B8A03E4"/>
    <w:rsid w:val="1B9C1459"/>
    <w:rsid w:val="1C6F7740"/>
    <w:rsid w:val="1C852172"/>
    <w:rsid w:val="1CA40C0C"/>
    <w:rsid w:val="1CFF4A32"/>
    <w:rsid w:val="1D833200"/>
    <w:rsid w:val="1E3A3FD0"/>
    <w:rsid w:val="1EB55C07"/>
    <w:rsid w:val="1F351A10"/>
    <w:rsid w:val="1F857EA5"/>
    <w:rsid w:val="1FED47E9"/>
    <w:rsid w:val="206816AC"/>
    <w:rsid w:val="21134335"/>
    <w:rsid w:val="22027AA0"/>
    <w:rsid w:val="226E581D"/>
    <w:rsid w:val="22A4003E"/>
    <w:rsid w:val="23135C25"/>
    <w:rsid w:val="23EC61F6"/>
    <w:rsid w:val="244C543C"/>
    <w:rsid w:val="24624768"/>
    <w:rsid w:val="252671EE"/>
    <w:rsid w:val="259B5BC5"/>
    <w:rsid w:val="25F62C4E"/>
    <w:rsid w:val="26643D6C"/>
    <w:rsid w:val="26A76454"/>
    <w:rsid w:val="26FE109D"/>
    <w:rsid w:val="27073E1E"/>
    <w:rsid w:val="27B04AB3"/>
    <w:rsid w:val="27B150B0"/>
    <w:rsid w:val="282C3BA1"/>
    <w:rsid w:val="28A63332"/>
    <w:rsid w:val="28C96E8E"/>
    <w:rsid w:val="29C45F24"/>
    <w:rsid w:val="2D9038E4"/>
    <w:rsid w:val="2DF8796C"/>
    <w:rsid w:val="2EB22F18"/>
    <w:rsid w:val="2EE12108"/>
    <w:rsid w:val="2EED35E3"/>
    <w:rsid w:val="2F0B5068"/>
    <w:rsid w:val="2F250383"/>
    <w:rsid w:val="2F63610B"/>
    <w:rsid w:val="2FBC646B"/>
    <w:rsid w:val="300965A3"/>
    <w:rsid w:val="30730D6E"/>
    <w:rsid w:val="308B20C9"/>
    <w:rsid w:val="30B91A70"/>
    <w:rsid w:val="30D52434"/>
    <w:rsid w:val="30F84C22"/>
    <w:rsid w:val="310C6AA2"/>
    <w:rsid w:val="31793674"/>
    <w:rsid w:val="31894469"/>
    <w:rsid w:val="32332703"/>
    <w:rsid w:val="32CF2C5D"/>
    <w:rsid w:val="32EE2C61"/>
    <w:rsid w:val="335402B5"/>
    <w:rsid w:val="339466B2"/>
    <w:rsid w:val="34477284"/>
    <w:rsid w:val="34555AF5"/>
    <w:rsid w:val="34FF687B"/>
    <w:rsid w:val="354C4987"/>
    <w:rsid w:val="35616772"/>
    <w:rsid w:val="35EA1663"/>
    <w:rsid w:val="364C598E"/>
    <w:rsid w:val="368A3622"/>
    <w:rsid w:val="36B543E5"/>
    <w:rsid w:val="36CC2B0F"/>
    <w:rsid w:val="36FC762F"/>
    <w:rsid w:val="3838492F"/>
    <w:rsid w:val="383A009B"/>
    <w:rsid w:val="3887374F"/>
    <w:rsid w:val="38CB0ABC"/>
    <w:rsid w:val="39041A07"/>
    <w:rsid w:val="39043B77"/>
    <w:rsid w:val="39670895"/>
    <w:rsid w:val="397B4EE2"/>
    <w:rsid w:val="3A387943"/>
    <w:rsid w:val="3A657F9A"/>
    <w:rsid w:val="3A9113D4"/>
    <w:rsid w:val="3AC54F32"/>
    <w:rsid w:val="3B144A0A"/>
    <w:rsid w:val="3B254018"/>
    <w:rsid w:val="3B5257F8"/>
    <w:rsid w:val="3BC92948"/>
    <w:rsid w:val="3BE370D4"/>
    <w:rsid w:val="3C1A026D"/>
    <w:rsid w:val="3C29381E"/>
    <w:rsid w:val="3C711E1D"/>
    <w:rsid w:val="3C7F463D"/>
    <w:rsid w:val="3CAE3960"/>
    <w:rsid w:val="3CB0224A"/>
    <w:rsid w:val="3CEF6494"/>
    <w:rsid w:val="3D09356D"/>
    <w:rsid w:val="3D365BF6"/>
    <w:rsid w:val="3D7F7007"/>
    <w:rsid w:val="3DB008AA"/>
    <w:rsid w:val="3DF23324"/>
    <w:rsid w:val="3EA14040"/>
    <w:rsid w:val="3EE8108D"/>
    <w:rsid w:val="3F6F78D3"/>
    <w:rsid w:val="3F8201A3"/>
    <w:rsid w:val="3FE326DE"/>
    <w:rsid w:val="402675EA"/>
    <w:rsid w:val="40B80EFF"/>
    <w:rsid w:val="41A35364"/>
    <w:rsid w:val="41C31686"/>
    <w:rsid w:val="41C837BC"/>
    <w:rsid w:val="41DA54D8"/>
    <w:rsid w:val="421643AC"/>
    <w:rsid w:val="42982B4E"/>
    <w:rsid w:val="429F5D0C"/>
    <w:rsid w:val="42D83665"/>
    <w:rsid w:val="434A6B47"/>
    <w:rsid w:val="436B1E42"/>
    <w:rsid w:val="456D114B"/>
    <w:rsid w:val="45EB670F"/>
    <w:rsid w:val="46AB7C0D"/>
    <w:rsid w:val="46D44808"/>
    <w:rsid w:val="46ED776B"/>
    <w:rsid w:val="46F074A7"/>
    <w:rsid w:val="479D2523"/>
    <w:rsid w:val="47CF49E6"/>
    <w:rsid w:val="48674ED2"/>
    <w:rsid w:val="487708E6"/>
    <w:rsid w:val="48B06FCF"/>
    <w:rsid w:val="48B540F2"/>
    <w:rsid w:val="493F6F72"/>
    <w:rsid w:val="49645F71"/>
    <w:rsid w:val="499F5C68"/>
    <w:rsid w:val="4A52465C"/>
    <w:rsid w:val="4A5C4AC6"/>
    <w:rsid w:val="4A662FBF"/>
    <w:rsid w:val="4ABB6AB5"/>
    <w:rsid w:val="4ABD14F2"/>
    <w:rsid w:val="4AED2887"/>
    <w:rsid w:val="4AF16062"/>
    <w:rsid w:val="4B0A57E5"/>
    <w:rsid w:val="4B646DDD"/>
    <w:rsid w:val="4B7F44F8"/>
    <w:rsid w:val="4BAC24C5"/>
    <w:rsid w:val="4BFA0656"/>
    <w:rsid w:val="4D3439E8"/>
    <w:rsid w:val="4D4E2809"/>
    <w:rsid w:val="4D677E3B"/>
    <w:rsid w:val="4D730507"/>
    <w:rsid w:val="4D741DD3"/>
    <w:rsid w:val="4DC93207"/>
    <w:rsid w:val="4E010C4C"/>
    <w:rsid w:val="4E214B2B"/>
    <w:rsid w:val="4E8D5761"/>
    <w:rsid w:val="4EF54A85"/>
    <w:rsid w:val="4EF972C6"/>
    <w:rsid w:val="4FCA6DC6"/>
    <w:rsid w:val="501B3C66"/>
    <w:rsid w:val="504B40C5"/>
    <w:rsid w:val="50987DC2"/>
    <w:rsid w:val="50A4703E"/>
    <w:rsid w:val="51282B99"/>
    <w:rsid w:val="5136104F"/>
    <w:rsid w:val="51465EDE"/>
    <w:rsid w:val="52071113"/>
    <w:rsid w:val="52085509"/>
    <w:rsid w:val="522774C4"/>
    <w:rsid w:val="522A7431"/>
    <w:rsid w:val="525A440D"/>
    <w:rsid w:val="52626449"/>
    <w:rsid w:val="5329077A"/>
    <w:rsid w:val="539878DE"/>
    <w:rsid w:val="544E511A"/>
    <w:rsid w:val="54701694"/>
    <w:rsid w:val="54741940"/>
    <w:rsid w:val="54810E66"/>
    <w:rsid w:val="54C063E4"/>
    <w:rsid w:val="54C2556E"/>
    <w:rsid w:val="55480EEF"/>
    <w:rsid w:val="569B7F91"/>
    <w:rsid w:val="56AC5895"/>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A506B9"/>
    <w:rsid w:val="5CF74CE4"/>
    <w:rsid w:val="5D5502D6"/>
    <w:rsid w:val="5D5A7C63"/>
    <w:rsid w:val="5E256F6F"/>
    <w:rsid w:val="5EBD7F60"/>
    <w:rsid w:val="5F6235A9"/>
    <w:rsid w:val="5FAD7930"/>
    <w:rsid w:val="60DC439E"/>
    <w:rsid w:val="614125C2"/>
    <w:rsid w:val="61AA1D1F"/>
    <w:rsid w:val="623F264E"/>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AF0748"/>
    <w:rsid w:val="69E203A0"/>
    <w:rsid w:val="6A5B6D7D"/>
    <w:rsid w:val="6A765FBC"/>
    <w:rsid w:val="6A80735F"/>
    <w:rsid w:val="6AC17181"/>
    <w:rsid w:val="6ACC5E47"/>
    <w:rsid w:val="6AD43ED1"/>
    <w:rsid w:val="6B11024D"/>
    <w:rsid w:val="6B7D5B36"/>
    <w:rsid w:val="6BBF2CB3"/>
    <w:rsid w:val="6C834DAA"/>
    <w:rsid w:val="6C993CCE"/>
    <w:rsid w:val="6CD85233"/>
    <w:rsid w:val="6CF120A8"/>
    <w:rsid w:val="6D586E5A"/>
    <w:rsid w:val="6D72413D"/>
    <w:rsid w:val="6FF50B81"/>
    <w:rsid w:val="70330B9C"/>
    <w:rsid w:val="71397B31"/>
    <w:rsid w:val="714213DD"/>
    <w:rsid w:val="717F272E"/>
    <w:rsid w:val="72783A23"/>
    <w:rsid w:val="728027C6"/>
    <w:rsid w:val="73D62FA6"/>
    <w:rsid w:val="73FE7ACC"/>
    <w:rsid w:val="74556746"/>
    <w:rsid w:val="74743258"/>
    <w:rsid w:val="76065B94"/>
    <w:rsid w:val="761B13C4"/>
    <w:rsid w:val="764B6A8A"/>
    <w:rsid w:val="76C17E06"/>
    <w:rsid w:val="76CA67BD"/>
    <w:rsid w:val="774E6400"/>
    <w:rsid w:val="775B0046"/>
    <w:rsid w:val="79700BEF"/>
    <w:rsid w:val="798D552B"/>
    <w:rsid w:val="7A090695"/>
    <w:rsid w:val="7A187C44"/>
    <w:rsid w:val="7A1D5951"/>
    <w:rsid w:val="7AE175F4"/>
    <w:rsid w:val="7AF13E77"/>
    <w:rsid w:val="7B417685"/>
    <w:rsid w:val="7B5220F0"/>
    <w:rsid w:val="7BA169C0"/>
    <w:rsid w:val="7BC55243"/>
    <w:rsid w:val="7C2F4A9A"/>
    <w:rsid w:val="7CAD595B"/>
    <w:rsid w:val="7CF65D07"/>
    <w:rsid w:val="7D2975D1"/>
    <w:rsid w:val="7D2F3083"/>
    <w:rsid w:val="7D906046"/>
    <w:rsid w:val="7DCC0CD6"/>
    <w:rsid w:val="7E074257"/>
    <w:rsid w:val="7E7639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autoRedefine/>
    <w:qFormat/>
    <w:uiPriority w:val="0"/>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tabs>
        <w:tab w:val="left" w:pos="8372"/>
      </w:tabs>
      <w:spacing w:line="540" w:lineRule="exact"/>
      <w:ind w:firstLine="630"/>
    </w:pPr>
    <w:rPr>
      <w:rFonts w:eastAsia="黑体"/>
    </w:rPr>
  </w:style>
  <w:style w:type="paragraph" w:styleId="5">
    <w:name w:val="Date"/>
    <w:basedOn w:val="1"/>
    <w:next w:val="1"/>
    <w:autoRedefine/>
    <w:qFormat/>
    <w:uiPriority w:val="0"/>
  </w:style>
  <w:style w:type="paragraph" w:styleId="6">
    <w:name w:val="Body Text Indent 2"/>
    <w:basedOn w:val="1"/>
    <w:autoRedefine/>
    <w:qFormat/>
    <w:uiPriority w:val="0"/>
    <w:pPr>
      <w:tabs>
        <w:tab w:val="left" w:pos="8372"/>
      </w:tabs>
      <w:spacing w:line="540" w:lineRule="exact"/>
      <w:ind w:firstLine="630"/>
    </w:pPr>
    <w:rPr>
      <w:b/>
      <w:bCs/>
    </w:rPr>
  </w:style>
  <w:style w:type="paragraph" w:styleId="7">
    <w:name w:val="Balloon Text"/>
    <w:basedOn w:val="1"/>
    <w:link w:val="19"/>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2">
    <w:name w:val="Table Grid"/>
    <w:basedOn w:val="11"/>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autoRedefine/>
    <w:qFormat/>
    <w:uiPriority w:val="0"/>
  </w:style>
  <w:style w:type="character" w:customStyle="1" w:styleId="15">
    <w:name w:val="font61"/>
    <w:autoRedefine/>
    <w:qFormat/>
    <w:uiPriority w:val="0"/>
    <w:rPr>
      <w:rFonts w:hint="eastAsia" w:ascii="宋体" w:hAnsi="宋体" w:eastAsia="宋体" w:cs="宋体"/>
      <w:color w:val="000000"/>
      <w:sz w:val="24"/>
      <w:szCs w:val="24"/>
      <w:u w:val="none"/>
    </w:rPr>
  </w:style>
  <w:style w:type="character" w:customStyle="1" w:styleId="16">
    <w:name w:val="font41"/>
    <w:autoRedefine/>
    <w:qFormat/>
    <w:uiPriority w:val="0"/>
    <w:rPr>
      <w:rFonts w:hint="default" w:ascii="华文细黑" w:hAnsi="华文细黑" w:eastAsia="华文细黑" w:cs="华文细黑"/>
      <w:color w:val="000000"/>
      <w:sz w:val="20"/>
      <w:szCs w:val="20"/>
      <w:u w:val="none"/>
    </w:rPr>
  </w:style>
  <w:style w:type="character" w:customStyle="1" w:styleId="17">
    <w:name w:val="font11"/>
    <w:autoRedefine/>
    <w:qFormat/>
    <w:uiPriority w:val="0"/>
    <w:rPr>
      <w:rFonts w:hint="default" w:ascii="Arial" w:hAnsi="Arial" w:cs="Arial"/>
      <w:color w:val="000000"/>
      <w:sz w:val="24"/>
      <w:szCs w:val="24"/>
      <w:u w:val="none"/>
    </w:rPr>
  </w:style>
  <w:style w:type="character" w:customStyle="1" w:styleId="18">
    <w:name w:val="页脚 字符"/>
    <w:link w:val="8"/>
    <w:autoRedefine/>
    <w:qFormat/>
    <w:uiPriority w:val="0"/>
    <w:rPr>
      <w:rFonts w:eastAsia="仿宋_GB2312"/>
      <w:kern w:val="2"/>
      <w:sz w:val="18"/>
    </w:rPr>
  </w:style>
  <w:style w:type="character" w:customStyle="1" w:styleId="19">
    <w:name w:val="批注框文本 字符"/>
    <w:link w:val="7"/>
    <w:autoRedefine/>
    <w:qFormat/>
    <w:uiPriority w:val="0"/>
    <w:rPr>
      <w:rFonts w:eastAsia="仿宋_GB2312"/>
      <w:kern w:val="2"/>
      <w:sz w:val="18"/>
      <w:szCs w:val="18"/>
    </w:rPr>
  </w:style>
  <w:style w:type="character" w:customStyle="1" w:styleId="20">
    <w:name w:val="font21"/>
    <w:autoRedefine/>
    <w:qFormat/>
    <w:uiPriority w:val="0"/>
    <w:rPr>
      <w:rFonts w:hint="default" w:ascii="Arial" w:hAnsi="Arial" w:cs="Arial"/>
      <w:color w:val="000000"/>
      <w:sz w:val="20"/>
      <w:szCs w:val="20"/>
      <w:u w:val="none"/>
    </w:rPr>
  </w:style>
  <w:style w:type="character" w:customStyle="1" w:styleId="21">
    <w:name w:val="font01"/>
    <w:autoRedefine/>
    <w:qFormat/>
    <w:uiPriority w:val="0"/>
    <w:rPr>
      <w:rFonts w:hint="default" w:ascii="Times New Roman" w:hAnsi="Times New Roman" w:cs="Times New Roman"/>
      <w:color w:val="000000"/>
      <w:sz w:val="24"/>
      <w:szCs w:val="24"/>
      <w:u w:val="none"/>
    </w:rPr>
  </w:style>
  <w:style w:type="paragraph" w:customStyle="1" w:styleId="22">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3">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4">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0">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3">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7">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9">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p0"/>
    <w:basedOn w:val="1"/>
    <w:autoRedefine/>
    <w:qFormat/>
    <w:uiPriority w:val="0"/>
    <w:pPr>
      <w:widowControl/>
    </w:pPr>
    <w:rPr>
      <w:rFonts w:eastAsia="宋体"/>
      <w:kern w:val="0"/>
      <w:szCs w:val="32"/>
    </w:rPr>
  </w:style>
  <w:style w:type="paragraph" w:customStyle="1" w:styleId="51">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8">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3">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正文文本 21"/>
    <w:basedOn w:val="1"/>
    <w:autoRedefine/>
    <w:qFormat/>
    <w:uiPriority w:val="0"/>
    <w:pPr>
      <w:adjustRightInd w:val="0"/>
      <w:ind w:firstLine="630"/>
      <w:jc w:val="left"/>
      <w:textAlignment w:val="baseline"/>
    </w:pPr>
    <w:rPr>
      <w:rFonts w:eastAsia="黑体"/>
    </w:rPr>
  </w:style>
  <w:style w:type="paragraph" w:customStyle="1" w:styleId="65">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1">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6">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7">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8">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9">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0">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Char"/>
    <w:basedOn w:val="1"/>
    <w:autoRedefine/>
    <w:qFormat/>
    <w:uiPriority w:val="0"/>
    <w:rPr>
      <w:rFonts w:eastAsia="宋体"/>
      <w:sz w:val="21"/>
      <w:szCs w:val="21"/>
    </w:rPr>
  </w:style>
  <w:style w:type="paragraph" w:customStyle="1" w:styleId="82">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3">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4">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4755</Words>
  <Characters>5842</Characters>
  <Lines>71</Lines>
  <Paragraphs>20</Paragraphs>
  <TotalTime>0</TotalTime>
  <ScaleCrop>false</ScaleCrop>
  <LinksUpToDate>false</LinksUpToDate>
  <CharactersWithSpaces>6407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孙熙临</cp:lastModifiedBy>
  <cp:lastPrinted>2024-01-23T03:39:00Z</cp:lastPrinted>
  <dcterms:modified xsi:type="dcterms:W3CDTF">2024-02-26T02:09:18Z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ADD28BCD44024857901B94631E8813E9_13</vt:lpwstr>
  </property>
</Properties>
</file>