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default" w:ascii="Times New Roman" w:hAnsi="Times New Roman" w:eastAsia="黑体" w:cs="Times New Roman"/>
        </w:rPr>
      </w:pPr>
    </w:p>
    <w:p>
      <w:pPr>
        <w:spacing w:line="700" w:lineRule="exact"/>
        <w:rPr>
          <w:rFonts w:hint="default" w:ascii="Times New Roman" w:hAnsi="Times New Roman" w:eastAsia="黑体" w:cs="Times New Roman"/>
        </w:rPr>
      </w:pPr>
    </w:p>
    <w:p>
      <w:pPr>
        <w:spacing w:line="700" w:lineRule="exact"/>
        <w:rPr>
          <w:rFonts w:hint="default" w:ascii="Times New Roman" w:hAnsi="Times New Roman" w:eastAsia="黑体" w:cs="Times New Roman"/>
        </w:rPr>
      </w:pPr>
    </w:p>
    <w:p>
      <w:pPr>
        <w:spacing w:line="700" w:lineRule="exact"/>
        <w:rPr>
          <w:rFonts w:hint="default" w:ascii="Times New Roman" w:hAnsi="Times New Roman" w:eastAsia="黑体" w:cs="Times New Roman"/>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延边州统计局</w:t>
      </w:r>
      <w:r>
        <w:rPr>
          <w:rFonts w:hint="default" w:ascii="Times New Roman" w:hAnsi="Times New Roman" w:eastAsia="方正小标宋简体" w:cs="Times New Roman"/>
          <w:sz w:val="44"/>
          <w:szCs w:val="44"/>
          <w:lang w:eastAsia="zh-CN"/>
        </w:rPr>
        <w:t>数据管理</w:t>
      </w:r>
      <w:r>
        <w:rPr>
          <w:rFonts w:hint="default" w:ascii="Times New Roman" w:hAnsi="Times New Roman" w:eastAsia="方正小标宋简体" w:cs="Times New Roman"/>
          <w:sz w:val="44"/>
          <w:szCs w:val="44"/>
        </w:rPr>
        <w:t>中心</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年单位预算</w:t>
      </w:r>
    </w:p>
    <w:p>
      <w:pPr>
        <w:jc w:val="left"/>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center"/>
        <w:rPr>
          <w:rFonts w:hint="default" w:ascii="Times New Roman" w:hAnsi="Times New Roman" w:eastAsia="华文细黑" w:cs="Times New Roman"/>
        </w:rPr>
      </w:pPr>
      <w:r>
        <w:rPr>
          <w:rFonts w:hint="default" w:ascii="Times New Roman" w:hAnsi="Times New Roman" w:eastAsia="华文细黑" w:cs="Times New Roman"/>
        </w:rPr>
        <w:t>二〇二</w:t>
      </w:r>
      <w:r>
        <w:rPr>
          <w:rFonts w:hint="default" w:ascii="Times New Roman" w:hAnsi="Times New Roman" w:eastAsia="华文细黑" w:cs="Times New Roman"/>
          <w:lang w:eastAsia="zh-CN"/>
        </w:rPr>
        <w:t>四</w:t>
      </w:r>
      <w:r>
        <w:rPr>
          <w:rFonts w:hint="default" w:ascii="Times New Roman" w:hAnsi="Times New Roman" w:eastAsia="华文细黑" w:cs="Times New Roman"/>
        </w:rPr>
        <w:t>年二月二十</w:t>
      </w:r>
      <w:r>
        <w:rPr>
          <w:rFonts w:hint="default" w:ascii="Times New Roman" w:hAnsi="Times New Roman" w:eastAsia="华文细黑" w:cs="Times New Roman"/>
          <w:lang w:eastAsia="zh-CN"/>
        </w:rPr>
        <w:t>六</w:t>
      </w:r>
      <w:r>
        <w:rPr>
          <w:rFonts w:hint="default" w:ascii="Times New Roman" w:hAnsi="Times New Roman" w:eastAsia="华文细黑" w:cs="Times New Roman"/>
        </w:rPr>
        <w:t>日</w:t>
      </w:r>
    </w:p>
    <w:p>
      <w:pPr>
        <w:rPr>
          <w:rFonts w:hint="default" w:ascii="Times New Roman" w:hAnsi="Times New Roman" w:eastAsia="黑体" w:cs="Times New Roman"/>
        </w:rPr>
      </w:pPr>
    </w:p>
    <w:p>
      <w:pPr>
        <w:ind w:firstLine="640" w:firstLineChars="200"/>
        <w:rPr>
          <w:rFonts w:hint="default" w:ascii="Times New Roman" w:hAnsi="Times New Roman" w:eastAsia="黑体" w:cs="Times New Roman"/>
        </w:rPr>
      </w:pPr>
    </w:p>
    <w:p>
      <w:pPr>
        <w:ind w:firstLine="640" w:firstLineChars="200"/>
        <w:rPr>
          <w:rFonts w:hint="default" w:ascii="Times New Roman" w:hAnsi="Times New Roman" w:eastAsia="黑体" w:cs="Times New Roman"/>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hint="default" w:ascii="Times New Roman" w:hAnsi="Times New Roman" w:eastAsia="黑体" w:cs="Times New Roman"/>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pPr>
        <w:rPr>
          <w:rFonts w:hint="default" w:ascii="Times New Roman" w:hAnsi="Times New Roman" w:eastAsia="黑体" w:cs="Times New Roman"/>
        </w:rPr>
      </w:pPr>
    </w:p>
    <w:p>
      <w:pPr>
        <w:rPr>
          <w:rFonts w:hint="default" w:ascii="Times New Roman" w:hAnsi="Times New Roman" w:eastAsia="黑体" w:cs="Times New Roman"/>
        </w:rPr>
      </w:pPr>
      <w:r>
        <w:rPr>
          <w:rFonts w:hint="default" w:ascii="Times New Roman" w:hAnsi="Times New Roman" w:eastAsia="黑体" w:cs="Times New Roman"/>
        </w:rPr>
        <w:t xml:space="preserve">第一部分  </w:t>
      </w:r>
      <w:r>
        <w:rPr>
          <w:rFonts w:hint="default" w:ascii="Times New Roman" w:hAnsi="Times New Roman" w:eastAsia="黑体" w:cs="Times New Roman"/>
          <w:lang w:eastAsia="zh-CN"/>
        </w:rPr>
        <w:t>单位</w:t>
      </w:r>
      <w:r>
        <w:rPr>
          <w:rFonts w:hint="default" w:ascii="Times New Roman" w:hAnsi="Times New Roman" w:eastAsia="黑体" w:cs="Times New Roman"/>
        </w:rPr>
        <w:t>概况</w:t>
      </w:r>
      <w:r>
        <w:rPr>
          <w:rFonts w:hint="default" w:ascii="Times New Roman" w:hAnsi="Times New Roman" w:eastAsia="黑体" w:cs="Times New Roman"/>
        </w:rPr>
        <w:tab/>
      </w:r>
      <w:r>
        <w:rPr>
          <w:rFonts w:hint="default" w:ascii="Times New Roman" w:hAnsi="Times New Roman" w:eastAsia="黑体" w:cs="Times New Roman"/>
        </w:rPr>
        <w:tab/>
      </w:r>
      <w:r>
        <w:rPr>
          <w:rFonts w:hint="default" w:ascii="Times New Roman" w:hAnsi="Times New Roman" w:eastAsia="黑体" w:cs="Times New Roman"/>
        </w:rPr>
        <w:tab/>
      </w:r>
      <w:r>
        <w:rPr>
          <w:rFonts w:hint="default" w:ascii="Times New Roman" w:hAnsi="Times New Roman" w:eastAsia="黑体" w:cs="Times New Roman"/>
        </w:rPr>
        <w:tab/>
      </w:r>
      <w:r>
        <w:rPr>
          <w:rFonts w:hint="default" w:ascii="Times New Roman" w:hAnsi="Times New Roman" w:eastAsia="黑体" w:cs="Times New Roman"/>
        </w:rPr>
        <w:tab/>
      </w:r>
    </w:p>
    <w:p>
      <w:pPr>
        <w:ind w:left="320" w:leftChars="100" w:firstLine="320" w:firstLineChars="100"/>
        <w:rPr>
          <w:rFonts w:hint="default" w:ascii="Times New Roman" w:hAnsi="Times New Roman" w:cs="Times New Roman"/>
        </w:rPr>
      </w:pPr>
      <w:r>
        <w:rPr>
          <w:rFonts w:hint="default" w:ascii="Times New Roman" w:hAnsi="Times New Roman" w:cs="Times New Roman"/>
        </w:rPr>
        <w:t>一、主要职能</w:t>
      </w:r>
    </w:p>
    <w:p>
      <w:pPr>
        <w:ind w:left="320" w:leftChars="100" w:firstLine="320" w:firstLineChars="100"/>
        <w:rPr>
          <w:rFonts w:hint="default" w:ascii="Times New Roman" w:hAnsi="Times New Roman" w:cs="Times New Roman"/>
        </w:rPr>
      </w:pPr>
      <w:r>
        <w:rPr>
          <w:rFonts w:hint="default" w:ascii="Times New Roman" w:hAnsi="Times New Roman" w:cs="Times New Roman"/>
        </w:rPr>
        <w:t>二、机构设置</w:t>
      </w:r>
    </w:p>
    <w:p>
      <w:pPr>
        <w:rPr>
          <w:rFonts w:hint="default" w:ascii="Times New Roman" w:hAnsi="Times New Roman" w:eastAsia="黑体" w:cs="Times New Roman"/>
        </w:rPr>
      </w:pPr>
      <w:r>
        <w:rPr>
          <w:rFonts w:hint="default" w:ascii="Times New Roman" w:hAnsi="Times New Roman" w:eastAsia="黑体" w:cs="Times New Roman"/>
        </w:rPr>
        <w:t>第二部分  预算表格</w:t>
      </w:r>
    </w:p>
    <w:p>
      <w:pPr>
        <w:ind w:left="320" w:leftChars="100" w:firstLine="320" w:firstLineChars="100"/>
        <w:rPr>
          <w:rFonts w:hint="default" w:ascii="Times New Roman" w:hAnsi="Times New Roman" w:cs="Times New Roman"/>
        </w:rPr>
      </w:pPr>
      <w:r>
        <w:rPr>
          <w:rFonts w:hint="default" w:ascii="Times New Roman" w:hAnsi="Times New Roman" w:cs="Times New Roman"/>
        </w:rPr>
        <w:t>一、收支</w:t>
      </w:r>
      <w:r>
        <w:rPr>
          <w:rFonts w:hint="default" w:ascii="Times New Roman" w:hAnsi="Times New Roman" w:cs="Times New Roman"/>
          <w:lang w:eastAsia="zh-CN"/>
        </w:rPr>
        <w:t>预算</w:t>
      </w:r>
      <w:r>
        <w:rPr>
          <w:rFonts w:hint="default" w:ascii="Times New Roman" w:hAnsi="Times New Roman" w:cs="Times New Roman"/>
        </w:rPr>
        <w:t>总表</w:t>
      </w:r>
    </w:p>
    <w:p>
      <w:pPr>
        <w:ind w:left="320" w:leftChars="100" w:firstLine="320" w:firstLineChars="100"/>
        <w:rPr>
          <w:rFonts w:hint="default" w:ascii="Times New Roman" w:hAnsi="Times New Roman" w:cs="Times New Roman"/>
        </w:rPr>
      </w:pPr>
      <w:r>
        <w:rPr>
          <w:rFonts w:hint="default" w:ascii="Times New Roman" w:hAnsi="Times New Roman" w:cs="Times New Roman"/>
        </w:rPr>
        <w:t>二、收入</w:t>
      </w:r>
      <w:r>
        <w:rPr>
          <w:rFonts w:hint="default" w:ascii="Times New Roman" w:hAnsi="Times New Roman" w:cs="Times New Roman"/>
          <w:lang w:eastAsia="zh-CN"/>
        </w:rPr>
        <w:t>预算</w:t>
      </w:r>
      <w:r>
        <w:rPr>
          <w:rFonts w:hint="default" w:ascii="Times New Roman" w:hAnsi="Times New Roman" w:cs="Times New Roman"/>
        </w:rPr>
        <w:t>总表</w:t>
      </w:r>
    </w:p>
    <w:p>
      <w:pPr>
        <w:ind w:left="320" w:leftChars="100" w:firstLine="320" w:firstLineChars="100"/>
        <w:rPr>
          <w:rFonts w:hint="default" w:ascii="Times New Roman" w:hAnsi="Times New Roman" w:cs="Times New Roman"/>
        </w:rPr>
      </w:pPr>
      <w:r>
        <w:rPr>
          <w:rFonts w:hint="default" w:ascii="Times New Roman" w:hAnsi="Times New Roman" w:cs="Times New Roman"/>
        </w:rPr>
        <w:t>三、支出</w:t>
      </w:r>
      <w:r>
        <w:rPr>
          <w:rFonts w:hint="default" w:ascii="Times New Roman" w:hAnsi="Times New Roman" w:cs="Times New Roman"/>
          <w:lang w:eastAsia="zh-CN"/>
        </w:rPr>
        <w:t>预算</w:t>
      </w:r>
      <w:r>
        <w:rPr>
          <w:rFonts w:hint="default" w:ascii="Times New Roman" w:hAnsi="Times New Roman" w:cs="Times New Roman"/>
        </w:rPr>
        <w:t>总表</w:t>
      </w:r>
    </w:p>
    <w:p>
      <w:pPr>
        <w:ind w:left="320" w:leftChars="100" w:firstLine="320" w:firstLineChars="100"/>
        <w:rPr>
          <w:rFonts w:hint="default" w:ascii="Times New Roman" w:hAnsi="Times New Roman" w:cs="Times New Roman"/>
        </w:rPr>
      </w:pPr>
      <w:r>
        <w:rPr>
          <w:rFonts w:hint="default" w:ascii="Times New Roman" w:hAnsi="Times New Roman" w:cs="Times New Roman"/>
        </w:rPr>
        <w:t>四、财政拨款收支</w:t>
      </w:r>
      <w:r>
        <w:rPr>
          <w:rFonts w:hint="default" w:ascii="Times New Roman" w:hAnsi="Times New Roman" w:cs="Times New Roman"/>
          <w:lang w:eastAsia="zh-CN"/>
        </w:rPr>
        <w:t>预算</w:t>
      </w:r>
      <w:r>
        <w:rPr>
          <w:rFonts w:hint="default" w:ascii="Times New Roman" w:hAnsi="Times New Roman" w:cs="Times New Roman"/>
        </w:rPr>
        <w:t>总表</w:t>
      </w:r>
    </w:p>
    <w:p>
      <w:pPr>
        <w:ind w:left="320" w:leftChars="100" w:firstLine="320" w:firstLineChars="100"/>
        <w:rPr>
          <w:rFonts w:hint="default" w:ascii="Times New Roman" w:hAnsi="Times New Roman" w:cs="Times New Roman"/>
        </w:rPr>
      </w:pPr>
      <w:r>
        <w:rPr>
          <w:rFonts w:hint="default" w:ascii="Times New Roman" w:hAnsi="Times New Roman" w:cs="Times New Roman"/>
        </w:rPr>
        <w:t>五、一般公共预算</w:t>
      </w:r>
      <w:r>
        <w:rPr>
          <w:rFonts w:hint="default" w:ascii="Times New Roman" w:hAnsi="Times New Roman" w:cs="Times New Roman"/>
          <w:lang w:eastAsia="zh-CN"/>
        </w:rPr>
        <w:t>拨款</w:t>
      </w:r>
      <w:r>
        <w:rPr>
          <w:rFonts w:hint="default" w:ascii="Times New Roman" w:hAnsi="Times New Roman" w:cs="Times New Roman"/>
        </w:rPr>
        <w:t>支出</w:t>
      </w:r>
      <w:r>
        <w:rPr>
          <w:rFonts w:hint="default" w:ascii="Times New Roman" w:hAnsi="Times New Roman" w:cs="Times New Roman"/>
          <w:lang w:eastAsia="zh-CN"/>
        </w:rPr>
        <w:t>预算</w:t>
      </w:r>
      <w:r>
        <w:rPr>
          <w:rFonts w:hint="default" w:ascii="Times New Roman" w:hAnsi="Times New Roman" w:cs="Times New Roman"/>
        </w:rPr>
        <w:t>表</w:t>
      </w:r>
    </w:p>
    <w:p>
      <w:pPr>
        <w:ind w:left="320" w:leftChars="100" w:firstLine="320" w:firstLineChars="100"/>
        <w:rPr>
          <w:rFonts w:hint="default" w:ascii="Times New Roman" w:hAnsi="Times New Roman" w:cs="Times New Roman"/>
        </w:rPr>
      </w:pPr>
      <w:r>
        <w:rPr>
          <w:rFonts w:hint="default" w:ascii="Times New Roman" w:hAnsi="Times New Roman" w:cs="Times New Roman"/>
        </w:rPr>
        <w:t>六、一般公共预算基本支出</w:t>
      </w:r>
      <w:r>
        <w:rPr>
          <w:rFonts w:hint="default" w:ascii="Times New Roman" w:hAnsi="Times New Roman" w:cs="Times New Roman"/>
          <w:lang w:eastAsia="zh-CN"/>
        </w:rPr>
        <w:t>预算</w:t>
      </w:r>
      <w:r>
        <w:rPr>
          <w:rFonts w:hint="default" w:ascii="Times New Roman" w:hAnsi="Times New Roman" w:cs="Times New Roman"/>
        </w:rPr>
        <w:t>表</w:t>
      </w:r>
    </w:p>
    <w:p>
      <w:pPr>
        <w:ind w:left="320" w:leftChars="100" w:firstLine="320" w:firstLineChars="100"/>
        <w:rPr>
          <w:rFonts w:hint="default" w:ascii="Times New Roman" w:hAnsi="Times New Roman" w:cs="Times New Roman"/>
        </w:rPr>
      </w:pPr>
      <w:r>
        <w:rPr>
          <w:rFonts w:hint="default" w:ascii="Times New Roman" w:hAnsi="Times New Roman" w:cs="Times New Roman"/>
        </w:rPr>
        <w:t>七、一般公共预算“三公”经费支出</w:t>
      </w:r>
      <w:r>
        <w:rPr>
          <w:rFonts w:hint="default" w:ascii="Times New Roman" w:hAnsi="Times New Roman" w:cs="Times New Roman"/>
          <w:lang w:eastAsia="zh-CN"/>
        </w:rPr>
        <w:t>预算</w:t>
      </w:r>
      <w:r>
        <w:rPr>
          <w:rFonts w:hint="default" w:ascii="Times New Roman" w:hAnsi="Times New Roman" w:cs="Times New Roman"/>
        </w:rPr>
        <w:t>表</w:t>
      </w:r>
    </w:p>
    <w:p>
      <w:pPr>
        <w:ind w:left="320" w:leftChars="100" w:firstLine="320" w:firstLineChars="100"/>
        <w:rPr>
          <w:rFonts w:hint="default" w:ascii="Times New Roman" w:hAnsi="Times New Roman" w:cs="Times New Roman"/>
        </w:rPr>
      </w:pPr>
      <w:r>
        <w:rPr>
          <w:rFonts w:hint="default" w:ascii="Times New Roman" w:hAnsi="Times New Roman" w:cs="Times New Roman"/>
        </w:rPr>
        <w:t>八、政府性基金预算</w:t>
      </w:r>
      <w:r>
        <w:rPr>
          <w:rFonts w:hint="default" w:ascii="Times New Roman" w:hAnsi="Times New Roman" w:cs="Times New Roman"/>
          <w:lang w:eastAsia="zh-CN"/>
        </w:rPr>
        <w:t>拨款</w:t>
      </w:r>
      <w:r>
        <w:rPr>
          <w:rFonts w:hint="default" w:ascii="Times New Roman" w:hAnsi="Times New Roman" w:cs="Times New Roman"/>
        </w:rPr>
        <w:t>支出</w:t>
      </w:r>
      <w:r>
        <w:rPr>
          <w:rFonts w:hint="default" w:ascii="Times New Roman" w:hAnsi="Times New Roman" w:cs="Times New Roman"/>
          <w:lang w:eastAsia="zh-CN"/>
        </w:rPr>
        <w:t>预算</w:t>
      </w:r>
      <w:r>
        <w:rPr>
          <w:rFonts w:hint="default" w:ascii="Times New Roman" w:hAnsi="Times New Roman" w:cs="Times New Roman"/>
        </w:rPr>
        <w:t>表</w:t>
      </w:r>
    </w:p>
    <w:p>
      <w:pPr>
        <w:ind w:left="320" w:leftChars="100" w:firstLine="320" w:firstLineChars="100"/>
        <w:rPr>
          <w:rFonts w:hint="default" w:ascii="Times New Roman" w:hAnsi="Times New Roman" w:cs="Times New Roman"/>
        </w:rPr>
      </w:pPr>
      <w:r>
        <w:rPr>
          <w:rFonts w:hint="default" w:ascii="Times New Roman" w:hAnsi="Times New Roman" w:cs="Times New Roman"/>
        </w:rPr>
        <w:t>九、国有资本经营预算支出</w:t>
      </w:r>
      <w:r>
        <w:rPr>
          <w:rFonts w:hint="default" w:ascii="Times New Roman" w:hAnsi="Times New Roman" w:cs="Times New Roman"/>
          <w:lang w:eastAsia="zh-CN"/>
        </w:rPr>
        <w:t>预算</w:t>
      </w:r>
      <w:r>
        <w:rPr>
          <w:rFonts w:hint="default" w:ascii="Times New Roman" w:hAnsi="Times New Roman" w:cs="Times New Roman"/>
        </w:rPr>
        <w:t>表</w:t>
      </w:r>
    </w:p>
    <w:p>
      <w:pPr>
        <w:ind w:left="320" w:leftChars="100" w:firstLine="320" w:firstLineChars="100"/>
        <w:rPr>
          <w:rFonts w:hint="default" w:ascii="Times New Roman" w:hAnsi="Times New Roman" w:cs="Times New Roman"/>
        </w:rPr>
      </w:pPr>
      <w:r>
        <w:rPr>
          <w:rFonts w:hint="default" w:ascii="Times New Roman" w:hAnsi="Times New Roman" w:cs="Times New Roman"/>
          <w:lang w:eastAsia="zh-CN"/>
        </w:rPr>
        <w:t>十、</w:t>
      </w:r>
      <w:r>
        <w:rPr>
          <w:rFonts w:hint="default" w:ascii="Times New Roman" w:hAnsi="Times New Roman" w:cs="Times New Roman"/>
        </w:rPr>
        <w:t>项目支出</w:t>
      </w:r>
      <w:r>
        <w:rPr>
          <w:rFonts w:hint="default" w:ascii="Times New Roman" w:hAnsi="Times New Roman" w:cs="Times New Roman"/>
          <w:lang w:eastAsia="zh-CN"/>
        </w:rPr>
        <w:t>预算</w:t>
      </w:r>
      <w:r>
        <w:rPr>
          <w:rFonts w:hint="default" w:ascii="Times New Roman" w:hAnsi="Times New Roman" w:cs="Times New Roman"/>
        </w:rPr>
        <w:t>表</w:t>
      </w:r>
    </w:p>
    <w:p>
      <w:pPr>
        <w:ind w:left="320" w:leftChars="100" w:firstLine="320" w:firstLineChars="100"/>
        <w:rPr>
          <w:rFonts w:hint="default" w:ascii="Times New Roman" w:hAnsi="Times New Roman" w:eastAsia="仿宋_GB2312" w:cs="Times New Roman"/>
          <w:lang w:eastAsia="zh-CN"/>
        </w:rPr>
      </w:pPr>
      <w:r>
        <w:rPr>
          <w:rFonts w:hint="default" w:ascii="Times New Roman" w:hAnsi="Times New Roman" w:cs="Times New Roman"/>
          <w:lang w:eastAsia="zh-CN"/>
        </w:rPr>
        <w:t>十一、财政拨款委托业务费支出预算表</w:t>
      </w:r>
    </w:p>
    <w:p>
      <w:pPr>
        <w:ind w:firstLine="640" w:firstLineChars="200"/>
        <w:rPr>
          <w:rFonts w:hint="default" w:ascii="Times New Roman" w:hAnsi="Times New Roman" w:cs="Times New Roman"/>
        </w:rPr>
      </w:pPr>
      <w:r>
        <w:rPr>
          <w:rFonts w:hint="default" w:ascii="Times New Roman" w:hAnsi="Times New Roman" w:cs="Times New Roman"/>
        </w:rPr>
        <w:t>十</w:t>
      </w:r>
      <w:r>
        <w:rPr>
          <w:rFonts w:hint="default" w:ascii="Times New Roman" w:hAnsi="Times New Roman" w:cs="Times New Roman"/>
          <w:lang w:eastAsia="zh-CN"/>
        </w:rPr>
        <w:t>二</w:t>
      </w:r>
      <w:r>
        <w:rPr>
          <w:rFonts w:hint="default" w:ascii="Times New Roman" w:hAnsi="Times New Roman" w:cs="Times New Roman"/>
        </w:rPr>
        <w:t>、项目支出绩效目标表</w:t>
      </w:r>
    </w:p>
    <w:p>
      <w:pPr>
        <w:rPr>
          <w:rFonts w:hint="default" w:ascii="Times New Roman" w:hAnsi="Times New Roman" w:eastAsia="黑体" w:cs="Times New Roman"/>
        </w:rPr>
      </w:pPr>
      <w:r>
        <w:rPr>
          <w:rFonts w:hint="default" w:ascii="Times New Roman" w:hAnsi="Times New Roman" w:eastAsia="黑体" w:cs="Times New Roman"/>
        </w:rPr>
        <w:t>第三部分  情况说明</w:t>
      </w:r>
    </w:p>
    <w:p>
      <w:pPr>
        <w:rPr>
          <w:rFonts w:hint="default" w:ascii="Times New Roman" w:hAnsi="Times New Roman" w:eastAsia="黑体" w:cs="Times New Roman"/>
        </w:rPr>
      </w:pPr>
      <w:r>
        <w:rPr>
          <w:rFonts w:hint="default" w:ascii="Times New Roman" w:hAnsi="Times New Roman" w:eastAsia="黑体" w:cs="Times New Roman"/>
        </w:rPr>
        <w:t>第四部分  名词解释</w:t>
      </w:r>
    </w:p>
    <w:p>
      <w:pPr>
        <w:rPr>
          <w:rFonts w:hint="default" w:ascii="Times New Roman" w:hAnsi="Times New Roman" w:eastAsia="黑体" w:cs="Times New Roman"/>
        </w:rPr>
      </w:pPr>
      <w:r>
        <w:rPr>
          <w:rFonts w:hint="default" w:ascii="Times New Roman" w:hAnsi="Times New Roman" w:eastAsia="黑体" w:cs="Times New Roman"/>
        </w:rPr>
        <w:br w:type="page"/>
      </w:r>
    </w:p>
    <w:p>
      <w:pPr>
        <w:ind w:firstLine="640" w:firstLineChars="200"/>
        <w:jc w:val="center"/>
        <w:rPr>
          <w:rFonts w:hint="default" w:ascii="Times New Roman" w:hAnsi="Times New Roman" w:eastAsia="楷体_GB2312" w:cs="Times New Roman"/>
        </w:rPr>
      </w:pPr>
      <w:r>
        <w:rPr>
          <w:rFonts w:hint="default" w:ascii="Times New Roman" w:hAnsi="Times New Roman" w:eastAsia="黑体" w:cs="Times New Roman"/>
        </w:rPr>
        <w:t xml:space="preserve">第一部分 </w:t>
      </w:r>
      <w:r>
        <w:rPr>
          <w:rFonts w:hint="default" w:ascii="Times New Roman" w:hAnsi="Times New Roman" w:eastAsia="黑体" w:cs="Times New Roman"/>
          <w:lang w:eastAsia="zh-CN"/>
        </w:rPr>
        <w:t>单位</w:t>
      </w:r>
      <w:r>
        <w:rPr>
          <w:rFonts w:hint="default" w:ascii="Times New Roman" w:hAnsi="Times New Roman" w:eastAsia="黑体" w:cs="Times New Roman"/>
        </w:rPr>
        <w:t>概况</w:t>
      </w:r>
    </w:p>
    <w:p>
      <w:pPr>
        <w:ind w:firstLine="640" w:firstLineChars="200"/>
        <w:rPr>
          <w:rFonts w:hint="default" w:ascii="Times New Roman" w:hAnsi="Times New Roman" w:eastAsia="楷体_GB2312" w:cs="Times New Roman"/>
        </w:rPr>
      </w:pPr>
    </w:p>
    <w:p>
      <w:pPr>
        <w:numPr>
          <w:ilvl w:val="0"/>
          <w:numId w:val="1"/>
        </w:numPr>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主要职能</w:t>
      </w:r>
    </w:p>
    <w:p>
      <w:pPr>
        <w:numPr>
          <w:ilvl w:val="0"/>
          <w:numId w:val="2"/>
        </w:numPr>
        <w:ind w:firstLine="640" w:firstLineChars="200"/>
        <w:rPr>
          <w:rFonts w:hint="default" w:ascii="Times New Roman" w:hAnsi="Times New Roman" w:cs="Times New Roman"/>
        </w:rPr>
      </w:pPr>
      <w:r>
        <w:rPr>
          <w:rFonts w:hint="default" w:ascii="Times New Roman" w:hAnsi="Times New Roman" w:cs="Times New Roman"/>
        </w:rPr>
        <w:t>负责系统内计算机硬件、软件的开发、管理和维护。</w:t>
      </w:r>
    </w:p>
    <w:p>
      <w:pPr>
        <w:numPr>
          <w:ilvl w:val="0"/>
          <w:numId w:val="2"/>
        </w:numPr>
        <w:ind w:firstLine="640" w:firstLineChars="200"/>
        <w:rPr>
          <w:rFonts w:hint="default" w:ascii="Times New Roman" w:hAnsi="Times New Roman" w:cs="Times New Roman"/>
        </w:rPr>
      </w:pPr>
      <w:r>
        <w:rPr>
          <w:rFonts w:hint="default" w:ascii="Times New Roman" w:hAnsi="Times New Roman" w:cs="Times New Roman"/>
        </w:rPr>
        <w:t>负责各项普查任务的数据处理。</w:t>
      </w:r>
    </w:p>
    <w:p>
      <w:pPr>
        <w:ind w:firstLine="640" w:firstLineChars="200"/>
        <w:rPr>
          <w:rFonts w:hint="default" w:ascii="Times New Roman" w:hAnsi="Times New Roman" w:cs="Times New Roman"/>
        </w:rPr>
      </w:pPr>
      <w:r>
        <w:rPr>
          <w:rFonts w:hint="default" w:ascii="Times New Roman" w:hAnsi="Times New Roman" w:eastAsia="楷体_GB2312" w:cs="Times New Roman"/>
        </w:rPr>
        <w:t>二、机构设置</w:t>
      </w:r>
    </w:p>
    <w:p>
      <w:pPr>
        <w:ind w:firstLine="640" w:firstLineChars="200"/>
        <w:rPr>
          <w:rFonts w:hint="default" w:ascii="Times New Roman" w:hAnsi="Times New Roman" w:cs="Times New Roman"/>
        </w:rPr>
      </w:pPr>
      <w:r>
        <w:rPr>
          <w:rFonts w:hint="default" w:ascii="Times New Roman" w:hAnsi="Times New Roman" w:cs="Times New Roman"/>
        </w:rPr>
        <w:t>根据机构编制管理有关规定，延边州统计局数据管理中心不设置内设机构。延边州统计局数据管理中心设置1个分中心，为延边州统计局数据管理中心延吉分中心。</w:t>
      </w:r>
    </w:p>
    <w:p>
      <w:pPr>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本单位无下设预算单位。</w:t>
      </w: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r>
        <w:rPr>
          <w:rFonts w:hint="default" w:ascii="Times New Roman" w:hAnsi="Times New Roman" w:eastAsia="黑体" w:cs="Times New Roman"/>
        </w:rPr>
        <w:t>第二部分 预算表格</w:t>
      </w:r>
    </w:p>
    <w:tbl>
      <w:tblPr>
        <w:tblStyle w:val="11"/>
        <w:tblpPr w:leftFromText="180" w:rightFromText="180" w:vertAnchor="text" w:horzAnchor="page" w:tblpXSpec="center" w:tblpY="1757"/>
        <w:tblOverlap w:val="never"/>
        <w:tblW w:w="9240" w:type="dxa"/>
        <w:jc w:val="center"/>
        <w:tblLayout w:type="fixed"/>
        <w:tblCellMar>
          <w:top w:w="0" w:type="dxa"/>
          <w:left w:w="108" w:type="dxa"/>
          <w:bottom w:w="0" w:type="dxa"/>
          <w:right w:w="108" w:type="dxa"/>
        </w:tblCellMar>
      </w:tblPr>
      <w:tblGrid>
        <w:gridCol w:w="2053"/>
        <w:gridCol w:w="1159"/>
        <w:gridCol w:w="658"/>
        <w:gridCol w:w="270"/>
        <w:gridCol w:w="930"/>
        <w:gridCol w:w="1342"/>
        <w:gridCol w:w="1060"/>
        <w:gridCol w:w="922"/>
        <w:gridCol w:w="846"/>
      </w:tblGrid>
      <w:tr>
        <w:tblPrEx>
          <w:tblCellMar>
            <w:top w:w="0" w:type="dxa"/>
            <w:left w:w="108" w:type="dxa"/>
            <w:bottom w:w="0" w:type="dxa"/>
            <w:right w:w="108" w:type="dxa"/>
          </w:tblCellMar>
        </w:tblPrEx>
        <w:trPr>
          <w:trHeight w:val="315" w:hRule="atLeast"/>
          <w:jc w:val="center"/>
        </w:trPr>
        <w:tc>
          <w:tcPr>
            <w:tcW w:w="3870" w:type="dxa"/>
            <w:gridSpan w:val="3"/>
            <w:tcBorders>
              <w:top w:val="nil"/>
              <w:left w:val="nil"/>
              <w:bottom w:val="nil"/>
              <w:right w:val="nil"/>
            </w:tcBorders>
            <w:noWrap w:val="0"/>
            <w:vAlign w:val="center"/>
          </w:tcPr>
          <w:p>
            <w:pPr>
              <w:widowControl/>
              <w:jc w:val="center"/>
              <w:rPr>
                <w:rFonts w:hint="default" w:ascii="Times New Roman" w:hAnsi="Times New Roman" w:eastAsia="宋体" w:cs="Times New Roman"/>
                <w:kern w:val="0"/>
                <w:sz w:val="20"/>
              </w:rPr>
            </w:pPr>
          </w:p>
        </w:tc>
        <w:tc>
          <w:tcPr>
            <w:tcW w:w="1200" w:type="dxa"/>
            <w:gridSpan w:val="2"/>
            <w:tcBorders>
              <w:top w:val="nil"/>
              <w:left w:val="nil"/>
              <w:bottom w:val="nil"/>
              <w:right w:val="nil"/>
            </w:tcBorders>
            <w:noWrap w:val="0"/>
            <w:vAlign w:val="center"/>
          </w:tcPr>
          <w:p>
            <w:pPr>
              <w:widowControl/>
              <w:jc w:val="center"/>
              <w:rPr>
                <w:rFonts w:hint="default" w:ascii="Times New Roman" w:hAnsi="Times New Roman" w:eastAsia="宋体" w:cs="Times New Roman"/>
                <w:kern w:val="0"/>
                <w:sz w:val="20"/>
              </w:rPr>
            </w:pPr>
          </w:p>
        </w:tc>
        <w:tc>
          <w:tcPr>
            <w:tcW w:w="2402" w:type="dxa"/>
            <w:gridSpan w:val="2"/>
            <w:tcBorders>
              <w:top w:val="nil"/>
              <w:left w:val="nil"/>
              <w:bottom w:val="nil"/>
              <w:right w:val="nil"/>
            </w:tcBorders>
            <w:noWrap w:val="0"/>
            <w:vAlign w:val="center"/>
          </w:tcPr>
          <w:p>
            <w:pPr>
              <w:widowControl/>
              <w:jc w:val="center"/>
              <w:rPr>
                <w:rFonts w:hint="default" w:ascii="Times New Roman" w:hAnsi="Times New Roman" w:eastAsia="宋体" w:cs="Times New Roman"/>
                <w:kern w:val="0"/>
                <w:sz w:val="20"/>
              </w:rPr>
            </w:pPr>
          </w:p>
        </w:tc>
        <w:tc>
          <w:tcPr>
            <w:tcW w:w="1768" w:type="dxa"/>
            <w:gridSpan w:val="2"/>
            <w:tcBorders>
              <w:top w:val="nil"/>
              <w:left w:val="nil"/>
              <w:bottom w:val="nil"/>
              <w:right w:val="nil"/>
            </w:tcBorders>
            <w:noWrap w:val="0"/>
            <w:vAlign w:val="bottom"/>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单位：万元</w:t>
            </w:r>
          </w:p>
        </w:tc>
      </w:tr>
      <w:tr>
        <w:tblPrEx>
          <w:tblCellMar>
            <w:top w:w="0" w:type="dxa"/>
            <w:left w:w="108" w:type="dxa"/>
            <w:bottom w:w="0" w:type="dxa"/>
            <w:right w:w="108" w:type="dxa"/>
          </w:tblCellMar>
        </w:tblPrEx>
        <w:trPr>
          <w:trHeight w:val="435" w:hRule="atLeast"/>
          <w:jc w:val="center"/>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收       入</w:t>
            </w:r>
          </w:p>
        </w:tc>
        <w:tc>
          <w:tcPr>
            <w:tcW w:w="4170"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支        出</w:t>
            </w:r>
          </w:p>
        </w:tc>
      </w:tr>
      <w:tr>
        <w:tblPrEx>
          <w:tblCellMar>
            <w:top w:w="0" w:type="dxa"/>
            <w:left w:w="108" w:type="dxa"/>
            <w:bottom w:w="0" w:type="dxa"/>
            <w:right w:w="108" w:type="dxa"/>
          </w:tblCellMar>
        </w:tblPrEx>
        <w:trPr>
          <w:trHeight w:val="435" w:hRule="atLeast"/>
          <w:jc w:val="center"/>
        </w:trPr>
        <w:tc>
          <w:tcPr>
            <w:tcW w:w="205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15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202</w:t>
            </w:r>
            <w:r>
              <w:rPr>
                <w:rFonts w:hint="default" w:ascii="Times New Roman" w:hAnsi="Times New Roman" w:eastAsia="宋体" w:cs="Times New Roman"/>
                <w:kern w:val="0"/>
                <w:sz w:val="20"/>
                <w:lang w:val="en-US" w:eastAsia="zh-CN"/>
              </w:rPr>
              <w:t>4</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预算数</w:t>
            </w:r>
          </w:p>
        </w:tc>
        <w:tc>
          <w:tcPr>
            <w:tcW w:w="92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p>
        </w:tc>
        <w:tc>
          <w:tcPr>
            <w:tcW w:w="9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06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202</w:t>
            </w:r>
            <w:r>
              <w:rPr>
                <w:rFonts w:hint="default" w:ascii="Times New Roman" w:hAnsi="Times New Roman" w:eastAsia="宋体" w:cs="Times New Roman"/>
                <w:kern w:val="0"/>
                <w:sz w:val="20"/>
                <w:lang w:val="en-US" w:eastAsia="zh-CN"/>
              </w:rPr>
              <w:t>4</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预算数</w:t>
            </w:r>
          </w:p>
        </w:tc>
        <w:tc>
          <w:tcPr>
            <w:tcW w:w="9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p>
        </w:tc>
        <w:tc>
          <w:tcPr>
            <w:tcW w:w="84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结转</w:t>
            </w:r>
          </w:p>
        </w:tc>
      </w:tr>
      <w:tr>
        <w:tblPrEx>
          <w:tblCellMar>
            <w:top w:w="0" w:type="dxa"/>
            <w:left w:w="108" w:type="dxa"/>
            <w:bottom w:w="0" w:type="dxa"/>
            <w:right w:w="108" w:type="dxa"/>
          </w:tblCellMar>
        </w:tblPrEx>
        <w:trPr>
          <w:trHeight w:val="360" w:hRule="atLeast"/>
          <w:jc w:val="center"/>
        </w:trPr>
        <w:tc>
          <w:tcPr>
            <w:tcW w:w="205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一、财政拨款收入</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61.10</w:t>
            </w:r>
          </w:p>
        </w:tc>
        <w:tc>
          <w:tcPr>
            <w:tcW w:w="92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59.66</w:t>
            </w:r>
          </w:p>
        </w:tc>
        <w:tc>
          <w:tcPr>
            <w:tcW w:w="930"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1.44</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lang w:eastAsia="zh-CN"/>
              </w:rPr>
            </w:pPr>
            <w:r>
              <w:rPr>
                <w:rFonts w:hint="default" w:ascii="Times New Roman" w:hAnsi="Times New Roman" w:cs="Times New Roman" w:eastAsiaTheme="minorEastAsia"/>
                <w:color w:val="000000"/>
                <w:kern w:val="0"/>
                <w:sz w:val="20"/>
              </w:rPr>
              <w:t>一、一般公共服务</w:t>
            </w:r>
            <w:r>
              <w:rPr>
                <w:rFonts w:hint="default" w:ascii="Times New Roman" w:hAnsi="Times New Roman" w:cs="Times New Roman" w:eastAsiaTheme="minorEastAsia"/>
                <w:color w:val="000000"/>
                <w:kern w:val="0"/>
                <w:sz w:val="20"/>
                <w:lang w:eastAsia="zh-CN"/>
              </w:rPr>
              <w:t>支出</w:t>
            </w:r>
          </w:p>
        </w:tc>
        <w:tc>
          <w:tcPr>
            <w:tcW w:w="10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46.38</w:t>
            </w: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ko-KR" w:bidi="ar"/>
              </w:rPr>
            </w:pPr>
            <w:r>
              <w:rPr>
                <w:rFonts w:hint="default" w:ascii="Times New Roman" w:hAnsi="Times New Roman" w:cs="Times New Roman" w:eastAsiaTheme="minorEastAsia"/>
                <w:i w:val="0"/>
                <w:iCs w:val="0"/>
                <w:color w:val="000000"/>
                <w:kern w:val="0"/>
                <w:sz w:val="20"/>
                <w:szCs w:val="20"/>
                <w:u w:val="none"/>
                <w:lang w:val="en-US" w:eastAsia="zh-CN" w:bidi="ar"/>
              </w:rPr>
              <w:t>45.34</w:t>
            </w:r>
          </w:p>
        </w:tc>
        <w:tc>
          <w:tcPr>
            <w:tcW w:w="84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1.04</w:t>
            </w:r>
          </w:p>
        </w:tc>
      </w:tr>
      <w:tr>
        <w:tblPrEx>
          <w:tblCellMar>
            <w:top w:w="0" w:type="dxa"/>
            <w:left w:w="108" w:type="dxa"/>
            <w:bottom w:w="0" w:type="dxa"/>
            <w:right w:w="108" w:type="dxa"/>
          </w:tblCellMar>
        </w:tblPrEx>
        <w:trPr>
          <w:trHeight w:val="360" w:hRule="atLeast"/>
          <w:jc w:val="center"/>
        </w:trPr>
        <w:tc>
          <w:tcPr>
            <w:tcW w:w="205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一般公共预算</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拨款收入</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61.10</w:t>
            </w:r>
          </w:p>
        </w:tc>
        <w:tc>
          <w:tcPr>
            <w:tcW w:w="92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59.66</w:t>
            </w:r>
          </w:p>
        </w:tc>
        <w:tc>
          <w:tcPr>
            <w:tcW w:w="930"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1.44</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sz w:val="20"/>
              </w:rPr>
              <w:t>二、</w:t>
            </w:r>
            <w:r>
              <w:rPr>
                <w:rFonts w:hint="default" w:ascii="Times New Roman" w:hAnsi="Times New Roman" w:cs="Times New Roman" w:eastAsiaTheme="minorEastAsia"/>
                <w:color w:val="000000"/>
                <w:sz w:val="20"/>
                <w:lang w:eastAsia="zh-CN"/>
              </w:rPr>
              <w:t>社会保障和就业</w:t>
            </w:r>
            <w:r>
              <w:rPr>
                <w:rFonts w:hint="default" w:ascii="Times New Roman" w:hAnsi="Times New Roman" w:cs="Times New Roman" w:eastAsiaTheme="minorEastAsia"/>
                <w:color w:val="000000"/>
                <w:sz w:val="20"/>
              </w:rPr>
              <w:t>支出</w:t>
            </w:r>
          </w:p>
        </w:tc>
        <w:tc>
          <w:tcPr>
            <w:tcW w:w="10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6.91</w:t>
            </w: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6.51</w:t>
            </w:r>
          </w:p>
        </w:tc>
        <w:tc>
          <w:tcPr>
            <w:tcW w:w="84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0.40</w:t>
            </w:r>
          </w:p>
        </w:tc>
      </w:tr>
      <w:tr>
        <w:tblPrEx>
          <w:tblCellMar>
            <w:top w:w="0" w:type="dxa"/>
            <w:left w:w="108" w:type="dxa"/>
            <w:bottom w:w="0" w:type="dxa"/>
            <w:right w:w="108" w:type="dxa"/>
          </w:tblCellMar>
        </w:tblPrEx>
        <w:trPr>
          <w:trHeight w:val="360" w:hRule="atLeast"/>
          <w:jc w:val="center"/>
        </w:trPr>
        <w:tc>
          <w:tcPr>
            <w:tcW w:w="205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政府性基金预算</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拨款收入</w:t>
            </w:r>
          </w:p>
        </w:tc>
        <w:tc>
          <w:tcPr>
            <w:tcW w:w="115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28"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930"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sz w:val="20"/>
              </w:rPr>
              <w:t>三、</w:t>
            </w:r>
            <w:r>
              <w:rPr>
                <w:rFonts w:hint="default" w:ascii="Times New Roman" w:hAnsi="Times New Roman" w:cs="Times New Roman" w:eastAsiaTheme="minorEastAsia"/>
                <w:color w:val="000000"/>
                <w:sz w:val="20"/>
                <w:lang w:eastAsia="zh-CN"/>
              </w:rPr>
              <w:t>卫生健康</w:t>
            </w:r>
            <w:r>
              <w:rPr>
                <w:rFonts w:hint="default" w:ascii="Times New Roman" w:hAnsi="Times New Roman" w:cs="Times New Roman" w:eastAsiaTheme="minorEastAsia"/>
                <w:color w:val="000000"/>
                <w:sz w:val="20"/>
              </w:rPr>
              <w:t>支出</w:t>
            </w:r>
          </w:p>
        </w:tc>
        <w:tc>
          <w:tcPr>
            <w:tcW w:w="10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3.01</w:t>
            </w: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3.01</w:t>
            </w:r>
          </w:p>
        </w:tc>
        <w:tc>
          <w:tcPr>
            <w:tcW w:w="84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jc w:val="center"/>
        </w:trPr>
        <w:tc>
          <w:tcPr>
            <w:tcW w:w="205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国有资本经营预算拨款收入</w:t>
            </w:r>
          </w:p>
        </w:tc>
        <w:tc>
          <w:tcPr>
            <w:tcW w:w="115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28"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930"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cs="Times New Roman" w:eastAsiaTheme="minorEastAsia"/>
                <w:color w:val="000000"/>
                <w:kern w:val="0"/>
                <w:sz w:val="20"/>
                <w:lang w:eastAsia="zh-CN"/>
              </w:rPr>
            </w:pPr>
            <w:r>
              <w:rPr>
                <w:rFonts w:hint="default" w:ascii="Times New Roman" w:hAnsi="Times New Roman" w:cs="Times New Roman" w:eastAsiaTheme="minorEastAsia"/>
                <w:color w:val="000000"/>
                <w:kern w:val="0"/>
                <w:sz w:val="20"/>
                <w:lang w:eastAsia="zh-CN"/>
              </w:rPr>
              <w:t>四、住房保障支出</w:t>
            </w:r>
          </w:p>
        </w:tc>
        <w:tc>
          <w:tcPr>
            <w:tcW w:w="10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84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jc w:val="center"/>
        </w:trPr>
        <w:tc>
          <w:tcPr>
            <w:tcW w:w="2053"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二、财政专户管理</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资金收入</w:t>
            </w:r>
          </w:p>
        </w:tc>
        <w:tc>
          <w:tcPr>
            <w:tcW w:w="115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28"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30"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rPr>
            </w:pPr>
          </w:p>
        </w:tc>
        <w:tc>
          <w:tcPr>
            <w:tcW w:w="10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4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jc w:val="center"/>
        </w:trPr>
        <w:tc>
          <w:tcPr>
            <w:tcW w:w="2053"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三、单位资金收入</w:t>
            </w:r>
          </w:p>
        </w:tc>
        <w:tc>
          <w:tcPr>
            <w:tcW w:w="115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28"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30"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rPr>
            </w:pPr>
          </w:p>
        </w:tc>
        <w:tc>
          <w:tcPr>
            <w:tcW w:w="10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4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jc w:val="center"/>
        </w:trPr>
        <w:tc>
          <w:tcPr>
            <w:tcW w:w="205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事业收入</w:t>
            </w:r>
          </w:p>
        </w:tc>
        <w:tc>
          <w:tcPr>
            <w:tcW w:w="115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28"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30"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rPr>
            </w:pPr>
          </w:p>
        </w:tc>
        <w:tc>
          <w:tcPr>
            <w:tcW w:w="10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4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jc w:val="center"/>
        </w:trPr>
        <w:tc>
          <w:tcPr>
            <w:tcW w:w="2053"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宋体" w:cs="Times New Roman"/>
                <w:sz w:val="20"/>
              </w:rPr>
            </w:pPr>
            <w:r>
              <w:rPr>
                <w:rFonts w:hint="default" w:ascii="Times New Roman" w:hAnsi="Times New Roman" w:eastAsia="宋体" w:cs="Times New Roman"/>
                <w:sz w:val="20"/>
              </w:rPr>
              <w:t>事业单位经营收入</w:t>
            </w:r>
          </w:p>
        </w:tc>
        <w:tc>
          <w:tcPr>
            <w:tcW w:w="115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28"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930"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rPr>
            </w:pPr>
          </w:p>
        </w:tc>
        <w:tc>
          <w:tcPr>
            <w:tcW w:w="10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4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jc w:val="center"/>
        </w:trPr>
        <w:tc>
          <w:tcPr>
            <w:tcW w:w="205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上级补助收入</w:t>
            </w:r>
          </w:p>
        </w:tc>
        <w:tc>
          <w:tcPr>
            <w:tcW w:w="115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28"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930"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rPr>
            </w:pPr>
          </w:p>
        </w:tc>
        <w:tc>
          <w:tcPr>
            <w:tcW w:w="10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4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jc w:val="center"/>
        </w:trPr>
        <w:tc>
          <w:tcPr>
            <w:tcW w:w="205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附属单位上缴收入</w:t>
            </w:r>
          </w:p>
        </w:tc>
        <w:tc>
          <w:tcPr>
            <w:tcW w:w="115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28"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930"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rPr>
            </w:pPr>
          </w:p>
        </w:tc>
        <w:tc>
          <w:tcPr>
            <w:tcW w:w="10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4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jc w:val="center"/>
        </w:trPr>
        <w:tc>
          <w:tcPr>
            <w:tcW w:w="205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其他收入</w:t>
            </w:r>
          </w:p>
        </w:tc>
        <w:tc>
          <w:tcPr>
            <w:tcW w:w="1159"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sz w:val="20"/>
                <w:szCs w:val="20"/>
              </w:rPr>
            </w:pPr>
          </w:p>
        </w:tc>
        <w:tc>
          <w:tcPr>
            <w:tcW w:w="928"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sz w:val="20"/>
                <w:szCs w:val="20"/>
              </w:rPr>
            </w:pPr>
          </w:p>
        </w:tc>
        <w:tc>
          <w:tcPr>
            <w:tcW w:w="930"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sz w:val="20"/>
              </w:rPr>
            </w:pPr>
          </w:p>
        </w:tc>
        <w:tc>
          <w:tcPr>
            <w:tcW w:w="10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4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jc w:val="center"/>
        </w:trPr>
        <w:tc>
          <w:tcPr>
            <w:tcW w:w="205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本年收入</w:t>
            </w:r>
            <w:r>
              <w:rPr>
                <w:rFonts w:hint="default" w:ascii="Times New Roman" w:hAnsi="Times New Roman" w:eastAsia="宋体" w:cs="Times New Roman"/>
                <w:b/>
                <w:bCs/>
                <w:kern w:val="0"/>
                <w:sz w:val="20"/>
                <w:lang w:val="en-US" w:eastAsia="zh-CN"/>
              </w:rPr>
              <w:t xml:space="preserve">         </w:t>
            </w:r>
            <w:r>
              <w:rPr>
                <w:rFonts w:hint="default" w:ascii="Times New Roman" w:hAnsi="Times New Roman" w:eastAsia="宋体" w:cs="Times New Roman"/>
                <w:b/>
                <w:bCs/>
                <w:kern w:val="0"/>
                <w:sz w:val="20"/>
              </w:rPr>
              <w:t>合计</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61.10</w:t>
            </w:r>
          </w:p>
        </w:tc>
        <w:tc>
          <w:tcPr>
            <w:tcW w:w="92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59.66</w:t>
            </w:r>
          </w:p>
        </w:tc>
        <w:tc>
          <w:tcPr>
            <w:tcW w:w="930"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1.44</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b/>
                <w:bCs/>
                <w:kern w:val="0"/>
                <w:sz w:val="20"/>
              </w:rPr>
            </w:pPr>
            <w:r>
              <w:rPr>
                <w:rFonts w:hint="default" w:ascii="Times New Roman" w:hAnsi="Times New Roman" w:cs="Times New Roman" w:eastAsiaTheme="minorEastAsia"/>
                <w:b/>
                <w:bCs/>
                <w:kern w:val="0"/>
                <w:sz w:val="20"/>
              </w:rPr>
              <w:t>本年支出</w:t>
            </w:r>
            <w:r>
              <w:rPr>
                <w:rFonts w:hint="default" w:ascii="Times New Roman" w:hAnsi="Times New Roman" w:cs="Times New Roman" w:eastAsiaTheme="minorEastAsia"/>
                <w:b/>
                <w:bCs/>
                <w:kern w:val="0"/>
                <w:sz w:val="20"/>
                <w:lang w:val="en-US" w:eastAsia="zh-CN"/>
              </w:rPr>
              <w:t xml:space="preserve">  </w:t>
            </w:r>
            <w:r>
              <w:rPr>
                <w:rFonts w:hint="default" w:ascii="Times New Roman" w:hAnsi="Times New Roman" w:cs="Times New Roman" w:eastAsiaTheme="minorEastAsia"/>
                <w:b/>
                <w:bCs/>
                <w:kern w:val="0"/>
                <w:sz w:val="20"/>
              </w:rPr>
              <w:t>合计</w:t>
            </w:r>
          </w:p>
        </w:tc>
        <w:tc>
          <w:tcPr>
            <w:tcW w:w="10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61.10</w:t>
            </w: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59.66</w:t>
            </w:r>
          </w:p>
        </w:tc>
        <w:tc>
          <w:tcPr>
            <w:tcW w:w="84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1.44</w:t>
            </w:r>
          </w:p>
        </w:tc>
      </w:tr>
      <w:tr>
        <w:tblPrEx>
          <w:tblCellMar>
            <w:top w:w="0" w:type="dxa"/>
            <w:left w:w="108" w:type="dxa"/>
            <w:bottom w:w="0" w:type="dxa"/>
            <w:right w:w="108" w:type="dxa"/>
          </w:tblCellMar>
        </w:tblPrEx>
        <w:trPr>
          <w:trHeight w:val="360" w:hRule="atLeast"/>
          <w:jc w:val="center"/>
        </w:trPr>
        <w:tc>
          <w:tcPr>
            <w:tcW w:w="205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财政拨款结转</w:t>
            </w:r>
          </w:p>
        </w:tc>
        <w:tc>
          <w:tcPr>
            <w:tcW w:w="115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28"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930"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0"/>
              </w:rPr>
            </w:pPr>
            <w:r>
              <w:rPr>
                <w:rFonts w:hint="default" w:ascii="Times New Roman" w:hAnsi="Times New Roman" w:cs="Times New Roman" w:eastAsiaTheme="minorEastAsia"/>
                <w:kern w:val="0"/>
                <w:sz w:val="20"/>
              </w:rPr>
              <w:t>结转下年</w:t>
            </w:r>
            <w:r>
              <w:rPr>
                <w:rFonts w:hint="default" w:ascii="Times New Roman" w:hAnsi="Times New Roman" w:cs="Times New Roman" w:eastAsiaTheme="minorEastAsia"/>
                <w:kern w:val="0"/>
                <w:sz w:val="20"/>
                <w:lang w:val="en-US" w:eastAsia="zh-CN"/>
              </w:rPr>
              <w:t xml:space="preserve">  </w:t>
            </w:r>
            <w:r>
              <w:rPr>
                <w:rFonts w:hint="default" w:ascii="Times New Roman" w:hAnsi="Times New Roman" w:cs="Times New Roman" w:eastAsiaTheme="minorEastAsia"/>
                <w:kern w:val="0"/>
                <w:sz w:val="20"/>
              </w:rPr>
              <w:t>支出</w:t>
            </w:r>
          </w:p>
        </w:tc>
        <w:tc>
          <w:tcPr>
            <w:tcW w:w="10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4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jc w:val="center"/>
        </w:trPr>
        <w:tc>
          <w:tcPr>
            <w:tcW w:w="205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lang w:eastAsia="zh-CN"/>
              </w:rPr>
              <w:t>非财政拨款</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结转结余</w:t>
            </w:r>
          </w:p>
        </w:tc>
        <w:tc>
          <w:tcPr>
            <w:tcW w:w="115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28"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930"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inorEastAsia"/>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0"/>
              </w:rPr>
            </w:pPr>
          </w:p>
        </w:tc>
        <w:tc>
          <w:tcPr>
            <w:tcW w:w="10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4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0" w:hRule="atLeast"/>
          <w:jc w:val="center"/>
        </w:trPr>
        <w:tc>
          <w:tcPr>
            <w:tcW w:w="205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黑体" w:cs="Times New Roman"/>
                <w:b/>
                <w:bCs/>
                <w:kern w:val="0"/>
                <w:sz w:val="20"/>
              </w:rPr>
              <w:t>收入总计</w:t>
            </w:r>
          </w:p>
        </w:tc>
        <w:tc>
          <w:tcPr>
            <w:tcW w:w="115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61.10</w:t>
            </w:r>
          </w:p>
        </w:tc>
        <w:tc>
          <w:tcPr>
            <w:tcW w:w="92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59.66</w:t>
            </w:r>
          </w:p>
        </w:tc>
        <w:tc>
          <w:tcPr>
            <w:tcW w:w="930"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1.44</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0"/>
              </w:rPr>
            </w:pPr>
            <w:r>
              <w:rPr>
                <w:rFonts w:hint="default" w:ascii="Times New Roman" w:hAnsi="Times New Roman" w:cs="Times New Roman" w:eastAsiaTheme="minorEastAsia"/>
                <w:b/>
                <w:bCs/>
                <w:kern w:val="0"/>
                <w:sz w:val="20"/>
              </w:rPr>
              <w:t>支出总计</w:t>
            </w:r>
          </w:p>
        </w:tc>
        <w:tc>
          <w:tcPr>
            <w:tcW w:w="10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61.10</w:t>
            </w: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59.66</w:t>
            </w:r>
          </w:p>
        </w:tc>
        <w:tc>
          <w:tcPr>
            <w:tcW w:w="84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1.44</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4"/>
          <w:szCs w:val="44"/>
        </w:rPr>
      </w:pPr>
    </w:p>
    <w:p>
      <w:pPr>
        <w:jc w:val="center"/>
        <w:rPr>
          <w:rFonts w:hint="default" w:ascii="Times New Roman" w:hAnsi="Times New Roman" w:eastAsia="楷体_GB2312" w:cs="Times New Roman"/>
        </w:rPr>
      </w:pPr>
      <w:r>
        <w:rPr>
          <w:rFonts w:hint="default" w:ascii="Times New Roman" w:hAnsi="Times New Roman" w:eastAsia="方正小标宋简体" w:cs="Times New Roman"/>
          <w:kern w:val="0"/>
          <w:sz w:val="44"/>
          <w:szCs w:val="44"/>
        </w:rPr>
        <w:t>收支</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总表</w:t>
      </w:r>
    </w:p>
    <w:p>
      <w:pPr>
        <w:rPr>
          <w:rFonts w:hint="default" w:ascii="Times New Roman" w:hAnsi="Times New Roman" w:eastAsia="楷体" w:cs="Times New Roman"/>
        </w:rPr>
      </w:pPr>
    </w:p>
    <w:p>
      <w:pPr>
        <w:jc w:val="center"/>
        <w:rPr>
          <w:rFonts w:hint="default" w:ascii="Times New Roman" w:hAnsi="Times New Roman" w:eastAsia="方正小标宋简体" w:cs="Times New Roman"/>
          <w:sz w:val="44"/>
        </w:rPr>
      </w:pPr>
      <w:r>
        <w:rPr>
          <w:rFonts w:hint="default" w:ascii="Times New Roman" w:hAnsi="Times New Roman" w:eastAsia="楷体" w:cs="Times New Roman"/>
        </w:rPr>
        <w:br w:type="page"/>
      </w:r>
      <w:r>
        <w:rPr>
          <w:rFonts w:hint="default" w:ascii="Times New Roman" w:hAnsi="Times New Roman" w:eastAsia="方正小标宋简体" w:cs="Times New Roman"/>
          <w:sz w:val="44"/>
        </w:rPr>
        <w:t>收入</w:t>
      </w:r>
      <w:r>
        <w:rPr>
          <w:rFonts w:hint="default" w:ascii="Times New Roman" w:hAnsi="Times New Roman" w:eastAsia="方正小标宋简体" w:cs="Times New Roman"/>
          <w:sz w:val="44"/>
          <w:lang w:eastAsia="zh-CN"/>
        </w:rPr>
        <w:t>预算</w:t>
      </w:r>
      <w:r>
        <w:rPr>
          <w:rFonts w:hint="default" w:ascii="Times New Roman" w:hAnsi="Times New Roman" w:eastAsia="方正小标宋简体" w:cs="Times New Roman"/>
          <w:sz w:val="44"/>
        </w:rPr>
        <w:t>总表</w:t>
      </w:r>
    </w:p>
    <w:tbl>
      <w:tblPr>
        <w:tblStyle w:val="11"/>
        <w:tblW w:w="10094" w:type="dxa"/>
        <w:jc w:val="center"/>
        <w:tblLayout w:type="fixed"/>
        <w:tblCellMar>
          <w:top w:w="0" w:type="dxa"/>
          <w:left w:w="108" w:type="dxa"/>
          <w:bottom w:w="0" w:type="dxa"/>
          <w:right w:w="108" w:type="dxa"/>
        </w:tblCellMar>
      </w:tblPr>
      <w:tblGrid>
        <w:gridCol w:w="1309"/>
        <w:gridCol w:w="840"/>
        <w:gridCol w:w="875"/>
        <w:gridCol w:w="819"/>
        <w:gridCol w:w="360"/>
        <w:gridCol w:w="336"/>
        <w:gridCol w:w="345"/>
        <w:gridCol w:w="345"/>
        <w:gridCol w:w="360"/>
        <w:gridCol w:w="315"/>
        <w:gridCol w:w="315"/>
        <w:gridCol w:w="375"/>
        <w:gridCol w:w="485"/>
        <w:gridCol w:w="175"/>
        <w:gridCol w:w="690"/>
        <w:gridCol w:w="390"/>
        <w:gridCol w:w="420"/>
        <w:gridCol w:w="660"/>
        <w:gridCol w:w="639"/>
        <w:gridCol w:w="41"/>
      </w:tblGrid>
      <w:tr>
        <w:tblPrEx>
          <w:tblCellMar>
            <w:top w:w="0" w:type="dxa"/>
            <w:left w:w="108" w:type="dxa"/>
            <w:bottom w:w="0" w:type="dxa"/>
            <w:right w:w="108" w:type="dxa"/>
          </w:tblCellMar>
        </w:tblPrEx>
        <w:trPr>
          <w:trHeight w:val="335" w:hRule="atLeast"/>
          <w:jc w:val="center"/>
        </w:trPr>
        <w:tc>
          <w:tcPr>
            <w:tcW w:w="1309" w:type="dxa"/>
            <w:tcBorders>
              <w:bottom w:val="single" w:color="000000" w:sz="4" w:space="0"/>
            </w:tcBorders>
            <w:noWrap w:val="0"/>
            <w:vAlign w:val="top"/>
          </w:tcPr>
          <w:p>
            <w:pPr>
              <w:autoSpaceDN w:val="0"/>
              <w:jc w:val="left"/>
              <w:textAlignment w:val="center"/>
              <w:rPr>
                <w:rFonts w:hint="default" w:ascii="Times New Roman" w:hAnsi="Times New Roman" w:eastAsia="华文细黑" w:cs="Times New Roman"/>
                <w:color w:val="000000"/>
                <w:sz w:val="20"/>
              </w:rPr>
            </w:pPr>
          </w:p>
        </w:tc>
        <w:tc>
          <w:tcPr>
            <w:tcW w:w="5285" w:type="dxa"/>
            <w:gridSpan w:val="11"/>
            <w:tcBorders>
              <w:bottom w:val="single" w:color="000000" w:sz="4" w:space="0"/>
            </w:tcBorders>
            <w:noWrap w:val="0"/>
            <w:vAlign w:val="center"/>
          </w:tcPr>
          <w:p>
            <w:pPr>
              <w:autoSpaceDN w:val="0"/>
              <w:jc w:val="left"/>
              <w:textAlignment w:val="center"/>
              <w:rPr>
                <w:rFonts w:hint="default" w:ascii="Times New Roman" w:hAnsi="Times New Roman" w:eastAsia="华文细黑" w:cs="Times New Roman"/>
                <w:color w:val="000000"/>
                <w:sz w:val="20"/>
              </w:rPr>
            </w:pPr>
          </w:p>
        </w:tc>
        <w:tc>
          <w:tcPr>
            <w:tcW w:w="485" w:type="dxa"/>
            <w:noWrap w:val="0"/>
            <w:vAlign w:val="center"/>
          </w:tcPr>
          <w:p>
            <w:pPr>
              <w:autoSpaceDN w:val="0"/>
              <w:jc w:val="left"/>
              <w:textAlignment w:val="center"/>
              <w:rPr>
                <w:rFonts w:hint="default" w:ascii="Times New Roman" w:hAnsi="Times New Roman" w:eastAsia="华文细黑" w:cs="Times New Roman"/>
                <w:color w:val="000000"/>
                <w:sz w:val="20"/>
              </w:rPr>
            </w:pPr>
          </w:p>
        </w:tc>
        <w:tc>
          <w:tcPr>
            <w:tcW w:w="865" w:type="dxa"/>
            <w:gridSpan w:val="2"/>
            <w:noWrap w:val="0"/>
            <w:vAlign w:val="center"/>
          </w:tcPr>
          <w:p>
            <w:pPr>
              <w:autoSpaceDN w:val="0"/>
              <w:jc w:val="left"/>
              <w:textAlignment w:val="center"/>
              <w:rPr>
                <w:rFonts w:hint="default" w:ascii="Times New Roman" w:hAnsi="Times New Roman" w:eastAsia="华文细黑" w:cs="Times New Roman"/>
                <w:color w:val="000000"/>
                <w:sz w:val="20"/>
              </w:rPr>
            </w:pPr>
          </w:p>
        </w:tc>
        <w:tc>
          <w:tcPr>
            <w:tcW w:w="2150" w:type="dxa"/>
            <w:gridSpan w:val="5"/>
            <w:noWrap w:val="0"/>
            <w:vAlign w:val="bottom"/>
          </w:tcPr>
          <w:p>
            <w:pPr>
              <w:wordWrap/>
              <w:autoSpaceDN w:val="0"/>
              <w:jc w:val="right"/>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rPr>
              <w:t>单位：万元</w:t>
            </w:r>
          </w:p>
        </w:tc>
      </w:tr>
      <w:tr>
        <w:tblPrEx>
          <w:tblCellMar>
            <w:top w:w="0" w:type="dxa"/>
            <w:left w:w="108" w:type="dxa"/>
            <w:bottom w:w="0" w:type="dxa"/>
            <w:right w:w="108" w:type="dxa"/>
          </w:tblCellMar>
        </w:tblPrEx>
        <w:trPr>
          <w:gridAfter w:val="1"/>
          <w:wAfter w:w="41" w:type="dxa"/>
          <w:trHeight w:val="517" w:hRule="atLeast"/>
          <w:jc w:val="center"/>
        </w:trPr>
        <w:tc>
          <w:tcPr>
            <w:tcW w:w="1309" w:type="dxa"/>
            <w:vMerge w:val="restart"/>
            <w:tcBorders>
              <w:left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部门（单位）名称</w:t>
            </w:r>
          </w:p>
        </w:tc>
        <w:tc>
          <w:tcPr>
            <w:tcW w:w="840"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总计</w:t>
            </w:r>
          </w:p>
        </w:tc>
        <w:tc>
          <w:tcPr>
            <w:tcW w:w="4445" w:type="dxa"/>
            <w:gridSpan w:val="10"/>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eastAsia="zh-CN"/>
              </w:rPr>
              <w:t>本年预算</w:t>
            </w:r>
          </w:p>
        </w:tc>
        <w:tc>
          <w:tcPr>
            <w:tcW w:w="3459" w:type="dxa"/>
            <w:gridSpan w:val="7"/>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上年结转结余</w:t>
            </w:r>
          </w:p>
        </w:tc>
      </w:tr>
      <w:tr>
        <w:tblPrEx>
          <w:tblCellMar>
            <w:top w:w="0" w:type="dxa"/>
            <w:left w:w="108" w:type="dxa"/>
            <w:bottom w:w="0" w:type="dxa"/>
            <w:right w:w="108" w:type="dxa"/>
          </w:tblCellMar>
        </w:tblPrEx>
        <w:trPr>
          <w:gridAfter w:val="1"/>
          <w:wAfter w:w="41" w:type="dxa"/>
          <w:trHeight w:val="517" w:hRule="atLeast"/>
          <w:jc w:val="center"/>
        </w:trPr>
        <w:tc>
          <w:tcPr>
            <w:tcW w:w="1309" w:type="dxa"/>
            <w:vMerge w:val="continue"/>
            <w:tcBorders>
              <w:left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000000"/>
                <w:sz w:val="20"/>
                <w:lang w:eastAsia="zh-CN"/>
              </w:rPr>
            </w:pPr>
          </w:p>
        </w:tc>
        <w:tc>
          <w:tcPr>
            <w:tcW w:w="840" w:type="dxa"/>
            <w:vMerge w:val="continue"/>
            <w:tcBorders>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p>
        </w:tc>
        <w:tc>
          <w:tcPr>
            <w:tcW w:w="875"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合计</w:t>
            </w:r>
          </w:p>
        </w:tc>
        <w:tc>
          <w:tcPr>
            <w:tcW w:w="1515"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财政拨款收入</w:t>
            </w:r>
          </w:p>
        </w:tc>
        <w:tc>
          <w:tcPr>
            <w:tcW w:w="345"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财政专户管理资金收入</w:t>
            </w:r>
          </w:p>
        </w:tc>
        <w:tc>
          <w:tcPr>
            <w:tcW w:w="1710" w:type="dxa"/>
            <w:gridSpan w:val="5"/>
            <w:tcBorders>
              <w:top w:val="single" w:color="000000" w:sz="4" w:space="0"/>
              <w:left w:val="single" w:color="auto"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单位资金收入</w:t>
            </w:r>
          </w:p>
        </w:tc>
        <w:tc>
          <w:tcPr>
            <w:tcW w:w="660"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合计</w:t>
            </w:r>
          </w:p>
        </w:tc>
        <w:tc>
          <w:tcPr>
            <w:tcW w:w="1500"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财政拨款结转</w:t>
            </w:r>
          </w:p>
        </w:tc>
        <w:tc>
          <w:tcPr>
            <w:tcW w:w="1299"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非财政拨款结转结余</w:t>
            </w:r>
          </w:p>
        </w:tc>
      </w:tr>
      <w:tr>
        <w:tblPrEx>
          <w:tblCellMar>
            <w:top w:w="0" w:type="dxa"/>
            <w:left w:w="108" w:type="dxa"/>
            <w:bottom w:w="0" w:type="dxa"/>
            <w:right w:w="108" w:type="dxa"/>
          </w:tblCellMar>
        </w:tblPrEx>
        <w:trPr>
          <w:gridAfter w:val="1"/>
          <w:wAfter w:w="41" w:type="dxa"/>
          <w:trHeight w:val="2818" w:hRule="atLeast"/>
          <w:jc w:val="center"/>
        </w:trPr>
        <w:tc>
          <w:tcPr>
            <w:tcW w:w="1309"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default" w:ascii="Times New Roman" w:hAnsi="Times New Roman" w:eastAsia="宋体" w:cs="Times New Roman"/>
                <w:color w:val="000000"/>
                <w:sz w:val="20"/>
                <w:shd w:val="clear" w:color="auto" w:fill="FFFFFF"/>
              </w:rPr>
            </w:pPr>
          </w:p>
        </w:tc>
        <w:tc>
          <w:tcPr>
            <w:tcW w:w="840"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87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819"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一般公共预算收入</w:t>
            </w:r>
          </w:p>
        </w:tc>
        <w:tc>
          <w:tcPr>
            <w:tcW w:w="360"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政府性基金预算收入</w:t>
            </w: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国有资本经营预算收入</w:t>
            </w:r>
          </w:p>
        </w:tc>
        <w:tc>
          <w:tcPr>
            <w:tcW w:w="345"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事业收入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事业单位经营收入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上级补助收入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附属单位上缴收入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其他收入</w:t>
            </w:r>
          </w:p>
        </w:tc>
        <w:tc>
          <w:tcPr>
            <w:tcW w:w="660"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一般公共预算拨款结转</w:t>
            </w: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政府性基金预算拨款结转</w:t>
            </w:r>
          </w:p>
        </w:tc>
        <w:tc>
          <w:tcPr>
            <w:tcW w:w="42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国有资本经营预算拨款结转</w:t>
            </w:r>
          </w:p>
        </w:tc>
        <w:tc>
          <w:tcPr>
            <w:tcW w:w="66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rPr>
            </w:pPr>
            <w:r>
              <w:rPr>
                <w:rFonts w:hint="default" w:ascii="Times New Roman" w:hAnsi="Times New Roman" w:eastAsia="宋体" w:cs="Times New Roman"/>
                <w:color w:val="000000"/>
                <w:sz w:val="20"/>
                <w:shd w:val="clear" w:color="auto" w:fill="FFFFFF"/>
                <w:lang w:eastAsia="zh-CN"/>
              </w:rPr>
              <w:t>财政专户管理资金结转结余</w:t>
            </w:r>
          </w:p>
        </w:tc>
        <w:tc>
          <w:tcPr>
            <w:tcW w:w="63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41" w:type="dxa"/>
          <w:trHeight w:val="517" w:hRule="atLeast"/>
          <w:jc w:val="center"/>
        </w:trPr>
        <w:tc>
          <w:tcPr>
            <w:tcW w:w="1309"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ascii="Times New Roman" w:hAnsi="Times New Roman" w:eastAsia="宋体" w:cs="Times New Roman"/>
                <w:color w:val="000000"/>
                <w:kern w:val="2"/>
                <w:sz w:val="20"/>
                <w:shd w:val="clear" w:color="auto" w:fill="FFFFFF"/>
                <w:lang w:val="en-US" w:eastAsia="zh-CN" w:bidi="ar-SA"/>
              </w:rPr>
            </w:pPr>
            <w:r>
              <w:rPr>
                <w:rFonts w:hint="default" w:ascii="Times New Roman" w:hAnsi="Times New Roman" w:eastAsia="宋体" w:cs="Times New Roman"/>
                <w:color w:val="000000"/>
                <w:sz w:val="20"/>
                <w:shd w:val="clear" w:color="auto" w:fill="FFFFFF"/>
                <w:lang w:eastAsia="zh-CN"/>
              </w:rPr>
              <w:t>延边州统计局数据管理中心</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61.10</w:t>
            </w: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59.66</w:t>
            </w: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59.66</w:t>
            </w:r>
          </w:p>
        </w:tc>
        <w:tc>
          <w:tcPr>
            <w:tcW w:w="360" w:type="dxa"/>
            <w:tcBorders>
              <w:top w:val="single" w:color="000000" w:sz="4" w:space="0"/>
              <w:left w:val="single" w:color="000000" w:sz="4" w:space="0"/>
              <w:bottom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1.44</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1.44</w:t>
            </w: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gridAfter w:val="1"/>
          <w:wAfter w:w="41" w:type="dxa"/>
          <w:trHeight w:val="517" w:hRule="atLeast"/>
          <w:jc w:val="center"/>
        </w:trPr>
        <w:tc>
          <w:tcPr>
            <w:tcW w:w="1309"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ascii="Times New Roman" w:hAnsi="Times New Roman" w:eastAsia="宋体" w:cs="Times New Roman"/>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gridAfter w:val="1"/>
          <w:wAfter w:w="41" w:type="dxa"/>
          <w:trHeight w:val="517" w:hRule="atLeast"/>
          <w:jc w:val="center"/>
        </w:trPr>
        <w:tc>
          <w:tcPr>
            <w:tcW w:w="1309"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ascii="Times New Roman" w:hAnsi="Times New Roman" w:eastAsia="宋体" w:cs="Times New Roman"/>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ko-KR" w:bidi="ar"/>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gridAfter w:val="1"/>
          <w:wAfter w:w="41" w:type="dxa"/>
          <w:trHeight w:val="517" w:hRule="atLeast"/>
          <w:jc w:val="center"/>
        </w:trPr>
        <w:tc>
          <w:tcPr>
            <w:tcW w:w="1309"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ascii="Times New Roman" w:hAnsi="Times New Roman" w:eastAsia="宋体" w:cs="Times New Roman"/>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gridAfter w:val="1"/>
          <w:wAfter w:w="41" w:type="dxa"/>
          <w:trHeight w:val="530" w:hRule="atLeast"/>
          <w:jc w:val="center"/>
        </w:trPr>
        <w:tc>
          <w:tcPr>
            <w:tcW w:w="1309"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default" w:ascii="Times New Roman" w:hAnsi="Times New Roman" w:eastAsia="华文细黑" w:cs="Times New Roman"/>
                <w:color w:val="000000"/>
                <w:sz w:val="20"/>
                <w:shd w:val="clear" w:color="auto" w:fill="FFFFFF"/>
              </w:rPr>
            </w:pPr>
            <w:r>
              <w:rPr>
                <w:rFonts w:hint="default" w:ascii="Times New Roman" w:hAnsi="Times New Roman" w:eastAsia="宋体" w:cs="Times New Roman"/>
                <w:kern w:val="0"/>
                <w:sz w:val="20"/>
              </w:rPr>
              <w:t>合计</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61.10</w:t>
            </w: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59.66</w:t>
            </w: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59.66</w:t>
            </w:r>
          </w:p>
        </w:tc>
        <w:tc>
          <w:tcPr>
            <w:tcW w:w="360" w:type="dxa"/>
            <w:tcBorders>
              <w:top w:val="single" w:color="000000" w:sz="4" w:space="0"/>
              <w:left w:val="single" w:color="000000" w:sz="4" w:space="0"/>
              <w:bottom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1.44</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1.44</w:t>
            </w: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6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bl>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eastAsia="楷体" w:cs="Times New Roman"/>
        </w:rPr>
      </w:pPr>
    </w:p>
    <w:tbl>
      <w:tblPr>
        <w:tblStyle w:val="11"/>
        <w:tblpPr w:leftFromText="180" w:rightFromText="180" w:vertAnchor="text" w:horzAnchor="page" w:tblpXSpec="center" w:tblpY="1167"/>
        <w:tblOverlap w:val="never"/>
        <w:tblW w:w="9840" w:type="dxa"/>
        <w:jc w:val="center"/>
        <w:tblLayout w:type="fixed"/>
        <w:tblCellMar>
          <w:top w:w="15" w:type="dxa"/>
          <w:left w:w="15" w:type="dxa"/>
          <w:bottom w:w="15" w:type="dxa"/>
          <w:right w:w="15" w:type="dxa"/>
        </w:tblCellMar>
      </w:tblPr>
      <w:tblGrid>
        <w:gridCol w:w="2149"/>
        <w:gridCol w:w="1267"/>
        <w:gridCol w:w="1306"/>
        <w:gridCol w:w="1090"/>
        <w:gridCol w:w="1297"/>
        <w:gridCol w:w="1266"/>
        <w:gridCol w:w="1465"/>
      </w:tblGrid>
      <w:tr>
        <w:tblPrEx>
          <w:tblCellMar>
            <w:top w:w="15" w:type="dxa"/>
            <w:left w:w="15" w:type="dxa"/>
            <w:bottom w:w="15" w:type="dxa"/>
            <w:right w:w="15" w:type="dxa"/>
          </w:tblCellMar>
        </w:tblPrEx>
        <w:trPr>
          <w:trHeight w:val="636" w:hRule="atLeast"/>
          <w:jc w:val="center"/>
        </w:trPr>
        <w:tc>
          <w:tcPr>
            <w:tcW w:w="5812" w:type="dxa"/>
            <w:gridSpan w:val="4"/>
            <w:tcBorders>
              <w:bottom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p>
        </w:tc>
        <w:tc>
          <w:tcPr>
            <w:tcW w:w="1297" w:type="dxa"/>
            <w:tcBorders>
              <w:bottom w:val="single" w:color="000000" w:sz="4" w:space="0"/>
            </w:tcBorders>
            <w:noWrap w:val="0"/>
            <w:vAlign w:val="center"/>
          </w:tcPr>
          <w:p>
            <w:pPr>
              <w:widowControl/>
              <w:jc w:val="right"/>
              <w:rPr>
                <w:rFonts w:hint="default" w:ascii="Times New Roman" w:hAnsi="Times New Roman" w:eastAsia="华文细黑" w:cs="Times New Roman"/>
                <w:color w:val="000000"/>
                <w:kern w:val="0"/>
                <w:sz w:val="20"/>
              </w:rPr>
            </w:pPr>
          </w:p>
        </w:tc>
        <w:tc>
          <w:tcPr>
            <w:tcW w:w="1266" w:type="dxa"/>
            <w:tcBorders>
              <w:bottom w:val="single" w:color="000000" w:sz="4" w:space="0"/>
            </w:tcBorders>
            <w:noWrap w:val="0"/>
            <w:vAlign w:val="center"/>
          </w:tcPr>
          <w:p>
            <w:pPr>
              <w:widowControl/>
              <w:jc w:val="right"/>
              <w:rPr>
                <w:rFonts w:hint="default" w:ascii="Times New Roman" w:hAnsi="Times New Roman" w:eastAsia="华文细黑" w:cs="Times New Roman"/>
                <w:color w:val="000000"/>
                <w:kern w:val="0"/>
                <w:sz w:val="20"/>
              </w:rPr>
            </w:pPr>
          </w:p>
        </w:tc>
        <w:tc>
          <w:tcPr>
            <w:tcW w:w="1465" w:type="dxa"/>
            <w:tcBorders>
              <w:bottom w:val="single" w:color="000000" w:sz="4" w:space="0"/>
            </w:tcBorders>
            <w:noWrap w:val="0"/>
            <w:vAlign w:val="bottom"/>
          </w:tcPr>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tblPrEx>
          <w:tblCellMar>
            <w:top w:w="15" w:type="dxa"/>
            <w:left w:w="15" w:type="dxa"/>
            <w:bottom w:w="15" w:type="dxa"/>
            <w:right w:w="15" w:type="dxa"/>
          </w:tblCellMar>
        </w:tblPrEx>
        <w:trPr>
          <w:trHeight w:val="1281" w:hRule="atLeast"/>
          <w:jc w:val="center"/>
        </w:trPr>
        <w:tc>
          <w:tcPr>
            <w:tcW w:w="214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rPr>
              <w:t>功能分类</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支出</w:t>
            </w:r>
          </w:p>
          <w:p>
            <w:pPr>
              <w:widowControl/>
              <w:jc w:val="center"/>
              <w:rPr>
                <w:rFonts w:hint="default" w:ascii="Times New Roman" w:hAnsi="Times New Roman" w:eastAsia="华文细黑" w:cs="Times New Roman"/>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事业单位</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上缴                                            上级                                                         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对附属</w:t>
            </w:r>
            <w:r>
              <w:rPr>
                <w:rFonts w:hint="default" w:ascii="Times New Roman" w:hAnsi="Times New Roman" w:eastAsia="Malgun Gothic" w:cs="Times New Roman"/>
                <w:color w:val="000000"/>
                <w:kern w:val="0"/>
                <w:sz w:val="20"/>
                <w:lang w:val="en-US" w:eastAsia="ko-KR"/>
              </w:rPr>
              <w:t>+</w:t>
            </w:r>
            <w:r>
              <w:rPr>
                <w:rFonts w:hint="default" w:ascii="Times New Roman" w:hAnsi="Times New Roman" w:eastAsia="华文细黑" w:cs="Times New Roman"/>
                <w:color w:val="000000"/>
                <w:kern w:val="0"/>
                <w:sz w:val="20"/>
              </w:rPr>
              <w:t xml:space="preserve">                                           单位补                                      助支出</w:t>
            </w:r>
          </w:p>
        </w:tc>
      </w:tr>
      <w:tr>
        <w:tblPrEx>
          <w:tblCellMar>
            <w:top w:w="15" w:type="dxa"/>
            <w:left w:w="15" w:type="dxa"/>
            <w:bottom w:w="15" w:type="dxa"/>
            <w:right w:w="15" w:type="dxa"/>
          </w:tblCellMar>
        </w:tblPrEx>
        <w:trPr>
          <w:trHeight w:val="55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一、一般公共服务支出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46.38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46.38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9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46.38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46.38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事业运行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46.38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46.38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4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99"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p>
            <w:pPr>
              <w:widowControl/>
              <w:jc w:val="right"/>
              <w:rPr>
                <w:rFonts w:hint="default" w:ascii="Times New Roman" w:hAnsi="Times New Roman" w:eastAsia="宋体" w:cs="Times New Roman"/>
                <w:color w:val="000000"/>
                <w:kern w:val="0"/>
                <w:sz w:val="20"/>
              </w:rPr>
            </w:pPr>
          </w:p>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事业单位离退休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9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3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9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kern w:val="0"/>
                <w:sz w:val="20"/>
                <w:lang w:bidi="ar"/>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cs="Times New Roman" w:eastAsiaTheme="minorEastAsia"/>
                <w:color w:val="000000"/>
                <w:kern w:val="0"/>
                <w:sz w:val="20"/>
                <w:lang w:bidi="ar"/>
              </w:rPr>
            </w:pPr>
            <w:r>
              <w:rPr>
                <w:rFonts w:hint="default" w:ascii="Times New Roman" w:hAnsi="Times New Roman" w:cs="Times New Roman" w:eastAsiaTheme="minorEastAsia"/>
                <w:color w:val="000000"/>
                <w:kern w:val="0"/>
                <w:sz w:val="20"/>
                <w:lang w:bidi="ar"/>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4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default" w:ascii="Times New Roman" w:hAnsi="Times New Roman" w:cs="Times New Roman" w:eastAsiaTheme="minorEastAsia"/>
                <w:color w:val="000000"/>
                <w:kern w:val="0"/>
                <w:sz w:val="20"/>
                <w:lang w:bidi="ar"/>
              </w:rPr>
            </w:pPr>
            <w:r>
              <w:rPr>
                <w:rFonts w:hint="default" w:ascii="Times New Roman" w:hAnsi="Times New Roman" w:cs="Times New Roman" w:eastAsiaTheme="minorEastAsia"/>
                <w:color w:val="000000"/>
                <w:kern w:val="0"/>
                <w:sz w:val="20"/>
                <w:lang w:bidi="ar"/>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61.10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61.10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bl>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总表</w:t>
      </w:r>
    </w:p>
    <w:p>
      <w:pPr>
        <w:widowControl/>
        <w:jc w:val="center"/>
        <w:rPr>
          <w:rFonts w:hint="default" w:ascii="Times New Roman" w:hAnsi="Times New Roman" w:eastAsia="方正小标宋简体" w:cs="Times New Roman"/>
          <w:kern w:val="0"/>
          <w:sz w:val="44"/>
          <w:szCs w:val="44"/>
        </w:rPr>
      </w:pPr>
    </w:p>
    <w:p>
      <w:pPr>
        <w:widowControl/>
        <w:jc w:val="center"/>
        <w:rPr>
          <w:rFonts w:hint="default" w:ascii="Times New Roman" w:hAnsi="Times New Roman" w:eastAsia="方正小标宋简体" w:cs="Times New Roman"/>
          <w:kern w:val="0"/>
          <w:sz w:val="44"/>
          <w:szCs w:val="44"/>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财政拨款收支</w:t>
      </w:r>
      <w:r>
        <w:rPr>
          <w:rFonts w:hint="default" w:ascii="Times New Roman" w:hAnsi="Times New Roman" w:eastAsia="方正小标宋简体" w:cs="Times New Roman"/>
          <w:kern w:val="0"/>
          <w:sz w:val="44"/>
          <w:szCs w:val="44"/>
          <w:lang w:eastAsia="zh-CN"/>
        </w:rPr>
        <w:t>预算总</w:t>
      </w:r>
      <w:r>
        <w:rPr>
          <w:rFonts w:hint="default" w:ascii="Times New Roman" w:hAnsi="Times New Roman" w:eastAsia="方正小标宋简体" w:cs="Times New Roman"/>
          <w:kern w:val="0"/>
          <w:sz w:val="44"/>
          <w:szCs w:val="44"/>
        </w:rPr>
        <w:t>表</w:t>
      </w:r>
    </w:p>
    <w:tbl>
      <w:tblPr>
        <w:tblStyle w:val="11"/>
        <w:tblpPr w:leftFromText="180" w:rightFromText="180" w:vertAnchor="page" w:horzAnchor="page" w:tblpXSpec="center" w:tblpY="3400"/>
        <w:tblOverlap w:val="never"/>
        <w:tblW w:w="9640" w:type="dxa"/>
        <w:jc w:val="center"/>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502" w:hRule="atLeast"/>
          <w:jc w:val="center"/>
        </w:trPr>
        <w:tc>
          <w:tcPr>
            <w:tcW w:w="9640" w:type="dxa"/>
            <w:gridSpan w:val="8"/>
            <w:tcBorders>
              <w:top w:val="nil"/>
              <w:left w:val="nil"/>
              <w:bottom w:val="nil"/>
              <w:right w:val="nil"/>
            </w:tcBorders>
            <w:noWrap w:val="0"/>
            <w:vAlign w:val="bottom"/>
          </w:tcPr>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 xml:space="preserve"> 单位：万元</w:t>
            </w:r>
          </w:p>
        </w:tc>
      </w:tr>
      <w:tr>
        <w:tblPrEx>
          <w:tblCellMar>
            <w:top w:w="0" w:type="dxa"/>
            <w:left w:w="108" w:type="dxa"/>
            <w:bottom w:w="0" w:type="dxa"/>
            <w:right w:w="108" w:type="dxa"/>
          </w:tblCellMar>
        </w:tblPrEx>
        <w:trPr>
          <w:trHeight w:val="493" w:hRule="atLeast"/>
          <w:jc w:val="center"/>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支      出</w:t>
            </w:r>
          </w:p>
        </w:tc>
      </w:tr>
      <w:tr>
        <w:tblPrEx>
          <w:tblCellMar>
            <w:top w:w="0" w:type="dxa"/>
            <w:left w:w="108" w:type="dxa"/>
            <w:bottom w:w="0" w:type="dxa"/>
            <w:right w:w="108" w:type="dxa"/>
          </w:tblCellMar>
        </w:tblPrEx>
        <w:trPr>
          <w:trHeight w:val="1363" w:hRule="atLeast"/>
          <w:jc w:val="center"/>
        </w:trPr>
        <w:tc>
          <w:tcPr>
            <w:tcW w:w="1442"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rPr>
              <w:t>202</w:t>
            </w:r>
            <w:r>
              <w:rPr>
                <w:rFonts w:hint="default" w:ascii="Times New Roman" w:hAnsi="Times New Roman" w:eastAsia="宋体" w:cs="Times New Roman"/>
                <w:kern w:val="0"/>
                <w:sz w:val="20"/>
                <w:lang w:val="en-US" w:eastAsia="zh-CN"/>
              </w:rPr>
              <w:t>4</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r>
              <w:rPr>
                <w:rFonts w:hint="default" w:ascii="Times New Roman" w:hAnsi="Times New Roman" w:eastAsia="宋体" w:cs="Times New Roman"/>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w:t>
            </w:r>
            <w:r>
              <w:rPr>
                <w:rFonts w:hint="default" w:ascii="Times New Roman" w:hAnsi="Times New Roman" w:eastAsia="宋体" w:cs="Times New Roman"/>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eastAsia="zh-CN"/>
              </w:rPr>
            </w:pPr>
            <w:r>
              <w:rPr>
                <w:rFonts w:hint="default" w:ascii="Times New Roman" w:hAnsi="Times New Roman" w:eastAsia="宋体" w:cs="Times New Roman"/>
                <w:kern w:val="0"/>
                <w:sz w:val="20"/>
              </w:rPr>
              <w:t>202</w:t>
            </w:r>
            <w:r>
              <w:rPr>
                <w:rFonts w:hint="default" w:ascii="Times New Roman" w:hAnsi="Times New Roman" w:eastAsia="宋体" w:cs="Times New Roman"/>
                <w:kern w:val="0"/>
                <w:sz w:val="20"/>
                <w:lang w:val="en-US" w:eastAsia="zh-CN"/>
              </w:rPr>
              <w:t>4</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r>
              <w:rPr>
                <w:rFonts w:hint="default" w:ascii="Times New Roman" w:hAnsi="Times New Roman" w:eastAsia="宋体" w:cs="Times New Roman"/>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w:t>
            </w:r>
            <w:r>
              <w:rPr>
                <w:rFonts w:hint="default" w:ascii="Times New Roman" w:hAnsi="Times New Roman" w:eastAsia="宋体" w:cs="Times New Roman"/>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上年结转</w:t>
            </w:r>
          </w:p>
        </w:tc>
      </w:tr>
      <w:tr>
        <w:tblPrEx>
          <w:tblCellMar>
            <w:top w:w="0" w:type="dxa"/>
            <w:left w:w="108" w:type="dxa"/>
            <w:bottom w:w="0" w:type="dxa"/>
            <w:right w:w="108" w:type="dxa"/>
          </w:tblCellMar>
        </w:tblPrEx>
        <w:trPr>
          <w:trHeight w:val="433"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61.10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59.66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1.44</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rPr>
              <w:t>一、本年</w:t>
            </w:r>
            <w:r>
              <w:rPr>
                <w:rFonts w:hint="default" w:ascii="Times New Roman" w:hAnsi="Times New Roman" w:eastAsia="宋体" w:cs="Times New Roman"/>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61.10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59.66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1.44</w:t>
            </w: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61.10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59.66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1.44</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一</w:t>
            </w: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一般公共服务支出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46.38</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45.34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1.04</w:t>
            </w: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eastAsia="zh-CN"/>
              </w:rPr>
              <w:t>（二）</w:t>
            </w:r>
            <w:r>
              <w:rPr>
                <w:rFonts w:hint="default" w:ascii="Times New Roman" w:hAnsi="Times New Roman" w:eastAsia="宋体" w:cs="Times New Roman"/>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6.91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6.51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0.40</w:t>
            </w: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sz w:val="20"/>
                <w:lang w:eastAsia="zh-CN"/>
              </w:rPr>
              <w:t>（</w:t>
            </w:r>
            <w:r>
              <w:rPr>
                <w:rFonts w:hint="default" w:ascii="Times New Roman" w:hAnsi="Times New Roman" w:eastAsia="宋体" w:cs="Times New Roman"/>
                <w:color w:val="000000"/>
                <w:sz w:val="20"/>
              </w:rPr>
              <w:t>三</w:t>
            </w:r>
            <w:r>
              <w:rPr>
                <w:rFonts w:hint="default" w:ascii="Times New Roman" w:hAnsi="Times New Roman" w:eastAsia="宋体" w:cs="Times New Roman"/>
                <w:color w:val="000000"/>
                <w:sz w:val="20"/>
                <w:lang w:eastAsia="zh-CN"/>
              </w:rPr>
              <w:t>）</w:t>
            </w:r>
            <w:r>
              <w:rPr>
                <w:rFonts w:hint="default" w:ascii="Times New Roman" w:hAnsi="Times New Roman" w:eastAsia="宋体" w:cs="Times New Roman"/>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四</w:t>
            </w: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95"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宋体" w:cs="Times New Roman"/>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cs="Times New Roman" w:eastAsiaTheme="minorEastAsia"/>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cs="Times New Roman" w:eastAsiaTheme="minorEastAsia"/>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cs="Times New Roman" w:eastAsiaTheme="minorEastAsia"/>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sz w:val="20"/>
              </w:rPr>
            </w:pPr>
            <w:r>
              <w:rPr>
                <w:rFonts w:hint="default" w:ascii="Times New Roman" w:hAnsi="Times New Roman" w:eastAsia="宋体" w:cs="Times New Roman"/>
                <w:kern w:val="0"/>
                <w:sz w:val="20"/>
                <w:lang w:eastAsia="zh-CN"/>
              </w:rPr>
              <w:t>二、</w:t>
            </w:r>
            <w:r>
              <w:rPr>
                <w:rFonts w:hint="default" w:ascii="Times New Roman" w:hAnsi="Times New Roman" w:eastAsia="宋体" w:cs="Times New Roman"/>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50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
                <w:bCs/>
                <w:kern w:val="0"/>
                <w:sz w:val="20"/>
              </w:rPr>
            </w:pPr>
            <w:r>
              <w:rPr>
                <w:rFonts w:hint="default" w:ascii="Times New Roman" w:hAnsi="Times New Roman" w:eastAsia="黑体" w:cs="Times New Roman"/>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61.10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59.66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1.44</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
                <w:bCs/>
                <w:kern w:val="0"/>
                <w:sz w:val="20"/>
              </w:rPr>
            </w:pPr>
            <w:r>
              <w:rPr>
                <w:rFonts w:hint="default" w:ascii="Times New Roman" w:hAnsi="Times New Roman" w:eastAsia="黑体" w:cs="Times New Roman"/>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61.10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59.66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1.44</w:t>
            </w:r>
          </w:p>
        </w:tc>
      </w:tr>
    </w:tbl>
    <w:p>
      <w:pPr>
        <w:ind w:firstLine="640" w:firstLineChars="200"/>
        <w:rPr>
          <w:rFonts w:hint="default" w:ascii="Times New Roman" w:hAnsi="Times New Roman" w:cs="Times New Roman"/>
        </w:rPr>
      </w:pPr>
    </w:p>
    <w:p>
      <w:pPr>
        <w:ind w:firstLine="640" w:firstLineChars="200"/>
        <w:rPr>
          <w:rFonts w:hint="default" w:ascii="Times New Roman" w:hAnsi="Times New Roman" w:cs="Times New Roman"/>
        </w:rPr>
      </w:pPr>
    </w:p>
    <w:p>
      <w:pPr>
        <w:ind w:firstLine="640" w:firstLineChars="200"/>
        <w:rPr>
          <w:rFonts w:hint="default" w:ascii="Times New Roman" w:hAnsi="Times New Roman" w:cs="Times New Roman"/>
        </w:rPr>
      </w:pP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方正小标宋简体" w:cs="Times New Roman"/>
          <w:kern w:val="0"/>
          <w:sz w:val="44"/>
          <w:szCs w:val="44"/>
        </w:rPr>
        <w:t>一般公共预算支出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W w:w="8789" w:type="dxa"/>
        <w:jc w:val="center"/>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jc w:val="center"/>
        </w:trPr>
        <w:tc>
          <w:tcPr>
            <w:tcW w:w="8789" w:type="dxa"/>
            <w:gridSpan w:val="6"/>
            <w:tcBorders>
              <w:bottom w:val="single" w:color="000000" w:sz="4" w:space="0"/>
            </w:tcBorders>
            <w:noWrap w:val="0"/>
            <w:vAlign w:val="center"/>
          </w:tcPr>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tblPrEx>
          <w:tblCellMar>
            <w:top w:w="15" w:type="dxa"/>
            <w:left w:w="15" w:type="dxa"/>
            <w:bottom w:w="15" w:type="dxa"/>
            <w:right w:w="15" w:type="dxa"/>
          </w:tblCellMar>
        </w:tblPrEx>
        <w:trPr>
          <w:trHeight w:val="390" w:hRule="atLeast"/>
          <w:jc w:val="center"/>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rPr>
              <w:t>功能分类</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                                                               支出</w:t>
            </w:r>
          </w:p>
        </w:tc>
      </w:tr>
      <w:tr>
        <w:tblPrEx>
          <w:tblCellMar>
            <w:top w:w="15" w:type="dxa"/>
            <w:left w:w="15" w:type="dxa"/>
            <w:bottom w:w="15" w:type="dxa"/>
            <w:right w:w="15" w:type="dxa"/>
          </w:tblCellMar>
        </w:tblPrEx>
        <w:trPr>
          <w:trHeight w:val="281"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r>
      <w:tr>
        <w:tblPrEx>
          <w:tblCellMar>
            <w:top w:w="15" w:type="dxa"/>
            <w:left w:w="15" w:type="dxa"/>
            <w:bottom w:w="15" w:type="dxa"/>
            <w:right w:w="15" w:type="dxa"/>
          </w:tblCellMar>
        </w:tblPrEx>
        <w:trPr>
          <w:trHeight w:val="630"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r>
      <w:tr>
        <w:tblPrEx>
          <w:tblCellMar>
            <w:top w:w="15" w:type="dxa"/>
            <w:left w:w="15" w:type="dxa"/>
            <w:bottom w:w="15" w:type="dxa"/>
            <w:right w:w="15" w:type="dxa"/>
          </w:tblCellMar>
        </w:tblPrEx>
        <w:trPr>
          <w:trHeight w:val="47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46.38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46.38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40.68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5.70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r>
      <w:tr>
        <w:tblPrEx>
          <w:tblCellMar>
            <w:top w:w="15" w:type="dxa"/>
            <w:left w:w="15" w:type="dxa"/>
            <w:bottom w:w="15" w:type="dxa"/>
            <w:right w:w="15" w:type="dxa"/>
          </w:tblCellMar>
        </w:tblPrEx>
        <w:trPr>
          <w:trHeight w:val="50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46.38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46.38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40.68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5.70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r>
      <w:tr>
        <w:tblPrEx>
          <w:tblCellMar>
            <w:top w:w="15" w:type="dxa"/>
            <w:left w:w="15" w:type="dxa"/>
            <w:bottom w:w="15" w:type="dxa"/>
            <w:right w:w="15" w:type="dxa"/>
          </w:tblCellMar>
        </w:tblPrEx>
        <w:trPr>
          <w:trHeight w:val="42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事业运行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46.38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46.38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40.68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5.70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r>
      <w:tr>
        <w:tblPrEx>
          <w:tblCellMar>
            <w:top w:w="15" w:type="dxa"/>
            <w:left w:w="15" w:type="dxa"/>
            <w:bottom w:w="15" w:type="dxa"/>
            <w:right w:w="15" w:type="dxa"/>
          </w:tblCellMar>
        </w:tblPrEx>
        <w:trPr>
          <w:trHeight w:val="47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cs="Times New Roman" w:eastAsiaTheme="minorEastAsia"/>
                <w:color w:val="000000"/>
                <w:kern w:val="0"/>
                <w:sz w:val="20"/>
                <w:lang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lang w:val="en-US" w:eastAsia="zh-CN" w:bidi="ar"/>
              </w:rPr>
            </w:pPr>
          </w:p>
        </w:tc>
      </w:tr>
      <w:tr>
        <w:tblPrEx>
          <w:tblCellMar>
            <w:top w:w="15" w:type="dxa"/>
            <w:left w:w="15" w:type="dxa"/>
            <w:bottom w:w="15" w:type="dxa"/>
            <w:right w:w="15" w:type="dxa"/>
          </w:tblCellMar>
        </w:tblPrEx>
        <w:trPr>
          <w:trHeight w:val="50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0"/>
                <w:lang w:eastAsia="zh-CN"/>
              </w:rPr>
            </w:pPr>
            <w:r>
              <w:rPr>
                <w:rFonts w:hint="default" w:ascii="Times New Roman" w:hAnsi="Times New Roman" w:cs="Times New Roman" w:eastAsiaTheme="minorEastAsia"/>
                <w:i w:val="0"/>
                <w:iCs w:val="0"/>
                <w:color w:val="000000"/>
                <w:kern w:val="0"/>
                <w:sz w:val="16"/>
                <w:szCs w:val="16"/>
                <w:u w:val="none"/>
                <w:lang w:val="en-US" w:eastAsia="zh-CN"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2"/>
                <w:sz w:val="20"/>
                <w:szCs w:val="20"/>
                <w:lang w:val="en-US" w:eastAsia="zh-CN" w:bidi="ar-SA"/>
              </w:rPr>
            </w:pPr>
          </w:p>
        </w:tc>
      </w:tr>
      <w:tr>
        <w:tblPrEx>
          <w:tblCellMar>
            <w:top w:w="15" w:type="dxa"/>
            <w:left w:w="15" w:type="dxa"/>
            <w:bottom w:w="15" w:type="dxa"/>
            <w:right w:w="15" w:type="dxa"/>
          </w:tblCellMar>
        </w:tblPrEx>
        <w:trPr>
          <w:trHeight w:val="44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事业单位离退休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5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39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cs="Times New Roman" w:eastAsiaTheme="minorEastAsia"/>
                <w:color w:val="000000"/>
                <w:kern w:val="0"/>
                <w:sz w:val="20"/>
                <w:lang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643"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5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3.01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5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5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61.10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61.10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55.40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5.70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lang w:val="en-US" w:eastAsia="zh-CN"/>
              </w:rPr>
            </w:pPr>
          </w:p>
        </w:tc>
      </w:tr>
    </w:tbl>
    <w:p>
      <w:pPr>
        <w:ind w:firstLine="640" w:firstLineChars="200"/>
        <w:rPr>
          <w:rFonts w:hint="default" w:ascii="Times New Roman" w:hAnsi="Times New Roman" w:cs="Times New Roman"/>
        </w:rPr>
      </w:pPr>
    </w:p>
    <w:p>
      <w:pPr>
        <w:ind w:firstLine="640" w:firstLineChars="200"/>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一般公共预算基本支出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text" w:horzAnchor="page" w:tblpX="1548" w:tblpY="78"/>
        <w:tblOverlap w:val="never"/>
        <w:tblW w:w="0" w:type="auto"/>
        <w:tblInd w:w="0" w:type="dxa"/>
        <w:tblLayout w:type="fixed"/>
        <w:tblCellMar>
          <w:top w:w="0" w:type="dxa"/>
          <w:left w:w="108" w:type="dxa"/>
          <w:bottom w:w="0" w:type="dxa"/>
          <w:right w:w="108" w:type="dxa"/>
        </w:tblCellMar>
      </w:tblPr>
      <w:tblGrid>
        <w:gridCol w:w="3318"/>
        <w:gridCol w:w="2078"/>
        <w:gridCol w:w="1704"/>
        <w:gridCol w:w="1831"/>
      </w:tblGrid>
      <w:tr>
        <w:tblPrEx>
          <w:tblCellMar>
            <w:top w:w="0" w:type="dxa"/>
            <w:left w:w="108" w:type="dxa"/>
            <w:bottom w:w="0" w:type="dxa"/>
            <w:right w:w="108" w:type="dxa"/>
          </w:tblCellMar>
        </w:tblPrEx>
        <w:trPr>
          <w:trHeight w:val="390" w:hRule="atLeast"/>
        </w:trPr>
        <w:tc>
          <w:tcPr>
            <w:tcW w:w="3318" w:type="dxa"/>
            <w:tcBorders>
              <w:top w:val="nil"/>
              <w:left w:val="nil"/>
              <w:bottom w:val="single" w:color="auto" w:sz="4" w:space="0"/>
              <w:right w:val="nil"/>
            </w:tcBorders>
            <w:noWrap w:val="0"/>
            <w:vAlign w:val="center"/>
          </w:tcPr>
          <w:p>
            <w:pPr>
              <w:widowControl/>
              <w:jc w:val="lef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2078" w:type="dxa"/>
            <w:tcBorders>
              <w:top w:val="nil"/>
              <w:left w:val="nil"/>
              <w:bottom w:val="single" w:color="auto" w:sz="4" w:space="0"/>
              <w:right w:val="nil"/>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hint="default" w:ascii="Times New Roman" w:hAnsi="Times New Roman" w:eastAsia="华文细黑" w:cs="Times New Roman"/>
                <w:kern w:val="0"/>
                <w:sz w:val="20"/>
              </w:rPr>
            </w:pPr>
            <w:r>
              <w:rPr>
                <w:rFonts w:hint="default" w:ascii="Times New Roman" w:hAnsi="Times New Roman" w:eastAsia="华文细黑" w:cs="Times New Roman"/>
                <w:kern w:val="0"/>
                <w:sz w:val="20"/>
              </w:rPr>
              <w:t>　单位：万元</w:t>
            </w:r>
          </w:p>
        </w:tc>
      </w:tr>
      <w:tr>
        <w:tblPrEx>
          <w:tblCellMar>
            <w:top w:w="0" w:type="dxa"/>
            <w:left w:w="108" w:type="dxa"/>
            <w:bottom w:w="0" w:type="dxa"/>
            <w:right w:w="108" w:type="dxa"/>
          </w:tblCellMar>
        </w:tblPrEx>
        <w:trPr>
          <w:trHeight w:val="527" w:hRule="atLeast"/>
        </w:trPr>
        <w:tc>
          <w:tcPr>
            <w:tcW w:w="3318"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华文细黑" w:cs="Times New Roman"/>
                <w:kern w:val="0"/>
                <w:sz w:val="20"/>
              </w:rPr>
            </w:pPr>
            <w:r>
              <w:rPr>
                <w:rFonts w:hint="default" w:ascii="Times New Roman" w:hAnsi="Times New Roman" w:eastAsia="华文细黑" w:cs="Times New Roman"/>
                <w:kern w:val="0"/>
                <w:sz w:val="20"/>
                <w:lang w:eastAsia="zh-CN"/>
              </w:rPr>
              <w:t>部门预算支出</w:t>
            </w:r>
            <w:r>
              <w:rPr>
                <w:rFonts w:hint="default" w:ascii="Times New Roman" w:hAnsi="Times New Roman" w:eastAsia="华文细黑" w:cs="Times New Roman"/>
                <w:kern w:val="0"/>
                <w:sz w:val="20"/>
              </w:rPr>
              <w:t>经济分类科目</w:t>
            </w:r>
          </w:p>
        </w:tc>
        <w:tc>
          <w:tcPr>
            <w:tcW w:w="2078"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华文细黑" w:cs="Times New Roman"/>
                <w:kern w:val="0"/>
                <w:sz w:val="20"/>
              </w:rPr>
            </w:pPr>
            <w:r>
              <w:rPr>
                <w:rFonts w:hint="default" w:ascii="Times New Roman" w:hAnsi="Times New Roman" w:eastAsia="华文细黑" w:cs="Times New Roman"/>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cs="Times New Roman"/>
              </w:rPr>
            </w:pPr>
            <w:r>
              <w:rPr>
                <w:rFonts w:hint="default" w:ascii="Times New Roman" w:hAnsi="Times New Roman" w:eastAsia="华文细黑" w:cs="Times New Roman"/>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rPr>
            </w:pPr>
            <w:r>
              <w:rPr>
                <w:rFonts w:hint="default" w:ascii="Times New Roman" w:hAnsi="Times New Roman" w:eastAsia="华文细黑" w:cs="Times New Roman"/>
                <w:color w:val="000000"/>
                <w:kern w:val="0"/>
                <w:sz w:val="20"/>
              </w:rPr>
              <w:t>公用经费</w:t>
            </w:r>
          </w:p>
        </w:tc>
      </w:tr>
      <w:tr>
        <w:tblPrEx>
          <w:tblCellMar>
            <w:top w:w="0" w:type="dxa"/>
            <w:left w:w="108" w:type="dxa"/>
            <w:bottom w:w="0" w:type="dxa"/>
            <w:right w:w="108" w:type="dxa"/>
          </w:tblCellMar>
        </w:tblPrEx>
        <w:trPr>
          <w:trHeight w:val="364"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kern w:val="0"/>
                <w:sz w:val="20"/>
                <w:szCs w:val="20"/>
                <w:lang w:bidi="ar"/>
              </w:rPr>
              <w:t>一、工资福利支出</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54.40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54.40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基本工资</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18.95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18.95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2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津贴补贴</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1.96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1.96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3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奖金</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7.20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7.20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绩效工资</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10.27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10.27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机关事业单位基本养老保险缴费</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6.21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29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职工基本医疗保险缴费</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2.01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2.01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2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公务员医疗补助缴费</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0.94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0.94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27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其他社会保障缴费</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0.96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0.96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住房公积金</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4.80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275"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医疗费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0.40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0.40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　其他工资福利支出</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0.70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0.70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95"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bidi="ar"/>
              </w:rPr>
            </w:pPr>
            <w:r>
              <w:rPr>
                <w:rFonts w:hint="default" w:ascii="Times New Roman" w:hAnsi="Times New Roman" w:cs="Times New Roman" w:eastAsiaTheme="minorEastAsia"/>
                <w:kern w:val="0"/>
                <w:sz w:val="20"/>
                <w:szCs w:val="20"/>
                <w:lang w:bidi="ar"/>
              </w:rPr>
              <w:t>二、商品和服务支出</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5.70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5.70</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eastAsia="zh-CN" w:bidi="ar"/>
              </w:rPr>
            </w:pPr>
            <w:r>
              <w:rPr>
                <w:rFonts w:hint="default" w:ascii="Times New Roman" w:hAnsi="Times New Roman" w:cs="Times New Roman" w:eastAsiaTheme="minorEastAsia"/>
                <w:kern w:val="0"/>
                <w:sz w:val="20"/>
                <w:szCs w:val="20"/>
                <w:lang w:val="en-US" w:eastAsia="zh-CN" w:bidi="ar"/>
              </w:rPr>
              <w:t>　咨询费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0.30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0.30</w:t>
            </w:r>
          </w:p>
        </w:tc>
      </w:tr>
      <w:tr>
        <w:tblPrEx>
          <w:tblCellMar>
            <w:top w:w="0" w:type="dxa"/>
            <w:left w:w="108" w:type="dxa"/>
            <w:bottom w:w="0" w:type="dxa"/>
            <w:right w:w="108" w:type="dxa"/>
          </w:tblCellMar>
        </w:tblPrEx>
        <w:trPr>
          <w:trHeight w:val="275"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eastAsia="zh-CN" w:bidi="ar"/>
              </w:rPr>
            </w:pPr>
            <w:r>
              <w:rPr>
                <w:rFonts w:hint="default" w:ascii="Times New Roman" w:hAnsi="Times New Roman" w:cs="Times New Roman" w:eastAsiaTheme="minorEastAsia"/>
                <w:kern w:val="0"/>
                <w:sz w:val="20"/>
                <w:szCs w:val="20"/>
                <w:lang w:val="en-US" w:eastAsia="zh-CN" w:bidi="ar"/>
              </w:rPr>
              <w:t>　手续费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0.05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0.05</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维修（护）费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1.68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1.68</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租赁费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1.49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1.49</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公务接待费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0.07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0.07</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工会经费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0.63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0.63</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福利费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1.16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1.16</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　其他商品和服务支出</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0.32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0.32</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color w:val="000000"/>
                <w:kern w:val="0"/>
                <w:sz w:val="20"/>
                <w:lang w:val="en-US" w:eastAsia="zh-CN" w:bidi="ar-SA"/>
              </w:rPr>
            </w:pPr>
            <w:r>
              <w:rPr>
                <w:rFonts w:hint="default" w:ascii="Times New Roman" w:hAnsi="Times New Roman" w:cs="Times New Roman" w:eastAsiaTheme="minorEastAsia"/>
                <w:kern w:val="0"/>
                <w:sz w:val="20"/>
                <w:lang w:bidi="ar"/>
              </w:rPr>
              <w:t>三、对个人和家庭的补助</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1.01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1.01</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color w:val="000000"/>
                <w:kern w:val="0"/>
                <w:sz w:val="20"/>
                <w:lang w:val="en-US" w:eastAsia="zh-CN" w:bidi="ar-SA"/>
              </w:rPr>
            </w:pPr>
            <w:r>
              <w:rPr>
                <w:rFonts w:hint="default" w:ascii="Times New Roman" w:hAnsi="Times New Roman" w:cs="Times New Roman" w:eastAsiaTheme="minorEastAsia"/>
                <w:kern w:val="0"/>
                <w:sz w:val="20"/>
                <w:lang w:bidi="ar"/>
              </w:rPr>
              <w:t>　退休费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0.70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0.70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color w:val="000000"/>
                <w:kern w:val="0"/>
                <w:sz w:val="20"/>
                <w:lang w:val="en-US" w:eastAsia="zh-CN" w:bidi="ar-SA"/>
              </w:rPr>
            </w:pPr>
            <w:r>
              <w:rPr>
                <w:rFonts w:hint="default" w:ascii="Times New Roman" w:hAnsi="Times New Roman" w:cs="Times New Roman" w:eastAsiaTheme="minorEastAsia"/>
                <w:kern w:val="0"/>
                <w:sz w:val="20"/>
                <w:lang w:bidi="ar"/>
              </w:rPr>
              <w:t>　其他对个人和家庭的补助</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0.31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0.31</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kern w:val="0"/>
                <w:sz w:val="20"/>
                <w:lang w:bidi="ar"/>
              </w:rPr>
              <w:t>合计</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61.11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55.41</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5.70</w:t>
            </w:r>
          </w:p>
        </w:tc>
      </w:tr>
    </w:tbl>
    <w:p>
      <w:pPr>
        <w:widowControl/>
        <w:jc w:val="center"/>
        <w:rPr>
          <w:rFonts w:hint="default" w:ascii="Times New Roman" w:hAnsi="Times New Roman" w:eastAsia="方正小标宋简体" w:cs="Times New Roman"/>
          <w:kern w:val="0"/>
          <w:sz w:val="44"/>
          <w:szCs w:val="44"/>
        </w:rPr>
      </w:pPr>
    </w:p>
    <w:p>
      <w:pPr>
        <w:rPr>
          <w:rFonts w:hint="default" w:ascii="Times New Roman" w:hAnsi="Times New Roman" w:cs="Times New Roman"/>
          <w:sz w:val="16"/>
          <w:szCs w:val="16"/>
        </w:rPr>
      </w:pPr>
    </w:p>
    <w:p>
      <w:pPr>
        <w:rPr>
          <w:rFonts w:hint="default" w:ascii="Times New Roman" w:hAnsi="Times New Roman" w:cs="Times New Roman"/>
          <w:sz w:val="16"/>
          <w:szCs w:val="16"/>
        </w:rPr>
      </w:pPr>
    </w:p>
    <w:p>
      <w:pPr>
        <w:rPr>
          <w:rFonts w:hint="default" w:ascii="Times New Roman" w:hAnsi="Times New Roman" w:cs="Times New Roman"/>
          <w:sz w:val="16"/>
          <w:szCs w:val="16"/>
        </w:rPr>
      </w:pPr>
    </w:p>
    <w:p>
      <w:pPr>
        <w:jc w:val="center"/>
        <w:rPr>
          <w:rFonts w:hint="default" w:ascii="Times New Roman" w:hAnsi="Times New Roman" w:cs="Times New Roman"/>
          <w:sz w:val="16"/>
          <w:szCs w:val="16"/>
        </w:rPr>
      </w:pPr>
      <w:r>
        <w:rPr>
          <w:rFonts w:hint="default" w:ascii="Times New Roman" w:hAnsi="Times New Roman" w:eastAsia="方正小标宋简体" w:cs="Times New Roman"/>
          <w:color w:val="000000"/>
          <w:kern w:val="0"/>
          <w:sz w:val="44"/>
          <w:szCs w:val="44"/>
        </w:rPr>
        <w:t>一般公共预算“三公”经费支出</w:t>
      </w:r>
      <w:r>
        <w:rPr>
          <w:rFonts w:hint="default" w:ascii="Times New Roman" w:hAnsi="Times New Roman" w:eastAsia="方正小标宋简体" w:cs="Times New Roman"/>
          <w:color w:val="000000"/>
          <w:kern w:val="0"/>
          <w:sz w:val="44"/>
          <w:szCs w:val="44"/>
          <w:lang w:eastAsia="zh-CN"/>
        </w:rPr>
        <w:t>预算</w:t>
      </w:r>
      <w:r>
        <w:rPr>
          <w:rFonts w:hint="default" w:ascii="Times New Roman" w:hAnsi="Times New Roman" w:eastAsia="方正小标宋简体" w:cs="Times New Roman"/>
          <w:color w:val="000000"/>
          <w:kern w:val="0"/>
          <w:sz w:val="44"/>
          <w:szCs w:val="44"/>
        </w:rPr>
        <w:t>表</w:t>
      </w:r>
    </w:p>
    <w:p>
      <w:pPr>
        <w:rPr>
          <w:rFonts w:hint="default" w:ascii="Times New Roman" w:hAnsi="Times New Roman" w:cs="Times New Roman"/>
          <w:sz w:val="16"/>
          <w:szCs w:val="16"/>
        </w:rPr>
      </w:pPr>
    </w:p>
    <w:tbl>
      <w:tblPr>
        <w:tblStyle w:val="11"/>
        <w:tblW w:w="9140" w:type="dxa"/>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    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202</w:t>
            </w:r>
            <w:r>
              <w:rPr>
                <w:rFonts w:hint="default" w:ascii="Times New Roman" w:hAnsi="Times New Roman" w:eastAsia="华文细黑" w:cs="Times New Roman"/>
                <w:color w:val="000000"/>
                <w:kern w:val="0"/>
                <w:sz w:val="20"/>
                <w:lang w:val="en-US" w:eastAsia="zh-CN"/>
              </w:rPr>
              <w:t>4</w:t>
            </w:r>
            <w:r>
              <w:rPr>
                <w:rFonts w:hint="default" w:ascii="Times New Roman" w:hAnsi="Times New Roman" w:eastAsia="华文细黑" w:cs="Times New Roman"/>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0.07</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0.07</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rPr>
            </w:pPr>
          </w:p>
        </w:tc>
      </w:tr>
      <w:tr>
        <w:tblPrEx>
          <w:tblCellMar>
            <w:top w:w="0" w:type="dxa"/>
            <w:left w:w="108" w:type="dxa"/>
            <w:bottom w:w="0" w:type="dxa"/>
            <w:right w:w="108" w:type="dxa"/>
          </w:tblCellMar>
        </w:tblPrEx>
        <w:trPr>
          <w:trHeight w:val="1830" w:hRule="atLeast"/>
          <w:jc w:val="center"/>
        </w:trPr>
        <w:tc>
          <w:tcPr>
            <w:tcW w:w="9140" w:type="dxa"/>
            <w:gridSpan w:val="2"/>
            <w:tcBorders>
              <w:top w:val="single" w:color="auto" w:sz="4" w:space="0"/>
              <w:left w:val="nil"/>
              <w:bottom w:val="nil"/>
              <w:right w:val="nil"/>
            </w:tcBorders>
            <w:noWrap w:val="0"/>
            <w:vAlign w:val="center"/>
          </w:tcPr>
          <w:p>
            <w:pPr>
              <w:widowControl/>
              <w:jc w:val="left"/>
              <w:rPr>
                <w:rFonts w:hint="eastAsia"/>
                <w:color w:val="000000"/>
                <w:kern w:val="0"/>
                <w:sz w:val="28"/>
                <w:szCs w:val="28"/>
              </w:rPr>
            </w:pPr>
            <w:r>
              <w:rPr>
                <w:color w:val="000000"/>
                <w:kern w:val="0"/>
                <w:sz w:val="28"/>
                <w:szCs w:val="28"/>
              </w:rPr>
              <w:t>说明：</w:t>
            </w:r>
          </w:p>
          <w:p>
            <w:pPr>
              <w:widowControl/>
              <w:jc w:val="left"/>
              <w:rPr>
                <w:rFonts w:hint="eastAsia" w:eastAsia="宋体"/>
                <w:color w:val="000000"/>
                <w:kern w:val="0"/>
                <w:sz w:val="28"/>
                <w:szCs w:val="28"/>
              </w:rPr>
            </w:pPr>
            <w:r>
              <w:rPr>
                <w:color w:val="000000"/>
                <w:kern w:val="0"/>
                <w:sz w:val="28"/>
                <w:szCs w:val="28"/>
              </w:rPr>
              <w:t xml:space="preserve">       1、“20</w:t>
            </w:r>
            <w:r>
              <w:rPr>
                <w:rFonts w:hint="eastAsia"/>
                <w:color w:val="000000"/>
                <w:kern w:val="0"/>
                <w:sz w:val="28"/>
                <w:szCs w:val="28"/>
              </w:rPr>
              <w:t>2</w:t>
            </w:r>
            <w:r>
              <w:rPr>
                <w:rFonts w:hint="eastAsia"/>
                <w:color w:val="000000"/>
                <w:kern w:val="0"/>
                <w:sz w:val="28"/>
                <w:szCs w:val="28"/>
                <w:lang w:val="en-US" w:eastAsia="zh-CN"/>
              </w:rPr>
              <w:t>4</w:t>
            </w:r>
            <w:r>
              <w:rPr>
                <w:color w:val="000000"/>
                <w:kern w:val="0"/>
                <w:sz w:val="28"/>
                <w:szCs w:val="28"/>
              </w:rPr>
              <w:t>年预算数”的单位范围包括本级</w:t>
            </w:r>
            <w:r>
              <w:rPr>
                <w:rFonts w:hint="eastAsia" w:eastAsia="宋体"/>
                <w:color w:val="000000"/>
                <w:kern w:val="0"/>
                <w:sz w:val="28"/>
                <w:szCs w:val="28"/>
              </w:rPr>
              <w:t>1</w:t>
            </w:r>
            <w:r>
              <w:rPr>
                <w:color w:val="000000"/>
                <w:kern w:val="0"/>
                <w:sz w:val="28"/>
                <w:szCs w:val="28"/>
              </w:rPr>
              <w:t>个预算单位。</w:t>
            </w:r>
            <w:r>
              <w:rPr>
                <w:rFonts w:eastAsia="宋体"/>
                <w:color w:val="000000"/>
                <w:kern w:val="0"/>
                <w:sz w:val="28"/>
                <w:szCs w:val="28"/>
              </w:rPr>
              <w:t xml:space="preserve">  </w:t>
            </w:r>
          </w:p>
          <w:p>
            <w:pPr>
              <w:widowControl/>
              <w:jc w:val="left"/>
              <w:rPr>
                <w:rFonts w:hint="eastAsia"/>
                <w:color w:val="000000"/>
                <w:kern w:val="0"/>
                <w:sz w:val="28"/>
                <w:szCs w:val="28"/>
              </w:rPr>
            </w:pPr>
            <w:r>
              <w:rPr>
                <w:rFonts w:eastAsia="宋体"/>
                <w:color w:val="000000"/>
                <w:kern w:val="0"/>
                <w:sz w:val="28"/>
                <w:szCs w:val="28"/>
              </w:rPr>
              <w:t xml:space="preserve">       2</w:t>
            </w:r>
            <w:r>
              <w:rPr>
                <w:color w:val="000000"/>
                <w:kern w:val="0"/>
                <w:sz w:val="28"/>
                <w:szCs w:val="28"/>
              </w:rPr>
              <w:t>、</w:t>
            </w:r>
            <w:r>
              <w:rPr>
                <w:rFonts w:eastAsia="宋体"/>
                <w:kern w:val="0"/>
                <w:sz w:val="28"/>
                <w:szCs w:val="28"/>
              </w:rPr>
              <w:t>“20</w:t>
            </w:r>
            <w:r>
              <w:rPr>
                <w:rFonts w:hint="eastAsia" w:eastAsia="宋体"/>
                <w:kern w:val="0"/>
                <w:sz w:val="28"/>
                <w:szCs w:val="28"/>
              </w:rPr>
              <w:t>2</w:t>
            </w:r>
            <w:r>
              <w:rPr>
                <w:rFonts w:hint="eastAsia" w:eastAsia="宋体"/>
                <w:kern w:val="0"/>
                <w:sz w:val="28"/>
                <w:szCs w:val="28"/>
                <w:lang w:val="en-US" w:eastAsia="zh-CN"/>
              </w:rPr>
              <w:t>4</w:t>
            </w:r>
            <w:r>
              <w:rPr>
                <w:kern w:val="0"/>
                <w:sz w:val="28"/>
                <w:szCs w:val="28"/>
              </w:rPr>
              <w:t>年预算数</w:t>
            </w:r>
            <w:r>
              <w:rPr>
                <w:rFonts w:eastAsia="宋体"/>
                <w:kern w:val="0"/>
                <w:sz w:val="28"/>
                <w:szCs w:val="28"/>
              </w:rPr>
              <w:t>”</w:t>
            </w:r>
            <w:r>
              <w:rPr>
                <w:kern w:val="0"/>
                <w:sz w:val="28"/>
                <w:szCs w:val="28"/>
              </w:rPr>
              <w:t>的实有人</w:t>
            </w:r>
            <w:r>
              <w:rPr>
                <w:rFonts w:hint="eastAsia"/>
                <w:color w:val="000000"/>
                <w:kern w:val="0"/>
                <w:sz w:val="28"/>
                <w:szCs w:val="28"/>
              </w:rPr>
              <w:t>员</w:t>
            </w:r>
            <w:r>
              <w:rPr>
                <w:rFonts w:hint="eastAsia"/>
                <w:color w:val="000000"/>
                <w:kern w:val="0"/>
                <w:sz w:val="28"/>
                <w:szCs w:val="28"/>
                <w:lang w:val="en-US" w:eastAsia="zh-CN"/>
              </w:rPr>
              <w:t>5</w:t>
            </w:r>
            <w:bookmarkStart w:id="0" w:name="_GoBack"/>
            <w:bookmarkEnd w:id="0"/>
            <w:r>
              <w:rPr>
                <w:rFonts w:hint="eastAsia"/>
                <w:color w:val="000000"/>
                <w:kern w:val="0"/>
                <w:sz w:val="28"/>
                <w:szCs w:val="28"/>
              </w:rPr>
              <w:t>人，其中：在职人员</w:t>
            </w:r>
            <w:r>
              <w:rPr>
                <w:rFonts w:hint="eastAsia"/>
                <w:color w:val="000000"/>
                <w:kern w:val="0"/>
                <w:sz w:val="28"/>
                <w:szCs w:val="28"/>
                <w:lang w:val="en-US" w:eastAsia="zh-CN"/>
              </w:rPr>
              <w:t>4</w:t>
            </w:r>
            <w:r>
              <w:rPr>
                <w:rFonts w:hint="eastAsia"/>
                <w:color w:val="000000"/>
                <w:kern w:val="0"/>
                <w:sz w:val="28"/>
                <w:szCs w:val="28"/>
              </w:rPr>
              <w:t>人，离退休人员</w:t>
            </w:r>
            <w:r>
              <w:rPr>
                <w:rFonts w:hint="eastAsia"/>
                <w:color w:val="000000"/>
                <w:kern w:val="0"/>
                <w:sz w:val="28"/>
                <w:szCs w:val="28"/>
                <w:lang w:val="en-US" w:eastAsia="zh-CN"/>
              </w:rPr>
              <w:t>1</w:t>
            </w:r>
            <w:r>
              <w:rPr>
                <w:rFonts w:hint="eastAsia"/>
                <w:color w:val="000000"/>
                <w:kern w:val="0"/>
                <w:sz w:val="28"/>
                <w:szCs w:val="28"/>
              </w:rPr>
              <w:t>人。</w:t>
            </w:r>
          </w:p>
          <w:p>
            <w:pPr>
              <w:widowControl/>
              <w:jc w:val="left"/>
              <w:rPr>
                <w:rFonts w:hint="default" w:ascii="Times New Roman" w:hAnsi="Times New Roman" w:cs="Times New Roman"/>
                <w:color w:val="000000"/>
                <w:kern w:val="0"/>
                <w:sz w:val="28"/>
                <w:szCs w:val="28"/>
              </w:rPr>
            </w:pPr>
          </w:p>
          <w:p>
            <w:pPr>
              <w:widowControl/>
              <w:jc w:val="both"/>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cs="Times New Roman"/>
                <w:color w:val="000000"/>
                <w:kern w:val="0"/>
                <w:sz w:val="28"/>
                <w:szCs w:val="28"/>
              </w:rPr>
              <w:t xml:space="preserve">       </w:t>
            </w:r>
          </w:p>
        </w:tc>
      </w:tr>
    </w:tbl>
    <w:p>
      <w:pPr>
        <w:ind w:firstLine="640" w:firstLineChars="200"/>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政府性基金预算</w:t>
      </w:r>
      <w:r>
        <w:rPr>
          <w:rFonts w:hint="default" w:ascii="Times New Roman" w:hAnsi="Times New Roman" w:eastAsia="方正小标宋简体" w:cs="Times New Roman"/>
          <w:kern w:val="0"/>
          <w:sz w:val="44"/>
          <w:szCs w:val="44"/>
          <w:lang w:eastAsia="zh-CN"/>
        </w:rPr>
        <w:t>拨款</w:t>
      </w:r>
      <w:r>
        <w:rPr>
          <w:rFonts w:hint="default" w:ascii="Times New Roman" w:hAnsi="Times New Roman" w:eastAsia="方正小标宋简体" w:cs="Times New Roman"/>
          <w:kern w:val="0"/>
          <w:sz w:val="44"/>
          <w:szCs w:val="44"/>
        </w:rPr>
        <w:t>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page" w:horzAnchor="page" w:tblpXSpec="center" w:tblpY="3588"/>
        <w:tblW w:w="0" w:type="auto"/>
        <w:jc w:val="center"/>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jc w:val="center"/>
        </w:trPr>
        <w:tc>
          <w:tcPr>
            <w:tcW w:w="8789" w:type="dxa"/>
            <w:gridSpan w:val="4"/>
            <w:tcBorders>
              <w:bottom w:val="single" w:color="000000" w:sz="4" w:space="0"/>
            </w:tcBorders>
            <w:noWrap w:val="0"/>
            <w:vAlign w:val="center"/>
          </w:tcPr>
          <w:p>
            <w:pPr>
              <w:widowControl/>
              <w:jc w:val="right"/>
              <w:rPr>
                <w:rFonts w:hint="default" w:ascii="Times New Roman" w:hAnsi="Times New Roman" w:eastAsia="华文细黑" w:cs="Times New Roman"/>
                <w:color w:val="000000"/>
                <w:kern w:val="0"/>
                <w:sz w:val="20"/>
              </w:rPr>
            </w:pPr>
          </w:p>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tblPrEx>
          <w:tblCellMar>
            <w:top w:w="15" w:type="dxa"/>
            <w:left w:w="15" w:type="dxa"/>
            <w:bottom w:w="15" w:type="dxa"/>
            <w:right w:w="15" w:type="dxa"/>
          </w:tblCellMar>
        </w:tblPrEx>
        <w:trPr>
          <w:trHeight w:val="1420" w:hRule="atLeast"/>
          <w:jc w:val="center"/>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华文细黑" w:cs="Times New Roman"/>
                <w:color w:val="000000"/>
                <w:sz w:val="20"/>
              </w:rPr>
            </w:pPr>
            <w:r>
              <w:rPr>
                <w:rFonts w:hint="default" w:ascii="Times New Roman" w:hAnsi="Times New Roman" w:eastAsia="华文细黑" w:cs="Times New Roman"/>
                <w:color w:val="000000"/>
                <w:sz w:val="20"/>
              </w:rPr>
              <w:t>功能分类</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项目支出</w:t>
            </w: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bl>
    <w:p>
      <w:pPr>
        <w:ind w:firstLine="640" w:firstLineChars="200"/>
        <w:rPr>
          <w:rFonts w:hint="default" w:ascii="Times New Roman" w:hAnsi="Times New Roman" w:eastAsia="楷体" w:cs="Times New Roman"/>
          <w:kern w:val="0"/>
          <w:szCs w:val="32"/>
        </w:rPr>
      </w:pPr>
      <w:r>
        <w:rPr>
          <w:rFonts w:hint="default" w:ascii="Times New Roman" w:hAnsi="Times New Roman" w:eastAsia="楷体" w:cs="Times New Roman"/>
          <w:kern w:val="0"/>
          <w:szCs w:val="32"/>
        </w:rPr>
        <w:t xml:space="preserve">    </w:t>
      </w:r>
    </w:p>
    <w:p>
      <w:pPr>
        <w:spacing w:line="700" w:lineRule="exact"/>
        <w:rPr>
          <w:rFonts w:hint="default" w:ascii="Times New Roman" w:hAnsi="Times New Roman" w:eastAsia="楷体_GB2312" w:cs="Times New Roman"/>
          <w:kern w:val="0"/>
          <w:szCs w:val="32"/>
        </w:rPr>
      </w:pPr>
      <w:r>
        <w:rPr>
          <w:rFonts w:hint="default" w:ascii="Times New Roman" w:hAnsi="Times New Roman" w:eastAsia="楷体_GB2312" w:cs="Times New Roman"/>
          <w:kern w:val="0"/>
          <w:szCs w:val="32"/>
        </w:rPr>
        <w:t xml:space="preserve">    </w:t>
      </w:r>
    </w:p>
    <w:p>
      <w:pPr>
        <w:spacing w:line="700" w:lineRule="exact"/>
        <w:rPr>
          <w:rFonts w:hint="default" w:ascii="Times New Roman" w:hAnsi="Times New Roman" w:eastAsia="楷体_GB2312" w:cs="Times New Roman"/>
          <w:kern w:val="0"/>
          <w:szCs w:val="32"/>
        </w:rPr>
      </w:pPr>
    </w:p>
    <w:p>
      <w:pPr>
        <w:spacing w:line="700" w:lineRule="exact"/>
        <w:rPr>
          <w:rFonts w:hint="default" w:ascii="Times New Roman" w:hAnsi="Times New Roman" w:eastAsia="楷体_GB2312" w:cs="Times New Roman"/>
          <w:kern w:val="0"/>
          <w:szCs w:val="32"/>
        </w:rPr>
      </w:pPr>
    </w:p>
    <w:p>
      <w:pPr>
        <w:spacing w:line="700" w:lineRule="exact"/>
        <w:rPr>
          <w:rFonts w:hint="default" w:ascii="Times New Roman" w:hAnsi="Times New Roman" w:eastAsia="楷体_GB2312"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国有资本经营预算支出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page" w:horzAnchor="page" w:tblpXSpec="center" w:tblpY="3562"/>
        <w:tblW w:w="0" w:type="auto"/>
        <w:jc w:val="center"/>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jc w:val="center"/>
        </w:trPr>
        <w:tc>
          <w:tcPr>
            <w:tcW w:w="8789" w:type="dxa"/>
            <w:gridSpan w:val="4"/>
            <w:tcBorders>
              <w:bottom w:val="single" w:color="000000" w:sz="4" w:space="0"/>
            </w:tcBorders>
            <w:noWrap w:val="0"/>
            <w:vAlign w:val="center"/>
          </w:tcPr>
          <w:p>
            <w:pPr>
              <w:widowControl/>
              <w:jc w:val="right"/>
              <w:rPr>
                <w:rFonts w:hint="default" w:ascii="Times New Roman" w:hAnsi="Times New Roman" w:eastAsia="华文细黑" w:cs="Times New Roman"/>
                <w:color w:val="000000"/>
                <w:kern w:val="0"/>
                <w:sz w:val="20"/>
              </w:rPr>
            </w:pPr>
          </w:p>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tblPrEx>
          <w:tblCellMar>
            <w:top w:w="15" w:type="dxa"/>
            <w:left w:w="15" w:type="dxa"/>
            <w:bottom w:w="15" w:type="dxa"/>
            <w:right w:w="15" w:type="dxa"/>
          </w:tblCellMar>
        </w:tblPrEx>
        <w:trPr>
          <w:trHeight w:val="390" w:hRule="atLeast"/>
          <w:jc w:val="center"/>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华文细黑" w:cs="Times New Roman"/>
                <w:color w:val="000000"/>
                <w:sz w:val="20"/>
              </w:rPr>
            </w:pPr>
            <w:r>
              <w:rPr>
                <w:rFonts w:hint="default" w:ascii="Times New Roman" w:hAnsi="Times New Roman" w:eastAsia="华文细黑" w:cs="Times New Roman"/>
                <w:color w:val="000000"/>
                <w:sz w:val="20"/>
              </w:rPr>
              <w:t>功能分类</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项目支出</w:t>
            </w:r>
          </w:p>
        </w:tc>
      </w:tr>
      <w:tr>
        <w:tblPrEx>
          <w:tblCellMar>
            <w:top w:w="15" w:type="dxa"/>
            <w:left w:w="15" w:type="dxa"/>
            <w:bottom w:w="15" w:type="dxa"/>
            <w:right w:w="15" w:type="dxa"/>
          </w:tblCellMar>
        </w:tblPrEx>
        <w:trPr>
          <w:trHeight w:val="281" w:hRule="atLeast"/>
          <w:jc w:val="center"/>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华文细黑" w:cs="Times New Roman"/>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华文细黑"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华文细黑"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r>
    </w:tbl>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ind w:firstLine="640" w:firstLineChars="200"/>
        <w:rPr>
          <w:rFonts w:hint="default" w:ascii="Times New Roman" w:hAnsi="Times New Roman" w:eastAsia="楷体" w:cs="Times New Roman"/>
          <w:kern w:val="0"/>
          <w:szCs w:val="32"/>
        </w:rPr>
      </w:pPr>
    </w:p>
    <w:p>
      <w:pPr>
        <w:spacing w:line="700" w:lineRule="exact"/>
        <w:jc w:val="center"/>
        <w:rPr>
          <w:rFonts w:hint="default" w:ascii="Times New Roman" w:hAnsi="Times New Roman" w:eastAsia="楷体" w:cs="Times New Roman"/>
          <w:kern w:val="0"/>
          <w:szCs w:val="32"/>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项目支出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text" w:horzAnchor="page" w:tblpXSpec="center" w:tblpY="193"/>
        <w:tblOverlap w:val="never"/>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050"/>
        <w:gridCol w:w="1104"/>
        <w:gridCol w:w="991"/>
        <w:gridCol w:w="737"/>
        <w:gridCol w:w="733"/>
        <w:gridCol w:w="405"/>
        <w:gridCol w:w="450"/>
        <w:gridCol w:w="465"/>
        <w:gridCol w:w="427"/>
        <w:gridCol w:w="398"/>
        <w:gridCol w:w="435"/>
        <w:gridCol w:w="435"/>
        <w:gridCol w:w="60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91" w:type="dxa"/>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050" w:type="dxa"/>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104" w:type="dxa"/>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991" w:type="dxa"/>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737" w:type="dxa"/>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2480" w:type="dxa"/>
            <w:gridSpan w:val="5"/>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2543" w:type="dxa"/>
            <w:gridSpan w:val="5"/>
            <w:tcBorders>
              <w:top w:val="nil"/>
              <w:left w:val="nil"/>
              <w:right w:val="nil"/>
            </w:tcBorders>
            <w:noWrap w:val="0"/>
            <w:vAlign w:val="bottom"/>
          </w:tcPr>
          <w:p>
            <w:pPr>
              <w:autoSpaceDN w:val="0"/>
              <w:jc w:val="right"/>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91" w:type="dxa"/>
            <w:vMerge w:val="restart"/>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类型</w:t>
            </w:r>
          </w:p>
        </w:tc>
        <w:tc>
          <w:tcPr>
            <w:tcW w:w="2154" w:type="dxa"/>
            <w:gridSpan w:val="2"/>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项目名称</w:t>
            </w:r>
          </w:p>
        </w:tc>
        <w:tc>
          <w:tcPr>
            <w:tcW w:w="991" w:type="dxa"/>
            <w:vMerge w:val="restart"/>
            <w:noWrap w:val="0"/>
            <w:textDirection w:val="tbRlV"/>
            <w:vAlign w:val="center"/>
          </w:tcPr>
          <w:p>
            <w:pPr>
              <w:autoSpaceDN w:val="0"/>
              <w:ind w:left="113" w:right="113"/>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部门（单位）名称</w:t>
            </w:r>
          </w:p>
        </w:tc>
        <w:tc>
          <w:tcPr>
            <w:tcW w:w="737" w:type="dxa"/>
            <w:vMerge w:val="restart"/>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合计</w:t>
            </w:r>
          </w:p>
        </w:tc>
        <w:tc>
          <w:tcPr>
            <w:tcW w:w="2480" w:type="dxa"/>
            <w:gridSpan w:val="5"/>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lang w:eastAsia="zh-CN"/>
              </w:rPr>
              <w:t>本年预算</w:t>
            </w:r>
          </w:p>
        </w:tc>
        <w:tc>
          <w:tcPr>
            <w:tcW w:w="2543" w:type="dxa"/>
            <w:gridSpan w:val="5"/>
            <w:noWrap w:val="0"/>
            <w:vAlign w:val="center"/>
          </w:tcPr>
          <w:p>
            <w:pPr>
              <w:autoSpaceDN w:val="0"/>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91"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050" w:type="dxa"/>
            <w:vMerge w:val="restart"/>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一级项目</w:t>
            </w:r>
          </w:p>
        </w:tc>
        <w:tc>
          <w:tcPr>
            <w:tcW w:w="1104" w:type="dxa"/>
            <w:vMerge w:val="restart"/>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二级项目</w:t>
            </w:r>
          </w:p>
        </w:tc>
        <w:tc>
          <w:tcPr>
            <w:tcW w:w="991" w:type="dxa"/>
            <w:vMerge w:val="continue"/>
            <w:noWrap w:val="0"/>
            <w:textDirection w:val="tbLrV"/>
            <w:vAlign w:val="center"/>
          </w:tcPr>
          <w:p>
            <w:pPr>
              <w:autoSpaceDN w:val="0"/>
              <w:ind w:left="113" w:right="113"/>
              <w:jc w:val="center"/>
              <w:textAlignment w:val="center"/>
              <w:rPr>
                <w:rFonts w:hint="default" w:ascii="Times New Roman" w:hAnsi="Times New Roman" w:eastAsia="华文细黑" w:cs="Times New Roman"/>
                <w:color w:val="000000"/>
                <w:sz w:val="20"/>
                <w:szCs w:val="22"/>
                <w:lang w:eastAsia="zh-CN"/>
              </w:rPr>
            </w:pPr>
          </w:p>
        </w:tc>
        <w:tc>
          <w:tcPr>
            <w:tcW w:w="737"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588" w:type="dxa"/>
            <w:gridSpan w:val="3"/>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财政拨款</w:t>
            </w:r>
          </w:p>
        </w:tc>
        <w:tc>
          <w:tcPr>
            <w:tcW w:w="465" w:type="dxa"/>
            <w:vMerge w:val="restart"/>
            <w:noWrap w:val="0"/>
            <w:textDirection w:val="tbLrV"/>
            <w:vAlign w:val="center"/>
          </w:tcPr>
          <w:p>
            <w:pPr>
              <w:autoSpaceDN w:val="0"/>
              <w:ind w:left="113" w:right="113"/>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财政专户管理资金</w:t>
            </w:r>
          </w:p>
        </w:tc>
        <w:tc>
          <w:tcPr>
            <w:tcW w:w="427" w:type="dxa"/>
            <w:vMerge w:val="restart"/>
            <w:noWrap w:val="0"/>
            <w:textDirection w:val="tbLrV"/>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lang w:eastAsia="zh-CN"/>
              </w:rPr>
              <w:t>单位资金</w:t>
            </w:r>
          </w:p>
        </w:tc>
        <w:tc>
          <w:tcPr>
            <w:tcW w:w="1268" w:type="dxa"/>
            <w:gridSpan w:val="3"/>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财政拨款结转</w:t>
            </w:r>
          </w:p>
        </w:tc>
        <w:tc>
          <w:tcPr>
            <w:tcW w:w="1275" w:type="dxa"/>
            <w:gridSpan w:val="2"/>
            <w:noWrap w:val="0"/>
            <w:vAlign w:val="center"/>
          </w:tcPr>
          <w:p>
            <w:pPr>
              <w:tabs>
                <w:tab w:val="left" w:pos="492"/>
              </w:tabs>
              <w:autoSpaceDN w:val="0"/>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791"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050"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104"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991"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737"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733" w:type="dxa"/>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一般公共预算</w:t>
            </w:r>
          </w:p>
        </w:tc>
        <w:tc>
          <w:tcPr>
            <w:tcW w:w="405" w:type="dxa"/>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政府性</w:t>
            </w:r>
          </w:p>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基金</w:t>
            </w:r>
          </w:p>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预算</w:t>
            </w:r>
          </w:p>
        </w:tc>
        <w:tc>
          <w:tcPr>
            <w:tcW w:w="450" w:type="dxa"/>
            <w:noWrap w:val="0"/>
            <w:vAlign w:val="center"/>
          </w:tcPr>
          <w:p>
            <w:pPr>
              <w:autoSpaceDN w:val="0"/>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国有资本经营预算</w:t>
            </w:r>
          </w:p>
        </w:tc>
        <w:tc>
          <w:tcPr>
            <w:tcW w:w="465" w:type="dxa"/>
            <w:vMerge w:val="continue"/>
            <w:noWrap w:val="0"/>
            <w:textDirection w:val="tbLrV"/>
            <w:vAlign w:val="center"/>
          </w:tcPr>
          <w:p>
            <w:pPr>
              <w:autoSpaceDN w:val="0"/>
              <w:ind w:left="113" w:right="113"/>
              <w:jc w:val="center"/>
              <w:textAlignment w:val="center"/>
              <w:rPr>
                <w:rFonts w:hint="default" w:ascii="Times New Roman" w:hAnsi="Times New Roman" w:eastAsia="华文细黑" w:cs="Times New Roman"/>
                <w:color w:val="000000"/>
                <w:sz w:val="20"/>
                <w:szCs w:val="22"/>
                <w:lang w:eastAsia="zh-CN"/>
              </w:rPr>
            </w:pPr>
          </w:p>
        </w:tc>
        <w:tc>
          <w:tcPr>
            <w:tcW w:w="427" w:type="dxa"/>
            <w:vMerge w:val="continue"/>
            <w:noWrap w:val="0"/>
            <w:textDirection w:val="tbLrV"/>
            <w:vAlign w:val="center"/>
          </w:tcPr>
          <w:p>
            <w:pPr>
              <w:autoSpaceDN w:val="0"/>
              <w:ind w:left="113" w:right="113"/>
              <w:jc w:val="center"/>
              <w:textAlignment w:val="center"/>
              <w:rPr>
                <w:rFonts w:hint="default" w:ascii="Times New Roman" w:hAnsi="Times New Roman" w:eastAsia="华文细黑" w:cs="Times New Roman"/>
                <w:color w:val="000000"/>
                <w:sz w:val="20"/>
                <w:szCs w:val="22"/>
              </w:rPr>
            </w:pPr>
          </w:p>
        </w:tc>
        <w:tc>
          <w:tcPr>
            <w:tcW w:w="398" w:type="dxa"/>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一般</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公共</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预算</w:t>
            </w:r>
          </w:p>
        </w:tc>
        <w:tc>
          <w:tcPr>
            <w:tcW w:w="435" w:type="dxa"/>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政府性</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基金</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预算</w:t>
            </w:r>
          </w:p>
        </w:tc>
        <w:tc>
          <w:tcPr>
            <w:tcW w:w="435" w:type="dxa"/>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国有资本经营</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预算</w:t>
            </w:r>
          </w:p>
        </w:tc>
        <w:tc>
          <w:tcPr>
            <w:tcW w:w="600" w:type="dxa"/>
            <w:noWrap w:val="0"/>
            <w:textDirection w:val="tbRlV"/>
            <w:vAlign w:val="center"/>
          </w:tcPr>
          <w:p>
            <w:pPr>
              <w:autoSpaceDN w:val="0"/>
              <w:ind w:left="113" w:right="113"/>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财政专户管理资金</w:t>
            </w:r>
          </w:p>
        </w:tc>
        <w:tc>
          <w:tcPr>
            <w:tcW w:w="675" w:type="dxa"/>
            <w:noWrap w:val="0"/>
            <w:textDirection w:val="tbRlV"/>
            <w:vAlign w:val="center"/>
          </w:tcPr>
          <w:p>
            <w:pPr>
              <w:autoSpaceDN w:val="0"/>
              <w:ind w:left="113" w:right="113"/>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1" w:type="dxa"/>
            <w:noWrap w:val="0"/>
            <w:vAlign w:val="center"/>
          </w:tcPr>
          <w:p>
            <w:pPr>
              <w:jc w:val="left"/>
              <w:rPr>
                <w:rFonts w:hint="default" w:ascii="Times New Roman" w:hAnsi="Times New Roman" w:eastAsia="宋体" w:cs="Times New Roman"/>
                <w:kern w:val="0"/>
                <w:sz w:val="20"/>
                <w:lang w:val="en-US" w:eastAsia="zh-CN" w:bidi="ar-SA"/>
              </w:rPr>
            </w:pPr>
          </w:p>
        </w:tc>
        <w:tc>
          <w:tcPr>
            <w:tcW w:w="1050" w:type="dxa"/>
            <w:noWrap w:val="0"/>
            <w:vAlign w:val="center"/>
          </w:tcPr>
          <w:p>
            <w:pPr>
              <w:jc w:val="left"/>
              <w:rPr>
                <w:rFonts w:hint="default" w:ascii="Times New Roman" w:hAnsi="Times New Roman" w:eastAsia="宋体" w:cs="Times New Roman"/>
                <w:color w:val="000000"/>
                <w:kern w:val="0"/>
                <w:sz w:val="20"/>
                <w:lang w:val="en-US" w:eastAsia="zh-CN" w:bidi="ar"/>
              </w:rPr>
            </w:pPr>
          </w:p>
        </w:tc>
        <w:tc>
          <w:tcPr>
            <w:tcW w:w="1104"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991"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Cs w:val="32"/>
              </w:rPr>
            </w:pPr>
          </w:p>
        </w:tc>
        <w:tc>
          <w:tcPr>
            <w:tcW w:w="733" w:type="dxa"/>
            <w:noWrap w:val="0"/>
            <w:vAlign w:val="center"/>
          </w:tcPr>
          <w:p>
            <w:pPr>
              <w:spacing w:line="700" w:lineRule="exact"/>
              <w:jc w:val="center"/>
              <w:rPr>
                <w:rFonts w:hint="default" w:ascii="Times New Roman" w:hAnsi="Times New Roman" w:eastAsia="楷体" w:cs="Times New Roman"/>
                <w:kern w:val="0"/>
                <w:szCs w:val="32"/>
              </w:rPr>
            </w:pPr>
          </w:p>
        </w:tc>
        <w:tc>
          <w:tcPr>
            <w:tcW w:w="405" w:type="dxa"/>
            <w:noWrap w:val="0"/>
            <w:vAlign w:val="center"/>
          </w:tcPr>
          <w:p>
            <w:pPr>
              <w:spacing w:line="700" w:lineRule="exact"/>
              <w:jc w:val="center"/>
              <w:rPr>
                <w:rFonts w:hint="default" w:ascii="Times New Roman" w:hAnsi="Times New Roman" w:eastAsia="楷体" w:cs="Times New Roman"/>
                <w:kern w:val="0"/>
                <w:szCs w:val="32"/>
              </w:rPr>
            </w:pPr>
          </w:p>
        </w:tc>
        <w:tc>
          <w:tcPr>
            <w:tcW w:w="450" w:type="dxa"/>
            <w:noWrap w:val="0"/>
            <w:vAlign w:val="center"/>
          </w:tcPr>
          <w:p>
            <w:pPr>
              <w:spacing w:line="700" w:lineRule="exact"/>
              <w:jc w:val="center"/>
              <w:rPr>
                <w:rFonts w:hint="default" w:ascii="Times New Roman" w:hAnsi="Times New Roman" w:eastAsia="楷体" w:cs="Times New Roman"/>
                <w:kern w:val="0"/>
                <w:szCs w:val="32"/>
              </w:rPr>
            </w:pPr>
          </w:p>
        </w:tc>
        <w:tc>
          <w:tcPr>
            <w:tcW w:w="465" w:type="dxa"/>
            <w:noWrap w:val="0"/>
            <w:vAlign w:val="center"/>
          </w:tcPr>
          <w:p>
            <w:pPr>
              <w:spacing w:line="700" w:lineRule="exact"/>
              <w:jc w:val="center"/>
              <w:rPr>
                <w:rFonts w:hint="default" w:ascii="Times New Roman" w:hAnsi="Times New Roman" w:eastAsia="楷体" w:cs="Times New Roman"/>
                <w:kern w:val="0"/>
                <w:szCs w:val="32"/>
              </w:rPr>
            </w:pPr>
          </w:p>
        </w:tc>
        <w:tc>
          <w:tcPr>
            <w:tcW w:w="427" w:type="dxa"/>
            <w:noWrap w:val="0"/>
            <w:vAlign w:val="center"/>
          </w:tcPr>
          <w:p>
            <w:pPr>
              <w:spacing w:line="700" w:lineRule="exact"/>
              <w:jc w:val="center"/>
              <w:rPr>
                <w:rFonts w:hint="default" w:ascii="Times New Roman" w:hAnsi="Times New Roman" w:eastAsia="楷体" w:cs="Times New Roman"/>
                <w:kern w:val="0"/>
                <w:szCs w:val="32"/>
              </w:rPr>
            </w:pPr>
          </w:p>
        </w:tc>
        <w:tc>
          <w:tcPr>
            <w:tcW w:w="398"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600" w:type="dxa"/>
            <w:noWrap w:val="0"/>
            <w:vAlign w:val="center"/>
          </w:tcPr>
          <w:p>
            <w:pPr>
              <w:spacing w:line="700" w:lineRule="exact"/>
              <w:jc w:val="center"/>
              <w:rPr>
                <w:rFonts w:hint="default" w:ascii="Times New Roman" w:hAnsi="Times New Roman" w:eastAsia="楷体" w:cs="Times New Roman"/>
                <w:kern w:val="0"/>
                <w:szCs w:val="32"/>
              </w:rPr>
            </w:pPr>
          </w:p>
        </w:tc>
        <w:tc>
          <w:tcPr>
            <w:tcW w:w="675" w:type="dxa"/>
            <w:noWrap w:val="0"/>
            <w:vAlign w:val="center"/>
          </w:tcPr>
          <w:p>
            <w:pPr>
              <w:spacing w:line="700" w:lineRule="exact"/>
              <w:jc w:val="center"/>
              <w:rPr>
                <w:rFonts w:hint="default" w:ascii="Times New Roman" w:hAnsi="Times New Roman" w:eastAsia="楷体" w:cs="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1" w:type="dxa"/>
            <w:noWrap w:val="0"/>
            <w:vAlign w:val="center"/>
          </w:tcPr>
          <w:p>
            <w:pPr>
              <w:jc w:val="left"/>
              <w:rPr>
                <w:rFonts w:hint="default" w:ascii="Times New Roman" w:hAnsi="Times New Roman" w:eastAsia="宋体" w:cs="Times New Roman"/>
                <w:kern w:val="0"/>
                <w:sz w:val="20"/>
                <w:lang w:val="en-US" w:eastAsia="zh-CN" w:bidi="ar-SA"/>
              </w:rPr>
            </w:pPr>
          </w:p>
        </w:tc>
        <w:tc>
          <w:tcPr>
            <w:tcW w:w="1050" w:type="dxa"/>
            <w:noWrap w:val="0"/>
            <w:vAlign w:val="center"/>
          </w:tcPr>
          <w:p>
            <w:pPr>
              <w:jc w:val="left"/>
              <w:rPr>
                <w:rFonts w:hint="default" w:ascii="Times New Roman" w:hAnsi="Times New Roman" w:eastAsia="宋体" w:cs="Times New Roman"/>
                <w:kern w:val="0"/>
                <w:sz w:val="20"/>
                <w:lang w:val="en-US" w:eastAsia="zh-CN" w:bidi="ar-SA"/>
              </w:rPr>
            </w:pPr>
          </w:p>
        </w:tc>
        <w:tc>
          <w:tcPr>
            <w:tcW w:w="1104"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991"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 w:val="16"/>
                <w:szCs w:val="16"/>
                <w:lang w:val="en-US" w:eastAsia="zh-CN" w:bidi="ar-SA"/>
              </w:rPr>
            </w:pPr>
          </w:p>
        </w:tc>
        <w:tc>
          <w:tcPr>
            <w:tcW w:w="733" w:type="dxa"/>
            <w:noWrap w:val="0"/>
            <w:vAlign w:val="center"/>
          </w:tcPr>
          <w:p>
            <w:pPr>
              <w:spacing w:line="700" w:lineRule="exact"/>
              <w:jc w:val="center"/>
              <w:rPr>
                <w:rFonts w:hint="default" w:ascii="Times New Roman" w:hAnsi="Times New Roman" w:eastAsia="楷体" w:cs="Times New Roman"/>
                <w:kern w:val="0"/>
                <w:sz w:val="16"/>
                <w:szCs w:val="16"/>
                <w:lang w:val="en-US" w:eastAsia="zh-CN" w:bidi="ar-SA"/>
              </w:rPr>
            </w:pPr>
          </w:p>
        </w:tc>
        <w:tc>
          <w:tcPr>
            <w:tcW w:w="40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50"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6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27"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398"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3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3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600"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67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1" w:type="dxa"/>
            <w:noWrap w:val="0"/>
            <w:vAlign w:val="center"/>
          </w:tcPr>
          <w:p>
            <w:pPr>
              <w:jc w:val="left"/>
              <w:rPr>
                <w:rFonts w:hint="default" w:ascii="Times New Roman" w:hAnsi="Times New Roman" w:eastAsia="宋体" w:cs="Times New Roman"/>
                <w:kern w:val="0"/>
                <w:sz w:val="20"/>
                <w:lang w:val="en-US" w:eastAsia="zh-CN" w:bidi="ar-SA"/>
              </w:rPr>
            </w:pPr>
          </w:p>
        </w:tc>
        <w:tc>
          <w:tcPr>
            <w:tcW w:w="1050" w:type="dxa"/>
            <w:noWrap w:val="0"/>
            <w:vAlign w:val="center"/>
          </w:tcPr>
          <w:p>
            <w:pPr>
              <w:jc w:val="left"/>
              <w:rPr>
                <w:rFonts w:hint="default" w:ascii="Times New Roman" w:hAnsi="Times New Roman" w:eastAsia="宋体" w:cs="Times New Roman"/>
                <w:kern w:val="0"/>
                <w:sz w:val="20"/>
                <w:lang w:val="en-US" w:eastAsia="zh-CN" w:bidi="ar-SA"/>
              </w:rPr>
            </w:pPr>
          </w:p>
        </w:tc>
        <w:tc>
          <w:tcPr>
            <w:tcW w:w="1104"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991"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 w:val="16"/>
                <w:szCs w:val="16"/>
                <w:lang w:val="en-US" w:eastAsia="zh-CN" w:bidi="ar-SA"/>
              </w:rPr>
            </w:pPr>
          </w:p>
        </w:tc>
        <w:tc>
          <w:tcPr>
            <w:tcW w:w="733" w:type="dxa"/>
            <w:noWrap w:val="0"/>
            <w:vAlign w:val="center"/>
          </w:tcPr>
          <w:p>
            <w:pPr>
              <w:spacing w:line="700" w:lineRule="exact"/>
              <w:jc w:val="center"/>
              <w:rPr>
                <w:rFonts w:hint="default" w:ascii="Times New Roman" w:hAnsi="Times New Roman" w:eastAsia="楷体" w:cs="Times New Roman"/>
                <w:kern w:val="0"/>
                <w:sz w:val="16"/>
                <w:szCs w:val="16"/>
                <w:lang w:val="en-US" w:eastAsia="zh-CN" w:bidi="ar-SA"/>
              </w:rPr>
            </w:pPr>
          </w:p>
        </w:tc>
        <w:tc>
          <w:tcPr>
            <w:tcW w:w="40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50"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6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27"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398"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3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3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600"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67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1" w:type="dxa"/>
            <w:noWrap w:val="0"/>
            <w:vAlign w:val="center"/>
          </w:tcPr>
          <w:p>
            <w:pPr>
              <w:jc w:val="left"/>
              <w:rPr>
                <w:rFonts w:hint="default" w:ascii="Times New Roman" w:hAnsi="Times New Roman" w:eastAsia="宋体" w:cs="Times New Roman"/>
                <w:kern w:val="0"/>
                <w:sz w:val="20"/>
                <w:lang w:val="en-US" w:eastAsia="zh-CN" w:bidi="ar-SA"/>
              </w:rPr>
            </w:pPr>
          </w:p>
        </w:tc>
        <w:tc>
          <w:tcPr>
            <w:tcW w:w="1050" w:type="dxa"/>
            <w:noWrap w:val="0"/>
            <w:vAlign w:val="center"/>
          </w:tcPr>
          <w:p>
            <w:pPr>
              <w:jc w:val="left"/>
              <w:rPr>
                <w:rFonts w:hint="default" w:ascii="Times New Roman" w:hAnsi="Times New Roman" w:eastAsia="宋体" w:cs="Times New Roman"/>
                <w:kern w:val="0"/>
                <w:sz w:val="20"/>
                <w:lang w:val="en-US" w:eastAsia="zh-CN" w:bidi="ar-SA"/>
              </w:rPr>
            </w:pPr>
          </w:p>
        </w:tc>
        <w:tc>
          <w:tcPr>
            <w:tcW w:w="1104"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991"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Cs w:val="32"/>
              </w:rPr>
            </w:pPr>
          </w:p>
        </w:tc>
        <w:tc>
          <w:tcPr>
            <w:tcW w:w="733" w:type="dxa"/>
            <w:noWrap w:val="0"/>
            <w:vAlign w:val="center"/>
          </w:tcPr>
          <w:p>
            <w:pPr>
              <w:spacing w:line="700" w:lineRule="exact"/>
              <w:jc w:val="center"/>
              <w:rPr>
                <w:rFonts w:hint="default" w:ascii="Times New Roman" w:hAnsi="Times New Roman" w:eastAsia="楷体" w:cs="Times New Roman"/>
                <w:kern w:val="0"/>
                <w:szCs w:val="32"/>
              </w:rPr>
            </w:pPr>
          </w:p>
        </w:tc>
        <w:tc>
          <w:tcPr>
            <w:tcW w:w="405" w:type="dxa"/>
            <w:noWrap w:val="0"/>
            <w:vAlign w:val="center"/>
          </w:tcPr>
          <w:p>
            <w:pPr>
              <w:spacing w:line="700" w:lineRule="exact"/>
              <w:jc w:val="center"/>
              <w:rPr>
                <w:rFonts w:hint="default" w:ascii="Times New Roman" w:hAnsi="Times New Roman" w:eastAsia="楷体" w:cs="Times New Roman"/>
                <w:kern w:val="0"/>
                <w:szCs w:val="32"/>
              </w:rPr>
            </w:pPr>
          </w:p>
        </w:tc>
        <w:tc>
          <w:tcPr>
            <w:tcW w:w="450" w:type="dxa"/>
            <w:noWrap w:val="0"/>
            <w:vAlign w:val="center"/>
          </w:tcPr>
          <w:p>
            <w:pPr>
              <w:spacing w:line="700" w:lineRule="exact"/>
              <w:jc w:val="center"/>
              <w:rPr>
                <w:rFonts w:hint="default" w:ascii="Times New Roman" w:hAnsi="Times New Roman" w:eastAsia="楷体" w:cs="Times New Roman"/>
                <w:kern w:val="0"/>
                <w:szCs w:val="32"/>
              </w:rPr>
            </w:pPr>
          </w:p>
        </w:tc>
        <w:tc>
          <w:tcPr>
            <w:tcW w:w="465" w:type="dxa"/>
            <w:noWrap w:val="0"/>
            <w:vAlign w:val="center"/>
          </w:tcPr>
          <w:p>
            <w:pPr>
              <w:spacing w:line="700" w:lineRule="exact"/>
              <w:jc w:val="center"/>
              <w:rPr>
                <w:rFonts w:hint="default" w:ascii="Times New Roman" w:hAnsi="Times New Roman" w:eastAsia="楷体" w:cs="Times New Roman"/>
                <w:kern w:val="0"/>
                <w:szCs w:val="32"/>
              </w:rPr>
            </w:pPr>
          </w:p>
        </w:tc>
        <w:tc>
          <w:tcPr>
            <w:tcW w:w="427" w:type="dxa"/>
            <w:noWrap w:val="0"/>
            <w:vAlign w:val="center"/>
          </w:tcPr>
          <w:p>
            <w:pPr>
              <w:spacing w:line="700" w:lineRule="exact"/>
              <w:jc w:val="center"/>
              <w:rPr>
                <w:rFonts w:hint="default" w:ascii="Times New Roman" w:hAnsi="Times New Roman" w:eastAsia="楷体" w:cs="Times New Roman"/>
                <w:kern w:val="0"/>
                <w:szCs w:val="32"/>
              </w:rPr>
            </w:pPr>
          </w:p>
        </w:tc>
        <w:tc>
          <w:tcPr>
            <w:tcW w:w="398"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600" w:type="dxa"/>
            <w:noWrap w:val="0"/>
            <w:vAlign w:val="center"/>
          </w:tcPr>
          <w:p>
            <w:pPr>
              <w:spacing w:line="700" w:lineRule="exact"/>
              <w:jc w:val="center"/>
              <w:rPr>
                <w:rFonts w:hint="default" w:ascii="Times New Roman" w:hAnsi="Times New Roman" w:eastAsia="楷体" w:cs="Times New Roman"/>
                <w:kern w:val="0"/>
                <w:szCs w:val="32"/>
              </w:rPr>
            </w:pPr>
          </w:p>
        </w:tc>
        <w:tc>
          <w:tcPr>
            <w:tcW w:w="675" w:type="dxa"/>
            <w:noWrap w:val="0"/>
            <w:vAlign w:val="center"/>
          </w:tcPr>
          <w:p>
            <w:pPr>
              <w:spacing w:line="700" w:lineRule="exact"/>
              <w:jc w:val="center"/>
              <w:rPr>
                <w:rFonts w:hint="default" w:ascii="Times New Roman" w:hAnsi="Times New Roman" w:eastAsia="楷体" w:cs="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1" w:type="dxa"/>
            <w:noWrap w:val="0"/>
            <w:vAlign w:val="center"/>
          </w:tcPr>
          <w:p>
            <w:pPr>
              <w:jc w:val="left"/>
              <w:rPr>
                <w:rFonts w:hint="default" w:ascii="Times New Roman" w:hAnsi="Times New Roman" w:eastAsia="宋体" w:cs="Times New Roman"/>
                <w:kern w:val="0"/>
                <w:sz w:val="20"/>
                <w:lang w:val="en-US" w:eastAsia="zh-CN" w:bidi="ar-SA"/>
              </w:rPr>
            </w:pPr>
          </w:p>
        </w:tc>
        <w:tc>
          <w:tcPr>
            <w:tcW w:w="1050"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1104"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991"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 w:val="16"/>
                <w:szCs w:val="16"/>
                <w:lang w:val="en-US" w:eastAsia="zh-CN"/>
              </w:rPr>
            </w:pPr>
          </w:p>
        </w:tc>
        <w:tc>
          <w:tcPr>
            <w:tcW w:w="733" w:type="dxa"/>
            <w:noWrap w:val="0"/>
            <w:vAlign w:val="center"/>
          </w:tcPr>
          <w:p>
            <w:pPr>
              <w:spacing w:line="700" w:lineRule="exact"/>
              <w:jc w:val="center"/>
              <w:rPr>
                <w:rFonts w:hint="default" w:ascii="Times New Roman" w:hAnsi="Times New Roman" w:eastAsia="楷体" w:cs="Times New Roman"/>
                <w:kern w:val="0"/>
                <w:sz w:val="16"/>
                <w:szCs w:val="16"/>
                <w:lang w:val="en-US" w:eastAsia="zh-CN"/>
              </w:rPr>
            </w:pPr>
          </w:p>
        </w:tc>
        <w:tc>
          <w:tcPr>
            <w:tcW w:w="405" w:type="dxa"/>
            <w:noWrap w:val="0"/>
            <w:vAlign w:val="center"/>
          </w:tcPr>
          <w:p>
            <w:pPr>
              <w:spacing w:line="700" w:lineRule="exact"/>
              <w:jc w:val="center"/>
              <w:rPr>
                <w:rFonts w:hint="default" w:ascii="Times New Roman" w:hAnsi="Times New Roman" w:eastAsia="楷体" w:cs="Times New Roman"/>
                <w:kern w:val="0"/>
                <w:szCs w:val="32"/>
              </w:rPr>
            </w:pPr>
          </w:p>
        </w:tc>
        <w:tc>
          <w:tcPr>
            <w:tcW w:w="450" w:type="dxa"/>
            <w:noWrap w:val="0"/>
            <w:vAlign w:val="center"/>
          </w:tcPr>
          <w:p>
            <w:pPr>
              <w:spacing w:line="700" w:lineRule="exact"/>
              <w:jc w:val="center"/>
              <w:rPr>
                <w:rFonts w:hint="default" w:ascii="Times New Roman" w:hAnsi="Times New Roman" w:eastAsia="楷体" w:cs="Times New Roman"/>
                <w:kern w:val="0"/>
                <w:szCs w:val="32"/>
              </w:rPr>
            </w:pPr>
          </w:p>
        </w:tc>
        <w:tc>
          <w:tcPr>
            <w:tcW w:w="465" w:type="dxa"/>
            <w:noWrap w:val="0"/>
            <w:vAlign w:val="center"/>
          </w:tcPr>
          <w:p>
            <w:pPr>
              <w:spacing w:line="700" w:lineRule="exact"/>
              <w:jc w:val="center"/>
              <w:rPr>
                <w:rFonts w:hint="default" w:ascii="Times New Roman" w:hAnsi="Times New Roman" w:eastAsia="楷体" w:cs="Times New Roman"/>
                <w:kern w:val="0"/>
                <w:szCs w:val="32"/>
              </w:rPr>
            </w:pPr>
          </w:p>
        </w:tc>
        <w:tc>
          <w:tcPr>
            <w:tcW w:w="427" w:type="dxa"/>
            <w:noWrap w:val="0"/>
            <w:vAlign w:val="center"/>
          </w:tcPr>
          <w:p>
            <w:pPr>
              <w:spacing w:line="700" w:lineRule="exact"/>
              <w:jc w:val="center"/>
              <w:rPr>
                <w:rFonts w:hint="default" w:ascii="Times New Roman" w:hAnsi="Times New Roman" w:eastAsia="楷体" w:cs="Times New Roman"/>
                <w:kern w:val="0"/>
                <w:szCs w:val="32"/>
              </w:rPr>
            </w:pPr>
          </w:p>
        </w:tc>
        <w:tc>
          <w:tcPr>
            <w:tcW w:w="398"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600" w:type="dxa"/>
            <w:noWrap w:val="0"/>
            <w:vAlign w:val="center"/>
          </w:tcPr>
          <w:p>
            <w:pPr>
              <w:spacing w:line="700" w:lineRule="exact"/>
              <w:jc w:val="center"/>
              <w:rPr>
                <w:rFonts w:hint="default" w:ascii="Times New Roman" w:hAnsi="Times New Roman" w:eastAsia="楷体" w:cs="Times New Roman"/>
                <w:kern w:val="0"/>
                <w:szCs w:val="32"/>
              </w:rPr>
            </w:pPr>
          </w:p>
        </w:tc>
        <w:tc>
          <w:tcPr>
            <w:tcW w:w="675" w:type="dxa"/>
            <w:noWrap w:val="0"/>
            <w:vAlign w:val="center"/>
          </w:tcPr>
          <w:p>
            <w:pPr>
              <w:spacing w:line="700" w:lineRule="exact"/>
              <w:jc w:val="center"/>
              <w:rPr>
                <w:rFonts w:hint="default" w:ascii="Times New Roman" w:hAnsi="Times New Roman" w:eastAsia="楷体" w:cs="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1" w:type="dxa"/>
            <w:noWrap w:val="0"/>
            <w:vAlign w:val="center"/>
          </w:tcPr>
          <w:p>
            <w:pPr>
              <w:jc w:val="center"/>
              <w:rPr>
                <w:rFonts w:hint="default" w:ascii="Times New Roman" w:hAnsi="Times New Roman" w:eastAsia="宋体" w:cs="Times New Roman"/>
                <w:color w:val="000000"/>
                <w:kern w:val="0"/>
                <w:sz w:val="20"/>
                <w:lang w:val="en-US" w:eastAsia="zh-CN" w:bidi="ar"/>
              </w:rPr>
            </w:pPr>
            <w:r>
              <w:rPr>
                <w:rFonts w:hint="default" w:ascii="Times New Roman" w:hAnsi="Times New Roman" w:eastAsia="宋体" w:cs="Times New Roman"/>
                <w:color w:val="000000"/>
                <w:kern w:val="0"/>
                <w:sz w:val="20"/>
                <w:lang w:bidi="ar"/>
              </w:rPr>
              <w:t>合计</w:t>
            </w:r>
          </w:p>
        </w:tc>
        <w:tc>
          <w:tcPr>
            <w:tcW w:w="1050"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1104" w:type="dxa"/>
            <w:noWrap w:val="0"/>
            <w:vAlign w:val="center"/>
          </w:tcPr>
          <w:p>
            <w:pPr>
              <w:jc w:val="left"/>
              <w:rPr>
                <w:rFonts w:hint="default" w:ascii="Times New Roman" w:hAnsi="Times New Roman" w:eastAsia="宋体" w:cs="Times New Roman"/>
                <w:kern w:val="0"/>
                <w:sz w:val="20"/>
                <w:lang w:val="en-US" w:eastAsia="zh-CN" w:bidi="ar-SA"/>
              </w:rPr>
            </w:pPr>
          </w:p>
        </w:tc>
        <w:tc>
          <w:tcPr>
            <w:tcW w:w="991" w:type="dxa"/>
            <w:noWrap w:val="0"/>
            <w:vAlign w:val="center"/>
          </w:tcPr>
          <w:p>
            <w:pPr>
              <w:jc w:val="left"/>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 w:val="16"/>
                <w:szCs w:val="16"/>
                <w:lang w:val="en-US" w:eastAsia="zh-CN"/>
              </w:rPr>
            </w:pPr>
          </w:p>
        </w:tc>
        <w:tc>
          <w:tcPr>
            <w:tcW w:w="733" w:type="dxa"/>
            <w:noWrap w:val="0"/>
            <w:vAlign w:val="center"/>
          </w:tcPr>
          <w:p>
            <w:pPr>
              <w:spacing w:line="700" w:lineRule="exact"/>
              <w:jc w:val="center"/>
              <w:rPr>
                <w:rFonts w:hint="default" w:ascii="Times New Roman" w:hAnsi="Times New Roman" w:eastAsia="楷体" w:cs="Times New Roman"/>
                <w:kern w:val="0"/>
                <w:sz w:val="16"/>
                <w:szCs w:val="16"/>
                <w:lang w:val="en-US" w:eastAsia="zh-CN"/>
              </w:rPr>
            </w:pPr>
          </w:p>
        </w:tc>
        <w:tc>
          <w:tcPr>
            <w:tcW w:w="405" w:type="dxa"/>
            <w:noWrap w:val="0"/>
            <w:vAlign w:val="center"/>
          </w:tcPr>
          <w:p>
            <w:pPr>
              <w:spacing w:line="700" w:lineRule="exact"/>
              <w:jc w:val="center"/>
              <w:rPr>
                <w:rFonts w:hint="default" w:ascii="Times New Roman" w:hAnsi="Times New Roman" w:eastAsia="楷体" w:cs="Times New Roman"/>
                <w:kern w:val="0"/>
                <w:szCs w:val="32"/>
              </w:rPr>
            </w:pPr>
          </w:p>
        </w:tc>
        <w:tc>
          <w:tcPr>
            <w:tcW w:w="450" w:type="dxa"/>
            <w:noWrap w:val="0"/>
            <w:vAlign w:val="center"/>
          </w:tcPr>
          <w:p>
            <w:pPr>
              <w:spacing w:line="700" w:lineRule="exact"/>
              <w:jc w:val="center"/>
              <w:rPr>
                <w:rFonts w:hint="default" w:ascii="Times New Roman" w:hAnsi="Times New Roman" w:eastAsia="楷体" w:cs="Times New Roman"/>
                <w:kern w:val="0"/>
                <w:szCs w:val="32"/>
              </w:rPr>
            </w:pPr>
          </w:p>
        </w:tc>
        <w:tc>
          <w:tcPr>
            <w:tcW w:w="465" w:type="dxa"/>
            <w:noWrap w:val="0"/>
            <w:vAlign w:val="center"/>
          </w:tcPr>
          <w:p>
            <w:pPr>
              <w:spacing w:line="700" w:lineRule="exact"/>
              <w:jc w:val="center"/>
              <w:rPr>
                <w:rFonts w:hint="default" w:ascii="Times New Roman" w:hAnsi="Times New Roman" w:eastAsia="楷体" w:cs="Times New Roman"/>
                <w:kern w:val="0"/>
                <w:szCs w:val="32"/>
              </w:rPr>
            </w:pPr>
          </w:p>
        </w:tc>
        <w:tc>
          <w:tcPr>
            <w:tcW w:w="427" w:type="dxa"/>
            <w:noWrap w:val="0"/>
            <w:vAlign w:val="center"/>
          </w:tcPr>
          <w:p>
            <w:pPr>
              <w:spacing w:line="700" w:lineRule="exact"/>
              <w:jc w:val="center"/>
              <w:rPr>
                <w:rFonts w:hint="default" w:ascii="Times New Roman" w:hAnsi="Times New Roman" w:eastAsia="楷体" w:cs="Times New Roman"/>
                <w:kern w:val="0"/>
                <w:szCs w:val="32"/>
              </w:rPr>
            </w:pPr>
          </w:p>
        </w:tc>
        <w:tc>
          <w:tcPr>
            <w:tcW w:w="398"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600" w:type="dxa"/>
            <w:noWrap w:val="0"/>
            <w:vAlign w:val="center"/>
          </w:tcPr>
          <w:p>
            <w:pPr>
              <w:spacing w:line="700" w:lineRule="exact"/>
              <w:jc w:val="center"/>
              <w:rPr>
                <w:rFonts w:hint="default" w:ascii="Times New Roman" w:hAnsi="Times New Roman" w:eastAsia="楷体" w:cs="Times New Roman"/>
                <w:kern w:val="0"/>
                <w:szCs w:val="32"/>
              </w:rPr>
            </w:pPr>
          </w:p>
        </w:tc>
        <w:tc>
          <w:tcPr>
            <w:tcW w:w="675" w:type="dxa"/>
            <w:noWrap w:val="0"/>
            <w:vAlign w:val="center"/>
          </w:tcPr>
          <w:p>
            <w:pPr>
              <w:spacing w:line="700" w:lineRule="exact"/>
              <w:jc w:val="center"/>
              <w:rPr>
                <w:rFonts w:hint="default" w:ascii="Times New Roman" w:hAnsi="Times New Roman" w:eastAsia="楷体" w:cs="Times New Roman"/>
                <w:kern w:val="0"/>
                <w:szCs w:val="32"/>
              </w:rPr>
            </w:pPr>
          </w:p>
        </w:tc>
      </w:tr>
    </w:tbl>
    <w:p>
      <w:pPr>
        <w:spacing w:line="700" w:lineRule="exact"/>
        <w:jc w:val="center"/>
        <w:rPr>
          <w:rFonts w:hint="default" w:ascii="Times New Roman" w:hAnsi="Times New Roman" w:eastAsia="楷体" w:cs="Times New Roman"/>
          <w:kern w:val="0"/>
          <w:szCs w:val="32"/>
        </w:rPr>
      </w:pPr>
    </w:p>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eastAsia="zh-CN"/>
        </w:rPr>
        <w:t>财政拨款委托业务费支出预算表</w:t>
      </w:r>
    </w:p>
    <w:tbl>
      <w:tblPr>
        <w:tblStyle w:val="12"/>
        <w:tblpPr w:leftFromText="180" w:rightFromText="180" w:vertAnchor="text" w:horzAnchor="page" w:tblpXSpec="center" w:tblpY="6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780" w:type="dxa"/>
            <w:gridSpan w:val="9"/>
            <w:tcBorders>
              <w:top w:val="nil"/>
              <w:left w:val="nil"/>
              <w:bottom w:val="single" w:color="auto" w:sz="4" w:space="0"/>
              <w:right w:val="nil"/>
            </w:tcBorders>
            <w:noWrap w:val="0"/>
            <w:vAlign w:val="bottom"/>
          </w:tcPr>
          <w:p>
            <w:pPr>
              <w:spacing w:line="240" w:lineRule="auto"/>
              <w:jc w:val="right"/>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16"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color w:val="000000"/>
                <w:sz w:val="20"/>
                <w:szCs w:val="20"/>
                <w:lang w:val="en-US" w:eastAsia="zh-CN"/>
              </w:rPr>
            </w:pPr>
            <w:r>
              <w:rPr>
                <w:rFonts w:hint="default" w:ascii="Times New Roman" w:hAnsi="Times New Roman" w:eastAsia="华文细黑" w:cs="Times New Roman"/>
                <w:color w:val="000000"/>
                <w:sz w:val="20"/>
                <w:szCs w:val="20"/>
                <w:lang w:eastAsia="zh-CN"/>
              </w:rPr>
              <w:t>部门</w:t>
            </w:r>
            <w:r>
              <w:rPr>
                <w:rFonts w:hint="default" w:ascii="Times New Roman" w:hAnsi="Times New Roman" w:eastAsia="华文细黑" w:cs="Times New Roman"/>
                <w:color w:val="000000"/>
                <w:sz w:val="20"/>
                <w:szCs w:val="20"/>
                <w:lang w:val="en-US" w:eastAsia="zh-CN"/>
              </w:rPr>
              <w:t>/单位/</w:t>
            </w:r>
          </w:p>
          <w:p>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color w:val="000000"/>
                <w:sz w:val="20"/>
                <w:szCs w:val="20"/>
                <w:lang w:eastAsia="zh-CN"/>
              </w:rPr>
              <w:t>委托事</w:t>
            </w:r>
            <w:r>
              <w:rPr>
                <w:rFonts w:hint="default" w:ascii="Times New Roman" w:hAnsi="Times New Roman" w:eastAsia="华文细黑" w:cs="Times New Roman"/>
                <w:color w:val="000000"/>
                <w:sz w:val="20"/>
                <w:szCs w:val="20"/>
                <w:lang w:val="en-US" w:eastAsia="zh-CN"/>
              </w:rPr>
              <w:t xml:space="preserve">    </w:t>
            </w:r>
            <w:r>
              <w:rPr>
                <w:rFonts w:hint="default" w:ascii="Times New Roman" w:hAnsi="Times New Roman" w:eastAsia="华文细黑" w:cs="Times New Roman"/>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是否政府购买服务</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（是</w:t>
            </w:r>
            <w:r>
              <w:rPr>
                <w:rFonts w:hint="default" w:ascii="Times New Roman" w:hAnsi="Times New Roman" w:eastAsia="华文细黑" w:cs="Times New Roman"/>
                <w:kern w:val="0"/>
                <w:sz w:val="20"/>
                <w:szCs w:val="20"/>
                <w:vertAlign w:val="baseline"/>
                <w:lang w:val="en-US" w:eastAsia="zh-CN"/>
              </w:rPr>
              <w:t>/否</w:t>
            </w:r>
            <w:r>
              <w:rPr>
                <w:rFonts w:hint="default" w:ascii="Times New Roman" w:hAnsi="Times New Roman" w:eastAsia="华文细黑" w:cs="Times New Roman"/>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是否政</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府采购</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（是</w:t>
            </w:r>
            <w:r>
              <w:rPr>
                <w:rFonts w:hint="default" w:ascii="Times New Roman" w:hAnsi="Times New Roman" w:eastAsia="华文细黑" w:cs="Times New Roman"/>
                <w:kern w:val="0"/>
                <w:sz w:val="20"/>
                <w:szCs w:val="20"/>
                <w:vertAlign w:val="baseline"/>
                <w:lang w:val="en-US" w:eastAsia="zh-CN"/>
              </w:rPr>
              <w:t>/否</w:t>
            </w:r>
            <w:r>
              <w:rPr>
                <w:rFonts w:hint="default" w:ascii="Times New Roman" w:hAnsi="Times New Roman" w:eastAsia="华文细黑" w:cs="Times New Roman"/>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816" w:type="dxa"/>
            <w:vMerge w:val="continue"/>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jc w:val="both"/>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部门名称</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200" w:firstLineChars="1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单位名称</w:t>
            </w:r>
            <w:r>
              <w:rPr>
                <w:rFonts w:hint="default" w:ascii="Times New Roman" w:hAnsi="Times New Roman" w:eastAsia="华文细黑" w:cs="Times New Roman"/>
                <w:kern w:val="0"/>
                <w:sz w:val="20"/>
                <w:szCs w:val="20"/>
                <w:vertAlign w:val="baseline"/>
                <w:lang w:val="en-US" w:eastAsia="zh-CN"/>
              </w:rPr>
              <w:t>1</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项目名称</w:t>
            </w:r>
            <w:r>
              <w:rPr>
                <w:rFonts w:hint="default" w:ascii="Times New Roman" w:hAnsi="Times New Roman" w:eastAsia="华文细黑" w:cs="Times New Roman"/>
                <w:kern w:val="0"/>
                <w:sz w:val="20"/>
                <w:szCs w:val="20"/>
                <w:vertAlign w:val="baseline"/>
                <w:lang w:val="en-US" w:eastAsia="zh-CN"/>
              </w:rPr>
              <w:t>1</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项目名称</w:t>
            </w:r>
            <w:r>
              <w:rPr>
                <w:rFonts w:hint="default" w:ascii="Times New Roman" w:hAnsi="Times New Roman" w:eastAsia="华文细黑" w:cs="Times New Roman"/>
                <w:kern w:val="0"/>
                <w:sz w:val="20"/>
                <w:szCs w:val="20"/>
                <w:vertAlign w:val="baseline"/>
                <w:lang w:val="en-US" w:eastAsia="zh-CN"/>
              </w:rPr>
              <w:t>2</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200" w:firstLineChars="1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单位名称</w:t>
            </w:r>
            <w:r>
              <w:rPr>
                <w:rFonts w:hint="default" w:ascii="Times New Roman" w:hAnsi="Times New Roman" w:eastAsia="华文细黑" w:cs="Times New Roman"/>
                <w:kern w:val="0"/>
                <w:sz w:val="20"/>
                <w:szCs w:val="20"/>
                <w:vertAlign w:val="baseline"/>
                <w:lang w:val="en-US" w:eastAsia="zh-CN"/>
              </w:rPr>
              <w:t>2</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项目名称1</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项目名称2</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16" w:type="dxa"/>
            <w:noWrap w:val="0"/>
            <w:vAlign w:val="center"/>
          </w:tcPr>
          <w:p>
            <w:pPr>
              <w:spacing w:line="240" w:lineRule="auto"/>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bl>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rPr>
        <w:t>项目支出绩效目标表</w:t>
      </w:r>
    </w:p>
    <w:tbl>
      <w:tblPr>
        <w:tblStyle w:val="12"/>
        <w:tblpPr w:leftFromText="180" w:rightFromText="180" w:vertAnchor="text" w:horzAnchor="page" w:tblpX="1608" w:tblpY="21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941" w:type="dxa"/>
            <w:gridSpan w:val="10"/>
            <w:tcBorders>
              <w:top w:val="nil"/>
              <w:left w:val="nil"/>
              <w:bottom w:val="single" w:color="000000" w:sz="4" w:space="0"/>
              <w:right w:val="nil"/>
            </w:tcBorders>
            <w:noWrap w:val="0"/>
            <w:vAlign w:val="top"/>
          </w:tcPr>
          <w:p>
            <w:pPr>
              <w:spacing w:line="700" w:lineRule="exact"/>
              <w:jc w:val="right"/>
              <w:rPr>
                <w:rFonts w:hint="default" w:ascii="Times New Roman" w:hAnsi="Times New Roman" w:eastAsia="楷体" w:cs="Times New Roman"/>
                <w:kern w:val="0"/>
                <w:szCs w:val="32"/>
                <w:vertAlign w:val="baseline"/>
              </w:rPr>
            </w:pPr>
            <w:r>
              <w:rPr>
                <w:rFonts w:hint="default" w:ascii="Times New Roman" w:hAnsi="Times New Roman"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年度资</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金总额</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年度绩</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tcBorders>
              <w:top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社会成本指标</w:t>
            </w:r>
          </w:p>
        </w:tc>
        <w:tc>
          <w:tcPr>
            <w:tcW w:w="641" w:type="dxa"/>
            <w:tcBorders>
              <w:top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生态环境成本指标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restart"/>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产出指标</w:t>
            </w: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数量指标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质量指标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时效指标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restart"/>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效益指标</w:t>
            </w: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经济效益指标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社会效益指标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生态效益指标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满意度指标</w:t>
            </w: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服务对象满意度指标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bl>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ind w:firstLine="640" w:firstLineChars="200"/>
        <w:rPr>
          <w:rFonts w:hint="default" w:ascii="Times New Roman" w:hAnsi="Times New Roman" w:eastAsia="楷体" w:cs="Times New Roman"/>
          <w:kern w:val="0"/>
          <w:szCs w:val="32"/>
        </w:rPr>
      </w:pPr>
      <w:r>
        <w:rPr>
          <w:rFonts w:hint="default" w:ascii="Times New Roman" w:hAnsi="Times New Roman" w:eastAsia="楷体" w:cs="Times New Roman"/>
          <w:kern w:val="0"/>
          <w:szCs w:val="32"/>
        </w:rPr>
        <w:br w:type="page"/>
      </w:r>
    </w:p>
    <w:p>
      <w:pPr>
        <w:ind w:firstLine="640" w:firstLineChars="200"/>
        <w:jc w:val="center"/>
        <w:rPr>
          <w:rFonts w:hint="default" w:ascii="Times New Roman" w:hAnsi="Times New Roman" w:eastAsia="黑体" w:cs="Times New Roman"/>
        </w:rPr>
      </w:pPr>
      <w:r>
        <w:rPr>
          <w:rFonts w:hint="default" w:ascii="Times New Roman" w:hAnsi="Times New Roman" w:eastAsia="黑体" w:cs="Times New Roman"/>
        </w:rPr>
        <w:t>第三部分 情况说明</w:t>
      </w:r>
    </w:p>
    <w:p>
      <w:pPr>
        <w:rPr>
          <w:rFonts w:hint="default" w:ascii="Times New Roman" w:hAnsi="Times New Roman" w:eastAsia="仿宋" w:cs="Times New Roman"/>
          <w:szCs w:val="32"/>
        </w:rPr>
      </w:pPr>
    </w:p>
    <w:p>
      <w:pPr>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一、202</w:t>
      </w:r>
      <w:r>
        <w:rPr>
          <w:rFonts w:hint="default" w:ascii="Times New Roman" w:hAnsi="Times New Roman" w:eastAsia="黑体" w:cs="Times New Roman"/>
          <w:szCs w:val="32"/>
          <w:lang w:val="en-US" w:eastAsia="zh-CN"/>
        </w:rPr>
        <w:t>4</w:t>
      </w:r>
      <w:r>
        <w:rPr>
          <w:rFonts w:hint="default" w:ascii="Times New Roman" w:hAnsi="Times New Roman" w:eastAsia="黑体" w:cs="Times New Roman"/>
          <w:szCs w:val="32"/>
        </w:rPr>
        <w:t>年收支预算总体情况</w:t>
      </w:r>
    </w:p>
    <w:p>
      <w:pPr>
        <w:ind w:firstLine="640" w:firstLineChars="200"/>
        <w:rPr>
          <w:rFonts w:hint="default" w:ascii="Times New Roman" w:hAnsi="Times New Roman" w:eastAsia="楷体" w:cs="Times New Roman"/>
          <w:szCs w:val="30"/>
        </w:rPr>
      </w:pPr>
      <w:r>
        <w:rPr>
          <w:rFonts w:hint="default" w:ascii="Times New Roman" w:hAnsi="Times New Roman" w:cs="Times New Roman"/>
          <w:szCs w:val="32"/>
        </w:rPr>
        <w:t>按照综合预算的原则，所有收入和支出全部纳入</w:t>
      </w:r>
      <w:r>
        <w:rPr>
          <w:rFonts w:hint="default" w:ascii="Times New Roman" w:hAnsi="Times New Roman" w:cs="Times New Roman"/>
          <w:szCs w:val="32"/>
          <w:lang w:eastAsia="zh-CN"/>
        </w:rPr>
        <w:t>单位</w:t>
      </w:r>
      <w:r>
        <w:rPr>
          <w:rFonts w:hint="default" w:ascii="Times New Roman" w:hAnsi="Times New Roman" w:cs="Times New Roman"/>
          <w:szCs w:val="32"/>
        </w:rPr>
        <w:t>预算管理。收入包括：一般公共预算拨款收入、上年结转结余等；支出包括：一般公共服务支出、社会保障和就业支出、卫生健康支出、住房保障支出等。202</w:t>
      </w:r>
      <w:r>
        <w:rPr>
          <w:rFonts w:hint="default" w:ascii="Times New Roman" w:hAnsi="Times New Roman" w:cs="Times New Roman"/>
          <w:szCs w:val="32"/>
          <w:lang w:val="en-US" w:eastAsia="zh-CN"/>
        </w:rPr>
        <w:t>4</w:t>
      </w:r>
      <w:r>
        <w:rPr>
          <w:rFonts w:hint="default" w:ascii="Times New Roman" w:hAnsi="Times New Roman" w:cs="Times New Roman"/>
          <w:szCs w:val="32"/>
        </w:rPr>
        <w:t>年收支总预算</w:t>
      </w:r>
      <w:r>
        <w:rPr>
          <w:rFonts w:hint="default" w:ascii="Times New Roman" w:hAnsi="Times New Roman" w:eastAsia="宋体" w:cs="Times New Roman"/>
          <w:szCs w:val="32"/>
          <w:lang w:val="en-US" w:eastAsia="zh-CN"/>
        </w:rPr>
        <w:t>61.10</w:t>
      </w:r>
      <w:r>
        <w:rPr>
          <w:rFonts w:hint="default" w:ascii="Times New Roman" w:hAnsi="Times New Roman" w:cs="Times New Roman"/>
          <w:szCs w:val="32"/>
        </w:rPr>
        <w:t>万元，其中：当年预算</w:t>
      </w:r>
      <w:r>
        <w:rPr>
          <w:rFonts w:hint="default" w:ascii="Times New Roman" w:hAnsi="Times New Roman" w:eastAsia="宋体" w:cs="Times New Roman"/>
          <w:szCs w:val="32"/>
          <w:lang w:val="en-US" w:eastAsia="zh-CN"/>
        </w:rPr>
        <w:t>59.66</w:t>
      </w:r>
      <w:r>
        <w:rPr>
          <w:rFonts w:hint="default" w:ascii="Times New Roman" w:hAnsi="Times New Roman" w:cs="Times New Roman"/>
          <w:szCs w:val="32"/>
        </w:rPr>
        <w:t>万元；上年结转</w:t>
      </w:r>
      <w:r>
        <w:rPr>
          <w:rFonts w:hint="default" w:ascii="Times New Roman" w:hAnsi="Times New Roman" w:eastAsia="宋体" w:cs="Times New Roman"/>
          <w:szCs w:val="32"/>
          <w:lang w:val="en-US" w:eastAsia="zh-CN"/>
        </w:rPr>
        <w:t>1.44</w:t>
      </w:r>
      <w:r>
        <w:rPr>
          <w:rFonts w:hint="default" w:ascii="Times New Roman" w:hAnsi="Times New Roman" w:cs="Times New Roman"/>
          <w:szCs w:val="32"/>
        </w:rPr>
        <w:t>万元。202</w:t>
      </w:r>
      <w:r>
        <w:rPr>
          <w:rFonts w:hint="default" w:ascii="Times New Roman" w:hAnsi="Times New Roman" w:cs="Times New Roman"/>
          <w:szCs w:val="32"/>
          <w:lang w:val="en-US" w:eastAsia="zh-CN"/>
        </w:rPr>
        <w:t>4</w:t>
      </w:r>
      <w:r>
        <w:rPr>
          <w:rFonts w:hint="default" w:ascii="Times New Roman" w:hAnsi="Times New Roman" w:cs="Times New Roman"/>
          <w:szCs w:val="32"/>
        </w:rPr>
        <w:t>年当年预算比202</w:t>
      </w:r>
      <w:r>
        <w:rPr>
          <w:rFonts w:hint="default" w:ascii="Times New Roman" w:hAnsi="Times New Roman" w:cs="Times New Roman"/>
          <w:szCs w:val="32"/>
          <w:lang w:val="en-US" w:eastAsia="zh-CN"/>
        </w:rPr>
        <w:t>3</w:t>
      </w:r>
      <w:r>
        <w:rPr>
          <w:rFonts w:hint="default" w:ascii="Times New Roman" w:hAnsi="Times New Roman" w:cs="Times New Roman"/>
          <w:szCs w:val="32"/>
        </w:rPr>
        <w:t>年预算</w:t>
      </w:r>
      <w:r>
        <w:rPr>
          <w:rFonts w:hint="default" w:ascii="Times New Roman" w:hAnsi="Times New Roman" w:cs="Times New Roman"/>
          <w:szCs w:val="32"/>
          <w:lang w:eastAsia="zh-CN"/>
        </w:rPr>
        <w:t>增加</w:t>
      </w:r>
      <w:r>
        <w:rPr>
          <w:rFonts w:hint="default" w:ascii="Times New Roman" w:hAnsi="Times New Roman" w:cs="Times New Roman"/>
          <w:szCs w:val="32"/>
          <w:lang w:val="en-US" w:eastAsia="zh-CN"/>
        </w:rPr>
        <w:t>4.24</w:t>
      </w:r>
      <w:r>
        <w:rPr>
          <w:rFonts w:hint="default" w:ascii="Times New Roman" w:hAnsi="Times New Roman" w:cs="Times New Roman"/>
          <w:szCs w:val="32"/>
        </w:rPr>
        <w:t>万元，主要原因是</w:t>
      </w:r>
      <w:r>
        <w:rPr>
          <w:rFonts w:hint="eastAsia" w:cs="Times New Roman"/>
          <w:szCs w:val="32"/>
          <w:lang w:eastAsia="zh-CN"/>
        </w:rPr>
        <w:t>本年度</w:t>
      </w:r>
      <w:r>
        <w:rPr>
          <w:rFonts w:hint="eastAsia"/>
          <w:szCs w:val="32"/>
          <w:lang w:eastAsia="zh-CN"/>
        </w:rPr>
        <w:t>将退休人员增加补贴部分纳入年初预算</w:t>
      </w:r>
      <w:r>
        <w:rPr>
          <w:szCs w:val="32"/>
        </w:rPr>
        <w:t>。</w:t>
      </w:r>
    </w:p>
    <w:p>
      <w:pPr>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二、202</w:t>
      </w:r>
      <w:r>
        <w:rPr>
          <w:rFonts w:hint="default" w:ascii="Times New Roman" w:hAnsi="Times New Roman" w:eastAsia="黑体" w:cs="Times New Roman"/>
          <w:szCs w:val="32"/>
          <w:lang w:val="en-US" w:eastAsia="zh-CN"/>
        </w:rPr>
        <w:t>4</w:t>
      </w:r>
      <w:r>
        <w:rPr>
          <w:rFonts w:hint="default" w:ascii="Times New Roman" w:hAnsi="Times New Roman" w:eastAsia="黑体" w:cs="Times New Roman"/>
          <w:szCs w:val="32"/>
        </w:rPr>
        <w:t>年收入预算情况</w:t>
      </w:r>
    </w:p>
    <w:p>
      <w:pPr>
        <w:ind w:firstLine="640" w:firstLineChars="200"/>
        <w:rPr>
          <w:rFonts w:hint="default" w:ascii="Times New Roman" w:hAnsi="Times New Roman" w:eastAsia="楷体" w:cs="Times New Roman"/>
          <w:szCs w:val="30"/>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年收入预算</w:t>
      </w:r>
      <w:r>
        <w:rPr>
          <w:rFonts w:hint="default" w:ascii="Times New Roman" w:hAnsi="Times New Roman" w:cs="Times New Roman"/>
          <w:szCs w:val="32"/>
          <w:lang w:val="en-US" w:eastAsia="zh-CN"/>
        </w:rPr>
        <w:t>61.10</w:t>
      </w:r>
      <w:r>
        <w:rPr>
          <w:rFonts w:hint="default" w:ascii="Times New Roman" w:hAnsi="Times New Roman" w:cs="Times New Roman"/>
          <w:szCs w:val="32"/>
        </w:rPr>
        <w:t>万元，其中：本年收入</w:t>
      </w:r>
      <w:r>
        <w:rPr>
          <w:rFonts w:hint="default" w:ascii="Times New Roman" w:hAnsi="Times New Roman" w:cs="Times New Roman"/>
          <w:szCs w:val="32"/>
          <w:lang w:val="en-US" w:eastAsia="zh-CN"/>
        </w:rPr>
        <w:t>59.66</w:t>
      </w:r>
      <w:r>
        <w:rPr>
          <w:rFonts w:hint="default" w:ascii="Times New Roman" w:hAnsi="Times New Roman" w:cs="Times New Roman"/>
          <w:szCs w:val="32"/>
        </w:rPr>
        <w:t>万元，占</w:t>
      </w:r>
      <w:r>
        <w:rPr>
          <w:rFonts w:hint="default" w:ascii="Times New Roman" w:hAnsi="Times New Roman" w:cs="Times New Roman"/>
          <w:szCs w:val="32"/>
          <w:lang w:val="en-US" w:eastAsia="zh-CN"/>
        </w:rPr>
        <w:t>97.64</w:t>
      </w:r>
      <w:r>
        <w:rPr>
          <w:rFonts w:hint="default" w:ascii="Times New Roman" w:hAnsi="Times New Roman" w:cs="Times New Roman"/>
          <w:szCs w:val="32"/>
        </w:rPr>
        <w:t>%；上年结转</w:t>
      </w:r>
      <w:r>
        <w:rPr>
          <w:rFonts w:hint="default" w:ascii="Times New Roman" w:hAnsi="Times New Roman" w:cs="Times New Roman"/>
          <w:szCs w:val="32"/>
          <w:lang w:eastAsia="zh-CN"/>
        </w:rPr>
        <w:t>结余</w:t>
      </w:r>
      <w:r>
        <w:rPr>
          <w:rFonts w:hint="default" w:ascii="Times New Roman" w:hAnsi="Times New Roman" w:cs="Times New Roman"/>
          <w:szCs w:val="32"/>
          <w:lang w:val="en-US" w:eastAsia="zh-CN"/>
        </w:rPr>
        <w:t>1.44</w:t>
      </w:r>
      <w:r>
        <w:rPr>
          <w:rFonts w:hint="default" w:ascii="Times New Roman" w:hAnsi="Times New Roman" w:cs="Times New Roman"/>
          <w:szCs w:val="32"/>
        </w:rPr>
        <w:t>万元，占</w:t>
      </w:r>
      <w:r>
        <w:rPr>
          <w:rFonts w:hint="default" w:ascii="Times New Roman" w:hAnsi="Times New Roman" w:cs="Times New Roman"/>
          <w:szCs w:val="32"/>
          <w:lang w:val="en-US" w:eastAsia="zh-CN"/>
        </w:rPr>
        <w:t>2.36</w:t>
      </w:r>
      <w:r>
        <w:rPr>
          <w:rFonts w:hint="default" w:ascii="Times New Roman" w:hAnsi="Times New Roman" w:cs="Times New Roman"/>
          <w:szCs w:val="32"/>
        </w:rPr>
        <w:t>%。本年收入中，一般公共预算拨款收入</w:t>
      </w:r>
      <w:r>
        <w:rPr>
          <w:rFonts w:hint="default" w:ascii="Times New Roman" w:hAnsi="Times New Roman" w:cs="Times New Roman"/>
          <w:szCs w:val="32"/>
          <w:lang w:val="en-US" w:eastAsia="zh-CN"/>
        </w:rPr>
        <w:t>59.66</w:t>
      </w:r>
      <w:r>
        <w:rPr>
          <w:rFonts w:hint="default" w:ascii="Times New Roman" w:hAnsi="Times New Roman" w:cs="Times New Roman"/>
          <w:szCs w:val="32"/>
        </w:rPr>
        <w:t>万元，占100%。上年结转中，一般公共预算拨款结转</w:t>
      </w:r>
      <w:r>
        <w:rPr>
          <w:rFonts w:hint="default" w:ascii="Times New Roman" w:hAnsi="Times New Roman" w:cs="Times New Roman"/>
          <w:szCs w:val="32"/>
          <w:lang w:val="en-US" w:eastAsia="zh-CN"/>
        </w:rPr>
        <w:t>1.44</w:t>
      </w:r>
      <w:r>
        <w:rPr>
          <w:rFonts w:hint="default" w:ascii="Times New Roman" w:hAnsi="Times New Roman" w:cs="Times New Roman"/>
          <w:szCs w:val="32"/>
        </w:rPr>
        <w:t>万元，占100%。</w:t>
      </w:r>
    </w:p>
    <w:p>
      <w:pPr>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三、202</w:t>
      </w:r>
      <w:r>
        <w:rPr>
          <w:rFonts w:hint="default" w:ascii="Times New Roman" w:hAnsi="Times New Roman" w:cs="Times New Roman"/>
          <w:szCs w:val="32"/>
          <w:lang w:val="en-US" w:eastAsia="zh-CN"/>
        </w:rPr>
        <w:t>4</w:t>
      </w:r>
      <w:r>
        <w:rPr>
          <w:rFonts w:hint="default" w:ascii="Times New Roman" w:hAnsi="Times New Roman" w:eastAsia="黑体" w:cs="Times New Roman"/>
          <w:szCs w:val="32"/>
        </w:rPr>
        <w:t>年支出预算情况</w:t>
      </w:r>
    </w:p>
    <w:p>
      <w:pPr>
        <w:ind w:firstLine="6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年支出预算</w:t>
      </w:r>
      <w:r>
        <w:rPr>
          <w:rFonts w:hint="default" w:ascii="Times New Roman" w:hAnsi="Times New Roman" w:cs="Times New Roman"/>
          <w:szCs w:val="32"/>
          <w:lang w:val="en-US" w:eastAsia="zh-CN"/>
        </w:rPr>
        <w:t>61.10</w:t>
      </w:r>
      <w:r>
        <w:rPr>
          <w:rFonts w:hint="default" w:ascii="Times New Roman" w:hAnsi="Times New Roman" w:cs="Times New Roman"/>
          <w:szCs w:val="32"/>
        </w:rPr>
        <w:t>万元，其中：基本支出</w:t>
      </w:r>
      <w:r>
        <w:rPr>
          <w:rFonts w:hint="default" w:ascii="Times New Roman" w:hAnsi="Times New Roman" w:cs="Times New Roman"/>
          <w:szCs w:val="32"/>
          <w:lang w:val="en-US" w:eastAsia="zh-CN"/>
        </w:rPr>
        <w:t>61.10</w:t>
      </w:r>
      <w:r>
        <w:rPr>
          <w:rFonts w:hint="default" w:ascii="Times New Roman" w:hAnsi="Times New Roman" w:cs="Times New Roman"/>
          <w:szCs w:val="32"/>
        </w:rPr>
        <w:t>万元，占</w:t>
      </w:r>
      <w:r>
        <w:rPr>
          <w:rFonts w:hint="default" w:ascii="Times New Roman" w:hAnsi="Times New Roman" w:cs="Times New Roman"/>
          <w:szCs w:val="32"/>
          <w:lang w:val="en-US" w:eastAsia="zh-CN"/>
        </w:rPr>
        <w:t>100</w:t>
      </w:r>
      <w:r>
        <w:rPr>
          <w:rFonts w:hint="default" w:ascii="Times New Roman" w:hAnsi="Times New Roman" w:cs="Times New Roman"/>
          <w:szCs w:val="32"/>
        </w:rPr>
        <w:t>%；项目支出0万元。</w:t>
      </w:r>
    </w:p>
    <w:p>
      <w:pPr>
        <w:ind w:firstLine="600"/>
        <w:rPr>
          <w:rFonts w:hint="default" w:ascii="Times New Roman" w:hAnsi="Times New Roman" w:eastAsia="黑体" w:cs="Times New Roman"/>
          <w:szCs w:val="32"/>
        </w:rPr>
      </w:pPr>
      <w:r>
        <w:rPr>
          <w:rFonts w:hint="default" w:ascii="Times New Roman" w:hAnsi="Times New Roman" w:eastAsia="黑体" w:cs="Times New Roman"/>
          <w:szCs w:val="32"/>
        </w:rPr>
        <w:t>四、202</w:t>
      </w:r>
      <w:r>
        <w:rPr>
          <w:rFonts w:hint="default" w:ascii="Times New Roman" w:hAnsi="Times New Roman" w:cs="Times New Roman"/>
          <w:szCs w:val="32"/>
          <w:lang w:val="en-US" w:eastAsia="zh-CN"/>
        </w:rPr>
        <w:t>4</w:t>
      </w:r>
      <w:r>
        <w:rPr>
          <w:rFonts w:hint="default" w:ascii="Times New Roman" w:hAnsi="Times New Roman" w:eastAsia="黑体" w:cs="Times New Roman"/>
          <w:szCs w:val="32"/>
        </w:rPr>
        <w:t>年财政拨款收支预算情况</w:t>
      </w:r>
    </w:p>
    <w:p>
      <w:pPr>
        <w:ind w:firstLine="6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年财政拨款收支总预算</w:t>
      </w:r>
      <w:r>
        <w:rPr>
          <w:rFonts w:hint="default" w:ascii="Times New Roman" w:hAnsi="Times New Roman" w:cs="Times New Roman"/>
          <w:szCs w:val="32"/>
          <w:lang w:val="en-US" w:eastAsia="zh-CN"/>
        </w:rPr>
        <w:t>61.10</w:t>
      </w:r>
      <w:r>
        <w:rPr>
          <w:rFonts w:hint="default" w:ascii="Times New Roman" w:hAnsi="Times New Roman" w:cs="Times New Roman"/>
          <w:szCs w:val="32"/>
        </w:rPr>
        <w:t>万元，其中：本年收入</w:t>
      </w:r>
      <w:r>
        <w:rPr>
          <w:rFonts w:hint="default" w:ascii="Times New Roman" w:hAnsi="Times New Roman" w:cs="Times New Roman"/>
          <w:szCs w:val="32"/>
          <w:lang w:val="en-US" w:eastAsia="zh-CN"/>
        </w:rPr>
        <w:t>59.66</w:t>
      </w:r>
      <w:r>
        <w:rPr>
          <w:rFonts w:hint="default" w:ascii="Times New Roman" w:hAnsi="Times New Roman" w:cs="Times New Roman"/>
          <w:szCs w:val="32"/>
        </w:rPr>
        <w:t>万元，上年结转</w:t>
      </w:r>
      <w:r>
        <w:rPr>
          <w:rFonts w:hint="default" w:ascii="Times New Roman" w:hAnsi="Times New Roman" w:cs="Times New Roman"/>
          <w:szCs w:val="32"/>
          <w:lang w:val="en-US" w:eastAsia="zh-CN"/>
        </w:rPr>
        <w:t>1.44</w:t>
      </w:r>
      <w:r>
        <w:rPr>
          <w:rFonts w:hint="default" w:ascii="Times New Roman" w:hAnsi="Times New Roman" w:cs="Times New Roman"/>
          <w:szCs w:val="32"/>
        </w:rPr>
        <w:t>万元。支出包括：一般公共服务支出</w:t>
      </w:r>
      <w:r>
        <w:rPr>
          <w:rFonts w:hint="default" w:ascii="Times New Roman" w:hAnsi="Times New Roman" w:cs="Times New Roman"/>
          <w:szCs w:val="32"/>
          <w:lang w:val="en-US" w:eastAsia="zh-CN"/>
        </w:rPr>
        <w:t>46.38</w:t>
      </w:r>
      <w:r>
        <w:rPr>
          <w:rFonts w:hint="default" w:ascii="Times New Roman" w:hAnsi="Times New Roman" w:cs="Times New Roman"/>
          <w:szCs w:val="32"/>
        </w:rPr>
        <w:t>万元，社会保障和就业支出</w:t>
      </w:r>
      <w:r>
        <w:rPr>
          <w:rFonts w:hint="default" w:ascii="Times New Roman" w:hAnsi="Times New Roman" w:cs="Times New Roman"/>
          <w:szCs w:val="32"/>
          <w:lang w:val="en-US" w:eastAsia="zh-CN"/>
        </w:rPr>
        <w:t>6.91</w:t>
      </w:r>
      <w:r>
        <w:rPr>
          <w:rFonts w:hint="default" w:ascii="Times New Roman" w:hAnsi="Times New Roman" w:cs="Times New Roman"/>
          <w:szCs w:val="32"/>
        </w:rPr>
        <w:t>万元，卫生健康支出</w:t>
      </w:r>
      <w:r>
        <w:rPr>
          <w:rFonts w:hint="default" w:ascii="Times New Roman" w:hAnsi="Times New Roman" w:cs="Times New Roman"/>
          <w:szCs w:val="32"/>
          <w:lang w:val="en-US" w:eastAsia="zh-CN"/>
        </w:rPr>
        <w:t>3.01</w:t>
      </w:r>
      <w:r>
        <w:rPr>
          <w:rFonts w:hint="default" w:ascii="Times New Roman" w:hAnsi="Times New Roman" w:cs="Times New Roman"/>
          <w:szCs w:val="32"/>
        </w:rPr>
        <w:t>万元，住房保障支出</w:t>
      </w:r>
      <w:r>
        <w:rPr>
          <w:rFonts w:hint="default" w:ascii="Times New Roman" w:hAnsi="Times New Roman" w:cs="Times New Roman"/>
          <w:szCs w:val="32"/>
          <w:lang w:val="en-US" w:eastAsia="zh-CN"/>
        </w:rPr>
        <w:t>4.80</w:t>
      </w:r>
      <w:r>
        <w:rPr>
          <w:rFonts w:hint="default" w:ascii="Times New Roman" w:hAnsi="Times New Roman" w:cs="Times New Roman"/>
          <w:szCs w:val="32"/>
        </w:rPr>
        <w:t>万元。</w:t>
      </w:r>
    </w:p>
    <w:p>
      <w:pPr>
        <w:ind w:firstLine="600"/>
        <w:rPr>
          <w:rFonts w:hint="default" w:ascii="Times New Roman" w:hAnsi="Times New Roman" w:eastAsia="黑体" w:cs="Times New Roman"/>
          <w:szCs w:val="30"/>
        </w:rPr>
      </w:pPr>
      <w:r>
        <w:rPr>
          <w:rFonts w:hint="default" w:ascii="Times New Roman" w:hAnsi="Times New Roman" w:eastAsia="黑体" w:cs="Times New Roman"/>
          <w:szCs w:val="30"/>
        </w:rPr>
        <w:t>五、202</w:t>
      </w:r>
      <w:r>
        <w:rPr>
          <w:rFonts w:hint="default" w:ascii="Times New Roman" w:hAnsi="Times New Roman" w:cs="Times New Roman"/>
          <w:szCs w:val="32"/>
          <w:lang w:val="en-US" w:eastAsia="zh-CN"/>
        </w:rPr>
        <w:t>4</w:t>
      </w:r>
      <w:r>
        <w:rPr>
          <w:rFonts w:hint="default" w:ascii="Times New Roman" w:hAnsi="Times New Roman" w:eastAsia="黑体" w:cs="Times New Roman"/>
          <w:szCs w:val="30"/>
        </w:rPr>
        <w:t>年一般公共预算支出情况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年一般公共预算拨款</w:t>
      </w:r>
      <w:r>
        <w:rPr>
          <w:rFonts w:hint="default" w:ascii="Times New Roman" w:hAnsi="Times New Roman" w:cs="Times New Roman"/>
          <w:szCs w:val="32"/>
          <w:lang w:val="en-US" w:eastAsia="zh-CN"/>
        </w:rPr>
        <w:t>61.10</w:t>
      </w:r>
      <w:r>
        <w:rPr>
          <w:rFonts w:hint="default" w:ascii="Times New Roman" w:hAnsi="Times New Roman" w:cs="Times New Roman"/>
          <w:szCs w:val="32"/>
        </w:rPr>
        <w:t>万元，其中：基本支出</w:t>
      </w:r>
      <w:r>
        <w:rPr>
          <w:rFonts w:hint="default" w:ascii="Times New Roman" w:hAnsi="Times New Roman" w:cs="Times New Roman"/>
          <w:szCs w:val="32"/>
          <w:lang w:val="en-US" w:eastAsia="zh-CN"/>
        </w:rPr>
        <w:t>61.10</w:t>
      </w:r>
      <w:r>
        <w:rPr>
          <w:rFonts w:hint="default" w:ascii="Times New Roman" w:hAnsi="Times New Roman" w:cs="Times New Roman"/>
          <w:szCs w:val="32"/>
        </w:rPr>
        <w:t>万元，占</w:t>
      </w:r>
      <w:r>
        <w:rPr>
          <w:rFonts w:hint="default" w:ascii="Times New Roman" w:hAnsi="Times New Roman" w:cs="Times New Roman"/>
          <w:szCs w:val="32"/>
          <w:lang w:val="en-US" w:eastAsia="zh-CN"/>
        </w:rPr>
        <w:t>100</w:t>
      </w:r>
      <w:r>
        <w:rPr>
          <w:rFonts w:hint="default" w:ascii="Times New Roman" w:hAnsi="Times New Roman" w:cs="Times New Roman"/>
          <w:szCs w:val="32"/>
        </w:rPr>
        <w:t>%；项目支出</w:t>
      </w:r>
      <w:r>
        <w:rPr>
          <w:rFonts w:hint="default" w:ascii="Times New Roman" w:hAnsi="Times New Roman" w:cs="Times New Roman"/>
          <w:szCs w:val="32"/>
          <w:lang w:val="en-US" w:eastAsia="zh-CN"/>
        </w:rPr>
        <w:t>0</w:t>
      </w:r>
      <w:r>
        <w:rPr>
          <w:rFonts w:hint="default" w:ascii="Times New Roman" w:hAnsi="Times New Roman" w:cs="Times New Roman"/>
          <w:szCs w:val="32"/>
        </w:rPr>
        <w:t>万元，占</w:t>
      </w:r>
      <w:r>
        <w:rPr>
          <w:rFonts w:hint="default" w:ascii="Times New Roman" w:hAnsi="Times New Roman" w:cs="Times New Roman"/>
          <w:szCs w:val="32"/>
          <w:lang w:val="en-US" w:eastAsia="zh-CN"/>
        </w:rPr>
        <w:t>0</w:t>
      </w:r>
      <w:r>
        <w:rPr>
          <w:rFonts w:hint="default" w:ascii="Times New Roman" w:hAnsi="Times New Roman" w:cs="Times New Roman"/>
          <w:szCs w:val="32"/>
        </w:rPr>
        <w:t>%。基本支出中，人员经费</w:t>
      </w:r>
      <w:r>
        <w:rPr>
          <w:rFonts w:hint="default" w:ascii="Times New Roman" w:hAnsi="Times New Roman" w:cs="Times New Roman"/>
          <w:szCs w:val="32"/>
          <w:lang w:val="en-US" w:eastAsia="zh-CN"/>
        </w:rPr>
        <w:t>55.40</w:t>
      </w:r>
      <w:r>
        <w:rPr>
          <w:rFonts w:hint="default" w:ascii="Times New Roman" w:hAnsi="Times New Roman" w:cs="Times New Roman"/>
          <w:szCs w:val="32"/>
        </w:rPr>
        <w:t>万元，占</w:t>
      </w:r>
      <w:r>
        <w:rPr>
          <w:rFonts w:hint="default" w:ascii="Times New Roman" w:hAnsi="Times New Roman" w:cs="Times New Roman"/>
          <w:szCs w:val="32"/>
          <w:lang w:val="en-US" w:eastAsia="zh-CN"/>
        </w:rPr>
        <w:t>90.67</w:t>
      </w:r>
      <w:r>
        <w:rPr>
          <w:rFonts w:hint="default" w:ascii="Times New Roman" w:hAnsi="Times New Roman" w:cs="Times New Roman"/>
          <w:szCs w:val="32"/>
        </w:rPr>
        <w:t>%；公用经费</w:t>
      </w:r>
      <w:r>
        <w:rPr>
          <w:rFonts w:hint="default" w:ascii="Times New Roman" w:hAnsi="Times New Roman" w:cs="Times New Roman"/>
          <w:szCs w:val="32"/>
          <w:lang w:val="en-US" w:eastAsia="zh-CN"/>
        </w:rPr>
        <w:t>5.70</w:t>
      </w:r>
      <w:r>
        <w:rPr>
          <w:rFonts w:hint="default" w:ascii="Times New Roman" w:hAnsi="Times New Roman" w:cs="Times New Roman"/>
          <w:szCs w:val="32"/>
        </w:rPr>
        <w:t>万元，占</w:t>
      </w:r>
      <w:r>
        <w:rPr>
          <w:rFonts w:hint="default" w:ascii="Times New Roman" w:hAnsi="Times New Roman" w:cs="Times New Roman"/>
          <w:szCs w:val="32"/>
          <w:lang w:val="en-US" w:eastAsia="zh-CN"/>
        </w:rPr>
        <w:t>9.33</w:t>
      </w:r>
      <w:r>
        <w:rPr>
          <w:rFonts w:hint="default" w:ascii="Times New Roman" w:hAnsi="Times New Roman" w:cs="Times New Roman"/>
          <w:szCs w:val="32"/>
        </w:rPr>
        <w:t>%。</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一般公共服务（类）支出</w:t>
      </w:r>
      <w:r>
        <w:rPr>
          <w:rFonts w:hint="default" w:ascii="Times New Roman" w:hAnsi="Times New Roman" w:cs="Times New Roman"/>
          <w:szCs w:val="32"/>
          <w:lang w:val="en-US" w:eastAsia="zh-CN"/>
        </w:rPr>
        <w:t>46.38</w:t>
      </w:r>
      <w:r>
        <w:rPr>
          <w:rFonts w:hint="default" w:ascii="Times New Roman" w:hAnsi="Times New Roman" w:cs="Times New Roman"/>
          <w:szCs w:val="32"/>
        </w:rPr>
        <w:t>万元，占</w:t>
      </w:r>
      <w:r>
        <w:rPr>
          <w:rFonts w:hint="default" w:ascii="Times New Roman" w:hAnsi="Times New Roman" w:cs="Times New Roman"/>
          <w:szCs w:val="32"/>
          <w:lang w:val="en-US" w:eastAsia="zh-CN"/>
        </w:rPr>
        <w:t>75.91</w:t>
      </w:r>
      <w:r>
        <w:rPr>
          <w:rFonts w:hint="default" w:ascii="Times New Roman" w:hAnsi="Times New Roman" w:cs="Times New Roman"/>
          <w:szCs w:val="32"/>
        </w:rPr>
        <w:t>%，主要用于保障职工工资，维持机关正常运转以及完成年度统计工作任务。</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社会保障和就业（类）支出</w:t>
      </w:r>
      <w:r>
        <w:rPr>
          <w:rFonts w:hint="default" w:ascii="Times New Roman" w:hAnsi="Times New Roman" w:cs="Times New Roman"/>
          <w:szCs w:val="32"/>
          <w:lang w:val="en-US" w:eastAsia="zh-CN"/>
        </w:rPr>
        <w:t>6.91</w:t>
      </w:r>
      <w:r>
        <w:rPr>
          <w:rFonts w:hint="default" w:ascii="Times New Roman" w:hAnsi="Times New Roman" w:cs="Times New Roman"/>
          <w:szCs w:val="32"/>
        </w:rPr>
        <w:t>万元，占</w:t>
      </w:r>
      <w:r>
        <w:rPr>
          <w:rFonts w:hint="default" w:ascii="Times New Roman" w:hAnsi="Times New Roman" w:cs="Times New Roman"/>
          <w:szCs w:val="32"/>
          <w:lang w:val="en-US" w:eastAsia="zh-CN"/>
        </w:rPr>
        <w:t>11.31</w:t>
      </w:r>
      <w:r>
        <w:rPr>
          <w:rFonts w:hint="default" w:ascii="Times New Roman" w:hAnsi="Times New Roman" w:cs="Times New Roman"/>
          <w:szCs w:val="32"/>
        </w:rPr>
        <w:t>%，主要用于保障机关事业单位基本养老保险缴费支出。</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卫生健康支出</w:t>
      </w:r>
      <w:r>
        <w:rPr>
          <w:rFonts w:hint="default" w:ascii="Times New Roman" w:hAnsi="Times New Roman" w:cs="Times New Roman"/>
          <w:szCs w:val="32"/>
          <w:lang w:val="en-US" w:eastAsia="zh-CN"/>
        </w:rPr>
        <w:t>3.01</w:t>
      </w:r>
      <w:r>
        <w:rPr>
          <w:rFonts w:hint="default" w:ascii="Times New Roman" w:hAnsi="Times New Roman" w:cs="Times New Roman"/>
          <w:szCs w:val="32"/>
        </w:rPr>
        <w:t>万元，占</w:t>
      </w:r>
      <w:r>
        <w:rPr>
          <w:rFonts w:hint="default" w:ascii="Times New Roman" w:hAnsi="Times New Roman" w:cs="Times New Roman"/>
          <w:szCs w:val="32"/>
          <w:lang w:val="en-US" w:eastAsia="zh-CN"/>
        </w:rPr>
        <w:t>4.93</w:t>
      </w:r>
      <w:r>
        <w:rPr>
          <w:rFonts w:hint="default" w:ascii="Times New Roman" w:hAnsi="Times New Roman" w:cs="Times New Roman"/>
          <w:szCs w:val="32"/>
        </w:rPr>
        <w:t>%，主要用于缴纳职工医疗保险。</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住房保障（类）支出</w:t>
      </w:r>
      <w:r>
        <w:rPr>
          <w:rFonts w:hint="default" w:ascii="Times New Roman" w:hAnsi="Times New Roman" w:cs="Times New Roman"/>
          <w:szCs w:val="32"/>
          <w:lang w:val="en-US" w:eastAsia="zh-CN"/>
        </w:rPr>
        <w:t>4.80</w:t>
      </w:r>
      <w:r>
        <w:rPr>
          <w:rFonts w:hint="default" w:ascii="Times New Roman" w:hAnsi="Times New Roman" w:cs="Times New Roman"/>
          <w:szCs w:val="32"/>
        </w:rPr>
        <w:t>万元，占</w:t>
      </w:r>
      <w:r>
        <w:rPr>
          <w:rFonts w:hint="default" w:ascii="Times New Roman" w:hAnsi="Times New Roman" w:cs="Times New Roman"/>
          <w:szCs w:val="32"/>
          <w:lang w:val="en-US" w:eastAsia="zh-CN"/>
        </w:rPr>
        <w:t>7.86</w:t>
      </w:r>
      <w:r>
        <w:rPr>
          <w:rFonts w:hint="default" w:ascii="Times New Roman" w:hAnsi="Times New Roman" w:cs="Times New Roman"/>
          <w:szCs w:val="32"/>
        </w:rPr>
        <w:t>%，主要用于缴纳职工住房公积金。</w:t>
      </w:r>
    </w:p>
    <w:p>
      <w:pPr>
        <w:spacing w:line="52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六、202</w:t>
      </w:r>
      <w:r>
        <w:rPr>
          <w:rFonts w:hint="default" w:ascii="Times New Roman" w:hAnsi="Times New Roman" w:cs="Times New Roman"/>
          <w:szCs w:val="32"/>
          <w:lang w:val="en-US" w:eastAsia="zh-CN"/>
        </w:rPr>
        <w:t>4</w:t>
      </w:r>
      <w:r>
        <w:rPr>
          <w:rFonts w:hint="default" w:ascii="Times New Roman" w:hAnsi="Times New Roman" w:eastAsia="黑体" w:cs="Times New Roman"/>
          <w:szCs w:val="32"/>
        </w:rPr>
        <w:t>年一般公共预算基本支出情况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年一般公共预算基本支出</w:t>
      </w:r>
      <w:r>
        <w:rPr>
          <w:rFonts w:hint="default" w:ascii="Times New Roman" w:hAnsi="Times New Roman" w:cs="Times New Roman"/>
          <w:szCs w:val="32"/>
          <w:lang w:val="en-US" w:eastAsia="zh-CN"/>
        </w:rPr>
        <w:t>61.11</w:t>
      </w:r>
      <w:r>
        <w:rPr>
          <w:rFonts w:hint="default" w:ascii="Times New Roman" w:hAnsi="Times New Roman" w:cs="Times New Roman"/>
          <w:szCs w:val="32"/>
        </w:rPr>
        <w:t>万元，其中：</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人员经费</w:t>
      </w:r>
      <w:r>
        <w:rPr>
          <w:rFonts w:hint="default" w:ascii="Times New Roman" w:hAnsi="Times New Roman" w:cs="Times New Roman"/>
          <w:szCs w:val="32"/>
          <w:lang w:val="en-US" w:eastAsia="zh-CN"/>
        </w:rPr>
        <w:t>55.41</w:t>
      </w:r>
      <w:r>
        <w:rPr>
          <w:rFonts w:hint="default" w:ascii="Times New Roman" w:hAnsi="Times New Roman" w:cs="Times New Roman"/>
          <w:szCs w:val="32"/>
        </w:rPr>
        <w:t>万元，主要包括：基本工资、津贴补贴、奖金、</w:t>
      </w:r>
      <w:r>
        <w:rPr>
          <w:rFonts w:hint="default" w:ascii="Times New Roman" w:hAnsi="Times New Roman" w:cs="Times New Roman"/>
          <w:szCs w:val="32"/>
          <w:lang w:eastAsia="zh-CN"/>
        </w:rPr>
        <w:t>绩效工资、</w:t>
      </w:r>
      <w:r>
        <w:rPr>
          <w:rFonts w:hint="default" w:ascii="Times New Roman" w:hAnsi="Times New Roman" w:cs="Times New Roman"/>
          <w:szCs w:val="32"/>
        </w:rPr>
        <w:t>机关事业单位基本养老保险缴费、职工基本医疗保险缴费、公务员医疗补助缴费、其他社会保障缴费、住房公积金、医疗费、其他工资福利支出、退休费、其他对个人和家庭的补助支出。</w:t>
      </w:r>
    </w:p>
    <w:p>
      <w:pPr>
        <w:ind w:firstLine="640" w:firstLineChars="200"/>
        <w:rPr>
          <w:rFonts w:hint="default" w:ascii="Times New Roman" w:hAnsi="Times New Roman" w:cs="Times New Roman"/>
          <w:kern w:val="0"/>
          <w:szCs w:val="32"/>
          <w:lang w:eastAsia="zh-CN"/>
        </w:rPr>
      </w:pPr>
      <w:r>
        <w:rPr>
          <w:rFonts w:hint="default" w:ascii="Times New Roman" w:hAnsi="Times New Roman" w:cs="Times New Roman"/>
          <w:szCs w:val="32"/>
        </w:rPr>
        <w:t>公用经费</w:t>
      </w:r>
      <w:r>
        <w:rPr>
          <w:rFonts w:hint="default" w:ascii="Times New Roman" w:hAnsi="Times New Roman" w:cs="Times New Roman"/>
          <w:szCs w:val="32"/>
          <w:lang w:val="en-US" w:eastAsia="zh-CN"/>
        </w:rPr>
        <w:t>5.70</w:t>
      </w:r>
      <w:r>
        <w:rPr>
          <w:rFonts w:hint="default" w:ascii="Times New Roman" w:hAnsi="Times New Roman" w:cs="Times New Roman"/>
          <w:szCs w:val="32"/>
        </w:rPr>
        <w:t>万元，主要包括：</w:t>
      </w:r>
      <w:r>
        <w:rPr>
          <w:rFonts w:hint="default" w:ascii="Times New Roman" w:hAnsi="Times New Roman" w:cs="Times New Roman"/>
          <w:kern w:val="0"/>
          <w:szCs w:val="32"/>
          <w:lang w:eastAsia="zh-CN"/>
        </w:rPr>
        <w:t>咨询费</w:t>
      </w:r>
      <w:r>
        <w:rPr>
          <w:rFonts w:hint="default" w:ascii="Times New Roman" w:hAnsi="Times New Roman" w:cs="Times New Roman"/>
          <w:szCs w:val="32"/>
        </w:rPr>
        <w:t>、</w:t>
      </w:r>
      <w:r>
        <w:rPr>
          <w:rFonts w:hint="default" w:ascii="Times New Roman" w:hAnsi="Times New Roman" w:cs="Times New Roman"/>
          <w:szCs w:val="32"/>
          <w:lang w:eastAsia="zh-CN"/>
        </w:rPr>
        <w:t>手续费、维修（护）费、</w:t>
      </w:r>
      <w:r>
        <w:rPr>
          <w:rFonts w:hint="default" w:ascii="Times New Roman" w:hAnsi="Times New Roman" w:cs="Times New Roman"/>
          <w:szCs w:val="32"/>
          <w:lang w:val="en-US" w:eastAsia="zh-CN"/>
        </w:rPr>
        <w:t>租赁费、</w:t>
      </w:r>
      <w:r>
        <w:rPr>
          <w:rFonts w:hint="default" w:ascii="Times New Roman" w:hAnsi="Times New Roman" w:cs="Times New Roman"/>
          <w:kern w:val="0"/>
          <w:szCs w:val="32"/>
        </w:rPr>
        <w:t>公务接待费</w:t>
      </w:r>
      <w:r>
        <w:rPr>
          <w:rFonts w:hint="default" w:ascii="Times New Roman" w:hAnsi="Times New Roman" w:cs="Times New Roman"/>
          <w:szCs w:val="32"/>
        </w:rPr>
        <w:t>、</w:t>
      </w:r>
      <w:r>
        <w:rPr>
          <w:rFonts w:hint="default" w:ascii="Times New Roman" w:hAnsi="Times New Roman" w:cs="Times New Roman"/>
          <w:kern w:val="0"/>
          <w:szCs w:val="32"/>
        </w:rPr>
        <w:t>工会经费、福利费</w:t>
      </w:r>
      <w:r>
        <w:rPr>
          <w:rFonts w:hint="default" w:ascii="Times New Roman" w:hAnsi="Times New Roman" w:cs="Times New Roman"/>
          <w:szCs w:val="32"/>
        </w:rPr>
        <w:t>、</w:t>
      </w:r>
      <w:r>
        <w:rPr>
          <w:rFonts w:hint="default" w:ascii="Times New Roman" w:hAnsi="Times New Roman" w:cs="Times New Roman"/>
          <w:kern w:val="0"/>
          <w:szCs w:val="32"/>
        </w:rPr>
        <w:t>其他商品和服务支出</w:t>
      </w:r>
      <w:r>
        <w:rPr>
          <w:rFonts w:hint="default" w:ascii="Times New Roman" w:hAnsi="Times New Roman" w:cs="Times New Roman"/>
          <w:kern w:val="0"/>
          <w:szCs w:val="32"/>
          <w:lang w:eastAsia="zh-CN"/>
        </w:rPr>
        <w:t>。</w:t>
      </w:r>
    </w:p>
    <w:p>
      <w:pPr>
        <w:ind w:firstLine="640" w:firstLineChars="200"/>
        <w:rPr>
          <w:rFonts w:hint="default" w:ascii="Times New Roman" w:hAnsi="Times New Roman" w:eastAsia="黑体" w:cs="Times New Roman"/>
          <w:szCs w:val="30"/>
        </w:rPr>
      </w:pPr>
      <w:r>
        <w:rPr>
          <w:rFonts w:hint="default" w:ascii="Times New Roman" w:hAnsi="Times New Roman" w:eastAsia="黑体" w:cs="Times New Roman"/>
          <w:szCs w:val="30"/>
        </w:rPr>
        <w:t>七、202</w:t>
      </w:r>
      <w:r>
        <w:rPr>
          <w:rFonts w:hint="default" w:ascii="Times New Roman" w:hAnsi="Times New Roman" w:cs="Times New Roman"/>
          <w:szCs w:val="32"/>
          <w:lang w:val="en-US" w:eastAsia="zh-CN"/>
        </w:rPr>
        <w:t>4</w:t>
      </w:r>
      <w:r>
        <w:rPr>
          <w:rFonts w:hint="default" w:ascii="Times New Roman" w:hAnsi="Times New Roman" w:eastAsia="黑体" w:cs="Times New Roman"/>
          <w:szCs w:val="30"/>
        </w:rPr>
        <w:t>年一般公共预算财政拨款“三公”经费情况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年“三公”经费预算数为</w:t>
      </w:r>
      <w:r>
        <w:rPr>
          <w:rFonts w:hint="default" w:ascii="Times New Roman" w:hAnsi="Times New Roman" w:cs="Times New Roman"/>
          <w:szCs w:val="32"/>
          <w:lang w:val="en-US" w:eastAsia="zh-CN"/>
        </w:rPr>
        <w:t>0.07</w:t>
      </w:r>
      <w:r>
        <w:rPr>
          <w:rFonts w:hint="default" w:ascii="Times New Roman" w:hAnsi="Times New Roman" w:cs="Times New Roman"/>
          <w:szCs w:val="32"/>
        </w:rPr>
        <w:t>万元，202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w:t>
      </w:r>
      <w:r>
        <w:rPr>
          <w:rFonts w:hint="default" w:ascii="Times New Roman" w:hAnsi="Times New Roman" w:cs="Times New Roman"/>
          <w:szCs w:val="32"/>
          <w:lang w:eastAsia="zh-CN"/>
        </w:rPr>
        <w:t>与</w:t>
      </w:r>
      <w:r>
        <w:rPr>
          <w:rFonts w:hint="default" w:ascii="Times New Roman" w:hAnsi="Times New Roman" w:cs="Times New Roman"/>
          <w:szCs w:val="32"/>
        </w:rPr>
        <w:t>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w:t>
      </w:r>
      <w:r>
        <w:rPr>
          <w:rFonts w:hint="default" w:ascii="Times New Roman" w:hAnsi="Times New Roman" w:cs="Times New Roman"/>
          <w:szCs w:val="32"/>
          <w:lang w:eastAsia="zh-CN"/>
        </w:rPr>
        <w:t>持平</w:t>
      </w:r>
      <w:r>
        <w:rPr>
          <w:rFonts w:hint="default" w:ascii="Times New Roman" w:hAnsi="Times New Roman" w:cs="Times New Roman"/>
          <w:szCs w:val="32"/>
        </w:rPr>
        <w:t>。其中：</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1.因公出国（境）费0万元，202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年预算数与202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预算数持平。</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2.公务接待费</w:t>
      </w:r>
      <w:r>
        <w:rPr>
          <w:rFonts w:hint="default" w:ascii="Times New Roman" w:hAnsi="Times New Roman" w:cs="Times New Roman"/>
          <w:szCs w:val="32"/>
          <w:lang w:val="en-US" w:eastAsia="zh-CN"/>
        </w:rPr>
        <w:t>0.07</w:t>
      </w:r>
      <w:r>
        <w:rPr>
          <w:rFonts w:hint="default" w:ascii="Times New Roman" w:hAnsi="Times New Roman" w:cs="Times New Roman"/>
          <w:szCs w:val="32"/>
        </w:rPr>
        <w:t>万元，202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w:t>
      </w:r>
      <w:r>
        <w:rPr>
          <w:rFonts w:hint="default" w:ascii="Times New Roman" w:hAnsi="Times New Roman" w:cs="Times New Roman"/>
          <w:szCs w:val="32"/>
          <w:lang w:eastAsia="zh-CN"/>
        </w:rPr>
        <w:t>与</w:t>
      </w:r>
      <w:r>
        <w:rPr>
          <w:rFonts w:hint="default" w:ascii="Times New Roman" w:hAnsi="Times New Roman" w:cs="Times New Roman"/>
          <w:szCs w:val="32"/>
        </w:rPr>
        <w:t>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w:t>
      </w:r>
      <w:r>
        <w:rPr>
          <w:rFonts w:hint="default" w:ascii="Times New Roman" w:hAnsi="Times New Roman" w:cs="Times New Roman"/>
          <w:szCs w:val="32"/>
          <w:lang w:eastAsia="zh-CN"/>
        </w:rPr>
        <w:t>持平</w:t>
      </w:r>
      <w:r>
        <w:rPr>
          <w:rFonts w:hint="default" w:ascii="Times New Roman" w:hAnsi="Times New Roman" w:cs="Times New Roman"/>
          <w:szCs w:val="32"/>
        </w:rPr>
        <w:t>。</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3.公务用车购置及运行费</w:t>
      </w:r>
      <w:r>
        <w:rPr>
          <w:rFonts w:hint="default" w:ascii="Times New Roman" w:hAnsi="Times New Roman" w:cs="Times New Roman"/>
          <w:szCs w:val="32"/>
          <w:lang w:val="en-US" w:eastAsia="zh-CN"/>
        </w:rPr>
        <w:t>0</w:t>
      </w:r>
      <w:r>
        <w:rPr>
          <w:rFonts w:hint="default" w:ascii="Times New Roman" w:hAnsi="Times New Roman" w:cs="Times New Roman"/>
          <w:szCs w:val="32"/>
        </w:rPr>
        <w:t>万元，202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w:t>
      </w:r>
      <w:r>
        <w:rPr>
          <w:rFonts w:hint="default" w:ascii="Times New Roman" w:hAnsi="Times New Roman" w:cs="Times New Roman"/>
          <w:szCs w:val="32"/>
          <w:lang w:eastAsia="zh-CN"/>
        </w:rPr>
        <w:t>与</w:t>
      </w:r>
      <w:r>
        <w:rPr>
          <w:rFonts w:hint="default" w:ascii="Times New Roman" w:hAnsi="Times New Roman" w:cs="Times New Roman"/>
          <w:szCs w:val="32"/>
        </w:rPr>
        <w:t>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w:t>
      </w:r>
      <w:r>
        <w:rPr>
          <w:rFonts w:hint="default" w:ascii="Times New Roman" w:hAnsi="Times New Roman" w:cs="Times New Roman"/>
          <w:szCs w:val="32"/>
          <w:lang w:eastAsia="zh-CN"/>
        </w:rPr>
        <w:t>持平</w:t>
      </w:r>
      <w:r>
        <w:rPr>
          <w:rFonts w:hint="default" w:ascii="Times New Roman" w:hAnsi="Times New Roman" w:cs="Times New Roman"/>
          <w:szCs w:val="32"/>
        </w:rPr>
        <w:t>。公务用车运行维护费</w:t>
      </w:r>
      <w:r>
        <w:rPr>
          <w:rFonts w:hint="default" w:ascii="Times New Roman" w:hAnsi="Times New Roman" w:cs="Times New Roman"/>
          <w:szCs w:val="32"/>
          <w:lang w:val="en-US" w:eastAsia="zh-CN"/>
        </w:rPr>
        <w:t>0</w:t>
      </w:r>
      <w:r>
        <w:rPr>
          <w:rFonts w:hint="default" w:ascii="Times New Roman" w:hAnsi="Times New Roman" w:cs="Times New Roman"/>
          <w:szCs w:val="32"/>
        </w:rPr>
        <w:t>万元，202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年预算数与202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预算数持平。公务用车购置费0万元</w:t>
      </w:r>
      <w:r>
        <w:rPr>
          <w:rFonts w:hint="default" w:ascii="Times New Roman" w:hAnsi="Times New Roman" w:cs="Times New Roman"/>
          <w:szCs w:val="32"/>
          <w:lang w:eastAsia="zh-CN"/>
        </w:rPr>
        <w:t>，</w:t>
      </w: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年预算数与202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预算数持平。</w:t>
      </w:r>
    </w:p>
    <w:p>
      <w:pPr>
        <w:spacing w:line="54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八、202</w:t>
      </w:r>
      <w:r>
        <w:rPr>
          <w:rFonts w:hint="default" w:ascii="Times New Roman" w:hAnsi="Times New Roman" w:eastAsia="黑体" w:cs="Times New Roman"/>
          <w:szCs w:val="32"/>
          <w:lang w:val="en-US" w:eastAsia="zh-CN"/>
        </w:rPr>
        <w:t>4</w:t>
      </w:r>
      <w:r>
        <w:rPr>
          <w:rFonts w:hint="default" w:ascii="Times New Roman" w:hAnsi="Times New Roman" w:eastAsia="黑体" w:cs="Times New Roman"/>
          <w:szCs w:val="32"/>
        </w:rPr>
        <w:t>年政府性基金预算支出情况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本单位无政府性基金预算支出。</w:t>
      </w:r>
    </w:p>
    <w:p>
      <w:pPr>
        <w:spacing w:line="54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九、202</w:t>
      </w:r>
      <w:r>
        <w:rPr>
          <w:rFonts w:hint="default" w:ascii="Times New Roman" w:hAnsi="Times New Roman" w:eastAsia="黑体" w:cs="Times New Roman"/>
          <w:szCs w:val="32"/>
          <w:lang w:val="en-US" w:eastAsia="zh-CN"/>
        </w:rPr>
        <w:t>4</w:t>
      </w:r>
      <w:r>
        <w:rPr>
          <w:rFonts w:hint="default" w:ascii="Times New Roman" w:hAnsi="Times New Roman" w:eastAsia="黑体" w:cs="Times New Roman"/>
          <w:szCs w:val="32"/>
        </w:rPr>
        <w:t>年国有资本经营预算支出情况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本单位无国有资本经营预算支出。</w:t>
      </w:r>
    </w:p>
    <w:p>
      <w:pPr>
        <w:spacing w:line="540" w:lineRule="exact"/>
        <w:ind w:firstLine="640"/>
        <w:rPr>
          <w:rFonts w:hint="default" w:ascii="Times New Roman" w:hAnsi="Times New Roman" w:eastAsia="黑体" w:cs="Times New Roman"/>
          <w:szCs w:val="32"/>
        </w:rPr>
      </w:pPr>
      <w:r>
        <w:rPr>
          <w:rFonts w:hint="default" w:ascii="Times New Roman" w:hAnsi="Times New Roman" w:eastAsia="黑体" w:cs="Times New Roman"/>
          <w:szCs w:val="32"/>
        </w:rPr>
        <w:t>十、其他重要事项的说明情况</w:t>
      </w:r>
    </w:p>
    <w:p>
      <w:pPr>
        <w:spacing w:line="50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（一）机关运行经费</w:t>
      </w:r>
    </w:p>
    <w:p>
      <w:pPr>
        <w:spacing w:line="50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本单位无机关运行经费。</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（二）政府采购情况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本单位无政府采购。</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（三）国有资产占有使用情况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本单位无国有资产。</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（四）项目支出情况说明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szCs w:val="32"/>
        </w:rPr>
        <w:t>本单位无项目经费预算支出。</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（五）项目支出绩效目标情况说明</w:t>
      </w:r>
    </w:p>
    <w:p>
      <w:pPr>
        <w:spacing w:line="540" w:lineRule="exact"/>
        <w:ind w:firstLine="645"/>
        <w:rPr>
          <w:rFonts w:hint="default" w:ascii="Times New Roman" w:hAnsi="Times New Roman" w:eastAsia="楷体" w:cs="Times New Roman"/>
          <w:szCs w:val="32"/>
        </w:rPr>
      </w:pPr>
      <w:r>
        <w:rPr>
          <w:rFonts w:hint="default" w:ascii="Times New Roman" w:hAnsi="Times New Roman" w:cs="Times New Roman"/>
          <w:szCs w:val="32"/>
        </w:rPr>
        <w:t>本单位无项目经费预算支出。</w:t>
      </w: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Style w:val="14"/>
      </w:rPr>
    </w:pPr>
  </w:p>
  <w:p>
    <w:pPr>
      <w:pStyle w:val="8"/>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separate"/>
    </w:r>
    <w:r>
      <w:rPr>
        <w:rStyle w:val="14"/>
      </w:rPr>
      <w:t>0</w: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Style w:val="1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8"/>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08475"/>
    <w:multiLevelType w:val="singleLevel"/>
    <w:tmpl w:val="EF608475"/>
    <w:lvl w:ilvl="0" w:tentative="0">
      <w:start w:val="1"/>
      <w:numFmt w:val="decimal"/>
      <w:suff w:val="nothing"/>
      <w:lvlText w:val="%1、"/>
      <w:lvlJc w:val="left"/>
    </w:lvl>
  </w:abstractNum>
  <w:abstractNum w:abstractNumId="1">
    <w:nsid w:val="FA834A80"/>
    <w:multiLevelType w:val="singleLevel"/>
    <w:tmpl w:val="FA834A8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NjNiYzI4ODc0ZDJmM2I1YjgyYTdhNmZjN2ZjOGM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10C5E"/>
    <w:rsid w:val="00D33284"/>
    <w:rsid w:val="00D44841"/>
    <w:rsid w:val="00D55467"/>
    <w:rsid w:val="00D71247"/>
    <w:rsid w:val="00DE2D70"/>
    <w:rsid w:val="00DF0F79"/>
    <w:rsid w:val="00E00855"/>
    <w:rsid w:val="00E22C47"/>
    <w:rsid w:val="00E56F79"/>
    <w:rsid w:val="00E67450"/>
    <w:rsid w:val="00E82D48"/>
    <w:rsid w:val="00EC73B7"/>
    <w:rsid w:val="00EE1F67"/>
    <w:rsid w:val="00F47B19"/>
    <w:rsid w:val="00F7193F"/>
    <w:rsid w:val="00F8523B"/>
    <w:rsid w:val="00FF7928"/>
    <w:rsid w:val="01265BCF"/>
    <w:rsid w:val="01904BDC"/>
    <w:rsid w:val="019B69D8"/>
    <w:rsid w:val="01B7145A"/>
    <w:rsid w:val="02033000"/>
    <w:rsid w:val="020E6D2C"/>
    <w:rsid w:val="02A45E97"/>
    <w:rsid w:val="02C44267"/>
    <w:rsid w:val="031D7D4B"/>
    <w:rsid w:val="034D6BB0"/>
    <w:rsid w:val="037F2004"/>
    <w:rsid w:val="0486486A"/>
    <w:rsid w:val="04954460"/>
    <w:rsid w:val="04B818D1"/>
    <w:rsid w:val="05065269"/>
    <w:rsid w:val="050D06DA"/>
    <w:rsid w:val="05310B72"/>
    <w:rsid w:val="05513E94"/>
    <w:rsid w:val="056F5A6D"/>
    <w:rsid w:val="059B3770"/>
    <w:rsid w:val="063949A0"/>
    <w:rsid w:val="06BD5BC7"/>
    <w:rsid w:val="06F008FF"/>
    <w:rsid w:val="079E5032"/>
    <w:rsid w:val="083777B6"/>
    <w:rsid w:val="08C6368D"/>
    <w:rsid w:val="09015F14"/>
    <w:rsid w:val="091C5C63"/>
    <w:rsid w:val="09421190"/>
    <w:rsid w:val="09796798"/>
    <w:rsid w:val="09A0082A"/>
    <w:rsid w:val="0A00435B"/>
    <w:rsid w:val="0A0124A3"/>
    <w:rsid w:val="0AAA1697"/>
    <w:rsid w:val="0ABA06FE"/>
    <w:rsid w:val="0B213749"/>
    <w:rsid w:val="0B49202F"/>
    <w:rsid w:val="0B5F5ADA"/>
    <w:rsid w:val="0C2A5C84"/>
    <w:rsid w:val="0C4F64D9"/>
    <w:rsid w:val="0C583939"/>
    <w:rsid w:val="0C6D1BAE"/>
    <w:rsid w:val="0CFB142B"/>
    <w:rsid w:val="0D2A2435"/>
    <w:rsid w:val="0D6B1039"/>
    <w:rsid w:val="0DA001B0"/>
    <w:rsid w:val="0DEB170B"/>
    <w:rsid w:val="0DFA3914"/>
    <w:rsid w:val="0E4C7841"/>
    <w:rsid w:val="0E97506F"/>
    <w:rsid w:val="0F3E0406"/>
    <w:rsid w:val="0F980230"/>
    <w:rsid w:val="0FD62F63"/>
    <w:rsid w:val="0FDE2A27"/>
    <w:rsid w:val="10AE7F82"/>
    <w:rsid w:val="10C93B35"/>
    <w:rsid w:val="10E02E12"/>
    <w:rsid w:val="11177619"/>
    <w:rsid w:val="112605C8"/>
    <w:rsid w:val="112E50AD"/>
    <w:rsid w:val="11A6707B"/>
    <w:rsid w:val="11B35B2F"/>
    <w:rsid w:val="12E711B7"/>
    <w:rsid w:val="136D62BD"/>
    <w:rsid w:val="136E4388"/>
    <w:rsid w:val="13F21722"/>
    <w:rsid w:val="13F82249"/>
    <w:rsid w:val="1441443C"/>
    <w:rsid w:val="14C12787"/>
    <w:rsid w:val="15593E10"/>
    <w:rsid w:val="159578AA"/>
    <w:rsid w:val="159F7E25"/>
    <w:rsid w:val="15F848D0"/>
    <w:rsid w:val="160E1FA5"/>
    <w:rsid w:val="160F2600"/>
    <w:rsid w:val="16C829AB"/>
    <w:rsid w:val="16DD34F5"/>
    <w:rsid w:val="17765BCA"/>
    <w:rsid w:val="17965640"/>
    <w:rsid w:val="17A027D8"/>
    <w:rsid w:val="17CC2625"/>
    <w:rsid w:val="19132BE0"/>
    <w:rsid w:val="191F4716"/>
    <w:rsid w:val="193957B5"/>
    <w:rsid w:val="1954649C"/>
    <w:rsid w:val="1981715C"/>
    <w:rsid w:val="1A817DF8"/>
    <w:rsid w:val="1A8A6135"/>
    <w:rsid w:val="1AAE21D3"/>
    <w:rsid w:val="1ADC594E"/>
    <w:rsid w:val="1AEB5252"/>
    <w:rsid w:val="1B5D193B"/>
    <w:rsid w:val="1B8A03E4"/>
    <w:rsid w:val="1B9C1459"/>
    <w:rsid w:val="1C610164"/>
    <w:rsid w:val="1C852172"/>
    <w:rsid w:val="1CA40C0C"/>
    <w:rsid w:val="1CFF4A32"/>
    <w:rsid w:val="1D833200"/>
    <w:rsid w:val="1DAF4298"/>
    <w:rsid w:val="1E3A3FD0"/>
    <w:rsid w:val="1EB55C07"/>
    <w:rsid w:val="1EE11F13"/>
    <w:rsid w:val="1F351A10"/>
    <w:rsid w:val="1F3E3A37"/>
    <w:rsid w:val="1F857EA5"/>
    <w:rsid w:val="1F8F4381"/>
    <w:rsid w:val="1FED47E9"/>
    <w:rsid w:val="206816AC"/>
    <w:rsid w:val="21134335"/>
    <w:rsid w:val="21BA5E54"/>
    <w:rsid w:val="226E581D"/>
    <w:rsid w:val="22A4003E"/>
    <w:rsid w:val="23135C25"/>
    <w:rsid w:val="23EC61F6"/>
    <w:rsid w:val="244C543C"/>
    <w:rsid w:val="24624768"/>
    <w:rsid w:val="2527505B"/>
    <w:rsid w:val="259B5BC5"/>
    <w:rsid w:val="25D24FC7"/>
    <w:rsid w:val="25F62C4E"/>
    <w:rsid w:val="26643D6C"/>
    <w:rsid w:val="26FE109D"/>
    <w:rsid w:val="27073E1E"/>
    <w:rsid w:val="27B04AB3"/>
    <w:rsid w:val="282C3BA1"/>
    <w:rsid w:val="2879797C"/>
    <w:rsid w:val="287D7270"/>
    <w:rsid w:val="28A63332"/>
    <w:rsid w:val="28C96E8E"/>
    <w:rsid w:val="29C45F24"/>
    <w:rsid w:val="2AAF3B29"/>
    <w:rsid w:val="2B306274"/>
    <w:rsid w:val="2C2F1EC8"/>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6D039E"/>
    <w:rsid w:val="31793674"/>
    <w:rsid w:val="31894469"/>
    <w:rsid w:val="320F30FF"/>
    <w:rsid w:val="32240848"/>
    <w:rsid w:val="32332703"/>
    <w:rsid w:val="32CF2C5D"/>
    <w:rsid w:val="32EE2C61"/>
    <w:rsid w:val="335402B5"/>
    <w:rsid w:val="339171EB"/>
    <w:rsid w:val="339466B2"/>
    <w:rsid w:val="33C00B55"/>
    <w:rsid w:val="34477284"/>
    <w:rsid w:val="34555AF5"/>
    <w:rsid w:val="34FF687B"/>
    <w:rsid w:val="354C4987"/>
    <w:rsid w:val="35616772"/>
    <w:rsid w:val="35EA1663"/>
    <w:rsid w:val="364C598E"/>
    <w:rsid w:val="364F0922"/>
    <w:rsid w:val="368A3622"/>
    <w:rsid w:val="36B543E5"/>
    <w:rsid w:val="36CC2B0F"/>
    <w:rsid w:val="36FC762F"/>
    <w:rsid w:val="37A8202C"/>
    <w:rsid w:val="3838492F"/>
    <w:rsid w:val="383A009B"/>
    <w:rsid w:val="387E4B3B"/>
    <w:rsid w:val="3887374F"/>
    <w:rsid w:val="389820A0"/>
    <w:rsid w:val="389D52EC"/>
    <w:rsid w:val="38CB0ABC"/>
    <w:rsid w:val="39041A07"/>
    <w:rsid w:val="39043B77"/>
    <w:rsid w:val="39670895"/>
    <w:rsid w:val="397B4EE2"/>
    <w:rsid w:val="39F817D8"/>
    <w:rsid w:val="3A1204A1"/>
    <w:rsid w:val="3A387943"/>
    <w:rsid w:val="3A657F9A"/>
    <w:rsid w:val="3A9113D4"/>
    <w:rsid w:val="3AC54F32"/>
    <w:rsid w:val="3AF70BD4"/>
    <w:rsid w:val="3B144A0A"/>
    <w:rsid w:val="3B254018"/>
    <w:rsid w:val="3B5257F8"/>
    <w:rsid w:val="3BC92948"/>
    <w:rsid w:val="3BE370D4"/>
    <w:rsid w:val="3C1A026D"/>
    <w:rsid w:val="3C29381E"/>
    <w:rsid w:val="3C711E1D"/>
    <w:rsid w:val="3C7F463D"/>
    <w:rsid w:val="3C9B14A1"/>
    <w:rsid w:val="3CAE3960"/>
    <w:rsid w:val="3CEF6494"/>
    <w:rsid w:val="3D09356D"/>
    <w:rsid w:val="3D365BF6"/>
    <w:rsid w:val="3D7F7007"/>
    <w:rsid w:val="3DB008AA"/>
    <w:rsid w:val="3DF23324"/>
    <w:rsid w:val="3EA14040"/>
    <w:rsid w:val="3EE8108D"/>
    <w:rsid w:val="3F6F78D3"/>
    <w:rsid w:val="3F8201A3"/>
    <w:rsid w:val="402675EA"/>
    <w:rsid w:val="40B80EFF"/>
    <w:rsid w:val="41A35364"/>
    <w:rsid w:val="41C31686"/>
    <w:rsid w:val="41C837BC"/>
    <w:rsid w:val="421643AC"/>
    <w:rsid w:val="42982B4E"/>
    <w:rsid w:val="429F5D0C"/>
    <w:rsid w:val="42D83665"/>
    <w:rsid w:val="432524F5"/>
    <w:rsid w:val="434A6B47"/>
    <w:rsid w:val="436B1E42"/>
    <w:rsid w:val="436E2976"/>
    <w:rsid w:val="44425E4E"/>
    <w:rsid w:val="44A57770"/>
    <w:rsid w:val="456D114B"/>
    <w:rsid w:val="456F2DB3"/>
    <w:rsid w:val="45EB670F"/>
    <w:rsid w:val="46AB7C0D"/>
    <w:rsid w:val="46D44808"/>
    <w:rsid w:val="46ED776B"/>
    <w:rsid w:val="47242D51"/>
    <w:rsid w:val="47422C86"/>
    <w:rsid w:val="47752B08"/>
    <w:rsid w:val="479D2523"/>
    <w:rsid w:val="47CF49E6"/>
    <w:rsid w:val="48054931"/>
    <w:rsid w:val="48674ED2"/>
    <w:rsid w:val="487708E6"/>
    <w:rsid w:val="48B06FCF"/>
    <w:rsid w:val="48B540F2"/>
    <w:rsid w:val="493F6F72"/>
    <w:rsid w:val="49645F71"/>
    <w:rsid w:val="499F5C68"/>
    <w:rsid w:val="4A52465C"/>
    <w:rsid w:val="4A5C4AC6"/>
    <w:rsid w:val="4A662FBF"/>
    <w:rsid w:val="4AED2887"/>
    <w:rsid w:val="4AF16062"/>
    <w:rsid w:val="4AF34927"/>
    <w:rsid w:val="4B0A57E5"/>
    <w:rsid w:val="4B646DDD"/>
    <w:rsid w:val="4B7F44F8"/>
    <w:rsid w:val="4BAC24C5"/>
    <w:rsid w:val="4BFA0656"/>
    <w:rsid w:val="4D3439E8"/>
    <w:rsid w:val="4D355CB8"/>
    <w:rsid w:val="4D4952BF"/>
    <w:rsid w:val="4D4E2809"/>
    <w:rsid w:val="4D730507"/>
    <w:rsid w:val="4D741DD3"/>
    <w:rsid w:val="4D746B23"/>
    <w:rsid w:val="4DC93207"/>
    <w:rsid w:val="4E010C4C"/>
    <w:rsid w:val="4E214B2B"/>
    <w:rsid w:val="4E217FEA"/>
    <w:rsid w:val="4E8D5761"/>
    <w:rsid w:val="4EF54A85"/>
    <w:rsid w:val="4EF972C6"/>
    <w:rsid w:val="501B3C66"/>
    <w:rsid w:val="504B40C5"/>
    <w:rsid w:val="50987DC2"/>
    <w:rsid w:val="50A4703E"/>
    <w:rsid w:val="51282B99"/>
    <w:rsid w:val="5136104F"/>
    <w:rsid w:val="51465EDE"/>
    <w:rsid w:val="51741B35"/>
    <w:rsid w:val="52071113"/>
    <w:rsid w:val="52085509"/>
    <w:rsid w:val="522774C4"/>
    <w:rsid w:val="522A7431"/>
    <w:rsid w:val="525A440D"/>
    <w:rsid w:val="52626449"/>
    <w:rsid w:val="54240834"/>
    <w:rsid w:val="544E511A"/>
    <w:rsid w:val="54686973"/>
    <w:rsid w:val="54701694"/>
    <w:rsid w:val="54741940"/>
    <w:rsid w:val="54810E66"/>
    <w:rsid w:val="54C063E4"/>
    <w:rsid w:val="54C2556E"/>
    <w:rsid w:val="54F55D2D"/>
    <w:rsid w:val="55480EEF"/>
    <w:rsid w:val="569B7F91"/>
    <w:rsid w:val="56D21BED"/>
    <w:rsid w:val="572651B2"/>
    <w:rsid w:val="57AE5C26"/>
    <w:rsid w:val="57C71247"/>
    <w:rsid w:val="57DD75A9"/>
    <w:rsid w:val="57F56770"/>
    <w:rsid w:val="5801059F"/>
    <w:rsid w:val="58256ABD"/>
    <w:rsid w:val="58C27FDB"/>
    <w:rsid w:val="59472AC7"/>
    <w:rsid w:val="59D514A6"/>
    <w:rsid w:val="59EC6E09"/>
    <w:rsid w:val="5AB343F7"/>
    <w:rsid w:val="5ABF50F2"/>
    <w:rsid w:val="5AF25D13"/>
    <w:rsid w:val="5AF76904"/>
    <w:rsid w:val="5B052E7A"/>
    <w:rsid w:val="5B0E5771"/>
    <w:rsid w:val="5B3D7F7E"/>
    <w:rsid w:val="5B7C7777"/>
    <w:rsid w:val="5BEC6771"/>
    <w:rsid w:val="5C966047"/>
    <w:rsid w:val="5CA506B9"/>
    <w:rsid w:val="5CB70498"/>
    <w:rsid w:val="5CF1367D"/>
    <w:rsid w:val="5CF74CE4"/>
    <w:rsid w:val="5D5A7C63"/>
    <w:rsid w:val="5E256F6F"/>
    <w:rsid w:val="5F4A06D6"/>
    <w:rsid w:val="5F6235A9"/>
    <w:rsid w:val="60DC439E"/>
    <w:rsid w:val="614125C2"/>
    <w:rsid w:val="61AA1D1F"/>
    <w:rsid w:val="61B32867"/>
    <w:rsid w:val="621E6952"/>
    <w:rsid w:val="623F264E"/>
    <w:rsid w:val="624C5C52"/>
    <w:rsid w:val="63051831"/>
    <w:rsid w:val="63DF08E4"/>
    <w:rsid w:val="64C04AFD"/>
    <w:rsid w:val="655B219F"/>
    <w:rsid w:val="657333CA"/>
    <w:rsid w:val="661A7B69"/>
    <w:rsid w:val="661E3335"/>
    <w:rsid w:val="662A4D23"/>
    <w:rsid w:val="66455323"/>
    <w:rsid w:val="664909C1"/>
    <w:rsid w:val="66635AE4"/>
    <w:rsid w:val="6683298D"/>
    <w:rsid w:val="66C63EB5"/>
    <w:rsid w:val="67592674"/>
    <w:rsid w:val="679461D3"/>
    <w:rsid w:val="6858287E"/>
    <w:rsid w:val="68593A1E"/>
    <w:rsid w:val="68C04D52"/>
    <w:rsid w:val="68D33DE9"/>
    <w:rsid w:val="69157114"/>
    <w:rsid w:val="691A443E"/>
    <w:rsid w:val="697119CE"/>
    <w:rsid w:val="69E203A0"/>
    <w:rsid w:val="6A5B6D7D"/>
    <w:rsid w:val="6A765FBC"/>
    <w:rsid w:val="6A80735F"/>
    <w:rsid w:val="6AC17181"/>
    <w:rsid w:val="6ACC5E47"/>
    <w:rsid w:val="6AD43ED1"/>
    <w:rsid w:val="6AEB1905"/>
    <w:rsid w:val="6B11024D"/>
    <w:rsid w:val="6B7D5B36"/>
    <w:rsid w:val="6BA02A3F"/>
    <w:rsid w:val="6C834DAA"/>
    <w:rsid w:val="6C993CCE"/>
    <w:rsid w:val="6CF120A8"/>
    <w:rsid w:val="6D72413D"/>
    <w:rsid w:val="6FEA231D"/>
    <w:rsid w:val="6FF50B81"/>
    <w:rsid w:val="70330B9C"/>
    <w:rsid w:val="714213DD"/>
    <w:rsid w:val="717F272E"/>
    <w:rsid w:val="72783A23"/>
    <w:rsid w:val="728027C6"/>
    <w:rsid w:val="73D62FA6"/>
    <w:rsid w:val="73FE7ACC"/>
    <w:rsid w:val="74556746"/>
    <w:rsid w:val="74743258"/>
    <w:rsid w:val="74C638B3"/>
    <w:rsid w:val="761B13C4"/>
    <w:rsid w:val="764B6A8A"/>
    <w:rsid w:val="76567EF3"/>
    <w:rsid w:val="76C17E06"/>
    <w:rsid w:val="76CA67BD"/>
    <w:rsid w:val="774E6400"/>
    <w:rsid w:val="775B0046"/>
    <w:rsid w:val="79700BEF"/>
    <w:rsid w:val="798D552B"/>
    <w:rsid w:val="79EB757B"/>
    <w:rsid w:val="7A090695"/>
    <w:rsid w:val="7A1D5951"/>
    <w:rsid w:val="7ADE39C4"/>
    <w:rsid w:val="7AE175F4"/>
    <w:rsid w:val="7B417685"/>
    <w:rsid w:val="7B4B2CFB"/>
    <w:rsid w:val="7B5220F0"/>
    <w:rsid w:val="7BA169C0"/>
    <w:rsid w:val="7BC55243"/>
    <w:rsid w:val="7C2F4A9A"/>
    <w:rsid w:val="7CAD595B"/>
    <w:rsid w:val="7CF65D07"/>
    <w:rsid w:val="7D2975D1"/>
    <w:rsid w:val="7D2F3083"/>
    <w:rsid w:val="7D906046"/>
    <w:rsid w:val="7D9C12B8"/>
    <w:rsid w:val="7DBB7264"/>
    <w:rsid w:val="7DC4436B"/>
    <w:rsid w:val="7DCC0CD6"/>
    <w:rsid w:val="7E42400A"/>
    <w:rsid w:val="7EF75B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autoRedefine/>
    <w:qFormat/>
    <w:uiPriority w:val="0"/>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tabs>
        <w:tab w:val="left" w:pos="8372"/>
      </w:tabs>
      <w:spacing w:line="540" w:lineRule="exact"/>
      <w:ind w:firstLine="630"/>
    </w:pPr>
    <w:rPr>
      <w:rFonts w:eastAsia="黑体"/>
    </w:rPr>
  </w:style>
  <w:style w:type="paragraph" w:styleId="5">
    <w:name w:val="Date"/>
    <w:basedOn w:val="1"/>
    <w:next w:val="1"/>
    <w:autoRedefine/>
    <w:qFormat/>
    <w:uiPriority w:val="0"/>
  </w:style>
  <w:style w:type="paragraph" w:styleId="6">
    <w:name w:val="Body Text Indent 2"/>
    <w:basedOn w:val="1"/>
    <w:autoRedefine/>
    <w:qFormat/>
    <w:uiPriority w:val="0"/>
    <w:pPr>
      <w:tabs>
        <w:tab w:val="left" w:pos="8372"/>
      </w:tabs>
      <w:spacing w:line="540" w:lineRule="exact"/>
      <w:ind w:firstLine="630"/>
    </w:pPr>
    <w:rPr>
      <w:b/>
      <w:bCs/>
    </w:rPr>
  </w:style>
  <w:style w:type="paragraph" w:styleId="7">
    <w:name w:val="Balloon Text"/>
    <w:basedOn w:val="1"/>
    <w:link w:val="19"/>
    <w:autoRedefine/>
    <w:qFormat/>
    <w:uiPriority w:val="0"/>
    <w:rPr>
      <w:sz w:val="18"/>
      <w:szCs w:val="18"/>
    </w:rPr>
  </w:style>
  <w:style w:type="paragraph" w:styleId="8">
    <w:name w:val="footer"/>
    <w:basedOn w:val="1"/>
    <w:link w:val="18"/>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2">
    <w:name w:val="Table Grid"/>
    <w:basedOn w:val="11"/>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autoRedefine/>
    <w:qFormat/>
    <w:uiPriority w:val="0"/>
  </w:style>
  <w:style w:type="character" w:customStyle="1" w:styleId="15">
    <w:name w:val="font61"/>
    <w:autoRedefine/>
    <w:qFormat/>
    <w:uiPriority w:val="0"/>
    <w:rPr>
      <w:rFonts w:hint="eastAsia" w:ascii="宋体" w:hAnsi="宋体" w:eastAsia="宋体" w:cs="宋体"/>
      <w:color w:val="000000"/>
      <w:sz w:val="24"/>
      <w:szCs w:val="24"/>
      <w:u w:val="none"/>
    </w:rPr>
  </w:style>
  <w:style w:type="character" w:customStyle="1" w:styleId="16">
    <w:name w:val="font41"/>
    <w:autoRedefine/>
    <w:qFormat/>
    <w:uiPriority w:val="0"/>
    <w:rPr>
      <w:rFonts w:hint="default" w:ascii="华文细黑" w:hAnsi="华文细黑" w:eastAsia="华文细黑" w:cs="华文细黑"/>
      <w:color w:val="000000"/>
      <w:sz w:val="20"/>
      <w:szCs w:val="20"/>
      <w:u w:val="none"/>
    </w:rPr>
  </w:style>
  <w:style w:type="character" w:customStyle="1" w:styleId="17">
    <w:name w:val="font11"/>
    <w:autoRedefine/>
    <w:qFormat/>
    <w:uiPriority w:val="0"/>
    <w:rPr>
      <w:rFonts w:hint="default" w:ascii="Arial" w:hAnsi="Arial" w:cs="Arial"/>
      <w:color w:val="000000"/>
      <w:sz w:val="24"/>
      <w:szCs w:val="24"/>
      <w:u w:val="none"/>
    </w:rPr>
  </w:style>
  <w:style w:type="character" w:customStyle="1" w:styleId="18">
    <w:name w:val="页脚 字符"/>
    <w:link w:val="8"/>
    <w:autoRedefine/>
    <w:qFormat/>
    <w:uiPriority w:val="0"/>
    <w:rPr>
      <w:rFonts w:eastAsia="仿宋_GB2312"/>
      <w:kern w:val="2"/>
      <w:sz w:val="18"/>
    </w:rPr>
  </w:style>
  <w:style w:type="character" w:customStyle="1" w:styleId="19">
    <w:name w:val="批注框文本 字符"/>
    <w:link w:val="7"/>
    <w:autoRedefine/>
    <w:qFormat/>
    <w:uiPriority w:val="0"/>
    <w:rPr>
      <w:rFonts w:eastAsia="仿宋_GB2312"/>
      <w:kern w:val="2"/>
      <w:sz w:val="18"/>
      <w:szCs w:val="18"/>
    </w:rPr>
  </w:style>
  <w:style w:type="character" w:customStyle="1" w:styleId="20">
    <w:name w:val="font21"/>
    <w:autoRedefine/>
    <w:qFormat/>
    <w:uiPriority w:val="0"/>
    <w:rPr>
      <w:rFonts w:hint="default" w:ascii="Arial" w:hAnsi="Arial" w:cs="Arial"/>
      <w:color w:val="000000"/>
      <w:sz w:val="20"/>
      <w:szCs w:val="20"/>
      <w:u w:val="none"/>
    </w:rPr>
  </w:style>
  <w:style w:type="character" w:customStyle="1" w:styleId="21">
    <w:name w:val="font01"/>
    <w:autoRedefine/>
    <w:qFormat/>
    <w:uiPriority w:val="0"/>
    <w:rPr>
      <w:rFonts w:hint="default" w:ascii="Times New Roman" w:hAnsi="Times New Roman" w:cs="Times New Roman"/>
      <w:color w:val="000000"/>
      <w:sz w:val="24"/>
      <w:szCs w:val="24"/>
      <w:u w:val="none"/>
    </w:rPr>
  </w:style>
  <w:style w:type="paragraph" w:customStyle="1" w:styleId="22">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3">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4">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6">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0">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4">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5">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6">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2">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3">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9">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p0"/>
    <w:basedOn w:val="1"/>
    <w:autoRedefine/>
    <w:qFormat/>
    <w:uiPriority w:val="0"/>
    <w:pPr>
      <w:widowControl/>
    </w:pPr>
    <w:rPr>
      <w:rFonts w:eastAsia="宋体"/>
      <w:kern w:val="0"/>
      <w:szCs w:val="32"/>
    </w:rPr>
  </w:style>
  <w:style w:type="paragraph" w:customStyle="1" w:styleId="51">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7">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8">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3">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正文文本 21"/>
    <w:basedOn w:val="1"/>
    <w:autoRedefine/>
    <w:qFormat/>
    <w:uiPriority w:val="0"/>
    <w:pPr>
      <w:adjustRightInd w:val="0"/>
      <w:ind w:firstLine="630"/>
      <w:jc w:val="left"/>
      <w:textAlignment w:val="baseline"/>
    </w:pPr>
    <w:rPr>
      <w:rFonts w:eastAsia="黑体"/>
    </w:rPr>
  </w:style>
  <w:style w:type="paragraph" w:customStyle="1" w:styleId="65">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6">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7">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8">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1">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6">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7">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8">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9">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0">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Char"/>
    <w:basedOn w:val="1"/>
    <w:autoRedefine/>
    <w:qFormat/>
    <w:uiPriority w:val="0"/>
    <w:rPr>
      <w:rFonts w:eastAsia="宋体"/>
      <w:sz w:val="21"/>
      <w:szCs w:val="21"/>
    </w:rPr>
  </w:style>
  <w:style w:type="paragraph" w:customStyle="1" w:styleId="82">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3">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4">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0</TotalTime>
  <ScaleCrop>false</ScaleCrop>
  <LinksUpToDate>false</LinksUpToDate>
  <CharactersWithSpaces>10118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孙熙临</cp:lastModifiedBy>
  <cp:lastPrinted>2024-01-23T03:39:00Z</cp:lastPrinted>
  <dcterms:modified xsi:type="dcterms:W3CDTF">2024-02-26T02:15:14Z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F7ACCD3674654B798534432F10C33DAA_13</vt:lpwstr>
  </property>
</Properties>
</file>