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图们市统计局</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十一、支出明细表</w:t>
      </w:r>
    </w:p>
    <w:p>
      <w:pPr>
        <w:ind w:left="320" w:leftChars="100" w:firstLine="320" w:firstLineChars="100"/>
      </w:pPr>
      <w:r>
        <w:rPr>
          <w:rFonts w:hint="eastAsia"/>
        </w:rPr>
        <w:t>十二、一般公共预算支出明细表</w:t>
      </w:r>
    </w:p>
    <w:p>
      <w:pPr>
        <w:ind w:left="320" w:leftChars="100" w:firstLine="320" w:firstLineChars="100"/>
      </w:pPr>
      <w:r>
        <w:rPr>
          <w:rFonts w:hint="eastAsia"/>
        </w:rPr>
        <w:t>十三、一般公共预算财政拨款政府经济分类支出明细表</w:t>
      </w:r>
    </w:p>
    <w:p>
      <w:pPr>
        <w:ind w:left="320" w:leftChars="100" w:firstLine="320" w:firstLineChars="100"/>
      </w:pPr>
      <w:r>
        <w:rPr>
          <w:rFonts w:hint="eastAsia"/>
        </w:rPr>
        <w:t>十四、一般公共预算财政拨款政府经济分类支出明细表续1</w:t>
      </w:r>
    </w:p>
    <w:p>
      <w:pPr>
        <w:ind w:left="320" w:leftChars="100" w:firstLine="320" w:firstLineChars="100"/>
      </w:pPr>
      <w:r>
        <w:rPr>
          <w:rFonts w:hint="eastAsia"/>
        </w:rPr>
        <w:t>十五、一般公共预算财政拨款政府经济分类支出明细表续2</w:t>
      </w:r>
    </w:p>
    <w:p>
      <w:pPr>
        <w:ind w:left="320" w:leftChars="100" w:firstLine="320" w:firstLineChars="100"/>
      </w:pPr>
      <w:r>
        <w:rPr>
          <w:rFonts w:hint="eastAsia"/>
        </w:rPr>
        <w:t>十六、一般公共预算“三公”经费支出明细表</w:t>
      </w:r>
    </w:p>
    <w:p>
      <w:pPr>
        <w:ind w:left="320" w:leftChars="100" w:firstLine="320" w:firstLineChars="100"/>
      </w:pPr>
      <w:r>
        <w:rPr>
          <w:rFonts w:hint="eastAsia"/>
        </w:rPr>
        <w:t>十七、政府性基金预算支出明细表</w:t>
      </w:r>
    </w:p>
    <w:p>
      <w:pPr>
        <w:ind w:left="320" w:leftChars="100" w:firstLine="320" w:firstLineChars="100"/>
      </w:pPr>
      <w:r>
        <w:rPr>
          <w:rFonts w:hint="eastAsia"/>
        </w:rPr>
        <w:t>十八、国有资本经营预算支出明细表</w:t>
      </w:r>
    </w:p>
    <w:p>
      <w:pPr>
        <w:ind w:left="320" w:leftChars="100" w:firstLine="320" w:firstLineChars="100"/>
      </w:pPr>
      <w:r>
        <w:rPr>
          <w:rFonts w:hint="eastAsia"/>
        </w:rPr>
        <w:t>十九、基本支出预算明细表</w:t>
      </w:r>
    </w:p>
    <w:p>
      <w:pPr>
        <w:ind w:left="320" w:leftChars="100" w:firstLine="320" w:firstLineChars="100"/>
      </w:pPr>
      <w:r>
        <w:rPr>
          <w:rFonts w:hint="eastAsia"/>
        </w:rPr>
        <w:t>二十、项目支出预算明细表</w:t>
      </w:r>
    </w:p>
    <w:p>
      <w:pPr>
        <w:ind w:left="320" w:leftChars="100" w:firstLine="320" w:firstLineChars="100"/>
      </w:pPr>
      <w:r>
        <w:rPr>
          <w:rFonts w:hint="eastAsia"/>
        </w:rPr>
        <w:t>二十一、政府购买服务预算明细表</w:t>
      </w:r>
    </w:p>
    <w:p>
      <w:pPr>
        <w:ind w:left="320" w:leftChars="100" w:firstLine="320" w:firstLineChars="100"/>
      </w:pPr>
      <w:r>
        <w:rPr>
          <w:rFonts w:hint="eastAsia"/>
        </w:rPr>
        <w:t>二十二、政府采购预算明细表</w:t>
      </w:r>
    </w:p>
    <w:p>
      <w:pPr>
        <w:ind w:left="320" w:leftChars="100" w:firstLine="320" w:firstLineChars="100"/>
      </w:pPr>
      <w:r>
        <w:rPr>
          <w:rFonts w:hint="eastAsia"/>
        </w:rPr>
        <w:t>二十三、行政事业单位新增（更新）资产配置表</w:t>
      </w:r>
    </w:p>
    <w:p>
      <w:pPr>
        <w:ind w:left="320" w:leftChars="100" w:firstLine="320" w:firstLineChars="100"/>
      </w:pPr>
      <w:r>
        <w:rPr>
          <w:rFonts w:hint="eastAsia"/>
        </w:rPr>
        <w:t>二十四、单位基本信息情况表</w:t>
      </w:r>
    </w:p>
    <w:p>
      <w:pPr>
        <w:ind w:left="320" w:leftChars="100" w:firstLine="320" w:firstLineChars="100"/>
      </w:pPr>
      <w:r>
        <w:rPr>
          <w:rFonts w:hint="eastAsia"/>
        </w:rPr>
        <w:t>二十五、单位基本信息情况表续1</w:t>
      </w:r>
    </w:p>
    <w:p>
      <w:pPr>
        <w:ind w:left="320" w:leftChars="100" w:firstLine="320" w:firstLineChars="100"/>
      </w:pPr>
      <w:r>
        <w:rPr>
          <w:rFonts w:hint="eastAsia"/>
        </w:rPr>
        <w:t>二十六、基本信息情况表续2</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w:t>
      </w:r>
      <w:r>
        <w:rPr>
          <w:rFonts w:hint="eastAsia" w:eastAsia="楷体_GB2312"/>
        </w:rPr>
        <w:t>主要职责</w:t>
      </w:r>
    </w:p>
    <w:p>
      <w:pPr>
        <w:ind w:firstLine="640" w:firstLineChars="200"/>
      </w:pPr>
      <w:r>
        <w:rPr>
          <w:rFonts w:hint="eastAsia"/>
        </w:rPr>
        <w:t>(一)贯彻执行国家统计方针、政策以及法律、法规,制定全市统计规划及统计调查计划;监督检查统计法律、法规的实施。组织领导全市统计工作,承担确保统计数据真实、准确、及时的责任。</w:t>
      </w:r>
    </w:p>
    <w:p>
      <w:r>
        <w:rPr>
          <w:rFonts w:hint="eastAsia"/>
        </w:rPr>
        <w:t xml:space="preserve">    (二)根据国家统一的基本统计制度,建立健全全市国民经济核算体系和统计指标体系,贯彻执行全省统一的基本统计报表制度和统计标准；汇编提供全市国民经济核算资料。</w:t>
      </w:r>
    </w:p>
    <w:p>
      <w:r>
        <w:rPr>
          <w:rFonts w:hint="eastAsia"/>
        </w:rPr>
        <w:t xml:space="preserve">    (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r>
        <w:rPr>
          <w:rFonts w:hint="eastAsia"/>
        </w:rPr>
        <w:t xml:space="preserve">   （四)统一核定、管理、公布全市基本统计资料,定期向社会公众发布全市国民经济和社会发展情况的统计信息。</w:t>
      </w:r>
    </w:p>
    <w:p>
      <w:r>
        <w:rPr>
          <w:rFonts w:hint="eastAsia"/>
        </w:rPr>
        <w:t xml:space="preserve">    (五)建立、完善和管理全市统计信息自动化系统和全市统计数据库体系。</w:t>
      </w:r>
    </w:p>
    <w:p>
      <w:r>
        <w:rPr>
          <w:rFonts w:hint="eastAsia"/>
        </w:rPr>
        <w:t xml:space="preserve">   （六)负责全市统计系统的干部人事、劳动工资、机构编制和财务经费、审计监督及资产设施管理。</w:t>
      </w:r>
    </w:p>
    <w:p>
      <w:r>
        <w:rPr>
          <w:rFonts w:hint="eastAsia"/>
        </w:rPr>
        <w:t xml:space="preserve">    (七) 领导局属事业单位。</w:t>
      </w:r>
    </w:p>
    <w:p>
      <w:r>
        <w:rPr>
          <w:rFonts w:hint="eastAsia"/>
        </w:rPr>
        <w:t xml:space="preserve">   （八）承办延边朝鲜族自治州统计局和图们市政府交办的其他事项。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rPr>
        <w:t>图们市统计局</w:t>
      </w:r>
      <w:r>
        <w:rPr>
          <w:rFonts w:eastAsia="仿宋_GB2312"/>
        </w:rPr>
        <w:t>内设</w:t>
      </w:r>
      <w:r>
        <w:rPr>
          <w:rFonts w:hint="eastAsia" w:eastAsia="仿宋_GB2312"/>
        </w:rPr>
        <w:t>4</w:t>
      </w:r>
      <w:r>
        <w:rPr>
          <w:rFonts w:eastAsia="仿宋_GB2312"/>
        </w:rPr>
        <w:t>个机构，分别为</w:t>
      </w:r>
      <w:r>
        <w:rPr>
          <w:rFonts w:hint="eastAsia" w:eastAsia="仿宋_GB2312"/>
        </w:rPr>
        <w:t>办公室、社会经济统计科、综合科、普查中心</w:t>
      </w:r>
      <w:r>
        <w:rPr>
          <w:rFonts w:eastAsia="仿宋_GB2312"/>
        </w:rPr>
        <w:t>。</w:t>
      </w:r>
    </w:p>
    <w:p>
      <w:pPr>
        <w:ind w:firstLine="640" w:firstLineChars="200"/>
        <w:rPr>
          <w:color w:val="000000"/>
          <w:kern w:val="0"/>
          <w:szCs w:val="32"/>
        </w:rPr>
      </w:pPr>
      <w:r>
        <w:rPr>
          <w:rFonts w:hint="eastAsia"/>
          <w:color w:val="000000"/>
          <w:kern w:val="0"/>
          <w:szCs w:val="32"/>
        </w:rPr>
        <w:t>本单位无下设预算单位。</w:t>
      </w: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8.92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125.74</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6.97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141.81</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8.92</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14.78</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13.45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1.33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2.54</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2.45</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7.67</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7.14</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0.53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8.92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b/>
                <w:bCs/>
                <w:kern w:val="0"/>
                <w:sz w:val="20"/>
              </w:rPr>
              <w:t>150.73</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8.92</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b/>
                <w:bCs/>
                <w:kern w:val="0"/>
                <w:sz w:val="20"/>
              </w:rPr>
              <w:t>150.73</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8.92</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219" w:type="dxa"/>
        <w:jc w:val="center"/>
        <w:tblLayout w:type="fixed"/>
        <w:tblCellMar>
          <w:top w:w="0" w:type="dxa"/>
          <w:left w:w="108" w:type="dxa"/>
          <w:bottom w:w="0" w:type="dxa"/>
          <w:right w:w="108" w:type="dxa"/>
        </w:tblCellMar>
      </w:tblPr>
      <w:tblGrid>
        <w:gridCol w:w="1382"/>
        <w:gridCol w:w="826"/>
        <w:gridCol w:w="690"/>
        <w:gridCol w:w="709"/>
        <w:gridCol w:w="265"/>
        <w:gridCol w:w="421"/>
        <w:gridCol w:w="421"/>
        <w:gridCol w:w="421"/>
        <w:gridCol w:w="421"/>
        <w:gridCol w:w="99"/>
        <w:gridCol w:w="321"/>
        <w:gridCol w:w="421"/>
        <w:gridCol w:w="252"/>
        <w:gridCol w:w="169"/>
        <w:gridCol w:w="329"/>
        <w:gridCol w:w="259"/>
        <w:gridCol w:w="642"/>
        <w:gridCol w:w="437"/>
        <w:gridCol w:w="61"/>
        <w:gridCol w:w="360"/>
        <w:gridCol w:w="646"/>
        <w:gridCol w:w="667"/>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tcPr>
          <w:p>
            <w:pPr>
              <w:autoSpaceDN w:val="0"/>
              <w:jc w:val="left"/>
              <w:textAlignment w:val="center"/>
              <w:rPr>
                <w:rFonts w:eastAsia="华文细黑"/>
                <w:color w:val="000000"/>
                <w:sz w:val="20"/>
              </w:rPr>
            </w:pPr>
          </w:p>
        </w:tc>
        <w:tc>
          <w:tcPr>
            <w:tcW w:w="4273" w:type="dxa"/>
            <w:gridSpan w:val="9"/>
            <w:tcBorders>
              <w:bottom w:val="single" w:color="000000" w:sz="4" w:space="0"/>
            </w:tcBorders>
            <w:noWrap/>
            <w:vAlign w:val="center"/>
          </w:tcPr>
          <w:p>
            <w:pPr>
              <w:autoSpaceDN w:val="0"/>
              <w:jc w:val="left"/>
              <w:textAlignment w:val="center"/>
              <w:rPr>
                <w:rFonts w:eastAsia="华文细黑"/>
                <w:color w:val="000000"/>
                <w:sz w:val="20"/>
              </w:rPr>
            </w:pPr>
          </w:p>
        </w:tc>
        <w:tc>
          <w:tcPr>
            <w:tcW w:w="994"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901" w:type="dxa"/>
            <w:gridSpan w:val="2"/>
            <w:noWrap/>
            <w:vAlign w:val="center"/>
          </w:tcPr>
          <w:p>
            <w:pPr>
              <w:autoSpaceDN w:val="0"/>
              <w:jc w:val="left"/>
              <w:textAlignment w:val="center"/>
              <w:rPr>
                <w:rFonts w:eastAsia="华文细黑"/>
                <w:color w:val="000000"/>
                <w:sz w:val="20"/>
              </w:rPr>
            </w:pPr>
          </w:p>
        </w:tc>
        <w:tc>
          <w:tcPr>
            <w:tcW w:w="498" w:type="dxa"/>
            <w:gridSpan w:val="2"/>
            <w:noWrap/>
            <w:vAlign w:val="bottom"/>
          </w:tcPr>
          <w:p>
            <w:pPr>
              <w:autoSpaceDN w:val="0"/>
              <w:jc w:val="right"/>
              <w:textAlignment w:val="bottom"/>
              <w:rPr>
                <w:rFonts w:eastAsia="宋体"/>
                <w:color w:val="000000"/>
                <w:sz w:val="20"/>
              </w:rPr>
            </w:pPr>
          </w:p>
        </w:tc>
        <w:tc>
          <w:tcPr>
            <w:tcW w:w="1673" w:type="dxa"/>
            <w:gridSpan w:val="3"/>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26"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610" w:type="dxa"/>
            <w:gridSpan w:val="12"/>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340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826"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69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395"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421"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2104" w:type="dxa"/>
            <w:gridSpan w:val="7"/>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588"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500"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1313"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69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09"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265"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588"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18"/>
                <w:szCs w:val="18"/>
                <w:shd w:val="clear" w:color="auto" w:fill="FFFFFF"/>
              </w:rPr>
            </w:pPr>
            <w:r>
              <w:rPr>
                <w:rFonts w:hint="eastAsia" w:eastAsia="宋体"/>
                <w:color w:val="000000"/>
                <w:sz w:val="18"/>
                <w:szCs w:val="18"/>
                <w:shd w:val="clear" w:color="auto" w:fill="FFFFFF"/>
              </w:rPr>
              <w:t>图们市统计局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150.73</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141.81</w:t>
            </w: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141.81</w:t>
            </w:r>
          </w:p>
        </w:tc>
        <w:tc>
          <w:tcPr>
            <w:tcW w:w="26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588"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8.92</w:t>
            </w: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8.92</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16"/>
                <w:szCs w:val="16"/>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26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588"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16"/>
                <w:szCs w:val="16"/>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26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588"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16"/>
                <w:szCs w:val="16"/>
                <w:shd w:val="clear" w:color="auto" w:fill="FFFFFF"/>
              </w:rPr>
            </w:pP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26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588"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20"/>
                <w:shd w:val="clear" w:color="auto" w:fill="FFFFFF"/>
              </w:rPr>
            </w:pP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150.73</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141.81</w:t>
            </w:r>
          </w:p>
        </w:tc>
        <w:tc>
          <w:tcPr>
            <w:tcW w:w="709"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141.81</w:t>
            </w:r>
          </w:p>
        </w:tc>
        <w:tc>
          <w:tcPr>
            <w:tcW w:w="265"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p>
        </w:tc>
        <w:tc>
          <w:tcPr>
            <w:tcW w:w="588"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8.92</w:t>
            </w:r>
          </w:p>
        </w:tc>
        <w:tc>
          <w:tcPr>
            <w:tcW w:w="642"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ind w:left="-387" w:leftChars="-121" w:right="-256" w:rightChars="-80"/>
              <w:jc w:val="center"/>
              <w:textAlignment w:val="center"/>
              <w:rPr>
                <w:rFonts w:eastAsia="宋体"/>
                <w:color w:val="000000"/>
                <w:sz w:val="16"/>
                <w:szCs w:val="16"/>
                <w:shd w:val="clear" w:color="auto" w:fill="FFFFFF"/>
              </w:rPr>
            </w:pPr>
            <w:r>
              <w:rPr>
                <w:rFonts w:hint="eastAsia" w:eastAsia="宋体"/>
                <w:color w:val="000000"/>
                <w:sz w:val="16"/>
                <w:szCs w:val="16"/>
                <w:shd w:val="clear" w:color="auto" w:fill="FFFFFF"/>
              </w:rPr>
              <w:t>8.92</w:t>
            </w:r>
          </w:p>
        </w:tc>
        <w:tc>
          <w:tcPr>
            <w:tcW w:w="437" w:type="dxa"/>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9179" w:type="dxa"/>
              <w:tblInd w:w="445" w:type="dxa"/>
              <w:tblLayout w:type="fixed"/>
              <w:tblCellMar>
                <w:top w:w="15" w:type="dxa"/>
                <w:left w:w="15" w:type="dxa"/>
                <w:bottom w:w="15" w:type="dxa"/>
                <w:right w:w="15" w:type="dxa"/>
              </w:tblCellMar>
            </w:tblPr>
            <w:tblGrid>
              <w:gridCol w:w="2003"/>
              <w:gridCol w:w="1182"/>
              <w:gridCol w:w="1218"/>
              <w:gridCol w:w="1017"/>
              <w:gridCol w:w="1210"/>
              <w:gridCol w:w="1181"/>
              <w:gridCol w:w="28"/>
              <w:gridCol w:w="1210"/>
              <w:gridCol w:w="130"/>
            </w:tblGrid>
            <w:tr>
              <w:tblPrEx>
                <w:tblCellMar>
                  <w:top w:w="15" w:type="dxa"/>
                  <w:left w:w="15" w:type="dxa"/>
                  <w:bottom w:w="15" w:type="dxa"/>
                  <w:right w:w="15" w:type="dxa"/>
                </w:tblCellMar>
              </w:tblPrEx>
              <w:trPr>
                <w:gridAfter w:val="1"/>
                <w:wAfter w:w="129" w:type="dxa"/>
                <w:trHeight w:val="542" w:hRule="atLeast"/>
              </w:trPr>
              <w:tc>
                <w:tcPr>
                  <w:tcW w:w="5421" w:type="dxa"/>
                  <w:gridSpan w:val="4"/>
                  <w:tcBorders>
                    <w:bottom w:val="single" w:color="000000" w:sz="4" w:space="0"/>
                  </w:tcBorders>
                  <w:noWrap/>
                  <w:vAlign w:val="center"/>
                </w:tcPr>
                <w:p>
                  <w:pPr>
                    <w:widowControl/>
                    <w:jc w:val="left"/>
                    <w:rPr>
                      <w:rFonts w:eastAsia="华文细黑"/>
                      <w:color w:val="000000"/>
                      <w:kern w:val="0"/>
                      <w:sz w:val="20"/>
                    </w:rPr>
                  </w:pPr>
                </w:p>
              </w:tc>
              <w:tc>
                <w:tcPr>
                  <w:tcW w:w="1210" w:type="dxa"/>
                  <w:tcBorders>
                    <w:bottom w:val="single" w:color="000000" w:sz="4" w:space="0"/>
                  </w:tcBorders>
                  <w:noWrap/>
                  <w:vAlign w:val="center"/>
                </w:tcPr>
                <w:p>
                  <w:pPr>
                    <w:widowControl/>
                    <w:jc w:val="right"/>
                    <w:rPr>
                      <w:rFonts w:eastAsia="华文细黑"/>
                      <w:color w:val="000000"/>
                      <w:kern w:val="0"/>
                      <w:sz w:val="20"/>
                    </w:rPr>
                  </w:pPr>
                </w:p>
              </w:tc>
              <w:tc>
                <w:tcPr>
                  <w:tcW w:w="1209" w:type="dxa"/>
                  <w:gridSpan w:val="2"/>
                  <w:tcBorders>
                    <w:bottom w:val="single" w:color="000000" w:sz="4" w:space="0"/>
                  </w:tcBorders>
                  <w:noWrap/>
                  <w:vAlign w:val="center"/>
                </w:tcPr>
                <w:p>
                  <w:pPr>
                    <w:widowControl/>
                    <w:jc w:val="right"/>
                    <w:rPr>
                      <w:rFonts w:eastAsia="华文细黑"/>
                      <w:color w:val="000000"/>
                      <w:kern w:val="0"/>
                      <w:sz w:val="20"/>
                    </w:rPr>
                  </w:pPr>
                </w:p>
              </w:tc>
              <w:tc>
                <w:tcPr>
                  <w:tcW w:w="1210"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887" w:hRule="atLeast"/>
              </w:trPr>
              <w:tc>
                <w:tcPr>
                  <w:tcW w:w="2004"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82"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1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36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99"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r>
                    <w:rPr>
                      <w:rFonts w:eastAsia="宋体"/>
                      <w:color w:val="000000"/>
                      <w:kern w:val="0"/>
                      <w:sz w:val="20"/>
                    </w:rPr>
                    <w:t>一、一般公共服务</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125.74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 xml:space="preserve">  统计信息事务</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125.74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24.36</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24.36</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专项普查活动</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9.98</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9.98</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统计抽样调查</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21.22</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21.22</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二、社会保障和就业支出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hint="eastAsia" w:eastAsia="宋体"/>
                      <w:color w:val="000000"/>
                      <w:kern w:val="0"/>
                      <w:sz w:val="20"/>
                    </w:rPr>
                    <w:t xml:space="preserve"> 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行政单位离退休</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6.11</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6.11</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机关事业单位基本养老保险缴费支出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8.67</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8.67</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三、卫生健康支出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行政事业单位医疗</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行政单位医疗</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四、住房保障支出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住房改革支出</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住房公积金</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2" w:hRule="atLeast"/>
              </w:trPr>
              <w:tc>
                <w:tcPr>
                  <w:tcW w:w="2004"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8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150.73</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95.17</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c>
                <w:tcPr>
                  <w:tcW w:w="121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18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8.92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125.74</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118.77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6.97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sz w:val="20"/>
                    </w:rPr>
                    <w:t>（二）社会保障和就业支出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14.78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13.45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1.33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w:t>
                  </w:r>
                  <w:r>
                    <w:rPr>
                      <w:rFonts w:hint="eastAsia" w:eastAsia="宋体"/>
                      <w:color w:val="000000"/>
                      <w:kern w:val="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2.54</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2.45</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（四）住房保障支出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7.67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7.14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150.73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141.81</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黑体"/>
                      <w:kern w:val="0"/>
                      <w:sz w:val="20"/>
                    </w:rPr>
                  </w:pPr>
                  <w:r>
                    <w:rPr>
                      <w:rFonts w:hint="eastAsia" w:eastAsia="黑体"/>
                      <w:kern w:val="0"/>
                      <w:sz w:val="20"/>
                    </w:rPr>
                    <w:t>8.92</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150.73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141.81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8.92</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125.74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24.36</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hint="eastAsia" w:eastAsia="宋体"/>
                      <w:color w:val="000000"/>
                      <w:kern w:val="0"/>
                      <w:sz w:val="20"/>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9.98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600" w:firstLineChars="300"/>
                    <w:jc w:val="left"/>
                    <w:rPr>
                      <w:rFonts w:eastAsia="宋体"/>
                      <w:color w:val="000000"/>
                      <w:kern w:val="0"/>
                      <w:sz w:val="20"/>
                    </w:rPr>
                  </w:pPr>
                  <w:r>
                    <w:rPr>
                      <w:rFonts w:hint="eastAsia"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21.22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500" w:firstLineChars="250"/>
                    <w:jc w:val="left"/>
                    <w:rPr>
                      <w:rFonts w:eastAsia="宋体"/>
                      <w:color w:val="000000"/>
                      <w:kern w:val="0"/>
                      <w:sz w:val="20"/>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pPr>
                  <w:r>
                    <w:rPr>
                      <w:rFonts w:hint="eastAsia" w:eastAsia="宋体"/>
                      <w:color w:val="000000"/>
                      <w:kern w:val="0"/>
                      <w:sz w:val="20"/>
                    </w:rPr>
                    <w:t>14.78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hint="eastAsia" w:eastAsia="宋体"/>
                      <w:color w:val="000000"/>
                      <w:kern w:val="0"/>
                      <w:sz w:val="20"/>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150.73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95.17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80.38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14.78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55.56</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tbl>
      <w:tblPr>
        <w:tblStyle w:val="9"/>
        <w:tblW w:w="5000" w:type="pct"/>
        <w:jc w:val="center"/>
        <w:tblLayout w:type="autofit"/>
        <w:tblCellMar>
          <w:top w:w="0" w:type="dxa"/>
          <w:left w:w="108" w:type="dxa"/>
          <w:bottom w:w="0" w:type="dxa"/>
          <w:right w:w="108" w:type="dxa"/>
        </w:tblCellMar>
      </w:tblPr>
      <w:tblGrid>
        <w:gridCol w:w="3656"/>
        <w:gridCol w:w="2149"/>
        <w:gridCol w:w="1618"/>
        <w:gridCol w:w="1752"/>
      </w:tblGrid>
      <w:tr>
        <w:tblPrEx>
          <w:tblCellMar>
            <w:top w:w="0" w:type="dxa"/>
            <w:left w:w="108" w:type="dxa"/>
            <w:bottom w:w="0" w:type="dxa"/>
            <w:right w:w="108" w:type="dxa"/>
          </w:tblCellMar>
        </w:tblPrEx>
        <w:trPr>
          <w:trHeight w:val="817" w:hRule="atLeast"/>
          <w:jc w:val="center"/>
        </w:trPr>
        <w:tc>
          <w:tcPr>
            <w:tcW w:w="5000" w:type="pct"/>
            <w:gridSpan w:val="4"/>
            <w:tcBorders>
              <w:top w:val="nil"/>
              <w:left w:val="nil"/>
              <w:bottom w:val="nil"/>
              <w:right w:val="nil"/>
            </w:tcBorders>
            <w:noWrap/>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519" w:hRule="atLeast"/>
          <w:jc w:val="center"/>
        </w:trPr>
        <w:tc>
          <w:tcPr>
            <w:tcW w:w="1778" w:type="pct"/>
            <w:tcBorders>
              <w:top w:val="nil"/>
              <w:left w:val="nil"/>
              <w:bottom w:val="single" w:color="auto" w:sz="4" w:space="0"/>
              <w:right w:val="nil"/>
            </w:tcBorders>
            <w:noWrap/>
            <w:vAlign w:val="center"/>
          </w:tcPr>
          <w:p>
            <w:pPr>
              <w:widowControl/>
              <w:jc w:val="left"/>
              <w:rPr>
                <w:rFonts w:eastAsia="宋体"/>
                <w:kern w:val="0"/>
                <w:sz w:val="20"/>
              </w:rPr>
            </w:pPr>
            <w:r>
              <w:rPr>
                <w:rFonts w:eastAsia="宋体"/>
                <w:kern w:val="0"/>
                <w:sz w:val="20"/>
              </w:rPr>
              <w:t>　</w:t>
            </w:r>
          </w:p>
        </w:tc>
        <w:tc>
          <w:tcPr>
            <w:tcW w:w="1243" w:type="pct"/>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1979" w:type="pct"/>
            <w:gridSpan w:val="2"/>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right w:val="single" w:color="auto" w:sz="4" w:space="0"/>
            </w:tcBorders>
            <w:noWrap/>
            <w:vAlign w:val="center"/>
          </w:tcPr>
          <w:p>
            <w:pPr>
              <w:widowControl/>
              <w:spacing w:line="240" w:lineRule="exact"/>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1243" w:type="pct"/>
            <w:tcBorders>
              <w:top w:val="single" w:color="auto" w:sz="4" w:space="0"/>
              <w:left w:val="single" w:color="auto" w:sz="4" w:space="0"/>
              <w:right w:val="single" w:color="auto" w:sz="4" w:space="0"/>
            </w:tcBorders>
            <w:noWrap/>
            <w:vAlign w:val="center"/>
          </w:tcPr>
          <w:p>
            <w:pPr>
              <w:widowControl/>
              <w:spacing w:line="240" w:lineRule="exact"/>
              <w:jc w:val="center"/>
              <w:rPr>
                <w:rFonts w:eastAsia="华文细黑"/>
                <w:kern w:val="0"/>
                <w:sz w:val="20"/>
              </w:rPr>
            </w:pPr>
            <w:r>
              <w:rPr>
                <w:rFonts w:eastAsia="华文细黑"/>
                <w:color w:val="000000"/>
                <w:kern w:val="0"/>
                <w:sz w:val="20"/>
              </w:rPr>
              <w:t>合计</w:t>
            </w:r>
          </w:p>
        </w:tc>
        <w:tc>
          <w:tcPr>
            <w:tcW w:w="953" w:type="pct"/>
            <w:tcBorders>
              <w:top w:val="single" w:color="auto" w:sz="4" w:space="0"/>
              <w:left w:val="single" w:color="auto" w:sz="4" w:space="0"/>
              <w:right w:val="single" w:color="auto" w:sz="4" w:space="0"/>
            </w:tcBorders>
            <w:noWrap/>
            <w:vAlign w:val="center"/>
          </w:tcPr>
          <w:p>
            <w:pPr>
              <w:widowControl/>
              <w:spacing w:line="240" w:lineRule="exact"/>
              <w:jc w:val="center"/>
            </w:pPr>
            <w:r>
              <w:rPr>
                <w:rFonts w:eastAsia="华文细黑"/>
                <w:color w:val="000000"/>
                <w:kern w:val="0"/>
                <w:sz w:val="20"/>
              </w:rPr>
              <w:t>人员经费</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jc w:val="left"/>
              <w:textAlignment w:val="center"/>
              <w:rPr>
                <w:rFonts w:eastAsia="宋体"/>
                <w:color w:val="000000"/>
                <w:kern w:val="0"/>
                <w:sz w:val="20"/>
              </w:rPr>
            </w:pPr>
            <w:r>
              <w:rPr>
                <w:rFonts w:eastAsia="宋体"/>
                <w:color w:val="000000"/>
                <w:sz w:val="20"/>
              </w:rPr>
              <w:t>一、工资福利支出</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73.82</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73.82</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ind w:firstLine="400" w:firstLineChars="200"/>
              <w:jc w:val="left"/>
              <w:textAlignment w:val="center"/>
              <w:rPr>
                <w:rFonts w:eastAsia="宋体"/>
                <w:color w:val="000000"/>
                <w:kern w:val="0"/>
                <w:sz w:val="20"/>
              </w:rPr>
            </w:pPr>
            <w:r>
              <w:rPr>
                <w:rFonts w:eastAsia="宋体"/>
                <w:color w:val="000000"/>
                <w:sz w:val="20"/>
              </w:rPr>
              <w:t>基本工资</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21.05</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21.05</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ind w:firstLine="400" w:firstLineChars="200"/>
              <w:jc w:val="left"/>
              <w:textAlignment w:val="center"/>
              <w:rPr>
                <w:rFonts w:eastAsia="宋体"/>
                <w:color w:val="000000"/>
                <w:kern w:val="0"/>
                <w:sz w:val="20"/>
              </w:rPr>
            </w:pPr>
            <w:r>
              <w:rPr>
                <w:rFonts w:eastAsia="宋体"/>
                <w:color w:val="000000"/>
                <w:sz w:val="20"/>
              </w:rPr>
              <w:t>津贴补贴</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16.91</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16.91</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ind w:firstLine="400" w:firstLineChars="200"/>
              <w:jc w:val="left"/>
              <w:textAlignment w:val="center"/>
              <w:rPr>
                <w:rFonts w:eastAsia="宋体"/>
                <w:color w:val="000000"/>
                <w:kern w:val="0"/>
                <w:sz w:val="20"/>
              </w:rPr>
            </w:pPr>
            <w:r>
              <w:rPr>
                <w:rFonts w:eastAsia="宋体"/>
                <w:color w:val="000000"/>
                <w:sz w:val="20"/>
              </w:rPr>
              <w:t>奖金</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11.01</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11.01</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color w:val="000000"/>
                <w:kern w:val="0"/>
                <w:sz w:val="20"/>
              </w:rPr>
              <w:t>机关事业单位基本养老保险缴费</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8.67</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8.67</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2.38</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2.38</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jc w:val="left"/>
              <w:textAlignment w:val="center"/>
              <w:rPr>
                <w:rFonts w:eastAsia="宋体"/>
                <w:kern w:val="0"/>
                <w:sz w:val="20"/>
              </w:rPr>
            </w:pPr>
            <w:r>
              <w:rPr>
                <w:rFonts w:hint="eastAsia" w:eastAsia="宋体"/>
                <w:kern w:val="0"/>
                <w:sz w:val="20"/>
              </w:rPr>
              <w:t xml:space="preserve">    其他社会保障缴费</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1.35</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1.35</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spacing w:line="240" w:lineRule="exact"/>
              <w:jc w:val="left"/>
              <w:textAlignment w:val="center"/>
              <w:rPr>
                <w:rFonts w:eastAsia="宋体"/>
                <w:kern w:val="0"/>
                <w:sz w:val="20"/>
              </w:rPr>
            </w:pPr>
            <w:r>
              <w:rPr>
                <w:rFonts w:hint="eastAsia" w:eastAsia="宋体"/>
                <w:kern w:val="0"/>
                <w:sz w:val="20"/>
              </w:rPr>
              <w:t xml:space="preserve">    住房公积金</w:t>
            </w:r>
          </w:p>
        </w:tc>
        <w:tc>
          <w:tcPr>
            <w:tcW w:w="124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7.67</w:t>
            </w:r>
          </w:p>
        </w:tc>
        <w:tc>
          <w:tcPr>
            <w:tcW w:w="953"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eastAsia="宋体"/>
                <w:kern w:val="0"/>
                <w:sz w:val="20"/>
              </w:rPr>
            </w:pPr>
            <w:r>
              <w:rPr>
                <w:rFonts w:hint="eastAsia" w:eastAsia="宋体"/>
                <w:kern w:val="0"/>
                <w:sz w:val="20"/>
              </w:rPr>
              <w:t>7.67</w:t>
            </w:r>
          </w:p>
        </w:tc>
        <w:tc>
          <w:tcPr>
            <w:tcW w:w="102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jc w:val="left"/>
              <w:textAlignment w:val="center"/>
              <w:rPr>
                <w:rFonts w:eastAsia="宋体"/>
                <w:kern w:val="0"/>
                <w:sz w:val="20"/>
              </w:rPr>
            </w:pPr>
            <w:r>
              <w:rPr>
                <w:rFonts w:hint="eastAsia" w:eastAsia="宋体"/>
                <w:kern w:val="0"/>
                <w:sz w:val="20"/>
              </w:rPr>
              <w:t xml:space="preserve">    医疗费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0.80</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0.80</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jc w:val="left"/>
              <w:textAlignment w:val="center"/>
              <w:rPr>
                <w:rFonts w:eastAsia="宋体"/>
                <w:kern w:val="0"/>
                <w:sz w:val="20"/>
              </w:rPr>
            </w:pPr>
            <w:r>
              <w:rPr>
                <w:rFonts w:hint="eastAsia" w:eastAsia="宋体"/>
                <w:kern w:val="0"/>
                <w:sz w:val="20"/>
              </w:rPr>
              <w:t xml:space="preserve">    其他工资福利支出</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3.98</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3.98</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jc w:val="left"/>
              <w:textAlignment w:val="center"/>
              <w:rPr>
                <w:rFonts w:eastAsia="宋体"/>
                <w:color w:val="000000"/>
                <w:sz w:val="20"/>
              </w:rPr>
            </w:pPr>
            <w:r>
              <w:rPr>
                <w:rFonts w:eastAsia="宋体"/>
                <w:color w:val="000000"/>
                <w:sz w:val="20"/>
              </w:rPr>
              <w:t>二、商品和服务支出</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13.93</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13.93</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eastAsia="宋体"/>
                <w:color w:val="000000"/>
                <w:sz w:val="20"/>
              </w:rPr>
              <w:t>办公费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1.23</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1.23</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rPr>
              <w:t>印刷费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0.12</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0.12</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rPr>
              <w:t>咨询费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0.15</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0.15</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rPr>
              <w:t>手续费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0.01</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0.01</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tabs>
                <w:tab w:val="left" w:pos="568"/>
              </w:tabs>
              <w:autoSpaceDN w:val="0"/>
              <w:spacing w:line="240" w:lineRule="exact"/>
              <w:ind w:firstLine="400" w:firstLineChars="200"/>
              <w:jc w:val="left"/>
              <w:textAlignment w:val="center"/>
              <w:rPr>
                <w:rFonts w:eastAsia="宋体"/>
                <w:kern w:val="0"/>
                <w:sz w:val="20"/>
              </w:rPr>
            </w:pPr>
            <w:r>
              <w:rPr>
                <w:rFonts w:hint="eastAsia" w:eastAsia="宋体"/>
                <w:kern w:val="0"/>
                <w:sz w:val="20"/>
              </w:rPr>
              <w:t>水费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0.15</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0.15</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邮电费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0.39</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0.39</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差旅费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4.03</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4.03</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会议费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0.01</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0.01</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公务接待费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0.03</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0.03</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工会经费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0.75</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0.75</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福利费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2.48</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2.48</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其他交通费用</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4.10</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4.10</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其他商品和服务支出</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0.48</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0.48</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jc w:val="left"/>
              <w:textAlignment w:val="center"/>
              <w:rPr>
                <w:rFonts w:eastAsia="宋体"/>
                <w:kern w:val="0"/>
                <w:sz w:val="20"/>
              </w:rPr>
            </w:pPr>
            <w:r>
              <w:rPr>
                <w:rFonts w:hint="eastAsia" w:eastAsia="宋体"/>
                <w:kern w:val="0"/>
                <w:sz w:val="20"/>
              </w:rPr>
              <w:t>三、对个人和家庭的补助</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6.56</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6.56</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退休费</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6.11</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6.11</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其他对个人和家庭的补助</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0.45</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0.45</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jc w:val="left"/>
              <w:textAlignment w:val="center"/>
              <w:rPr>
                <w:rFonts w:eastAsia="宋体"/>
                <w:kern w:val="0"/>
                <w:sz w:val="20"/>
              </w:rPr>
            </w:pPr>
            <w:r>
              <w:rPr>
                <w:rFonts w:hint="eastAsia" w:eastAsia="宋体"/>
                <w:kern w:val="0"/>
                <w:sz w:val="20"/>
              </w:rPr>
              <w:t>四、资本性支出</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0.86</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0.86</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办公设备购置</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0.86</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pP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0.86</w:t>
            </w:r>
          </w:p>
        </w:tc>
      </w:tr>
      <w:tr>
        <w:tblPrEx>
          <w:tblCellMar>
            <w:top w:w="0" w:type="dxa"/>
            <w:left w:w="108" w:type="dxa"/>
            <w:bottom w:w="0" w:type="dxa"/>
            <w:right w:w="108" w:type="dxa"/>
          </w:tblCellMar>
        </w:tblPrEx>
        <w:trPr>
          <w:trHeight w:val="340" w:hRule="atLeast"/>
          <w:jc w:val="center"/>
        </w:trPr>
        <w:tc>
          <w:tcPr>
            <w:tcW w:w="1778" w:type="pct"/>
            <w:tcBorders>
              <w:top w:val="single" w:color="auto" w:sz="4" w:space="0"/>
              <w:left w:val="single" w:color="auto" w:sz="4" w:space="0"/>
              <w:bottom w:val="single" w:color="auto" w:sz="4" w:space="0"/>
              <w:right w:val="single" w:color="auto" w:sz="4" w:space="0"/>
            </w:tcBorders>
            <w:noWrap/>
            <w:vAlign w:val="center"/>
          </w:tcPr>
          <w:p>
            <w:pPr>
              <w:autoSpaceDN w:val="0"/>
              <w:spacing w:line="240" w:lineRule="exact"/>
              <w:ind w:firstLine="400" w:firstLineChars="200"/>
              <w:jc w:val="left"/>
              <w:textAlignment w:val="center"/>
              <w:rPr>
                <w:rFonts w:eastAsia="宋体"/>
                <w:kern w:val="0"/>
                <w:sz w:val="20"/>
              </w:rPr>
            </w:pPr>
            <w:r>
              <w:rPr>
                <w:rFonts w:hint="eastAsia" w:eastAsia="宋体"/>
                <w:kern w:val="0"/>
                <w:sz w:val="20"/>
              </w:rPr>
              <w:t xml:space="preserve">       合计</w:t>
            </w:r>
          </w:p>
        </w:tc>
        <w:tc>
          <w:tcPr>
            <w:tcW w:w="124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95.17</w:t>
            </w:r>
          </w:p>
        </w:tc>
        <w:tc>
          <w:tcPr>
            <w:tcW w:w="95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80.38</w:t>
            </w:r>
          </w:p>
        </w:tc>
        <w:tc>
          <w:tcPr>
            <w:tcW w:w="1026"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kern w:val="0"/>
                <w:sz w:val="20"/>
              </w:rPr>
            </w:pPr>
            <w:r>
              <w:rPr>
                <w:rFonts w:hint="eastAsia" w:eastAsia="宋体"/>
                <w:kern w:val="0"/>
                <w:sz w:val="20"/>
              </w:rPr>
              <w:t>14.79</w:t>
            </w:r>
          </w:p>
        </w:tc>
      </w:tr>
    </w:tbl>
    <w:p>
      <w:pPr>
        <w:spacing w:line="240" w:lineRule="exact"/>
        <w:rPr>
          <w:sz w:val="16"/>
          <w:szCs w:val="16"/>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0.03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0.03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10</w:t>
            </w:r>
            <w:r>
              <w:rPr>
                <w:rFonts w:hint="eastAsia"/>
                <w:color w:val="000000"/>
                <w:kern w:val="0"/>
                <w:sz w:val="28"/>
                <w:szCs w:val="28"/>
              </w:rPr>
              <w:t>人，其中：在职人员</w:t>
            </w:r>
            <w:r>
              <w:rPr>
                <w:rFonts w:hint="eastAsia"/>
                <w:color w:val="000000"/>
                <w:kern w:val="0"/>
                <w:sz w:val="28"/>
                <w:szCs w:val="28"/>
                <w:lang w:val="en-US" w:eastAsia="zh-CN"/>
              </w:rPr>
              <w:t>5</w:t>
            </w:r>
            <w:r>
              <w:rPr>
                <w:rFonts w:hint="eastAsia"/>
                <w:color w:val="000000"/>
                <w:kern w:val="0"/>
                <w:sz w:val="28"/>
                <w:szCs w:val="28"/>
              </w:rPr>
              <w:t>人，退休人员</w:t>
            </w:r>
            <w:r>
              <w:rPr>
                <w:rFonts w:hint="eastAsia"/>
                <w:color w:val="000000"/>
                <w:kern w:val="0"/>
                <w:sz w:val="28"/>
                <w:szCs w:val="28"/>
                <w:lang w:val="en-US" w:eastAsia="zh-CN"/>
              </w:rPr>
              <w:t>5</w:t>
            </w:r>
            <w:r>
              <w:rPr>
                <w:rFonts w:hint="eastAsia"/>
                <w:color w:val="000000"/>
                <w:kern w:val="0"/>
                <w:sz w:val="28"/>
                <w:szCs w:val="28"/>
              </w:rPr>
              <w:t>人。</w:t>
            </w:r>
            <w:bookmarkStart w:id="0" w:name="_GoBack"/>
            <w:bookmarkEnd w:id="0"/>
          </w:p>
          <w:p>
            <w:pPr>
              <w:widowControl/>
              <w:rPr>
                <w:color w:val="000000"/>
                <w:kern w:val="0"/>
                <w:sz w:val="28"/>
                <w:szCs w:val="28"/>
              </w:rPr>
            </w:pPr>
          </w:p>
        </w:tc>
      </w:tr>
    </w:tbl>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34"/>
        <w:gridCol w:w="743"/>
        <w:gridCol w:w="378"/>
        <w:gridCol w:w="1005"/>
        <w:gridCol w:w="992"/>
        <w:gridCol w:w="946"/>
        <w:gridCol w:w="850"/>
        <w:gridCol w:w="425"/>
        <w:gridCol w:w="426"/>
        <w:gridCol w:w="472"/>
        <w:gridCol w:w="567"/>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870" w:type="dxa"/>
            <w:gridSpan w:val="16"/>
            <w:tcBorders>
              <w:top w:val="nil"/>
              <w:left w:val="nil"/>
              <w:bottom w:val="nil"/>
              <w:right w:val="nil"/>
            </w:tcBorders>
            <w:noWrap/>
            <w:vAlign w:val="center"/>
          </w:tcPr>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877" w:type="dxa"/>
            <w:gridSpan w:val="2"/>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378"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1005"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992" w:type="dxa"/>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3119" w:type="dxa"/>
            <w:gridSpan w:val="5"/>
            <w:tcBorders>
              <w:top w:val="nil"/>
              <w:left w:val="nil"/>
              <w:right w:val="nil"/>
            </w:tcBorders>
            <w:noWrap/>
            <w:vAlign w:val="center"/>
          </w:tcPr>
          <w:p>
            <w:pPr>
              <w:autoSpaceDN w:val="0"/>
              <w:jc w:val="center"/>
              <w:textAlignment w:val="center"/>
              <w:rPr>
                <w:rFonts w:ascii="Calibri" w:hAnsi="Calibri" w:eastAsia="华文细黑"/>
                <w:color w:val="000000"/>
                <w:sz w:val="20"/>
                <w:szCs w:val="22"/>
              </w:rPr>
            </w:pPr>
          </w:p>
        </w:tc>
        <w:tc>
          <w:tcPr>
            <w:tcW w:w="2268" w:type="dxa"/>
            <w:gridSpan w:val="5"/>
            <w:tcBorders>
              <w:top w:val="nil"/>
              <w:left w:val="nil"/>
              <w:right w:val="nil"/>
            </w:tcBorders>
            <w:noWrap/>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31"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2255"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1005" w:type="dxa"/>
            <w:vMerge w:val="restart"/>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992"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3119"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2268" w:type="dxa"/>
            <w:gridSpan w:val="5"/>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231" w:type="dxa"/>
            <w:vMerge w:val="continue"/>
            <w:noWrap/>
            <w:vAlign w:val="center"/>
          </w:tcPr>
          <w:p>
            <w:pPr>
              <w:autoSpaceDN w:val="0"/>
              <w:jc w:val="center"/>
              <w:textAlignment w:val="center"/>
              <w:rPr>
                <w:rFonts w:ascii="Calibri" w:hAnsi="Calibri" w:eastAsia="华文细黑"/>
                <w:color w:val="000000"/>
                <w:sz w:val="20"/>
                <w:szCs w:val="22"/>
              </w:rPr>
            </w:pPr>
          </w:p>
        </w:tc>
        <w:tc>
          <w:tcPr>
            <w:tcW w:w="1134" w:type="dxa"/>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21" w:type="dxa"/>
            <w:gridSpan w:val="2"/>
            <w:vMerge w:val="restart"/>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1005"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992" w:type="dxa"/>
            <w:vMerge w:val="continue"/>
            <w:noWrap/>
            <w:vAlign w:val="center"/>
          </w:tcPr>
          <w:p>
            <w:pPr>
              <w:autoSpaceDN w:val="0"/>
              <w:jc w:val="center"/>
              <w:textAlignment w:val="center"/>
              <w:rPr>
                <w:rFonts w:ascii="Calibri" w:hAnsi="Calibri" w:eastAsia="华文细黑"/>
                <w:color w:val="000000"/>
                <w:sz w:val="20"/>
                <w:szCs w:val="22"/>
              </w:rPr>
            </w:pPr>
          </w:p>
        </w:tc>
        <w:tc>
          <w:tcPr>
            <w:tcW w:w="2221"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26" w:type="dxa"/>
            <w:vMerge w:val="restart"/>
            <w:noWrap/>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472" w:type="dxa"/>
            <w:vMerge w:val="restart"/>
            <w:noWrap/>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1417" w:type="dxa"/>
            <w:gridSpan w:val="3"/>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851" w:type="dxa"/>
            <w:gridSpan w:val="2"/>
            <w:noWrap/>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231" w:type="dxa"/>
            <w:vMerge w:val="continue"/>
            <w:noWrap/>
            <w:vAlign w:val="center"/>
          </w:tcPr>
          <w:p>
            <w:pPr>
              <w:autoSpaceDN w:val="0"/>
              <w:jc w:val="center"/>
              <w:textAlignment w:val="center"/>
              <w:rPr>
                <w:rFonts w:ascii="Calibri" w:hAnsi="Calibri" w:eastAsia="华文细黑"/>
                <w:color w:val="000000"/>
                <w:sz w:val="20"/>
                <w:szCs w:val="22"/>
              </w:rPr>
            </w:pPr>
          </w:p>
        </w:tc>
        <w:tc>
          <w:tcPr>
            <w:tcW w:w="1134" w:type="dxa"/>
            <w:vMerge w:val="continue"/>
            <w:noWrap/>
            <w:vAlign w:val="center"/>
          </w:tcPr>
          <w:p>
            <w:pPr>
              <w:autoSpaceDN w:val="0"/>
              <w:jc w:val="center"/>
              <w:textAlignment w:val="center"/>
              <w:rPr>
                <w:rFonts w:ascii="Calibri" w:hAnsi="Calibri" w:eastAsia="华文细黑"/>
                <w:color w:val="000000"/>
                <w:sz w:val="20"/>
                <w:szCs w:val="22"/>
              </w:rPr>
            </w:pPr>
          </w:p>
        </w:tc>
        <w:tc>
          <w:tcPr>
            <w:tcW w:w="1121" w:type="dxa"/>
            <w:gridSpan w:val="2"/>
            <w:vMerge w:val="continue"/>
            <w:noWrap/>
            <w:vAlign w:val="center"/>
          </w:tcPr>
          <w:p>
            <w:pPr>
              <w:autoSpaceDN w:val="0"/>
              <w:jc w:val="center"/>
              <w:textAlignment w:val="center"/>
              <w:rPr>
                <w:rFonts w:ascii="Calibri" w:hAnsi="Calibri" w:eastAsia="华文细黑"/>
                <w:color w:val="000000"/>
                <w:sz w:val="20"/>
                <w:szCs w:val="22"/>
              </w:rPr>
            </w:pPr>
          </w:p>
        </w:tc>
        <w:tc>
          <w:tcPr>
            <w:tcW w:w="1005" w:type="dxa"/>
            <w:vMerge w:val="continue"/>
            <w:noWrap/>
            <w:vAlign w:val="center"/>
          </w:tcPr>
          <w:p>
            <w:pPr>
              <w:autoSpaceDN w:val="0"/>
              <w:jc w:val="center"/>
              <w:textAlignment w:val="center"/>
              <w:rPr>
                <w:rFonts w:ascii="Calibri" w:hAnsi="Calibri" w:eastAsia="华文细黑"/>
                <w:color w:val="000000"/>
                <w:sz w:val="20"/>
                <w:szCs w:val="22"/>
              </w:rPr>
            </w:pPr>
          </w:p>
        </w:tc>
        <w:tc>
          <w:tcPr>
            <w:tcW w:w="992" w:type="dxa"/>
            <w:vMerge w:val="continue"/>
            <w:noWrap/>
            <w:vAlign w:val="center"/>
          </w:tcPr>
          <w:p>
            <w:pPr>
              <w:autoSpaceDN w:val="0"/>
              <w:jc w:val="center"/>
              <w:textAlignment w:val="center"/>
              <w:rPr>
                <w:rFonts w:ascii="Calibri" w:hAnsi="Calibri" w:eastAsia="华文细黑"/>
                <w:color w:val="000000"/>
                <w:sz w:val="20"/>
                <w:szCs w:val="22"/>
              </w:rPr>
            </w:pPr>
          </w:p>
        </w:tc>
        <w:tc>
          <w:tcPr>
            <w:tcW w:w="946"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850"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426"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472" w:type="dxa"/>
            <w:vMerge w:val="continue"/>
            <w:noWrap/>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567"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5" w:type="dxa"/>
            <w:noWrap/>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26"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425" w:type="dxa"/>
            <w:noWrap/>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31" w:type="dxa"/>
            <w:noWrap/>
            <w:vAlign w:val="center"/>
          </w:tcPr>
          <w:p>
            <w:pPr>
              <w:spacing w:line="0" w:lineRule="atLeast"/>
              <w:jc w:val="center"/>
              <w:rPr>
                <w:rFonts w:ascii="Calibri" w:hAnsi="Calibri" w:eastAsia="楷体"/>
                <w:kern w:val="0"/>
                <w:sz w:val="15"/>
                <w:szCs w:val="15"/>
              </w:rPr>
            </w:pPr>
            <w:r>
              <w:rPr>
                <w:rFonts w:hint="eastAsia" w:ascii="Calibri" w:hAnsi="Calibri" w:eastAsia="华文细黑"/>
                <w:color w:val="000000"/>
                <w:sz w:val="15"/>
                <w:szCs w:val="15"/>
              </w:rPr>
              <w:t>专项业务支出</w:t>
            </w:r>
          </w:p>
        </w:tc>
        <w:tc>
          <w:tcPr>
            <w:tcW w:w="1134" w:type="dxa"/>
            <w:noWrap/>
            <w:vAlign w:val="center"/>
          </w:tcPr>
          <w:p>
            <w:pPr>
              <w:spacing w:line="0" w:lineRule="atLeast"/>
              <w:jc w:val="center"/>
              <w:rPr>
                <w:rFonts w:ascii="Calibri" w:hAnsi="Calibri" w:eastAsia="楷体"/>
                <w:kern w:val="0"/>
                <w:sz w:val="15"/>
                <w:szCs w:val="15"/>
              </w:rPr>
            </w:pPr>
          </w:p>
        </w:tc>
        <w:tc>
          <w:tcPr>
            <w:tcW w:w="1121" w:type="dxa"/>
            <w:gridSpan w:val="2"/>
            <w:noWrap/>
            <w:vAlign w:val="center"/>
          </w:tcPr>
          <w:p>
            <w:pPr>
              <w:spacing w:line="0" w:lineRule="atLeast"/>
              <w:jc w:val="center"/>
              <w:rPr>
                <w:rFonts w:ascii="Calibri" w:hAnsi="Calibri" w:eastAsia="楷体"/>
                <w:kern w:val="0"/>
                <w:sz w:val="15"/>
                <w:szCs w:val="15"/>
              </w:rPr>
            </w:pPr>
          </w:p>
        </w:tc>
        <w:tc>
          <w:tcPr>
            <w:tcW w:w="1005" w:type="dxa"/>
            <w:noWrap/>
            <w:vAlign w:val="center"/>
          </w:tcPr>
          <w:p>
            <w:pPr>
              <w:spacing w:line="0" w:lineRule="atLeast"/>
              <w:jc w:val="center"/>
              <w:rPr>
                <w:rFonts w:ascii="Calibri" w:hAnsi="Calibri" w:eastAsia="楷体"/>
                <w:kern w:val="0"/>
                <w:szCs w:val="32"/>
              </w:rPr>
            </w:pP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55.56</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51.63</w:t>
            </w:r>
          </w:p>
        </w:tc>
        <w:tc>
          <w:tcPr>
            <w:tcW w:w="850"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72" w:type="dxa"/>
            <w:noWrap/>
            <w:vAlign w:val="center"/>
          </w:tcPr>
          <w:p>
            <w:pPr>
              <w:spacing w:line="0" w:lineRule="atLeast"/>
              <w:jc w:val="center"/>
              <w:rPr>
                <w:rFonts w:ascii="Calibri" w:hAnsi="Calibri" w:eastAsia="楷体"/>
                <w:kern w:val="0"/>
                <w:szCs w:val="32"/>
              </w:rPr>
            </w:pPr>
          </w:p>
        </w:tc>
        <w:tc>
          <w:tcPr>
            <w:tcW w:w="567" w:type="dxa"/>
            <w:noWrap/>
            <w:vAlign w:val="center"/>
          </w:tcPr>
          <w:p>
            <w:pPr>
              <w:spacing w:line="0" w:lineRule="atLeast"/>
              <w:jc w:val="center"/>
              <w:rPr>
                <w:rFonts w:ascii="Calibri" w:hAnsi="Calibri" w:eastAsia="楷体"/>
                <w:kern w:val="0"/>
                <w:szCs w:val="32"/>
              </w:rPr>
            </w:pPr>
            <w:r>
              <w:rPr>
                <w:rFonts w:hint="eastAsia" w:ascii="Calibri" w:hAnsi="Calibri" w:eastAsia="华文细黑"/>
                <w:color w:val="000000"/>
                <w:sz w:val="16"/>
                <w:szCs w:val="16"/>
              </w:rPr>
              <w:t>3.39</w:t>
            </w: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 w:val="15"/>
                <w:szCs w:val="15"/>
              </w:rPr>
            </w:pPr>
          </w:p>
        </w:tc>
        <w:tc>
          <w:tcPr>
            <w:tcW w:w="1134" w:type="dxa"/>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5"/>
                <w:szCs w:val="15"/>
              </w:rPr>
              <w:t>专项普查活动</w:t>
            </w:r>
          </w:p>
        </w:tc>
        <w:tc>
          <w:tcPr>
            <w:tcW w:w="1121" w:type="dxa"/>
            <w:gridSpan w:val="2"/>
            <w:noWrap/>
            <w:vAlign w:val="center"/>
          </w:tcPr>
          <w:p>
            <w:pPr>
              <w:spacing w:line="0" w:lineRule="atLeast"/>
              <w:jc w:val="center"/>
              <w:rPr>
                <w:rFonts w:ascii="Calibri" w:hAnsi="Calibri" w:eastAsia="楷体"/>
                <w:kern w:val="0"/>
                <w:sz w:val="15"/>
                <w:szCs w:val="15"/>
              </w:rPr>
            </w:pPr>
          </w:p>
        </w:tc>
        <w:tc>
          <w:tcPr>
            <w:tcW w:w="1005" w:type="dxa"/>
            <w:noWrap/>
            <w:vAlign w:val="center"/>
          </w:tcPr>
          <w:p>
            <w:pPr>
              <w:spacing w:line="0" w:lineRule="atLeast"/>
              <w:jc w:val="center"/>
              <w:rPr>
                <w:rFonts w:ascii="Calibri" w:hAnsi="Calibri" w:eastAsia="楷体"/>
                <w:kern w:val="0"/>
                <w:szCs w:val="32"/>
              </w:rPr>
            </w:pP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9.98</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9.98</w:t>
            </w:r>
          </w:p>
        </w:tc>
        <w:tc>
          <w:tcPr>
            <w:tcW w:w="850"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72" w:type="dxa"/>
            <w:noWrap/>
            <w:vAlign w:val="center"/>
          </w:tcPr>
          <w:p>
            <w:pPr>
              <w:spacing w:line="0" w:lineRule="atLeast"/>
              <w:jc w:val="center"/>
              <w:rPr>
                <w:rFonts w:ascii="Calibri" w:hAnsi="Calibri" w:eastAsia="楷体"/>
                <w:kern w:val="0"/>
                <w:szCs w:val="32"/>
              </w:rPr>
            </w:pPr>
          </w:p>
        </w:tc>
        <w:tc>
          <w:tcPr>
            <w:tcW w:w="567"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 w:val="15"/>
                <w:szCs w:val="15"/>
              </w:rPr>
            </w:pPr>
          </w:p>
        </w:tc>
        <w:tc>
          <w:tcPr>
            <w:tcW w:w="1134" w:type="dxa"/>
            <w:noWrap/>
            <w:vAlign w:val="center"/>
          </w:tcPr>
          <w:p>
            <w:pPr>
              <w:spacing w:line="0" w:lineRule="atLeast"/>
              <w:jc w:val="center"/>
              <w:rPr>
                <w:rFonts w:ascii="Calibri" w:hAnsi="Calibri" w:eastAsia="楷体"/>
                <w:kern w:val="0"/>
                <w:sz w:val="15"/>
                <w:szCs w:val="15"/>
              </w:rPr>
            </w:pPr>
          </w:p>
        </w:tc>
        <w:tc>
          <w:tcPr>
            <w:tcW w:w="1121" w:type="dxa"/>
            <w:gridSpan w:val="2"/>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5"/>
                <w:szCs w:val="15"/>
              </w:rPr>
              <w:t>第五次全国经济普查经费</w:t>
            </w:r>
          </w:p>
        </w:tc>
        <w:tc>
          <w:tcPr>
            <w:tcW w:w="1005" w:type="dxa"/>
            <w:noWrap/>
            <w:vAlign w:val="center"/>
          </w:tcPr>
          <w:p>
            <w:pPr>
              <w:spacing w:line="0" w:lineRule="atLeast"/>
              <w:jc w:val="center"/>
              <w:rPr>
                <w:rFonts w:ascii="Calibri" w:hAnsi="Calibri" w:eastAsia="华文细黑"/>
                <w:color w:val="000000"/>
                <w:sz w:val="13"/>
                <w:szCs w:val="13"/>
              </w:rPr>
            </w:pPr>
            <w:r>
              <w:rPr>
                <w:rFonts w:hint="eastAsia" w:ascii="Calibri" w:hAnsi="Calibri" w:eastAsia="华文细黑"/>
                <w:color w:val="000000"/>
                <w:sz w:val="13"/>
                <w:szCs w:val="13"/>
              </w:rPr>
              <w:t>图们市统计局</w:t>
            </w: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9.98</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9.98</w:t>
            </w:r>
          </w:p>
        </w:tc>
        <w:tc>
          <w:tcPr>
            <w:tcW w:w="850"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72" w:type="dxa"/>
            <w:noWrap/>
            <w:vAlign w:val="center"/>
          </w:tcPr>
          <w:p>
            <w:pPr>
              <w:spacing w:line="0" w:lineRule="atLeast"/>
              <w:jc w:val="center"/>
              <w:rPr>
                <w:rFonts w:ascii="Calibri" w:hAnsi="Calibri" w:eastAsia="楷体"/>
                <w:kern w:val="0"/>
                <w:szCs w:val="32"/>
              </w:rPr>
            </w:pPr>
          </w:p>
        </w:tc>
        <w:tc>
          <w:tcPr>
            <w:tcW w:w="567"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 w:val="15"/>
                <w:szCs w:val="15"/>
              </w:rPr>
            </w:pPr>
          </w:p>
        </w:tc>
        <w:tc>
          <w:tcPr>
            <w:tcW w:w="1134" w:type="dxa"/>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5"/>
                <w:szCs w:val="15"/>
              </w:rPr>
              <w:t>专项统计业务</w:t>
            </w:r>
          </w:p>
        </w:tc>
        <w:tc>
          <w:tcPr>
            <w:tcW w:w="1121" w:type="dxa"/>
            <w:gridSpan w:val="2"/>
            <w:noWrap/>
            <w:vAlign w:val="center"/>
          </w:tcPr>
          <w:p>
            <w:pPr>
              <w:spacing w:line="0" w:lineRule="atLeast"/>
              <w:jc w:val="center"/>
              <w:rPr>
                <w:rFonts w:ascii="Calibri" w:hAnsi="Calibri" w:eastAsia="华文细黑"/>
                <w:color w:val="000000"/>
                <w:sz w:val="15"/>
                <w:szCs w:val="15"/>
              </w:rPr>
            </w:pPr>
          </w:p>
        </w:tc>
        <w:tc>
          <w:tcPr>
            <w:tcW w:w="1005" w:type="dxa"/>
            <w:noWrap/>
            <w:vAlign w:val="center"/>
          </w:tcPr>
          <w:p>
            <w:pPr>
              <w:spacing w:line="0" w:lineRule="atLeast"/>
              <w:jc w:val="center"/>
              <w:rPr>
                <w:rFonts w:ascii="Calibri" w:hAnsi="Calibri" w:eastAsia="华文细黑"/>
                <w:color w:val="000000"/>
                <w:sz w:val="13"/>
                <w:szCs w:val="13"/>
              </w:rPr>
            </w:pP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24.36</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21.65</w:t>
            </w:r>
          </w:p>
        </w:tc>
        <w:tc>
          <w:tcPr>
            <w:tcW w:w="850"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 w:val="16"/>
                <w:szCs w:val="16"/>
              </w:rPr>
            </w:pPr>
          </w:p>
        </w:tc>
        <w:tc>
          <w:tcPr>
            <w:tcW w:w="426" w:type="dxa"/>
            <w:noWrap/>
            <w:vAlign w:val="center"/>
          </w:tcPr>
          <w:p>
            <w:pPr>
              <w:spacing w:line="0" w:lineRule="atLeast"/>
              <w:jc w:val="center"/>
              <w:rPr>
                <w:rFonts w:ascii="Calibri" w:hAnsi="Calibri" w:eastAsia="楷体"/>
                <w:kern w:val="0"/>
                <w:sz w:val="16"/>
                <w:szCs w:val="16"/>
              </w:rPr>
            </w:pPr>
          </w:p>
        </w:tc>
        <w:tc>
          <w:tcPr>
            <w:tcW w:w="472" w:type="dxa"/>
            <w:noWrap/>
            <w:vAlign w:val="center"/>
          </w:tcPr>
          <w:p>
            <w:pPr>
              <w:spacing w:line="0" w:lineRule="atLeast"/>
              <w:jc w:val="center"/>
              <w:rPr>
                <w:rFonts w:ascii="Calibri" w:hAnsi="Calibri" w:eastAsia="楷体"/>
                <w:kern w:val="0"/>
                <w:sz w:val="16"/>
                <w:szCs w:val="16"/>
              </w:rPr>
            </w:pPr>
          </w:p>
        </w:tc>
        <w:tc>
          <w:tcPr>
            <w:tcW w:w="567"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2.71</w:t>
            </w:r>
          </w:p>
        </w:tc>
        <w:tc>
          <w:tcPr>
            <w:tcW w:w="425"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 w:val="15"/>
                <w:szCs w:val="15"/>
              </w:rPr>
            </w:pPr>
          </w:p>
        </w:tc>
        <w:tc>
          <w:tcPr>
            <w:tcW w:w="1134" w:type="dxa"/>
            <w:noWrap/>
            <w:vAlign w:val="center"/>
          </w:tcPr>
          <w:p>
            <w:pPr>
              <w:spacing w:line="0" w:lineRule="atLeast"/>
              <w:jc w:val="center"/>
              <w:rPr>
                <w:rFonts w:ascii="Calibri" w:hAnsi="Calibri" w:eastAsia="楷体"/>
                <w:kern w:val="0"/>
                <w:sz w:val="15"/>
                <w:szCs w:val="15"/>
              </w:rPr>
            </w:pPr>
          </w:p>
        </w:tc>
        <w:tc>
          <w:tcPr>
            <w:tcW w:w="1121" w:type="dxa"/>
            <w:gridSpan w:val="2"/>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5"/>
                <w:szCs w:val="15"/>
              </w:rPr>
              <w:t>统计调查经费</w:t>
            </w:r>
          </w:p>
        </w:tc>
        <w:tc>
          <w:tcPr>
            <w:tcW w:w="1005" w:type="dxa"/>
            <w:noWrap/>
            <w:vAlign w:val="center"/>
          </w:tcPr>
          <w:p>
            <w:pPr>
              <w:spacing w:line="0" w:lineRule="atLeast"/>
              <w:jc w:val="center"/>
              <w:rPr>
                <w:rFonts w:ascii="Calibri" w:hAnsi="Calibri" w:eastAsia="华文细黑"/>
                <w:color w:val="000000"/>
                <w:sz w:val="13"/>
                <w:szCs w:val="13"/>
              </w:rPr>
            </w:pPr>
            <w:r>
              <w:rPr>
                <w:rFonts w:hint="eastAsia" w:ascii="Calibri" w:hAnsi="Calibri" w:eastAsia="华文细黑"/>
                <w:color w:val="000000"/>
                <w:sz w:val="13"/>
                <w:szCs w:val="13"/>
              </w:rPr>
              <w:t>图们市统计局</w:t>
            </w: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24.36</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21.65</w:t>
            </w:r>
          </w:p>
        </w:tc>
        <w:tc>
          <w:tcPr>
            <w:tcW w:w="850"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 w:val="16"/>
                <w:szCs w:val="16"/>
              </w:rPr>
            </w:pPr>
          </w:p>
        </w:tc>
        <w:tc>
          <w:tcPr>
            <w:tcW w:w="426" w:type="dxa"/>
            <w:noWrap/>
            <w:vAlign w:val="center"/>
          </w:tcPr>
          <w:p>
            <w:pPr>
              <w:spacing w:line="0" w:lineRule="atLeast"/>
              <w:jc w:val="center"/>
              <w:rPr>
                <w:rFonts w:ascii="Calibri" w:hAnsi="Calibri" w:eastAsia="楷体"/>
                <w:kern w:val="0"/>
                <w:sz w:val="16"/>
                <w:szCs w:val="16"/>
              </w:rPr>
            </w:pPr>
          </w:p>
        </w:tc>
        <w:tc>
          <w:tcPr>
            <w:tcW w:w="472" w:type="dxa"/>
            <w:noWrap/>
            <w:vAlign w:val="center"/>
          </w:tcPr>
          <w:p>
            <w:pPr>
              <w:spacing w:line="0" w:lineRule="atLeast"/>
              <w:jc w:val="center"/>
              <w:rPr>
                <w:rFonts w:ascii="Calibri" w:hAnsi="Calibri" w:eastAsia="楷体"/>
                <w:kern w:val="0"/>
                <w:sz w:val="16"/>
                <w:szCs w:val="16"/>
              </w:rPr>
            </w:pPr>
          </w:p>
        </w:tc>
        <w:tc>
          <w:tcPr>
            <w:tcW w:w="567"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2.71</w:t>
            </w: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 w:val="15"/>
                <w:szCs w:val="15"/>
              </w:rPr>
            </w:pPr>
          </w:p>
        </w:tc>
        <w:tc>
          <w:tcPr>
            <w:tcW w:w="1134" w:type="dxa"/>
            <w:noWrap/>
            <w:vAlign w:val="center"/>
          </w:tcPr>
          <w:p>
            <w:pPr>
              <w:spacing w:line="0" w:lineRule="atLeast"/>
              <w:jc w:val="center"/>
              <w:rPr>
                <w:rFonts w:ascii="Calibri" w:hAnsi="Calibri" w:eastAsia="楷体"/>
                <w:kern w:val="0"/>
                <w:sz w:val="15"/>
                <w:szCs w:val="15"/>
              </w:rPr>
            </w:pPr>
            <w:r>
              <w:rPr>
                <w:rFonts w:hint="eastAsia" w:ascii="Calibri" w:hAnsi="Calibri" w:eastAsia="华文细黑"/>
                <w:color w:val="000000"/>
                <w:sz w:val="15"/>
                <w:szCs w:val="15"/>
              </w:rPr>
              <w:t>统计抽样调查</w:t>
            </w:r>
          </w:p>
        </w:tc>
        <w:tc>
          <w:tcPr>
            <w:tcW w:w="1121" w:type="dxa"/>
            <w:gridSpan w:val="2"/>
            <w:noWrap/>
            <w:vAlign w:val="center"/>
          </w:tcPr>
          <w:p>
            <w:pPr>
              <w:spacing w:line="0" w:lineRule="atLeast"/>
              <w:jc w:val="center"/>
              <w:rPr>
                <w:rFonts w:ascii="Calibri" w:hAnsi="Calibri" w:eastAsia="华文细黑"/>
                <w:color w:val="000000"/>
                <w:sz w:val="15"/>
                <w:szCs w:val="15"/>
              </w:rPr>
            </w:pPr>
          </w:p>
        </w:tc>
        <w:tc>
          <w:tcPr>
            <w:tcW w:w="1005" w:type="dxa"/>
            <w:noWrap/>
            <w:vAlign w:val="center"/>
          </w:tcPr>
          <w:p>
            <w:pPr>
              <w:spacing w:line="0" w:lineRule="atLeast"/>
              <w:jc w:val="center"/>
              <w:rPr>
                <w:rFonts w:ascii="Calibri" w:hAnsi="Calibri" w:eastAsia="华文细黑"/>
                <w:color w:val="000000"/>
                <w:sz w:val="13"/>
                <w:szCs w:val="13"/>
              </w:rPr>
            </w:pP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21.22</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20.00</w:t>
            </w:r>
          </w:p>
        </w:tc>
        <w:tc>
          <w:tcPr>
            <w:tcW w:w="850"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 w:val="16"/>
                <w:szCs w:val="16"/>
              </w:rPr>
            </w:pPr>
          </w:p>
        </w:tc>
        <w:tc>
          <w:tcPr>
            <w:tcW w:w="426" w:type="dxa"/>
            <w:noWrap/>
            <w:vAlign w:val="center"/>
          </w:tcPr>
          <w:p>
            <w:pPr>
              <w:spacing w:line="0" w:lineRule="atLeast"/>
              <w:jc w:val="center"/>
              <w:rPr>
                <w:rFonts w:ascii="Calibri" w:hAnsi="Calibri" w:eastAsia="楷体"/>
                <w:kern w:val="0"/>
                <w:sz w:val="16"/>
                <w:szCs w:val="16"/>
              </w:rPr>
            </w:pPr>
          </w:p>
        </w:tc>
        <w:tc>
          <w:tcPr>
            <w:tcW w:w="472" w:type="dxa"/>
            <w:noWrap/>
            <w:vAlign w:val="center"/>
          </w:tcPr>
          <w:p>
            <w:pPr>
              <w:spacing w:line="0" w:lineRule="atLeast"/>
              <w:jc w:val="center"/>
              <w:rPr>
                <w:rFonts w:ascii="Calibri" w:hAnsi="Calibri" w:eastAsia="楷体"/>
                <w:kern w:val="0"/>
                <w:sz w:val="16"/>
                <w:szCs w:val="16"/>
              </w:rPr>
            </w:pPr>
          </w:p>
        </w:tc>
        <w:tc>
          <w:tcPr>
            <w:tcW w:w="567"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1.22</w:t>
            </w: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1" w:type="dxa"/>
            <w:noWrap/>
            <w:vAlign w:val="center"/>
          </w:tcPr>
          <w:p>
            <w:pPr>
              <w:spacing w:line="0" w:lineRule="atLeast"/>
              <w:jc w:val="center"/>
              <w:rPr>
                <w:rFonts w:ascii="Calibri" w:hAnsi="Calibri" w:eastAsia="楷体"/>
                <w:kern w:val="0"/>
                <w:szCs w:val="32"/>
              </w:rPr>
            </w:pPr>
          </w:p>
        </w:tc>
        <w:tc>
          <w:tcPr>
            <w:tcW w:w="1134" w:type="dxa"/>
            <w:noWrap/>
            <w:vAlign w:val="center"/>
          </w:tcPr>
          <w:p>
            <w:pPr>
              <w:spacing w:line="0" w:lineRule="atLeast"/>
              <w:jc w:val="center"/>
              <w:rPr>
                <w:rFonts w:ascii="Calibri" w:hAnsi="Calibri" w:eastAsia="楷体"/>
                <w:kern w:val="0"/>
                <w:szCs w:val="32"/>
              </w:rPr>
            </w:pPr>
          </w:p>
        </w:tc>
        <w:tc>
          <w:tcPr>
            <w:tcW w:w="1121" w:type="dxa"/>
            <w:gridSpan w:val="2"/>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5"/>
                <w:szCs w:val="15"/>
              </w:rPr>
              <w:t>全省地方点城乡居民住户调查及专项调查工作经费</w:t>
            </w:r>
          </w:p>
        </w:tc>
        <w:tc>
          <w:tcPr>
            <w:tcW w:w="1005" w:type="dxa"/>
            <w:noWrap/>
            <w:vAlign w:val="center"/>
          </w:tcPr>
          <w:p>
            <w:pPr>
              <w:spacing w:line="0" w:lineRule="atLeast"/>
              <w:jc w:val="center"/>
              <w:rPr>
                <w:rFonts w:ascii="Calibri" w:hAnsi="Calibri" w:eastAsia="华文细黑"/>
                <w:color w:val="000000"/>
                <w:sz w:val="15"/>
                <w:szCs w:val="15"/>
              </w:rPr>
            </w:pPr>
            <w:r>
              <w:rPr>
                <w:rFonts w:hint="eastAsia" w:ascii="Calibri" w:hAnsi="Calibri" w:eastAsia="华文细黑"/>
                <w:color w:val="000000"/>
                <w:sz w:val="13"/>
                <w:szCs w:val="13"/>
              </w:rPr>
              <w:t>图们市统计局</w:t>
            </w: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21.22</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20.00</w:t>
            </w:r>
          </w:p>
        </w:tc>
        <w:tc>
          <w:tcPr>
            <w:tcW w:w="850"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 w:val="16"/>
                <w:szCs w:val="16"/>
              </w:rPr>
            </w:pPr>
          </w:p>
        </w:tc>
        <w:tc>
          <w:tcPr>
            <w:tcW w:w="426" w:type="dxa"/>
            <w:noWrap/>
            <w:vAlign w:val="center"/>
          </w:tcPr>
          <w:p>
            <w:pPr>
              <w:spacing w:line="0" w:lineRule="atLeast"/>
              <w:jc w:val="center"/>
              <w:rPr>
                <w:rFonts w:ascii="Calibri" w:hAnsi="Calibri" w:eastAsia="楷体"/>
                <w:kern w:val="0"/>
                <w:sz w:val="16"/>
                <w:szCs w:val="16"/>
              </w:rPr>
            </w:pPr>
          </w:p>
        </w:tc>
        <w:tc>
          <w:tcPr>
            <w:tcW w:w="472" w:type="dxa"/>
            <w:noWrap/>
            <w:vAlign w:val="center"/>
          </w:tcPr>
          <w:p>
            <w:pPr>
              <w:spacing w:line="0" w:lineRule="atLeast"/>
              <w:jc w:val="center"/>
              <w:rPr>
                <w:rFonts w:ascii="Calibri" w:hAnsi="Calibri" w:eastAsia="楷体"/>
                <w:kern w:val="0"/>
                <w:sz w:val="16"/>
                <w:szCs w:val="16"/>
              </w:rPr>
            </w:pPr>
          </w:p>
        </w:tc>
        <w:tc>
          <w:tcPr>
            <w:tcW w:w="567"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1.22</w:t>
            </w: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31" w:type="dxa"/>
            <w:noWrap/>
            <w:vAlign w:val="center"/>
          </w:tcPr>
          <w:p>
            <w:pPr>
              <w:autoSpaceDN w:val="0"/>
              <w:spacing w:line="0" w:lineRule="atLeast"/>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134" w:type="dxa"/>
            <w:noWrap/>
            <w:vAlign w:val="center"/>
          </w:tcPr>
          <w:p>
            <w:pPr>
              <w:autoSpaceDN w:val="0"/>
              <w:spacing w:line="0" w:lineRule="atLeast"/>
              <w:jc w:val="center"/>
              <w:textAlignment w:val="center"/>
              <w:rPr>
                <w:rFonts w:ascii="Calibri" w:hAnsi="Calibri" w:eastAsia="华文细黑"/>
                <w:color w:val="000000"/>
                <w:sz w:val="20"/>
                <w:szCs w:val="22"/>
              </w:rPr>
            </w:pPr>
          </w:p>
        </w:tc>
        <w:tc>
          <w:tcPr>
            <w:tcW w:w="1121" w:type="dxa"/>
            <w:gridSpan w:val="2"/>
            <w:noWrap/>
            <w:vAlign w:val="center"/>
          </w:tcPr>
          <w:p>
            <w:pPr>
              <w:spacing w:line="0" w:lineRule="atLeast"/>
              <w:jc w:val="center"/>
              <w:rPr>
                <w:rFonts w:ascii="Calibri" w:hAnsi="Calibri" w:eastAsia="楷体"/>
                <w:kern w:val="0"/>
                <w:szCs w:val="32"/>
              </w:rPr>
            </w:pPr>
          </w:p>
        </w:tc>
        <w:tc>
          <w:tcPr>
            <w:tcW w:w="1005" w:type="dxa"/>
            <w:noWrap/>
            <w:vAlign w:val="center"/>
          </w:tcPr>
          <w:p>
            <w:pPr>
              <w:spacing w:line="0" w:lineRule="atLeast"/>
              <w:jc w:val="center"/>
              <w:rPr>
                <w:rFonts w:ascii="Calibri" w:hAnsi="Calibri" w:eastAsia="楷体"/>
                <w:kern w:val="0"/>
                <w:szCs w:val="32"/>
              </w:rPr>
            </w:pPr>
          </w:p>
        </w:tc>
        <w:tc>
          <w:tcPr>
            <w:tcW w:w="992"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55.56</w:t>
            </w:r>
          </w:p>
        </w:tc>
        <w:tc>
          <w:tcPr>
            <w:tcW w:w="946"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51.63</w:t>
            </w:r>
          </w:p>
        </w:tc>
        <w:tc>
          <w:tcPr>
            <w:tcW w:w="850" w:type="dxa"/>
            <w:noWrap/>
            <w:vAlign w:val="center"/>
          </w:tcPr>
          <w:p>
            <w:pPr>
              <w:spacing w:line="0" w:lineRule="atLeast"/>
              <w:jc w:val="center"/>
              <w:rPr>
                <w:rFonts w:ascii="Calibri" w:hAnsi="Calibri" w:eastAsia="楷体"/>
                <w:kern w:val="0"/>
                <w:sz w:val="16"/>
                <w:szCs w:val="16"/>
              </w:rPr>
            </w:pPr>
          </w:p>
        </w:tc>
        <w:tc>
          <w:tcPr>
            <w:tcW w:w="425" w:type="dxa"/>
            <w:noWrap/>
            <w:vAlign w:val="center"/>
          </w:tcPr>
          <w:p>
            <w:pPr>
              <w:spacing w:line="0" w:lineRule="atLeast"/>
              <w:jc w:val="center"/>
              <w:rPr>
                <w:rFonts w:ascii="Calibri" w:hAnsi="Calibri" w:eastAsia="楷体"/>
                <w:kern w:val="0"/>
                <w:sz w:val="16"/>
                <w:szCs w:val="16"/>
              </w:rPr>
            </w:pPr>
          </w:p>
        </w:tc>
        <w:tc>
          <w:tcPr>
            <w:tcW w:w="426" w:type="dxa"/>
            <w:noWrap/>
            <w:vAlign w:val="center"/>
          </w:tcPr>
          <w:p>
            <w:pPr>
              <w:spacing w:line="0" w:lineRule="atLeast"/>
              <w:jc w:val="center"/>
              <w:rPr>
                <w:rFonts w:ascii="Calibri" w:hAnsi="Calibri" w:eastAsia="楷体"/>
                <w:kern w:val="0"/>
                <w:sz w:val="16"/>
                <w:szCs w:val="16"/>
              </w:rPr>
            </w:pPr>
          </w:p>
        </w:tc>
        <w:tc>
          <w:tcPr>
            <w:tcW w:w="472" w:type="dxa"/>
            <w:noWrap/>
            <w:vAlign w:val="center"/>
          </w:tcPr>
          <w:p>
            <w:pPr>
              <w:spacing w:line="0" w:lineRule="atLeast"/>
              <w:jc w:val="center"/>
              <w:rPr>
                <w:rFonts w:ascii="Calibri" w:hAnsi="Calibri" w:eastAsia="楷体"/>
                <w:kern w:val="0"/>
                <w:sz w:val="16"/>
                <w:szCs w:val="16"/>
              </w:rPr>
            </w:pPr>
          </w:p>
        </w:tc>
        <w:tc>
          <w:tcPr>
            <w:tcW w:w="567" w:type="dxa"/>
            <w:noWrap/>
            <w:vAlign w:val="center"/>
          </w:tcPr>
          <w:p>
            <w:pPr>
              <w:spacing w:line="0" w:lineRule="atLeast"/>
              <w:jc w:val="center"/>
              <w:rPr>
                <w:rFonts w:ascii="Calibri" w:hAnsi="Calibri" w:eastAsia="楷体"/>
                <w:kern w:val="0"/>
                <w:sz w:val="16"/>
                <w:szCs w:val="16"/>
              </w:rPr>
            </w:pPr>
            <w:r>
              <w:rPr>
                <w:rFonts w:hint="eastAsia" w:ascii="Calibri" w:hAnsi="Calibri" w:eastAsia="楷体"/>
                <w:kern w:val="0"/>
                <w:sz w:val="16"/>
                <w:szCs w:val="16"/>
              </w:rPr>
              <w:t>3.93</w:t>
            </w:r>
          </w:p>
        </w:tc>
        <w:tc>
          <w:tcPr>
            <w:tcW w:w="425"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c>
          <w:tcPr>
            <w:tcW w:w="426" w:type="dxa"/>
            <w:noWrap/>
            <w:vAlign w:val="center"/>
          </w:tcPr>
          <w:p>
            <w:pPr>
              <w:spacing w:line="0" w:lineRule="atLeast"/>
              <w:jc w:val="center"/>
              <w:rPr>
                <w:rFonts w:ascii="Calibri" w:hAnsi="Calibri" w:eastAsia="楷体"/>
                <w:kern w:val="0"/>
                <w:szCs w:val="32"/>
              </w:rPr>
            </w:pPr>
          </w:p>
        </w:tc>
        <w:tc>
          <w:tcPr>
            <w:tcW w:w="425" w:type="dxa"/>
            <w:noWrap/>
            <w:vAlign w:val="center"/>
          </w:tcPr>
          <w:p>
            <w:pPr>
              <w:spacing w:line="0" w:lineRule="atLeast"/>
              <w:jc w:val="center"/>
              <w:rPr>
                <w:rFonts w:ascii="Calibri" w:hAnsi="Calibri" w:eastAsia="楷体"/>
                <w:kern w:val="0"/>
                <w:szCs w:val="32"/>
              </w:rPr>
            </w:pPr>
          </w:p>
        </w:tc>
      </w:tr>
    </w:tbl>
    <w:p>
      <w:pPr>
        <w:ind w:firstLine="640" w:firstLineChars="200"/>
        <w:rPr>
          <w:rFonts w:hAnsi="楷体" w:eastAsia="楷体"/>
        </w:rPr>
        <w:sectPr>
          <w:pgSz w:w="11907" w:h="16840"/>
          <w:pgMar w:top="2041" w:right="851" w:bottom="2041" w:left="851"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tbl>
      <w:tblPr>
        <w:tblStyle w:val="9"/>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992"/>
        <w:gridCol w:w="850"/>
        <w:gridCol w:w="1134"/>
        <w:gridCol w:w="1134"/>
        <w:gridCol w:w="1134"/>
        <w:gridCol w:w="1276"/>
        <w:gridCol w:w="851"/>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065"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35"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图们市统计局</w:t>
            </w:r>
          </w:p>
        </w:tc>
        <w:tc>
          <w:tcPr>
            <w:tcW w:w="1134"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统计调查经费</w:t>
            </w:r>
          </w:p>
        </w:tc>
        <w:tc>
          <w:tcPr>
            <w:tcW w:w="992"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ascii="华文细黑" w:hAnsi="华文细黑" w:eastAsia="华文细黑" w:cs="华文细黑"/>
                <w:kern w:val="0"/>
                <w:sz w:val="15"/>
                <w:szCs w:val="15"/>
              </w:rPr>
              <w:t>21.65</w:t>
            </w:r>
          </w:p>
        </w:tc>
        <w:tc>
          <w:tcPr>
            <w:tcW w:w="850"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通过完善统计服务表，做到常规统计产品全面、及时、清晰；主动融入市委、政府中心工作，专题统计分析精准、透彻、有效。达到全面加强统计工作的监督和管理，完成抽样调查任务，提高统计工作业务水平。</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产出指标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数量指标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统计分析报告篇数</w:t>
            </w:r>
          </w:p>
        </w:tc>
        <w:tc>
          <w:tcPr>
            <w:tcW w:w="127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反映统计分析报告篇数情况。</w:t>
            </w:r>
          </w:p>
        </w:tc>
        <w:tc>
          <w:tcPr>
            <w:tcW w:w="851" w:type="dxa"/>
            <w:noWrap/>
            <w:vAlign w:val="center"/>
          </w:tcPr>
          <w:p>
            <w:pPr>
              <w:jc w:val="center"/>
              <w:rPr>
                <w:rFonts w:ascii="华文细黑" w:hAnsi="华文细黑" w:eastAsia="华文细黑" w:cs="华文细黑"/>
                <w:kern w:val="0"/>
                <w:sz w:val="15"/>
                <w:szCs w:val="15"/>
              </w:rPr>
            </w:pPr>
            <w:r>
              <w:rPr>
                <w:rFonts w:ascii="华文细黑" w:hAnsi="华文细黑" w:eastAsia="华文细黑" w:cs="华文细黑"/>
                <w:kern w:val="0"/>
                <w:sz w:val="18"/>
                <w:szCs w:val="18"/>
              </w:rPr>
              <w:t>≥</w:t>
            </w:r>
            <w:r>
              <w:rPr>
                <w:rFonts w:hint="eastAsia" w:ascii="华文细黑" w:hAnsi="华文细黑" w:eastAsia="华文细黑" w:cs="华文细黑"/>
                <w:kern w:val="0"/>
                <w:sz w:val="15"/>
                <w:szCs w:val="15"/>
              </w:rPr>
              <w:t>25篇</w:t>
            </w:r>
          </w:p>
        </w:tc>
        <w:tc>
          <w:tcPr>
            <w:tcW w:w="425"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85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效益指标</w:t>
            </w: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社会效益指标</w:t>
            </w:r>
          </w:p>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编印当年月度经济运行的统计月报，为党政领导决策提供数据支撑</w:t>
            </w:r>
          </w:p>
        </w:tc>
        <w:tc>
          <w:tcPr>
            <w:tcW w:w="127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提供反映当年月度经济运行发展情况，为党政领导决策提供数据支撑，发挥统计参谋和助手作用的统计月报。</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=12次</w:t>
            </w:r>
          </w:p>
        </w:tc>
        <w:tc>
          <w:tcPr>
            <w:tcW w:w="425"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85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编印历年县域经济运行的统计年鉴，为党政领导决策提供数据支撑</w:t>
            </w:r>
          </w:p>
        </w:tc>
        <w:tc>
          <w:tcPr>
            <w:tcW w:w="127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编印全县历年经济运行的统计年鉴，为党政领导决策提供数据支撑</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=1本</w:t>
            </w:r>
          </w:p>
        </w:tc>
        <w:tc>
          <w:tcPr>
            <w:tcW w:w="425"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20</w:t>
            </w: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992"/>
        <w:gridCol w:w="992"/>
        <w:gridCol w:w="1134"/>
        <w:gridCol w:w="1134"/>
        <w:gridCol w:w="1134"/>
        <w:gridCol w:w="1134"/>
        <w:gridCol w:w="85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207"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5"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5"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图们市统计局</w:t>
            </w:r>
          </w:p>
        </w:tc>
        <w:tc>
          <w:tcPr>
            <w:tcW w:w="1134"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全省地方点城乡居民住户调查及专项调查工作经费</w:t>
            </w:r>
          </w:p>
        </w:tc>
        <w:tc>
          <w:tcPr>
            <w:tcW w:w="992"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ascii="华文细黑" w:hAnsi="华文细黑" w:eastAsia="华文细黑" w:cs="华文细黑"/>
                <w:kern w:val="0"/>
                <w:sz w:val="15"/>
                <w:szCs w:val="15"/>
              </w:rPr>
              <w:t>20.00</w:t>
            </w:r>
          </w:p>
        </w:tc>
        <w:tc>
          <w:tcPr>
            <w:tcW w:w="992"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根据国家县域经济城镇居民人均可支配收入调查方案和方法制度，通过制定本地经济县域城镇居民人均可支配收入，达到科学合理推算城乡居民收支调查数据，确保数据真实可信，有效使用。</w:t>
            </w: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产出指标</w:t>
            </w: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数量指标</w:t>
            </w:r>
          </w:p>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调查户登记补贴发放人数</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反映发放调查户登记补贴的人数情况。</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=180人</w:t>
            </w:r>
          </w:p>
        </w:tc>
        <w:tc>
          <w:tcPr>
            <w:tcW w:w="567"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抽样调查点发放补贴次数</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按照工作及劳务费相关要求，抽样调查点发放补贴次数</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=4次</w:t>
            </w:r>
          </w:p>
        </w:tc>
        <w:tc>
          <w:tcPr>
            <w:tcW w:w="567"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3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效益指标</w:t>
            </w:r>
          </w:p>
        </w:tc>
        <w:tc>
          <w:tcPr>
            <w:tcW w:w="1134" w:type="dxa"/>
            <w:vMerge w:val="restart"/>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社会效益指标</w:t>
            </w:r>
          </w:p>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通过提供收入数据，为制定城乡统筹政策和民生的需要提供依据</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按照抽样的方法，选择一定比例的城乡居民进行记账，在一季度完成后核定上年度收入数据。</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=1期</w:t>
            </w:r>
          </w:p>
        </w:tc>
        <w:tc>
          <w:tcPr>
            <w:tcW w:w="567"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135"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vMerge w:val="continue"/>
            <w:noWrap/>
            <w:vAlign w:val="center"/>
          </w:tcPr>
          <w:p>
            <w:pPr>
              <w:jc w:val="center"/>
              <w:rPr>
                <w:rFonts w:ascii="华文细黑" w:hAnsi="华文细黑" w:eastAsia="华文细黑" w:cs="华文细黑"/>
                <w:kern w:val="0"/>
                <w:sz w:val="15"/>
                <w:szCs w:val="15"/>
              </w:rPr>
            </w:pP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调查户、调查员补助发放覆盖率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反映抽样调查户补助发放覆盖情况。</w:t>
            </w:r>
          </w:p>
        </w:tc>
        <w:tc>
          <w:tcPr>
            <w:tcW w:w="851"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=100%</w:t>
            </w:r>
          </w:p>
        </w:tc>
        <w:tc>
          <w:tcPr>
            <w:tcW w:w="567"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20</w:t>
            </w: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spacing w:line="700" w:lineRule="exact"/>
        <w:ind w:firstLine="640" w:firstLineChars="200"/>
        <w:rPr>
          <w:rFonts w:eastAsia="楷体"/>
          <w:kern w:val="0"/>
          <w:szCs w:val="32"/>
        </w:rPr>
      </w:pPr>
    </w:p>
    <w:tbl>
      <w:tblPr>
        <w:tblStyle w:val="9"/>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1"/>
        <w:gridCol w:w="992"/>
        <w:gridCol w:w="1276"/>
        <w:gridCol w:w="1136"/>
        <w:gridCol w:w="1132"/>
        <w:gridCol w:w="1134"/>
        <w:gridCol w:w="1134"/>
        <w:gridCol w:w="85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065" w:type="dxa"/>
            <w:gridSpan w:val="10"/>
            <w:tcBorders>
              <w:top w:val="nil"/>
              <w:left w:val="nil"/>
              <w:bottom w:val="single" w:color="000000" w:sz="4" w:space="0"/>
              <w:right w:val="nil"/>
            </w:tcBorders>
            <w:noWrap/>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34"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4"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图们市统计局</w:t>
            </w:r>
          </w:p>
        </w:tc>
        <w:tc>
          <w:tcPr>
            <w:tcW w:w="851"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第五次全国经济普查经费</w:t>
            </w:r>
          </w:p>
        </w:tc>
        <w:tc>
          <w:tcPr>
            <w:tcW w:w="992"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ascii="华文细黑" w:hAnsi="华文细黑" w:eastAsia="华文细黑" w:cs="华文细黑"/>
                <w:kern w:val="0"/>
                <w:sz w:val="15"/>
                <w:szCs w:val="15"/>
              </w:rPr>
              <w:t>9.98</w:t>
            </w:r>
          </w:p>
        </w:tc>
        <w:tc>
          <w:tcPr>
            <w:tcW w:w="1276" w:type="dxa"/>
            <w:vMerge w:val="restart"/>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通过普查细则制订、普查员选调及培训、普查区划分及电子地图绘制、PDA软件及地图加载、单位清查摸底并形成单位底册、入户登记、数据质量控制及抽查、数据处理、成果发布、普查年鉴编辑和印刷、资料开发应用按照国家、省、州局的工作安排部署，全面做好全市第五次全国经济普查的各项工作，确保普查数据真实准确。达到推助经济发展质量变革</w:t>
            </w:r>
          </w:p>
        </w:tc>
        <w:tc>
          <w:tcPr>
            <w:tcW w:w="113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产出指标</w:t>
            </w:r>
          </w:p>
        </w:tc>
        <w:tc>
          <w:tcPr>
            <w:tcW w:w="1132"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数量指标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普查员、普查指导员补贴发放人数</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反映普查员、普查指导员补贴发放人数。</w:t>
            </w:r>
          </w:p>
        </w:tc>
        <w:tc>
          <w:tcPr>
            <w:tcW w:w="850" w:type="dxa"/>
            <w:noWrap/>
            <w:vAlign w:val="center"/>
          </w:tcPr>
          <w:p>
            <w:pPr>
              <w:jc w:val="center"/>
              <w:rPr>
                <w:rFonts w:ascii="华文细黑" w:hAnsi="华文细黑" w:eastAsia="华文细黑" w:cs="华文细黑"/>
                <w:kern w:val="0"/>
                <w:sz w:val="15"/>
                <w:szCs w:val="15"/>
              </w:rPr>
            </w:pPr>
            <w:r>
              <w:rPr>
                <w:rFonts w:ascii="华文细黑" w:hAnsi="华文细黑" w:eastAsia="华文细黑" w:cs="华文细黑"/>
                <w:kern w:val="0"/>
                <w:sz w:val="18"/>
                <w:szCs w:val="18"/>
              </w:rPr>
              <w:t>≥</w:t>
            </w:r>
            <w:r>
              <w:rPr>
                <w:rFonts w:hint="eastAsia" w:ascii="华文细黑" w:hAnsi="华文细黑" w:eastAsia="华文细黑" w:cs="华文细黑"/>
                <w:kern w:val="0"/>
                <w:sz w:val="15"/>
                <w:szCs w:val="15"/>
              </w:rPr>
              <w:t>200人</w:t>
            </w:r>
          </w:p>
        </w:tc>
        <w:tc>
          <w:tcPr>
            <w:tcW w:w="42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851"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99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27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5"/>
                <w:szCs w:val="15"/>
              </w:rPr>
            </w:pPr>
          </w:p>
        </w:tc>
        <w:tc>
          <w:tcPr>
            <w:tcW w:w="113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效益指标</w:t>
            </w:r>
          </w:p>
        </w:tc>
        <w:tc>
          <w:tcPr>
            <w:tcW w:w="1132"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社会效益指标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普查员、普查指导员补贴发放覆盖率</w:t>
            </w:r>
          </w:p>
        </w:tc>
        <w:tc>
          <w:tcPr>
            <w:tcW w:w="1134"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反映普查员、普查指导员补贴发放覆盖率情况。</w:t>
            </w:r>
          </w:p>
        </w:tc>
        <w:tc>
          <w:tcPr>
            <w:tcW w:w="850"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=100%</w:t>
            </w:r>
          </w:p>
        </w:tc>
        <w:tc>
          <w:tcPr>
            <w:tcW w:w="426" w:type="dxa"/>
            <w:noWrap/>
            <w:vAlign w:val="center"/>
          </w:tcPr>
          <w:p>
            <w:pPr>
              <w:jc w:val="center"/>
              <w:rPr>
                <w:rFonts w:ascii="华文细黑" w:hAnsi="华文细黑" w:eastAsia="华文细黑" w:cs="华文细黑"/>
                <w:kern w:val="0"/>
                <w:sz w:val="15"/>
                <w:szCs w:val="15"/>
              </w:rPr>
            </w:pPr>
            <w:r>
              <w:rPr>
                <w:rFonts w:hint="eastAsia" w:ascii="华文细黑" w:hAnsi="华文细黑" w:eastAsia="华文细黑" w:cs="华文细黑"/>
                <w:kern w:val="0"/>
                <w:sz w:val="15"/>
                <w:szCs w:val="15"/>
              </w:rPr>
              <w:t>40</w:t>
            </w:r>
          </w:p>
        </w:tc>
      </w:tr>
    </w:tbl>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w:t>
      </w:r>
      <w:r>
        <w:rPr>
          <w:rFonts w:hint="eastAsia"/>
          <w:szCs w:val="32"/>
        </w:rPr>
        <w:t>用事业基金弥补收支差额、</w:t>
      </w:r>
      <w:r>
        <w:rPr>
          <w:szCs w:val="32"/>
        </w:rPr>
        <w:t>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w:t>
      </w:r>
      <w:r>
        <w:rPr>
          <w:rFonts w:hint="eastAsia"/>
          <w:szCs w:val="32"/>
        </w:rPr>
        <w:t>24</w:t>
      </w:r>
      <w:r>
        <w:rPr>
          <w:szCs w:val="32"/>
        </w:rPr>
        <w:t>年收支总预算</w:t>
      </w:r>
      <w:r>
        <w:rPr>
          <w:rFonts w:hint="eastAsia"/>
          <w:szCs w:val="32"/>
        </w:rPr>
        <w:t>150.73</w:t>
      </w:r>
      <w:r>
        <w:rPr>
          <w:szCs w:val="32"/>
        </w:rPr>
        <w:t>万元</w:t>
      </w:r>
      <w:r>
        <w:rPr>
          <w:rFonts w:hint="eastAsia"/>
          <w:szCs w:val="32"/>
        </w:rPr>
        <w:t>，其中：本年预算141.81万元；上年结转结余8.92万元。2024年本年预算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25.06</w:t>
      </w:r>
      <w:r>
        <w:rPr>
          <w:szCs w:val="32"/>
        </w:rPr>
        <w:t>万元，</w:t>
      </w:r>
      <w:r>
        <w:t>主要原因是本年度预算中增加第五次全国经济普查经费，并将退休人员增加补贴部分纳入年初预算。</w:t>
      </w:r>
    </w:p>
    <w:p>
      <w:pPr>
        <w:rPr>
          <w:rFonts w:eastAsia="黑体"/>
          <w:szCs w:val="32"/>
        </w:rPr>
      </w:pPr>
      <w:r>
        <w:rPr>
          <w:rFonts w:hint="eastAsia"/>
          <w:sz w:val="30"/>
          <w:szCs w:val="30"/>
        </w:rPr>
        <w:t xml:space="preserve">    </w:t>
      </w: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150.73</w:t>
      </w:r>
      <w:r>
        <w:rPr>
          <w:szCs w:val="32"/>
        </w:rPr>
        <w:t>万元，其中：本年收入</w:t>
      </w:r>
      <w:r>
        <w:rPr>
          <w:rFonts w:hint="eastAsia"/>
          <w:szCs w:val="32"/>
        </w:rPr>
        <w:t>141.81</w:t>
      </w:r>
      <w:r>
        <w:rPr>
          <w:szCs w:val="32"/>
        </w:rPr>
        <w:t>万元，占</w:t>
      </w:r>
      <w:r>
        <w:rPr>
          <w:rFonts w:hint="eastAsia"/>
          <w:szCs w:val="32"/>
        </w:rPr>
        <w:t>94.08</w:t>
      </w:r>
      <w:r>
        <w:rPr>
          <w:szCs w:val="32"/>
        </w:rPr>
        <w:t>%；上年结转</w:t>
      </w:r>
      <w:r>
        <w:rPr>
          <w:rFonts w:hint="eastAsia"/>
          <w:szCs w:val="32"/>
        </w:rPr>
        <w:t>结余8.92</w:t>
      </w:r>
      <w:r>
        <w:rPr>
          <w:szCs w:val="32"/>
        </w:rPr>
        <w:t>万元，占</w:t>
      </w:r>
      <w:r>
        <w:rPr>
          <w:rFonts w:hint="eastAsia"/>
          <w:szCs w:val="32"/>
        </w:rPr>
        <w:t>5.92</w:t>
      </w:r>
      <w:r>
        <w:rPr>
          <w:szCs w:val="32"/>
        </w:rPr>
        <w:t>%。本年收入中，一般公共预算拨款收入</w:t>
      </w:r>
      <w:r>
        <w:rPr>
          <w:rFonts w:hint="eastAsia"/>
          <w:szCs w:val="32"/>
        </w:rPr>
        <w:t>141.81</w:t>
      </w:r>
      <w:r>
        <w:rPr>
          <w:szCs w:val="32"/>
        </w:rPr>
        <w:t>万元，占</w:t>
      </w:r>
      <w:r>
        <w:rPr>
          <w:rFonts w:hint="eastAsia"/>
          <w:szCs w:val="32"/>
        </w:rPr>
        <w:t>94.08</w:t>
      </w:r>
      <w:r>
        <w:rPr>
          <w:szCs w:val="32"/>
        </w:rPr>
        <w:t>%</w:t>
      </w:r>
      <w:r>
        <w:rPr>
          <w:rFonts w:hint="eastAsia"/>
          <w:szCs w:val="32"/>
        </w:rPr>
        <w:t>。</w:t>
      </w:r>
    </w:p>
    <w:p>
      <w:pPr>
        <w:rPr>
          <w:rFonts w:eastAsia="黑体"/>
          <w:szCs w:val="32"/>
        </w:rPr>
      </w:pPr>
      <w:r>
        <w:rPr>
          <w:rFonts w:hint="eastAsia" w:eastAsia="楷体"/>
          <w:szCs w:val="30"/>
        </w:rPr>
        <w:t xml:space="preserve">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150.73</w:t>
      </w:r>
      <w:r>
        <w:rPr>
          <w:szCs w:val="32"/>
        </w:rPr>
        <w:t>万元，其中：基本支出</w:t>
      </w:r>
      <w:r>
        <w:rPr>
          <w:rFonts w:hint="eastAsia"/>
          <w:szCs w:val="32"/>
        </w:rPr>
        <w:t>95.17</w:t>
      </w:r>
      <w:r>
        <w:rPr>
          <w:szCs w:val="32"/>
        </w:rPr>
        <w:t>万元，占</w:t>
      </w:r>
      <w:r>
        <w:rPr>
          <w:rFonts w:hint="eastAsia"/>
          <w:szCs w:val="32"/>
        </w:rPr>
        <w:t>63.14</w:t>
      </w:r>
      <w:r>
        <w:rPr>
          <w:szCs w:val="32"/>
        </w:rPr>
        <w:t>%；项目支出</w:t>
      </w:r>
      <w:r>
        <w:rPr>
          <w:rFonts w:hint="eastAsia"/>
          <w:szCs w:val="32"/>
        </w:rPr>
        <w:t>55.56</w:t>
      </w:r>
      <w:r>
        <w:rPr>
          <w:szCs w:val="32"/>
        </w:rPr>
        <w:t>万元，占</w:t>
      </w:r>
      <w:r>
        <w:rPr>
          <w:rFonts w:hint="eastAsia"/>
          <w:szCs w:val="32"/>
        </w:rPr>
        <w:t>36.86</w:t>
      </w:r>
      <w:r>
        <w:rPr>
          <w:szCs w:val="32"/>
        </w:rPr>
        <w:t>%。</w:t>
      </w:r>
    </w:p>
    <w:p>
      <w:pPr>
        <w:rPr>
          <w:rFonts w:eastAsia="黑体"/>
          <w:szCs w:val="32"/>
        </w:rPr>
      </w:pPr>
      <w:r>
        <w:rPr>
          <w:rFonts w:hint="eastAsia" w:eastAsia="楷体"/>
          <w:szCs w:val="32"/>
        </w:rPr>
        <w:t xml:space="preserve">    </w:t>
      </w: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150.73</w:t>
      </w:r>
      <w:r>
        <w:rPr>
          <w:szCs w:val="32"/>
        </w:rPr>
        <w:t>万元，其中：</w:t>
      </w:r>
      <w:r>
        <w:rPr>
          <w:rFonts w:hint="eastAsia"/>
          <w:szCs w:val="32"/>
        </w:rPr>
        <w:t>本年预算141.81</w:t>
      </w:r>
      <w:r>
        <w:rPr>
          <w:szCs w:val="32"/>
        </w:rPr>
        <w:t>万元</w:t>
      </w:r>
      <w:r>
        <w:rPr>
          <w:rFonts w:hint="eastAsia"/>
          <w:szCs w:val="32"/>
        </w:rPr>
        <w:t>，上年结转8.92</w:t>
      </w:r>
      <w:r>
        <w:rPr>
          <w:szCs w:val="32"/>
        </w:rPr>
        <w:t>万元</w:t>
      </w:r>
      <w:r>
        <w:rPr>
          <w:rFonts w:hint="eastAsia"/>
          <w:szCs w:val="32"/>
        </w:rPr>
        <w:t>。</w:t>
      </w:r>
      <w:r>
        <w:rPr>
          <w:szCs w:val="32"/>
        </w:rPr>
        <w:t>支出包括：</w:t>
      </w:r>
      <w:r>
        <w:rPr>
          <w:kern w:val="0"/>
          <w:szCs w:val="32"/>
        </w:rPr>
        <w:t>一般公共服务支出</w:t>
      </w:r>
      <w:r>
        <w:rPr>
          <w:rFonts w:hint="eastAsia"/>
          <w:szCs w:val="32"/>
        </w:rPr>
        <w:t>125.74</w:t>
      </w:r>
      <w:r>
        <w:rPr>
          <w:szCs w:val="32"/>
        </w:rPr>
        <w:t>万元，</w:t>
      </w:r>
      <w:r>
        <w:rPr>
          <w:kern w:val="0"/>
          <w:szCs w:val="32"/>
        </w:rPr>
        <w:t>社会保障和就业支出</w:t>
      </w:r>
      <w:r>
        <w:rPr>
          <w:rFonts w:hint="eastAsia"/>
          <w:szCs w:val="32"/>
        </w:rPr>
        <w:t>14.78</w:t>
      </w:r>
      <w:r>
        <w:rPr>
          <w:szCs w:val="32"/>
        </w:rPr>
        <w:t>万元，</w:t>
      </w:r>
      <w:r>
        <w:rPr>
          <w:kern w:val="0"/>
          <w:szCs w:val="32"/>
        </w:rPr>
        <w:t>卫生</w:t>
      </w:r>
      <w:r>
        <w:rPr>
          <w:rFonts w:hint="eastAsia"/>
          <w:kern w:val="0"/>
          <w:szCs w:val="32"/>
        </w:rPr>
        <w:t>健康</w:t>
      </w:r>
      <w:r>
        <w:rPr>
          <w:kern w:val="0"/>
          <w:szCs w:val="32"/>
        </w:rPr>
        <w:t>支出</w:t>
      </w:r>
      <w:r>
        <w:rPr>
          <w:rFonts w:hint="eastAsia"/>
          <w:szCs w:val="32"/>
        </w:rPr>
        <w:t>2.54</w:t>
      </w:r>
      <w:r>
        <w:rPr>
          <w:szCs w:val="32"/>
        </w:rPr>
        <w:t>万元</w:t>
      </w:r>
      <w:r>
        <w:rPr>
          <w:kern w:val="0"/>
          <w:szCs w:val="32"/>
        </w:rPr>
        <w:t>结转下年支出</w:t>
      </w:r>
      <w:r>
        <w:rPr>
          <w:rFonts w:hint="eastAsia"/>
          <w:szCs w:val="32"/>
        </w:rPr>
        <w:t>8.92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150.73</w:t>
      </w:r>
      <w:r>
        <w:rPr>
          <w:szCs w:val="32"/>
        </w:rPr>
        <w:t>万元，其中：基本支出</w:t>
      </w:r>
      <w:r>
        <w:rPr>
          <w:rFonts w:hint="eastAsia"/>
          <w:szCs w:val="32"/>
        </w:rPr>
        <w:t>95.17</w:t>
      </w:r>
      <w:r>
        <w:rPr>
          <w:szCs w:val="32"/>
        </w:rPr>
        <w:t>万元，占</w:t>
      </w:r>
      <w:r>
        <w:rPr>
          <w:rFonts w:hint="eastAsia"/>
          <w:szCs w:val="32"/>
        </w:rPr>
        <w:t>63.14</w:t>
      </w:r>
      <w:r>
        <w:rPr>
          <w:szCs w:val="32"/>
        </w:rPr>
        <w:t>%；项目支出</w:t>
      </w:r>
      <w:r>
        <w:rPr>
          <w:rFonts w:hint="eastAsia"/>
          <w:szCs w:val="32"/>
        </w:rPr>
        <w:t>55.56</w:t>
      </w:r>
      <w:r>
        <w:rPr>
          <w:szCs w:val="32"/>
        </w:rPr>
        <w:t>万元，占</w:t>
      </w:r>
      <w:r>
        <w:rPr>
          <w:rFonts w:hint="eastAsia"/>
          <w:szCs w:val="32"/>
        </w:rPr>
        <w:t>36.86</w:t>
      </w:r>
      <w:r>
        <w:rPr>
          <w:szCs w:val="32"/>
        </w:rPr>
        <w:t>%。基本支出中，人员经费</w:t>
      </w:r>
      <w:r>
        <w:rPr>
          <w:rFonts w:hint="eastAsia"/>
          <w:szCs w:val="32"/>
        </w:rPr>
        <w:t>80.38</w:t>
      </w:r>
      <w:r>
        <w:rPr>
          <w:szCs w:val="32"/>
        </w:rPr>
        <w:t>万元，占</w:t>
      </w:r>
      <w:r>
        <w:rPr>
          <w:rFonts w:hint="eastAsia"/>
          <w:szCs w:val="32"/>
        </w:rPr>
        <w:t>53.33</w:t>
      </w:r>
      <w:r>
        <w:rPr>
          <w:szCs w:val="32"/>
        </w:rPr>
        <w:t>%；公用经费</w:t>
      </w:r>
      <w:r>
        <w:rPr>
          <w:rFonts w:hint="eastAsia"/>
          <w:szCs w:val="32"/>
        </w:rPr>
        <w:t>14.78</w:t>
      </w:r>
      <w:r>
        <w:rPr>
          <w:szCs w:val="32"/>
        </w:rPr>
        <w:t>万元，占</w:t>
      </w:r>
      <w:r>
        <w:rPr>
          <w:rFonts w:hint="eastAsia"/>
          <w:szCs w:val="32"/>
        </w:rPr>
        <w:t>9.81</w:t>
      </w:r>
      <w:r>
        <w:rPr>
          <w:szCs w:val="32"/>
        </w:rPr>
        <w:t>%。</w:t>
      </w:r>
    </w:p>
    <w:p>
      <w:pPr>
        <w:spacing w:line="520" w:lineRule="exact"/>
        <w:ind w:firstLine="200"/>
        <w:rPr>
          <w:szCs w:val="32"/>
        </w:rPr>
      </w:pPr>
      <w:r>
        <w:rPr>
          <w:szCs w:val="32"/>
        </w:rPr>
        <w:t>一般公共服务（类）支出</w:t>
      </w:r>
      <w:r>
        <w:rPr>
          <w:rFonts w:hint="eastAsia"/>
          <w:szCs w:val="32"/>
        </w:rPr>
        <w:t>125.74</w:t>
      </w:r>
      <w:r>
        <w:rPr>
          <w:szCs w:val="32"/>
        </w:rPr>
        <w:t>万元，占</w:t>
      </w:r>
      <w:r>
        <w:rPr>
          <w:rFonts w:hint="eastAsia"/>
          <w:szCs w:val="32"/>
        </w:rPr>
        <w:t>83.42</w:t>
      </w:r>
      <w:r>
        <w:rPr>
          <w:szCs w:val="32"/>
        </w:rPr>
        <w:t>%，主要用于</w:t>
      </w:r>
      <w:r>
        <w:rPr>
          <w:rFonts w:hint="eastAsia"/>
          <w:color w:val="000000"/>
          <w:szCs w:val="32"/>
        </w:rPr>
        <w:t>保障职工工资，维持机关正常运转以及完成年度统计工作任务</w:t>
      </w:r>
      <w:r>
        <w:rPr>
          <w:szCs w:val="32"/>
        </w:rPr>
        <w:t>。</w:t>
      </w:r>
    </w:p>
    <w:p>
      <w:pPr>
        <w:spacing w:line="520" w:lineRule="exact"/>
        <w:ind w:firstLine="200"/>
        <w:rPr>
          <w:szCs w:val="32"/>
        </w:rPr>
      </w:pPr>
      <w:r>
        <w:rPr>
          <w:szCs w:val="32"/>
        </w:rPr>
        <w:t>社会保障和就业（类）支出</w:t>
      </w:r>
      <w:r>
        <w:rPr>
          <w:rFonts w:hint="eastAsia"/>
          <w:szCs w:val="32"/>
        </w:rPr>
        <w:t>14.78</w:t>
      </w:r>
      <w:r>
        <w:rPr>
          <w:szCs w:val="32"/>
        </w:rPr>
        <w:t>万元，占</w:t>
      </w:r>
      <w:r>
        <w:rPr>
          <w:rFonts w:hint="eastAsia"/>
          <w:szCs w:val="32"/>
        </w:rPr>
        <w:t>9.81</w:t>
      </w:r>
      <w:r>
        <w:rPr>
          <w:szCs w:val="32"/>
        </w:rPr>
        <w:t>%，主要用于</w:t>
      </w:r>
      <w:r>
        <w:rPr>
          <w:rFonts w:hint="eastAsia"/>
          <w:szCs w:val="32"/>
        </w:rPr>
        <w:t>保障单位基本养老保险</w:t>
      </w:r>
      <w:r>
        <w:rPr>
          <w:szCs w:val="32"/>
        </w:rPr>
        <w:t>。</w:t>
      </w:r>
    </w:p>
    <w:p>
      <w:pPr>
        <w:spacing w:line="520" w:lineRule="exact"/>
        <w:rPr>
          <w:color w:val="000000"/>
          <w:szCs w:val="32"/>
        </w:rPr>
      </w:pPr>
      <w:r>
        <w:rPr>
          <w:rFonts w:hint="eastAsia"/>
          <w:szCs w:val="32"/>
        </w:rPr>
        <w:t xml:space="preserve"> 卫生健康</w:t>
      </w:r>
      <w:r>
        <w:rPr>
          <w:szCs w:val="32"/>
        </w:rPr>
        <w:t>支出（类）支出</w:t>
      </w:r>
      <w:r>
        <w:rPr>
          <w:rFonts w:hint="eastAsia"/>
          <w:szCs w:val="32"/>
        </w:rPr>
        <w:t>2.54</w:t>
      </w:r>
      <w:r>
        <w:rPr>
          <w:szCs w:val="32"/>
        </w:rPr>
        <w:t>万元，占</w:t>
      </w:r>
      <w:r>
        <w:rPr>
          <w:rFonts w:hint="eastAsia"/>
          <w:szCs w:val="32"/>
        </w:rPr>
        <w:t>1.69</w:t>
      </w:r>
      <w:r>
        <w:rPr>
          <w:szCs w:val="32"/>
        </w:rPr>
        <w:t>%，主要用于</w:t>
      </w:r>
      <w:r>
        <w:rPr>
          <w:rFonts w:hint="eastAsia"/>
          <w:color w:val="000000"/>
          <w:szCs w:val="32"/>
        </w:rPr>
        <w:t>缴纳职工医疗保险</w:t>
      </w:r>
      <w:r>
        <w:rPr>
          <w:szCs w:val="32"/>
        </w:rPr>
        <w:t>。</w:t>
      </w:r>
    </w:p>
    <w:p>
      <w:pPr>
        <w:spacing w:line="520" w:lineRule="exact"/>
        <w:rPr>
          <w:color w:val="000000"/>
          <w:szCs w:val="32"/>
        </w:rPr>
      </w:pPr>
      <w:r>
        <w:rPr>
          <w:rFonts w:hint="eastAsia"/>
          <w:szCs w:val="32"/>
        </w:rPr>
        <w:t xml:space="preserve"> </w:t>
      </w:r>
      <w:r>
        <w:rPr>
          <w:szCs w:val="32"/>
        </w:rPr>
        <w:t>住房保障（类）支出</w:t>
      </w:r>
      <w:r>
        <w:rPr>
          <w:rFonts w:hint="eastAsia"/>
          <w:szCs w:val="32"/>
        </w:rPr>
        <w:t>7.67</w:t>
      </w:r>
      <w:r>
        <w:rPr>
          <w:szCs w:val="32"/>
        </w:rPr>
        <w:t>万元，占</w:t>
      </w:r>
      <w:r>
        <w:rPr>
          <w:rFonts w:hint="eastAsia"/>
          <w:szCs w:val="32"/>
        </w:rPr>
        <w:t>5.09</w:t>
      </w:r>
      <w:r>
        <w:rPr>
          <w:szCs w:val="32"/>
        </w:rPr>
        <w:t>%，主要用于</w:t>
      </w:r>
      <w:r>
        <w:rPr>
          <w:rFonts w:hint="eastAsia"/>
          <w:szCs w:val="32"/>
        </w:rPr>
        <w:t>缴纳职工住房公积金</w:t>
      </w:r>
      <w:r>
        <w:rPr>
          <w:szCs w:val="32"/>
        </w:rPr>
        <w:t>。</w:t>
      </w:r>
    </w:p>
    <w:p>
      <w:pPr>
        <w:spacing w:line="520" w:lineRule="exact"/>
        <w:rPr>
          <w:rFonts w:eastAsia="黑体"/>
          <w:szCs w:val="32"/>
        </w:rPr>
      </w:pPr>
      <w:r>
        <w:rPr>
          <w:rFonts w:hint="eastAsia" w:eastAsia="楷体"/>
          <w:szCs w:val="32"/>
        </w:rPr>
        <w:t xml:space="preserve">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95.17</w:t>
      </w:r>
      <w:r>
        <w:rPr>
          <w:szCs w:val="32"/>
        </w:rPr>
        <w:t>万元，其中：</w:t>
      </w:r>
    </w:p>
    <w:p>
      <w:pPr>
        <w:ind w:firstLine="640" w:firstLineChars="200"/>
        <w:rPr>
          <w:kern w:val="0"/>
          <w:szCs w:val="32"/>
        </w:rPr>
      </w:pPr>
      <w:r>
        <w:rPr>
          <w:szCs w:val="32"/>
        </w:rPr>
        <w:t>人员经费</w:t>
      </w:r>
      <w:r>
        <w:rPr>
          <w:rFonts w:hint="eastAsia"/>
          <w:szCs w:val="32"/>
        </w:rPr>
        <w:t>80.38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kern w:val="0"/>
          <w:szCs w:val="32"/>
        </w:rPr>
        <w:t>、退休费、其他对个人和家庭的补助</w:t>
      </w:r>
      <w:r>
        <w:rPr>
          <w:kern w:val="0"/>
          <w:szCs w:val="32"/>
        </w:rPr>
        <w:t>。</w:t>
      </w:r>
    </w:p>
    <w:p>
      <w:pPr>
        <w:ind w:firstLine="640" w:firstLineChars="200"/>
        <w:rPr>
          <w:szCs w:val="32"/>
        </w:rPr>
      </w:pPr>
      <w:r>
        <w:rPr>
          <w:kern w:val="0"/>
          <w:szCs w:val="32"/>
        </w:rPr>
        <w:t>公用经费</w:t>
      </w:r>
      <w:r>
        <w:rPr>
          <w:rFonts w:hint="eastAsia"/>
          <w:szCs w:val="32"/>
        </w:rPr>
        <w:t>14.73</w:t>
      </w:r>
      <w:r>
        <w:rPr>
          <w:szCs w:val="32"/>
        </w:rPr>
        <w:t>万元，主要包括：</w:t>
      </w:r>
      <w:r>
        <w:rPr>
          <w:kern w:val="0"/>
          <w:szCs w:val="32"/>
        </w:rPr>
        <w:t>办公费</w:t>
      </w:r>
      <w:r>
        <w:rPr>
          <w:szCs w:val="32"/>
        </w:rPr>
        <w:t>、</w:t>
      </w:r>
      <w:r>
        <w:rPr>
          <w:kern w:val="0"/>
          <w:szCs w:val="32"/>
        </w:rPr>
        <w:t>印刷费</w:t>
      </w:r>
      <w:r>
        <w:rPr>
          <w:szCs w:val="32"/>
        </w:rPr>
        <w:t>、</w:t>
      </w:r>
      <w:r>
        <w:rPr>
          <w:rFonts w:hint="eastAsia"/>
          <w:kern w:val="0"/>
          <w:szCs w:val="32"/>
        </w:rPr>
        <w:t>咨询费</w:t>
      </w:r>
      <w:r>
        <w:rPr>
          <w:szCs w:val="32"/>
        </w:rPr>
        <w:t>、</w:t>
      </w:r>
      <w:r>
        <w:rPr>
          <w:rFonts w:hint="eastAsia"/>
          <w:kern w:val="0"/>
          <w:szCs w:val="32"/>
        </w:rPr>
        <w:t>手续</w:t>
      </w:r>
      <w:r>
        <w:rPr>
          <w:kern w:val="0"/>
          <w:szCs w:val="32"/>
        </w:rPr>
        <w:t>费</w:t>
      </w:r>
      <w:r>
        <w:rPr>
          <w:szCs w:val="32"/>
        </w:rPr>
        <w:t>、</w:t>
      </w:r>
      <w:r>
        <w:rPr>
          <w:rFonts w:hint="eastAsia"/>
          <w:szCs w:val="32"/>
        </w:rPr>
        <w:t>水费、</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rPr>
        <w:t>、办公设备购置</w:t>
      </w:r>
      <w:r>
        <w:rPr>
          <w:kern w:val="0"/>
          <w:szCs w:val="32"/>
        </w:rPr>
        <w:t>。</w:t>
      </w:r>
    </w:p>
    <w:p>
      <w:pPr>
        <w:rPr>
          <w:rFonts w:eastAsia="黑体"/>
          <w:szCs w:val="30"/>
        </w:rPr>
      </w:pPr>
      <w:r>
        <w:rPr>
          <w:rFonts w:hint="eastAsia" w:eastAsia="楷体"/>
          <w:szCs w:val="32"/>
        </w:rPr>
        <w:t xml:space="preserve">    </w:t>
      </w: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0.03</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0.1</w:t>
      </w:r>
      <w:r>
        <w:rPr>
          <w:szCs w:val="32"/>
        </w:rPr>
        <w:t>万元。其中：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ind w:firstLine="640" w:firstLineChars="200"/>
        <w:rPr>
          <w:szCs w:val="32"/>
        </w:rPr>
      </w:pPr>
      <w:r>
        <w:rPr>
          <w:szCs w:val="32"/>
        </w:rPr>
        <w:t>2.公务接待费</w:t>
      </w:r>
      <w:r>
        <w:rPr>
          <w:rFonts w:hint="eastAsia"/>
          <w:szCs w:val="32"/>
        </w:rPr>
        <w:t>0.03</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0.1</w:t>
      </w:r>
      <w:r>
        <w:rPr>
          <w:szCs w:val="32"/>
        </w:rPr>
        <w:t>万元，主要原因是</w:t>
      </w:r>
      <w:r>
        <w:rPr>
          <w:rFonts w:hint="eastAsia"/>
          <w:szCs w:val="32"/>
        </w:rPr>
        <w:t>根据公务接待任务减少实际情况，调减公务接待费。</w:t>
      </w:r>
    </w:p>
    <w:p>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pPr>
        <w:rPr>
          <w:rFonts w:eastAsia="黑体"/>
          <w:szCs w:val="32"/>
        </w:rPr>
      </w:pPr>
      <w:r>
        <w:rPr>
          <w:rFonts w:hint="eastAsia" w:eastAsia="楷体"/>
          <w:szCs w:val="32"/>
        </w:rPr>
        <w:t xml:space="preserve">    </w:t>
      </w:r>
      <w:r>
        <w:rPr>
          <w:rFonts w:eastAsia="黑体"/>
          <w:szCs w:val="32"/>
        </w:rPr>
        <w:t>八、20</w:t>
      </w:r>
      <w:r>
        <w:rPr>
          <w:rFonts w:hint="eastAsia" w:eastAsia="黑体"/>
          <w:szCs w:val="32"/>
        </w:rPr>
        <w:t>24</w:t>
      </w:r>
      <w:r>
        <w:rPr>
          <w:rFonts w:eastAsia="黑体"/>
          <w:szCs w:val="32"/>
        </w:rPr>
        <w:t>年政府性基金预算支出情况</w:t>
      </w:r>
    </w:p>
    <w:p>
      <w:pPr>
        <w:ind w:firstLine="640"/>
        <w:rPr>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本单位1</w:t>
      </w:r>
      <w:r>
        <w:rPr>
          <w:szCs w:val="32"/>
        </w:rPr>
        <w:t>家行政单位的机关运行经费财政拨款预算</w:t>
      </w:r>
      <w:r>
        <w:rPr>
          <w:rFonts w:hint="eastAsia"/>
          <w:szCs w:val="32"/>
        </w:rPr>
        <w:t>14.78</w:t>
      </w:r>
      <w:r>
        <w:rPr>
          <w:szCs w:val="32"/>
        </w:rPr>
        <w:t>万元，比20</w:t>
      </w:r>
      <w:r>
        <w:rPr>
          <w:rFonts w:hint="eastAsia"/>
          <w:szCs w:val="32"/>
        </w:rPr>
        <w:t>23</w:t>
      </w:r>
      <w:r>
        <w:rPr>
          <w:szCs w:val="32"/>
        </w:rPr>
        <w:t>年预算减少</w:t>
      </w:r>
      <w:r>
        <w:rPr>
          <w:rFonts w:hint="eastAsia"/>
          <w:szCs w:val="32"/>
        </w:rPr>
        <w:t>2.04</w:t>
      </w:r>
      <w:r>
        <w:rPr>
          <w:szCs w:val="32"/>
        </w:rPr>
        <w:t>万元，下降</w:t>
      </w:r>
      <w:r>
        <w:rPr>
          <w:rFonts w:hint="eastAsia"/>
          <w:szCs w:val="32"/>
        </w:rPr>
        <w:t>12.13</w:t>
      </w:r>
      <w:r>
        <w:rPr>
          <w:szCs w:val="32"/>
        </w:rPr>
        <w:t>%</w:t>
      </w:r>
      <w:r>
        <w:rPr>
          <w:rFonts w:hint="eastAsia"/>
          <w:szCs w:val="32"/>
        </w:rPr>
        <w:t>，主要原因是本年度公用经费上年结转比2023年减少</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eastAsia="楷体"/>
          <w:szCs w:val="32"/>
        </w:rPr>
      </w:pPr>
      <w:r>
        <w:rPr>
          <w:rFonts w:hint="eastAsia" w:eastAsia="楷体"/>
          <w:szCs w:val="32"/>
        </w:rPr>
        <w:t xml:space="preserve"> 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eastAsia="楷体"/>
          <w:szCs w:val="32"/>
        </w:rPr>
      </w:pPr>
      <w:r>
        <w:rPr>
          <w:rFonts w:hint="eastAsia"/>
          <w:szCs w:val="32"/>
        </w:rPr>
        <w:t xml:space="preserve"> 本单位无国有资产。</w:t>
      </w:r>
    </w:p>
    <w:p>
      <w:pPr>
        <w:spacing w:line="540" w:lineRule="exact"/>
        <w:ind w:firstLine="640" w:firstLineChars="200"/>
        <w:rPr>
          <w:rFonts w:eastAsia="楷体"/>
          <w:szCs w:val="32"/>
        </w:rPr>
      </w:pPr>
      <w:r>
        <w:rPr>
          <w:rFonts w:hint="eastAsia"/>
        </w:rPr>
        <w:t>（四）</w:t>
      </w:r>
      <w:r>
        <w:rPr>
          <w:rFonts w:hint="eastAsia" w:eastAsia="楷体"/>
          <w:szCs w:val="32"/>
        </w:rPr>
        <w:t>项目支出情况说明</w:t>
      </w:r>
    </w:p>
    <w:p>
      <w:pPr>
        <w:spacing w:line="540" w:lineRule="exact"/>
        <w:ind w:firstLine="640" w:firstLineChars="200"/>
      </w:pPr>
      <w:r>
        <w:t>202</w:t>
      </w:r>
      <w:r>
        <w:rPr>
          <w:rFonts w:hint="eastAsia"/>
        </w:rPr>
        <w:t>4</w:t>
      </w:r>
      <w:r>
        <w:t>年部门项目支出</w:t>
      </w:r>
      <w:r>
        <w:rPr>
          <w:rFonts w:hint="eastAsia"/>
          <w:szCs w:val="32"/>
        </w:rPr>
        <w:t>55.56</w:t>
      </w:r>
      <w:r>
        <w:rPr>
          <w:szCs w:val="32"/>
        </w:rPr>
        <w:t>万元，其中：一级项目</w:t>
      </w:r>
      <w:r>
        <w:rPr>
          <w:rFonts w:hint="eastAsia"/>
          <w:szCs w:val="32"/>
        </w:rPr>
        <w:t>3</w:t>
      </w:r>
      <w:r>
        <w:rPr>
          <w:szCs w:val="32"/>
        </w:rPr>
        <w:t>个，二级项目</w:t>
      </w:r>
      <w:r>
        <w:rPr>
          <w:rFonts w:hint="eastAsia"/>
          <w:szCs w:val="32"/>
        </w:rPr>
        <w:t>3</w:t>
      </w:r>
      <w:r>
        <w:rPr>
          <w:szCs w:val="32"/>
        </w:rPr>
        <w:t>个；使用</w:t>
      </w:r>
      <w:r>
        <w:rPr>
          <w:rFonts w:hint="eastAsia"/>
          <w:szCs w:val="32"/>
        </w:rPr>
        <w:t>本年拨款51.63</w:t>
      </w:r>
      <w:r>
        <w:rPr>
          <w:szCs w:val="32"/>
        </w:rPr>
        <w:t>万元，</w:t>
      </w:r>
      <w:r>
        <w:rPr>
          <w:rFonts w:hint="eastAsia"/>
          <w:szCs w:val="32"/>
        </w:rPr>
        <w:t>财政拨款结转3.93万元。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按照全面实施预算绩效管理的要求，结合本部门职能和重点工作，2024年将</w:t>
      </w:r>
      <w:r>
        <w:rPr>
          <w:rFonts w:hint="eastAsia"/>
          <w:szCs w:val="32"/>
        </w:rPr>
        <w:t>3</w:t>
      </w:r>
      <w:r>
        <w:rPr>
          <w:rFonts w:hint="eastAsia" w:ascii="宋体" w:hAnsi="宋体"/>
        </w:rPr>
        <w:t>个项目支出的绩效目标和指标向社会公开，涉及金额</w:t>
      </w:r>
      <w:r>
        <w:rPr>
          <w:rFonts w:hint="eastAsia"/>
          <w:szCs w:val="32"/>
        </w:rPr>
        <w:t>51.63</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szCs w:val="32"/>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109"/>
  <w:drawingGridHorizontalSpacing w:val="156"/>
  <w:drawingGridVerticalSpacing w:val="287"/>
  <w:displayHorizontalDrawingGridEvery w:val="2"/>
  <w:displayVerticalDrawingGridEvery w:val="2"/>
  <w:noPunctuationKerning w:val="1"/>
  <w:characterSpacingControl w:val="compressPunctuation"/>
  <w:doNotValidateAgainstSchema/>
  <w:doNotDemarcateInvalidXml/>
  <w:hdrShapeDefaults>
    <o:shapelayout v:ext="edit">
      <o:idmap v:ext="edit" data="1,2"/>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NjNiYzI4ODc0ZDJmM2I1YjgyYTdhNmZjN2ZjOGMifQ=="/>
  </w:docVars>
  <w:rsids>
    <w:rsidRoot w:val="48674ED2"/>
    <w:rsid w:val="00044A6B"/>
    <w:rsid w:val="0006038E"/>
    <w:rsid w:val="00071A99"/>
    <w:rsid w:val="000C4B0E"/>
    <w:rsid w:val="000C6D48"/>
    <w:rsid w:val="000D7FB8"/>
    <w:rsid w:val="000E46F6"/>
    <w:rsid w:val="000F060F"/>
    <w:rsid w:val="00101E63"/>
    <w:rsid w:val="00102492"/>
    <w:rsid w:val="00104581"/>
    <w:rsid w:val="00104D9F"/>
    <w:rsid w:val="00143120"/>
    <w:rsid w:val="00145456"/>
    <w:rsid w:val="0014663B"/>
    <w:rsid w:val="00152457"/>
    <w:rsid w:val="001A3789"/>
    <w:rsid w:val="001B5A4B"/>
    <w:rsid w:val="001B7E7D"/>
    <w:rsid w:val="001C403B"/>
    <w:rsid w:val="001E3810"/>
    <w:rsid w:val="002065A8"/>
    <w:rsid w:val="002300BA"/>
    <w:rsid w:val="00232D44"/>
    <w:rsid w:val="00252497"/>
    <w:rsid w:val="0026338C"/>
    <w:rsid w:val="00285C82"/>
    <w:rsid w:val="00292A39"/>
    <w:rsid w:val="002A5441"/>
    <w:rsid w:val="002B3608"/>
    <w:rsid w:val="002C6753"/>
    <w:rsid w:val="002E7CD8"/>
    <w:rsid w:val="00315BC1"/>
    <w:rsid w:val="00316331"/>
    <w:rsid w:val="00332BF0"/>
    <w:rsid w:val="00367BC1"/>
    <w:rsid w:val="00374BDD"/>
    <w:rsid w:val="003822D8"/>
    <w:rsid w:val="00387D32"/>
    <w:rsid w:val="00394531"/>
    <w:rsid w:val="00396D8D"/>
    <w:rsid w:val="003A2EA0"/>
    <w:rsid w:val="003A4821"/>
    <w:rsid w:val="003B30E8"/>
    <w:rsid w:val="003E1740"/>
    <w:rsid w:val="00412FCA"/>
    <w:rsid w:val="0041626B"/>
    <w:rsid w:val="00417052"/>
    <w:rsid w:val="00426F96"/>
    <w:rsid w:val="0043671F"/>
    <w:rsid w:val="0044087F"/>
    <w:rsid w:val="00487479"/>
    <w:rsid w:val="00492653"/>
    <w:rsid w:val="004A1203"/>
    <w:rsid w:val="004A1836"/>
    <w:rsid w:val="004D728E"/>
    <w:rsid w:val="004E6568"/>
    <w:rsid w:val="00514321"/>
    <w:rsid w:val="00515110"/>
    <w:rsid w:val="005470FF"/>
    <w:rsid w:val="00567C58"/>
    <w:rsid w:val="005722C1"/>
    <w:rsid w:val="00584D1B"/>
    <w:rsid w:val="0058630E"/>
    <w:rsid w:val="00586A56"/>
    <w:rsid w:val="005930C5"/>
    <w:rsid w:val="00596C9D"/>
    <w:rsid w:val="005D5B16"/>
    <w:rsid w:val="005F314F"/>
    <w:rsid w:val="0061610E"/>
    <w:rsid w:val="00623896"/>
    <w:rsid w:val="006358AE"/>
    <w:rsid w:val="00636B60"/>
    <w:rsid w:val="00657727"/>
    <w:rsid w:val="006618A4"/>
    <w:rsid w:val="006834D6"/>
    <w:rsid w:val="006A2FE9"/>
    <w:rsid w:val="006B00E3"/>
    <w:rsid w:val="006B20F0"/>
    <w:rsid w:val="006B3914"/>
    <w:rsid w:val="006B4FE3"/>
    <w:rsid w:val="006E0C9D"/>
    <w:rsid w:val="006F1B7D"/>
    <w:rsid w:val="006F335C"/>
    <w:rsid w:val="007010E3"/>
    <w:rsid w:val="007638E0"/>
    <w:rsid w:val="00767604"/>
    <w:rsid w:val="00787B9C"/>
    <w:rsid w:val="0079688F"/>
    <w:rsid w:val="007A5C14"/>
    <w:rsid w:val="007E599F"/>
    <w:rsid w:val="007E7800"/>
    <w:rsid w:val="007F3CA2"/>
    <w:rsid w:val="00803484"/>
    <w:rsid w:val="00812796"/>
    <w:rsid w:val="00825722"/>
    <w:rsid w:val="00841DA8"/>
    <w:rsid w:val="0084499E"/>
    <w:rsid w:val="00851A6F"/>
    <w:rsid w:val="00852649"/>
    <w:rsid w:val="00870789"/>
    <w:rsid w:val="008730AB"/>
    <w:rsid w:val="00876675"/>
    <w:rsid w:val="00876AFD"/>
    <w:rsid w:val="00896C22"/>
    <w:rsid w:val="008A2755"/>
    <w:rsid w:val="008B42FB"/>
    <w:rsid w:val="008C034B"/>
    <w:rsid w:val="008F63CD"/>
    <w:rsid w:val="0091631A"/>
    <w:rsid w:val="00922231"/>
    <w:rsid w:val="00924734"/>
    <w:rsid w:val="00932BEF"/>
    <w:rsid w:val="009634FF"/>
    <w:rsid w:val="0098315D"/>
    <w:rsid w:val="00983A8D"/>
    <w:rsid w:val="00997486"/>
    <w:rsid w:val="009A6002"/>
    <w:rsid w:val="009B2F41"/>
    <w:rsid w:val="009B4808"/>
    <w:rsid w:val="009C1D1A"/>
    <w:rsid w:val="009C6A1B"/>
    <w:rsid w:val="009D35E0"/>
    <w:rsid w:val="009E093A"/>
    <w:rsid w:val="009F5F45"/>
    <w:rsid w:val="00A00139"/>
    <w:rsid w:val="00A01B27"/>
    <w:rsid w:val="00A060B4"/>
    <w:rsid w:val="00A06E57"/>
    <w:rsid w:val="00A12748"/>
    <w:rsid w:val="00A25559"/>
    <w:rsid w:val="00A34894"/>
    <w:rsid w:val="00A53223"/>
    <w:rsid w:val="00A56353"/>
    <w:rsid w:val="00A61119"/>
    <w:rsid w:val="00A73E5D"/>
    <w:rsid w:val="00A76535"/>
    <w:rsid w:val="00A77D71"/>
    <w:rsid w:val="00A8432B"/>
    <w:rsid w:val="00A84B47"/>
    <w:rsid w:val="00A96058"/>
    <w:rsid w:val="00AD1B74"/>
    <w:rsid w:val="00AD394A"/>
    <w:rsid w:val="00AD4E96"/>
    <w:rsid w:val="00AF00B4"/>
    <w:rsid w:val="00AF4D25"/>
    <w:rsid w:val="00B05DD3"/>
    <w:rsid w:val="00B60748"/>
    <w:rsid w:val="00B62ADA"/>
    <w:rsid w:val="00B62F90"/>
    <w:rsid w:val="00B668F4"/>
    <w:rsid w:val="00BA440E"/>
    <w:rsid w:val="00BA7D5D"/>
    <w:rsid w:val="00BB6AF4"/>
    <w:rsid w:val="00BB6FD3"/>
    <w:rsid w:val="00BE1CDD"/>
    <w:rsid w:val="00C024F4"/>
    <w:rsid w:val="00C10F1E"/>
    <w:rsid w:val="00C210A8"/>
    <w:rsid w:val="00C339E9"/>
    <w:rsid w:val="00C36C22"/>
    <w:rsid w:val="00C461F9"/>
    <w:rsid w:val="00C55740"/>
    <w:rsid w:val="00C74D0E"/>
    <w:rsid w:val="00C81821"/>
    <w:rsid w:val="00CA1FFF"/>
    <w:rsid w:val="00CB2185"/>
    <w:rsid w:val="00CB67FB"/>
    <w:rsid w:val="00CC328C"/>
    <w:rsid w:val="00CC6E11"/>
    <w:rsid w:val="00CC7209"/>
    <w:rsid w:val="00CD2386"/>
    <w:rsid w:val="00CD32B7"/>
    <w:rsid w:val="00CE7AAF"/>
    <w:rsid w:val="00D01679"/>
    <w:rsid w:val="00D029F1"/>
    <w:rsid w:val="00D137C7"/>
    <w:rsid w:val="00D2782D"/>
    <w:rsid w:val="00D31213"/>
    <w:rsid w:val="00D33284"/>
    <w:rsid w:val="00D35F13"/>
    <w:rsid w:val="00D4403E"/>
    <w:rsid w:val="00D44841"/>
    <w:rsid w:val="00D55467"/>
    <w:rsid w:val="00D71247"/>
    <w:rsid w:val="00D7482F"/>
    <w:rsid w:val="00D850BD"/>
    <w:rsid w:val="00D87341"/>
    <w:rsid w:val="00DA6862"/>
    <w:rsid w:val="00DE1081"/>
    <w:rsid w:val="00DE1DAB"/>
    <w:rsid w:val="00DE1FEC"/>
    <w:rsid w:val="00DF09E6"/>
    <w:rsid w:val="00DF0F79"/>
    <w:rsid w:val="00DF6980"/>
    <w:rsid w:val="00E00855"/>
    <w:rsid w:val="00E20836"/>
    <w:rsid w:val="00E22C47"/>
    <w:rsid w:val="00E40967"/>
    <w:rsid w:val="00E45845"/>
    <w:rsid w:val="00E56F79"/>
    <w:rsid w:val="00E67450"/>
    <w:rsid w:val="00E736BF"/>
    <w:rsid w:val="00E738B4"/>
    <w:rsid w:val="00E80625"/>
    <w:rsid w:val="00E82D48"/>
    <w:rsid w:val="00E96847"/>
    <w:rsid w:val="00EA4EE9"/>
    <w:rsid w:val="00EA7A97"/>
    <w:rsid w:val="00EC73B7"/>
    <w:rsid w:val="00ED6F6A"/>
    <w:rsid w:val="00EE1F67"/>
    <w:rsid w:val="00EF21B1"/>
    <w:rsid w:val="00F05A0B"/>
    <w:rsid w:val="00F314B1"/>
    <w:rsid w:val="00F3741E"/>
    <w:rsid w:val="00F47B19"/>
    <w:rsid w:val="00F629BF"/>
    <w:rsid w:val="00F7193F"/>
    <w:rsid w:val="00F75F0D"/>
    <w:rsid w:val="00F76868"/>
    <w:rsid w:val="00F8523B"/>
    <w:rsid w:val="00FA3A85"/>
    <w:rsid w:val="00FB3451"/>
    <w:rsid w:val="00FE3C0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3543A3"/>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6"/>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61"/>
    <w:uiPriority w:val="0"/>
    <w:rPr>
      <w:rFonts w:hint="eastAsia" w:ascii="宋体" w:hAnsi="宋体" w:eastAsia="宋体" w:cs="宋体"/>
      <w:color w:val="000000"/>
      <w:sz w:val="24"/>
      <w:szCs w:val="24"/>
      <w:u w:val="none"/>
    </w:rPr>
  </w:style>
  <w:style w:type="character" w:customStyle="1" w:styleId="14">
    <w:name w:val="font41"/>
    <w:uiPriority w:val="0"/>
    <w:rPr>
      <w:rFonts w:hint="default" w:ascii="华文细黑" w:hAnsi="华文细黑" w:eastAsia="华文细黑" w:cs="华文细黑"/>
      <w:color w:val="000000"/>
      <w:sz w:val="20"/>
      <w:szCs w:val="20"/>
      <w:u w:val="none"/>
    </w:rPr>
  </w:style>
  <w:style w:type="character" w:customStyle="1" w:styleId="15">
    <w:name w:val="font11"/>
    <w:uiPriority w:val="0"/>
    <w:rPr>
      <w:rFonts w:hint="default" w:ascii="Arial" w:hAnsi="Arial" w:cs="Arial"/>
      <w:color w:val="000000"/>
      <w:sz w:val="24"/>
      <w:szCs w:val="24"/>
      <w:u w:val="none"/>
    </w:rPr>
  </w:style>
  <w:style w:type="character" w:customStyle="1" w:styleId="16">
    <w:name w:val="页脚 Char"/>
    <w:link w:val="6"/>
    <w:uiPriority w:val="0"/>
    <w:rPr>
      <w:rFonts w:eastAsia="仿宋_GB2312"/>
      <w:kern w:val="2"/>
      <w:sz w:val="18"/>
    </w:rPr>
  </w:style>
  <w:style w:type="character" w:customStyle="1" w:styleId="17">
    <w:name w:val="批注框文本 Char"/>
    <w:link w:val="5"/>
    <w:uiPriority w:val="0"/>
    <w:rPr>
      <w:rFonts w:eastAsia="仿宋_GB2312"/>
      <w:kern w:val="2"/>
      <w:sz w:val="18"/>
      <w:szCs w:val="18"/>
    </w:rPr>
  </w:style>
  <w:style w:type="character" w:customStyle="1" w:styleId="18">
    <w:name w:val="font21"/>
    <w:uiPriority w:val="0"/>
    <w:rPr>
      <w:rFonts w:hint="default" w:ascii="Arial" w:hAnsi="Arial" w:cs="Arial"/>
      <w:color w:val="000000"/>
      <w:sz w:val="20"/>
      <w:szCs w:val="20"/>
      <w:u w:val="none"/>
    </w:rPr>
  </w:style>
  <w:style w:type="character" w:customStyle="1" w:styleId="19">
    <w:name w:val="font01"/>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1">
    <w:name w:val="页脚 New New New New New New New New New New New"/>
    <w:basedOn w:val="1"/>
    <w:uiPriority w:val="0"/>
    <w:pPr>
      <w:tabs>
        <w:tab w:val="center" w:pos="4153"/>
        <w:tab w:val="right" w:pos="8306"/>
      </w:tabs>
      <w:snapToGrid w:val="0"/>
      <w:jc w:val="left"/>
    </w:pPr>
    <w:rPr>
      <w:sz w:val="18"/>
    </w:rPr>
  </w:style>
  <w:style w:type="paragraph" w:customStyle="1" w:styleId="22">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uiPriority w:val="0"/>
    <w:pPr>
      <w:tabs>
        <w:tab w:val="center" w:pos="4153"/>
        <w:tab w:val="right" w:pos="8306"/>
      </w:tabs>
      <w:snapToGrid w:val="0"/>
      <w:jc w:val="left"/>
    </w:pPr>
    <w:rPr>
      <w:sz w:val="18"/>
    </w:rPr>
  </w:style>
  <w:style w:type="paragraph" w:customStyle="1" w:styleId="28">
    <w:name w:val="页脚 New"/>
    <w:basedOn w:val="1"/>
    <w:uiPriority w:val="0"/>
    <w:pPr>
      <w:tabs>
        <w:tab w:val="center" w:pos="4153"/>
        <w:tab w:val="right" w:pos="8306"/>
      </w:tabs>
      <w:snapToGrid w:val="0"/>
      <w:jc w:val="left"/>
    </w:pPr>
    <w:rPr>
      <w:sz w:val="18"/>
    </w:rPr>
  </w:style>
  <w:style w:type="paragraph" w:customStyle="1" w:styleId="29">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uiPriority w:val="0"/>
    <w:pPr>
      <w:tabs>
        <w:tab w:val="center" w:pos="4153"/>
        <w:tab w:val="right" w:pos="8306"/>
      </w:tabs>
      <w:snapToGrid w:val="0"/>
      <w:jc w:val="left"/>
    </w:pPr>
    <w:rPr>
      <w:sz w:val="18"/>
    </w:rPr>
  </w:style>
  <w:style w:type="paragraph" w:customStyle="1" w:styleId="53">
    <w:name w:val="页脚 New New New New New New New"/>
    <w:basedOn w:val="1"/>
    <w:uiPriority w:val="0"/>
    <w:pPr>
      <w:tabs>
        <w:tab w:val="center" w:pos="4153"/>
        <w:tab w:val="right" w:pos="8306"/>
      </w:tabs>
      <w:snapToGrid w:val="0"/>
      <w:jc w:val="left"/>
    </w:pPr>
    <w:rPr>
      <w:sz w:val="18"/>
    </w:rPr>
  </w:style>
  <w:style w:type="paragraph" w:customStyle="1" w:styleId="54">
    <w:name w:val="页脚 New New New New"/>
    <w:basedOn w:val="1"/>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6">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uiPriority w:val="0"/>
    <w:pPr>
      <w:tabs>
        <w:tab w:val="center" w:pos="4153"/>
        <w:tab w:val="right" w:pos="8306"/>
      </w:tabs>
      <w:snapToGrid w:val="0"/>
      <w:jc w:val="left"/>
    </w:pPr>
    <w:rPr>
      <w:sz w:val="18"/>
    </w:rPr>
  </w:style>
  <w:style w:type="paragraph" w:customStyle="1" w:styleId="61">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5">
    <w:name w:val="页脚 New New New New New New New New New New"/>
    <w:basedOn w:val="1"/>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8">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Microsoft</Company>
  <Pages>26</Pages>
  <Words>1509</Words>
  <Characters>8606</Characters>
  <Lines>71</Lines>
  <Paragraphs>20</Paragraphs>
  <TotalTime>0</TotalTime>
  <ScaleCrop>false</ScaleCrop>
  <LinksUpToDate>false</LinksUpToDate>
  <CharactersWithSpaces>10095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孙熙临</cp:lastModifiedBy>
  <cp:lastPrinted>2024-01-23T03:39:00Z</cp:lastPrinted>
  <dcterms:modified xsi:type="dcterms:W3CDTF">2024-02-26T02:39:11Z</dcterms:modified>
  <dc:title>主  持  词</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