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敦化市统计局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1.贯彻执行国家统计方针、政策以及法律、法规，制定全市统计规划及统计调查计划；监督检查统计法律、法规的实施。组织领导全市统计工作，承担确保统计数据真实、准确、及时的责任。</w:t>
      </w:r>
    </w:p>
    <w:p>
      <w:pPr>
        <w:ind w:firstLine="640" w:firstLineChars="200"/>
        <w:rPr>
          <w:rFonts w:hint="eastAsia"/>
          <w:color w:val="000000"/>
          <w:szCs w:val="32"/>
        </w:rPr>
      </w:pPr>
      <w:r>
        <w:rPr>
          <w:rFonts w:hint="eastAsia"/>
          <w:color w:val="000000"/>
          <w:szCs w:val="32"/>
        </w:rPr>
        <w:t>2.根据国家统一的基本统计制度，建立健全全市国民经济核算体系和统计指标体系，贯彻执行全省统一的基本统计报表制度和统计标准；汇编提供全市国民经济核算资料。</w:t>
      </w:r>
    </w:p>
    <w:p>
      <w:pPr>
        <w:ind w:firstLine="640" w:firstLineChars="200"/>
        <w:rPr>
          <w:rFonts w:hint="eastAsia"/>
          <w:color w:val="000000"/>
          <w:szCs w:val="32"/>
        </w:rPr>
      </w:pPr>
      <w:r>
        <w:rPr>
          <w:rFonts w:hint="eastAsia"/>
          <w:color w:val="000000"/>
          <w:szCs w:val="32"/>
        </w:rPr>
        <w:t>3.组织实施重大省情省力普查计划；统一组织协调全市社会经济统计调查；汇总、整理全市基本统计资料；对国民经济、科技进步和社会发展等情况进行统计分析、统计预测预警和统计监督，向市委、市政府及有关</w:t>
      </w:r>
      <w:r>
        <w:rPr>
          <w:rFonts w:hint="eastAsia"/>
          <w:color w:val="000000"/>
          <w:szCs w:val="32"/>
          <w:lang w:eastAsia="zh-CN"/>
        </w:rPr>
        <w:t>单位</w:t>
      </w:r>
      <w:r>
        <w:rPr>
          <w:rFonts w:hint="eastAsia"/>
          <w:color w:val="000000"/>
          <w:szCs w:val="32"/>
        </w:rPr>
        <w:t>提供统计信息和咨询建议。</w:t>
      </w:r>
    </w:p>
    <w:p>
      <w:pPr>
        <w:ind w:firstLine="640" w:firstLineChars="200"/>
        <w:rPr>
          <w:rFonts w:hint="eastAsia"/>
          <w:color w:val="000000"/>
          <w:szCs w:val="32"/>
        </w:rPr>
      </w:pPr>
      <w:r>
        <w:rPr>
          <w:rFonts w:hint="eastAsia"/>
          <w:color w:val="000000"/>
          <w:szCs w:val="32"/>
        </w:rPr>
        <w:t>4.统一核定、管理、公布全市基本统计资料，定期向社会公众发布全市国民经济和社会发展情况的统计信息。</w:t>
      </w:r>
    </w:p>
    <w:p>
      <w:pPr>
        <w:ind w:firstLine="640" w:firstLineChars="200"/>
        <w:rPr>
          <w:rFonts w:hint="eastAsia"/>
          <w:color w:val="000000"/>
          <w:szCs w:val="32"/>
        </w:rPr>
      </w:pPr>
      <w:r>
        <w:rPr>
          <w:rFonts w:hint="eastAsia"/>
          <w:color w:val="000000"/>
          <w:szCs w:val="32"/>
        </w:rPr>
        <w:t>5.建立、完善和管理全市统计信息自动化系统和全市统计数据库体系。</w:t>
      </w:r>
    </w:p>
    <w:p>
      <w:pPr>
        <w:ind w:firstLine="640" w:firstLineChars="200"/>
        <w:rPr>
          <w:rFonts w:hint="eastAsia"/>
          <w:color w:val="000000"/>
          <w:szCs w:val="32"/>
        </w:rPr>
      </w:pPr>
      <w:r>
        <w:rPr>
          <w:rFonts w:hint="eastAsia"/>
          <w:color w:val="000000"/>
          <w:szCs w:val="32"/>
        </w:rPr>
        <w:t>6.负责全市统计系统的干部人事、劳动工资、机构编制和财务经费、审计监督及资产设施管理。</w:t>
      </w:r>
    </w:p>
    <w:p>
      <w:pPr>
        <w:ind w:firstLine="640" w:firstLineChars="200"/>
        <w:rPr>
          <w:rFonts w:hint="eastAsia" w:eastAsia="仿宋_GB2312"/>
          <w:color w:val="000000"/>
          <w:szCs w:val="32"/>
          <w:lang w:eastAsia="zh-CN"/>
        </w:rPr>
      </w:pPr>
      <w:r>
        <w:rPr>
          <w:rFonts w:hint="eastAsia"/>
          <w:color w:val="000000"/>
          <w:szCs w:val="32"/>
        </w:rPr>
        <w:t>7.承办延边朝鲜族自治州统计局和敦化市政府交办的其他事项</w:t>
      </w:r>
      <w:r>
        <w:rPr>
          <w:rFonts w:hint="eastAsia"/>
          <w:color w:val="000000"/>
          <w:szCs w:val="32"/>
          <w:lang w:eastAsia="zh-CN"/>
        </w:rPr>
        <w:t>。</w:t>
      </w:r>
    </w:p>
    <w:p>
      <w:pPr>
        <w:ind w:firstLine="640" w:firstLineChars="200"/>
      </w:pPr>
      <w:r>
        <w:rPr>
          <w:rFonts w:eastAsia="楷体_GB2312"/>
        </w:rPr>
        <w:t>二、机构设置</w:t>
      </w:r>
    </w:p>
    <w:p>
      <w:pPr>
        <w:pStyle w:val="48"/>
        <w:ind w:firstLine="640" w:firstLineChars="200"/>
        <w:rPr>
          <w:rFonts w:eastAsia="仿宋_GB2312"/>
        </w:rPr>
      </w:pPr>
      <w:r>
        <w:rPr>
          <w:rFonts w:hint="eastAsia" w:eastAsia="仿宋_GB2312"/>
        </w:rPr>
        <w:t>根据上述职责，敦化市统计局内设3个机构，分别为办公室、综合统计科、社会经济统计科</w:t>
      </w:r>
      <w:r>
        <w:rPr>
          <w:rFonts w:eastAsia="仿宋_GB2312"/>
        </w:rPr>
        <w:t>。</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350.21</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333.60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16.61</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rPr>
            </w:pPr>
            <w:r>
              <w:rPr>
                <w:rFonts w:hint="eastAsia" w:eastAsia="宋体"/>
                <w:kern w:val="0"/>
                <w:sz w:val="20"/>
                <w:lang w:val="en-US" w:eastAsia="zh-CN"/>
              </w:rPr>
              <w:t>289.20</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278.01</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11.19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350.21</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333.60</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16.61</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38.25</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33.41</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4.84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5.81</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5.81</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16.96</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16.37</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rPr>
              <w:t>0.59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350.21</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333.60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16.61</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hint="eastAsia" w:eastAsia="宋体"/>
                <w:b w:val="0"/>
                <w:bCs w:val="0"/>
                <w:kern w:val="0"/>
                <w:sz w:val="20"/>
              </w:rPr>
              <w:t>350.21</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333.6</w:t>
            </w:r>
            <w:r>
              <w:rPr>
                <w:rFonts w:hint="eastAsia" w:eastAsia="宋体"/>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16.61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350.21</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rPr>
            </w:pPr>
            <w:r>
              <w:rPr>
                <w:rFonts w:hint="eastAsia" w:eastAsia="宋体"/>
                <w:kern w:val="0"/>
                <w:sz w:val="20"/>
                <w:lang w:val="en-US" w:eastAsia="zh-CN"/>
              </w:rPr>
              <w:t>333.60</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r>
              <w:rPr>
                <w:rFonts w:hint="eastAsia" w:eastAsia="宋体"/>
                <w:kern w:val="0"/>
                <w:sz w:val="20"/>
                <w:lang w:val="en-US" w:eastAsia="zh-CN"/>
              </w:rPr>
              <w:t>16.61</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350.21</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333.6</w:t>
            </w:r>
            <w:r>
              <w:rPr>
                <w:rFonts w:hint="eastAsia" w:eastAsia="宋体"/>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16.61</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797" w:type="dxa"/>
        <w:jc w:val="center"/>
        <w:tblLayout w:type="fixed"/>
        <w:tblCellMar>
          <w:top w:w="0" w:type="dxa"/>
          <w:left w:w="108" w:type="dxa"/>
          <w:bottom w:w="0" w:type="dxa"/>
          <w:right w:w="108" w:type="dxa"/>
        </w:tblCellMar>
      </w:tblPr>
      <w:tblGrid>
        <w:gridCol w:w="639"/>
        <w:gridCol w:w="825"/>
        <w:gridCol w:w="780"/>
        <w:gridCol w:w="805"/>
        <w:gridCol w:w="421"/>
        <w:gridCol w:w="421"/>
        <w:gridCol w:w="421"/>
        <w:gridCol w:w="421"/>
        <w:gridCol w:w="421"/>
        <w:gridCol w:w="99"/>
        <w:gridCol w:w="321"/>
        <w:gridCol w:w="421"/>
        <w:gridCol w:w="252"/>
        <w:gridCol w:w="169"/>
        <w:gridCol w:w="329"/>
        <w:gridCol w:w="352"/>
        <w:gridCol w:w="673"/>
        <w:gridCol w:w="236"/>
        <w:gridCol w:w="169"/>
        <w:gridCol w:w="390"/>
        <w:gridCol w:w="630"/>
        <w:gridCol w:w="555"/>
        <w:gridCol w:w="47"/>
      </w:tblGrid>
      <w:tr>
        <w:tblPrEx>
          <w:tblCellMar>
            <w:top w:w="0" w:type="dxa"/>
            <w:left w:w="108" w:type="dxa"/>
            <w:bottom w:w="0" w:type="dxa"/>
            <w:right w:w="108" w:type="dxa"/>
          </w:tblCellMar>
        </w:tblPrEx>
        <w:trPr>
          <w:gridAfter w:val="1"/>
          <w:wAfter w:w="47" w:type="dxa"/>
          <w:trHeight w:val="335" w:hRule="atLeast"/>
          <w:jc w:val="center"/>
        </w:trPr>
        <w:tc>
          <w:tcPr>
            <w:tcW w:w="639" w:type="dxa"/>
            <w:tcBorders>
              <w:bottom w:val="single" w:color="000000" w:sz="4" w:space="0"/>
            </w:tcBorders>
            <w:noWrap w:val="0"/>
            <w:vAlign w:val="top"/>
          </w:tcPr>
          <w:p>
            <w:pPr>
              <w:autoSpaceDN w:val="0"/>
              <w:jc w:val="left"/>
              <w:textAlignment w:val="center"/>
              <w:rPr>
                <w:rFonts w:eastAsia="华文细黑"/>
                <w:color w:val="000000"/>
                <w:sz w:val="20"/>
              </w:rPr>
            </w:pPr>
          </w:p>
        </w:tc>
        <w:tc>
          <w:tcPr>
            <w:tcW w:w="4614" w:type="dxa"/>
            <w:gridSpan w:val="9"/>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025"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744"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639"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2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952"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381" w:type="dxa"/>
            <w:gridSpan w:val="9"/>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639"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5"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8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47"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2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104"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81"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68"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1232" w:type="dxa"/>
            <w:gridSpan w:val="3"/>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639"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8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0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21"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81"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7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9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3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02"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708" w:hRule="atLeast"/>
          <w:jc w:val="center"/>
        </w:trPr>
        <w:tc>
          <w:tcPr>
            <w:tcW w:w="63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val="en-US" w:eastAsia="zh-CN"/>
              </w:rPr>
              <w:t>敦化市统计局</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r>
              <w:rPr>
                <w:rFonts w:hint="eastAsia" w:eastAsia="宋体"/>
                <w:color w:val="000000"/>
                <w:sz w:val="20"/>
                <w:szCs w:val="20"/>
                <w:shd w:val="clear" w:color="auto" w:fill="FFFFFF"/>
              </w:rPr>
              <w:t>350.21</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rPr>
              <w:t>333.6</w:t>
            </w:r>
            <w:r>
              <w:rPr>
                <w:rFonts w:hint="eastAsia" w:eastAsia="宋体"/>
                <w:color w:val="000000"/>
                <w:sz w:val="20"/>
                <w:szCs w:val="20"/>
                <w:shd w:val="clear" w:color="auto" w:fill="FFFFFF"/>
                <w:lang w:val="en-US" w:eastAsia="zh-CN"/>
              </w:rPr>
              <w:t>0</w:t>
            </w:r>
          </w:p>
        </w:tc>
        <w:tc>
          <w:tcPr>
            <w:tcW w:w="8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rPr>
              <w:t>333.6</w:t>
            </w:r>
            <w:r>
              <w:rPr>
                <w:rFonts w:hint="eastAsia" w:eastAsia="宋体"/>
                <w:color w:val="000000"/>
                <w:sz w:val="20"/>
                <w:szCs w:val="20"/>
                <w:shd w:val="clear" w:color="auto" w:fill="FFFFFF"/>
                <w:lang w:val="en-US" w:eastAsia="zh-CN"/>
              </w:rPr>
              <w:t>0</w:t>
            </w:r>
          </w:p>
        </w:tc>
        <w:tc>
          <w:tcPr>
            <w:tcW w:w="42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8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r>
              <w:rPr>
                <w:rFonts w:hint="eastAsia" w:eastAsia="宋体"/>
                <w:color w:val="000000"/>
                <w:sz w:val="20"/>
                <w:szCs w:val="20"/>
                <w:shd w:val="clear" w:color="auto" w:fill="FFFFFF"/>
              </w:rPr>
              <w:t>16.61</w:t>
            </w:r>
          </w:p>
        </w:tc>
        <w:tc>
          <w:tcPr>
            <w:tcW w:w="6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r>
              <w:rPr>
                <w:rFonts w:hint="eastAsia" w:eastAsia="宋体"/>
                <w:color w:val="000000"/>
                <w:sz w:val="20"/>
                <w:szCs w:val="20"/>
                <w:shd w:val="clear" w:color="auto" w:fill="FFFFFF"/>
              </w:rPr>
              <w:t>16.61</w:t>
            </w: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0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517" w:hRule="atLeast"/>
          <w:jc w:val="center"/>
        </w:trPr>
        <w:tc>
          <w:tcPr>
            <w:tcW w:w="63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8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0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517" w:hRule="atLeast"/>
          <w:jc w:val="center"/>
        </w:trPr>
        <w:tc>
          <w:tcPr>
            <w:tcW w:w="63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8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0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492" w:hRule="atLeast"/>
          <w:jc w:val="center"/>
        </w:trPr>
        <w:tc>
          <w:tcPr>
            <w:tcW w:w="63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8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8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c>
          <w:tcPr>
            <w:tcW w:w="60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zCs w:val="20"/>
                <w:shd w:val="clear" w:color="auto" w:fill="FFFFFF"/>
              </w:rPr>
            </w:pPr>
          </w:p>
        </w:tc>
      </w:tr>
      <w:tr>
        <w:tblPrEx>
          <w:tblCellMar>
            <w:top w:w="0" w:type="dxa"/>
            <w:left w:w="108" w:type="dxa"/>
            <w:bottom w:w="0" w:type="dxa"/>
            <w:right w:w="108" w:type="dxa"/>
          </w:tblCellMar>
        </w:tblPrEx>
        <w:trPr>
          <w:trHeight w:val="530" w:hRule="atLeast"/>
          <w:jc w:val="center"/>
        </w:trPr>
        <w:tc>
          <w:tcPr>
            <w:tcW w:w="63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zCs w:val="20"/>
                <w:shd w:val="clear" w:color="auto" w:fill="FFFFFF"/>
              </w:rPr>
            </w:pPr>
            <w:r>
              <w:rPr>
                <w:rFonts w:eastAsia="宋体"/>
                <w:kern w:val="0"/>
                <w:sz w:val="20"/>
                <w:szCs w:val="20"/>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r>
              <w:rPr>
                <w:rFonts w:hint="eastAsia" w:eastAsia="宋体"/>
                <w:color w:val="000000"/>
                <w:sz w:val="20"/>
                <w:szCs w:val="20"/>
                <w:shd w:val="clear" w:color="auto" w:fill="FFFFFF"/>
              </w:rPr>
              <w:t>350.21</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rPr>
              <w:t>333.6</w:t>
            </w:r>
            <w:r>
              <w:rPr>
                <w:rFonts w:hint="eastAsia" w:eastAsia="宋体"/>
                <w:color w:val="000000"/>
                <w:sz w:val="20"/>
                <w:szCs w:val="20"/>
                <w:shd w:val="clear" w:color="auto" w:fill="FFFFFF"/>
                <w:lang w:val="en-US" w:eastAsia="zh-CN"/>
              </w:rPr>
              <w:t>0</w:t>
            </w:r>
          </w:p>
        </w:tc>
        <w:tc>
          <w:tcPr>
            <w:tcW w:w="8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rPr>
              <w:t>333.6</w:t>
            </w:r>
            <w:r>
              <w:rPr>
                <w:rFonts w:hint="eastAsia" w:eastAsia="宋体"/>
                <w:color w:val="000000"/>
                <w:sz w:val="20"/>
                <w:szCs w:val="20"/>
                <w:shd w:val="clear" w:color="auto" w:fill="FFFFFF"/>
                <w:lang w:val="en-US" w:eastAsia="zh-CN"/>
              </w:rPr>
              <w:t>0</w:t>
            </w:r>
          </w:p>
        </w:tc>
        <w:tc>
          <w:tcPr>
            <w:tcW w:w="42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68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r>
              <w:rPr>
                <w:rFonts w:hint="eastAsia" w:eastAsia="宋体"/>
                <w:color w:val="000000"/>
                <w:sz w:val="20"/>
                <w:szCs w:val="20"/>
                <w:shd w:val="clear" w:color="auto" w:fill="FFFFFF"/>
              </w:rPr>
              <w:t>16.61</w:t>
            </w:r>
          </w:p>
        </w:tc>
        <w:tc>
          <w:tcPr>
            <w:tcW w:w="6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r>
              <w:rPr>
                <w:rFonts w:hint="eastAsia" w:eastAsia="宋体"/>
                <w:color w:val="000000"/>
                <w:sz w:val="20"/>
                <w:szCs w:val="20"/>
                <w:shd w:val="clear" w:color="auto" w:fill="FFFFFF"/>
              </w:rPr>
              <w:t>16.61</w:t>
            </w: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c>
          <w:tcPr>
            <w:tcW w:w="60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zCs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310" w:type="dxa"/>
        <w:jc w:val="center"/>
        <w:tblLayout w:type="fixed"/>
        <w:tblCellMar>
          <w:top w:w="0" w:type="dxa"/>
          <w:left w:w="108" w:type="dxa"/>
          <w:bottom w:w="0" w:type="dxa"/>
          <w:right w:w="108" w:type="dxa"/>
        </w:tblCellMar>
      </w:tblPr>
      <w:tblGrid>
        <w:gridCol w:w="10310"/>
      </w:tblGrid>
      <w:tr>
        <w:tblPrEx>
          <w:tblCellMar>
            <w:top w:w="0" w:type="dxa"/>
            <w:left w:w="108" w:type="dxa"/>
            <w:bottom w:w="0" w:type="dxa"/>
            <w:right w:w="108" w:type="dxa"/>
          </w:tblCellMar>
        </w:tblPrEx>
        <w:trPr>
          <w:trHeight w:val="615" w:hRule="atLeast"/>
          <w:jc w:val="center"/>
        </w:trPr>
        <w:tc>
          <w:tcPr>
            <w:tcW w:w="10310"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pPr w:leftFromText="180" w:rightFromText="180" w:vertAnchor="text" w:horzAnchor="page" w:tblpX="61" w:tblpY="479"/>
              <w:tblOverlap w:val="never"/>
              <w:tblW w:w="9840" w:type="dxa"/>
              <w:tblInd w:w="0" w:type="dxa"/>
              <w:tblLayout w:type="fixed"/>
              <w:tblCellMar>
                <w:top w:w="15" w:type="dxa"/>
                <w:left w:w="15" w:type="dxa"/>
                <w:bottom w:w="15" w:type="dxa"/>
                <w:right w:w="15" w:type="dxa"/>
              </w:tblCellMar>
            </w:tblPr>
            <w:tblGrid>
              <w:gridCol w:w="2303"/>
              <w:gridCol w:w="1113"/>
              <w:gridCol w:w="1306"/>
              <w:gridCol w:w="1090"/>
              <w:gridCol w:w="1297"/>
              <w:gridCol w:w="1296"/>
              <w:gridCol w:w="1297"/>
              <w:gridCol w:w="138"/>
            </w:tblGrid>
            <w:tr>
              <w:tblPrEx>
                <w:tblCellMar>
                  <w:top w:w="15" w:type="dxa"/>
                  <w:left w:w="15" w:type="dxa"/>
                  <w:bottom w:w="15" w:type="dxa"/>
                  <w:right w:w="15" w:type="dxa"/>
                </w:tblCellMar>
              </w:tblPrEx>
              <w:trPr>
                <w:gridAfter w:val="1"/>
                <w:wAfter w:w="138" w:type="dxa"/>
                <w:trHeight w:val="95"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both"/>
                    <w:rPr>
                      <w:rFonts w:eastAsia="华文细黑"/>
                      <w:color w:val="000000"/>
                      <w:kern w:val="0"/>
                      <w:sz w:val="20"/>
                    </w:rPr>
                  </w:pPr>
                </w:p>
              </w:tc>
              <w:tc>
                <w:tcPr>
                  <w:tcW w:w="1296" w:type="dxa"/>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901" w:hRule="atLeast"/>
              </w:trPr>
              <w:tc>
                <w:tcPr>
                  <w:tcW w:w="2303"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13"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289.20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159.20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both"/>
                    <w:rPr>
                      <w:rFonts w:eastAsia="宋体"/>
                      <w:color w:val="000000"/>
                      <w:kern w:val="0"/>
                      <w:sz w:val="20"/>
                    </w:rPr>
                  </w:pPr>
                  <w:r>
                    <w:rPr>
                      <w:rFonts w:hint="eastAsia" w:eastAsia="宋体"/>
                      <w:color w:val="000000"/>
                      <w:kern w:val="0"/>
                      <w:sz w:val="20"/>
                      <w:lang w:val="en-US" w:eastAsia="zh-CN"/>
                    </w:rPr>
                    <w:t>统计信息事务</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289.20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159.20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eastAsia="宋体"/>
                      <w:color w:val="000000"/>
                      <w:kern w:val="0"/>
                      <w:sz w:val="20"/>
                    </w:rPr>
                  </w:pPr>
                  <w:r>
                    <w:rPr>
                      <w:rFonts w:hint="eastAsia" w:eastAsia="宋体"/>
                      <w:color w:val="000000"/>
                      <w:kern w:val="0"/>
                      <w:sz w:val="20"/>
                      <w:lang w:val="en-US" w:eastAsia="zh-CN"/>
                    </w:rPr>
                    <w:t>行政运行</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159.20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159.20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　　 一般行政管理事务</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eastAsia" w:eastAsia="宋体"/>
                      <w:color w:val="000000"/>
                      <w:kern w:val="0"/>
                      <w:sz w:val="20"/>
                      <w:lang w:val="en-US" w:eastAsia="zh-CN"/>
                    </w:rPr>
                  </w:pPr>
                  <w:r>
                    <w:rPr>
                      <w:rFonts w:hint="eastAsia" w:eastAsia="宋体"/>
                      <w:color w:val="000000"/>
                      <w:kern w:val="0"/>
                      <w:sz w:val="20"/>
                      <w:lang w:val="en-US" w:eastAsia="zh-CN"/>
                    </w:rPr>
                    <w:t>专项普查活动</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56.54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56.54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　统计抽样调查</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22.95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center"/>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rPr>
                  </w:pPr>
                  <w:r>
                    <w:rPr>
                      <w:rFonts w:hint="eastAsia" w:eastAsia="宋体"/>
                      <w:color w:val="000000"/>
                      <w:kern w:val="0"/>
                      <w:sz w:val="20"/>
                      <w:lang w:val="en-US" w:eastAsia="zh-CN"/>
                    </w:rPr>
                    <w:t>　 行政事业单位养老支出</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rPr>
                  </w:pPr>
                  <w:r>
                    <w:rPr>
                      <w:rFonts w:hint="eastAsia" w:eastAsia="宋体"/>
                      <w:color w:val="000000"/>
                      <w:kern w:val="0"/>
                      <w:sz w:val="20"/>
                      <w:lang w:val="en-US" w:eastAsia="zh-CN"/>
                    </w:rPr>
                    <w:t>　　行政单位离退休</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rPr>
                  </w:pPr>
                  <w:r>
                    <w:rPr>
                      <w:rFonts w:hint="eastAsia" w:eastAsia="宋体"/>
                      <w:color w:val="000000"/>
                      <w:kern w:val="0"/>
                      <w:sz w:val="20"/>
                      <w:lang w:val="en-US" w:eastAsia="zh-CN"/>
                    </w:rPr>
                    <w:t>　　机关事业单位基本养老保险缴费支出</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rPr>
                    <w:t>卫生健康支出</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val="en-US" w:eastAsia="zh-CN"/>
                    </w:rPr>
                  </w:pPr>
                  <w:r>
                    <w:rPr>
                      <w:rFonts w:hint="eastAsia" w:eastAsia="宋体"/>
                      <w:color w:val="000000"/>
                      <w:kern w:val="0"/>
                      <w:sz w:val="20"/>
                      <w:lang w:val="en-US" w:eastAsia="zh-CN"/>
                    </w:rPr>
                    <w:t>　行政事业单位医疗</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val="en-US" w:eastAsia="zh-CN"/>
                    </w:rPr>
                  </w:pPr>
                  <w:r>
                    <w:rPr>
                      <w:rFonts w:hint="eastAsia" w:eastAsia="宋体"/>
                      <w:color w:val="000000"/>
                      <w:kern w:val="0"/>
                      <w:sz w:val="20"/>
                      <w:lang w:val="en-US" w:eastAsia="zh-CN"/>
                    </w:rPr>
                    <w:t>　　行政单位医疗</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eastAsia="zh-CN"/>
                    </w:rPr>
                    <w:t>四</w:t>
                  </w:r>
                  <w:r>
                    <w:rPr>
                      <w:rFonts w:eastAsia="宋体"/>
                      <w:color w:val="000000"/>
                      <w:kern w:val="0"/>
                      <w:sz w:val="20"/>
                    </w:rPr>
                    <w:t>、</w:t>
                  </w:r>
                  <w:r>
                    <w:rPr>
                      <w:rFonts w:hint="eastAsia" w:eastAsia="宋体"/>
                      <w:color w:val="000000"/>
                      <w:kern w:val="0"/>
                      <w:sz w:val="20"/>
                    </w:rPr>
                    <w:t>住房保障支出</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rPr>
                  </w:pPr>
                  <w:r>
                    <w:rPr>
                      <w:rFonts w:hint="eastAsia" w:eastAsia="宋体"/>
                      <w:color w:val="000000"/>
                      <w:kern w:val="0"/>
                      <w:sz w:val="20"/>
                      <w:lang w:val="en-US" w:eastAsia="zh-CN"/>
                    </w:rPr>
                    <w:t>　住房改革支出</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rPr>
                  </w:pPr>
                  <w:r>
                    <w:rPr>
                      <w:rFonts w:hint="eastAsia" w:eastAsia="宋体"/>
                      <w:color w:val="000000"/>
                      <w:kern w:val="0"/>
                      <w:sz w:val="20"/>
                      <w:lang w:val="en-US" w:eastAsia="zh-CN"/>
                    </w:rPr>
                    <w:t>　　住房公积金</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10" w:hRule="atLeast"/>
              </w:trPr>
              <w:tc>
                <w:tcPr>
                  <w:tcW w:w="2303"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350.22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3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61"/>
              <w:gridCol w:w="1061"/>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61"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61"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350.21</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333.6</w:t>
                  </w:r>
                  <w:r>
                    <w:rPr>
                      <w:rFonts w:hint="eastAsia" w:eastAsia="宋体"/>
                      <w:kern w:val="0"/>
                      <w:sz w:val="20"/>
                      <w:lang w:val="en-US" w:eastAsia="zh-CN"/>
                    </w:rPr>
                    <w:t>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16.61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350.21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333.6</w:t>
                  </w:r>
                  <w:r>
                    <w:rPr>
                      <w:rFonts w:hint="eastAsia" w:eastAsia="宋体"/>
                      <w:kern w:val="0"/>
                      <w:sz w:val="20"/>
                      <w:lang w:val="en-US" w:eastAsia="zh-CN"/>
                    </w:rPr>
                    <w:t>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16.61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350.21</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333.6</w:t>
                  </w:r>
                  <w:r>
                    <w:rPr>
                      <w:rFonts w:hint="eastAsia" w:eastAsia="宋体"/>
                      <w:kern w:val="0"/>
                      <w:sz w:val="20"/>
                      <w:lang w:val="en-US" w:eastAsia="zh-CN"/>
                    </w:rPr>
                    <w:t>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16.61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hint="eastAsia" w:eastAsia="宋体"/>
                      <w:color w:val="000000"/>
                      <w:kern w:val="0"/>
                      <w:sz w:val="20"/>
                    </w:rPr>
                    <w:t>一般公共服务支出　</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289.2</w:t>
                  </w:r>
                  <w:r>
                    <w:rPr>
                      <w:rFonts w:hint="eastAsia" w:eastAsia="宋体"/>
                      <w:kern w:val="0"/>
                      <w:sz w:val="20"/>
                      <w:lang w:val="en-US" w:eastAsia="zh-CN"/>
                    </w:rPr>
                    <w:t>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278.01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rPr>
                  </w:pPr>
                  <w:r>
                    <w:rPr>
                      <w:rFonts w:hint="eastAsia" w:eastAsia="宋体"/>
                      <w:kern w:val="0"/>
                      <w:sz w:val="20"/>
                    </w:rPr>
                    <w:t>11.19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sz w:val="20"/>
                    </w:rPr>
                    <w:t>二</w:t>
                  </w:r>
                  <w:r>
                    <w:rPr>
                      <w:rFonts w:hint="eastAsia" w:eastAsia="宋体"/>
                      <w:color w:val="000000"/>
                      <w:kern w:val="0"/>
                      <w:sz w:val="20"/>
                      <w:lang w:eastAsia="zh-CN"/>
                    </w:rPr>
                    <w:t>）</w:t>
                  </w:r>
                  <w:r>
                    <w:rPr>
                      <w:rFonts w:hint="eastAsia" w:eastAsia="宋体"/>
                      <w:color w:val="000000"/>
                      <w:kern w:val="0"/>
                      <w:sz w:val="20"/>
                    </w:rPr>
                    <w:t>社会保障和就业支出　</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38.25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33.41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4.84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5.81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5.81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sz w:val="20"/>
                    </w:rPr>
                    <w:t>住房保障支出</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16.96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16.37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0.59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rPr>
                    <w:t>350.21</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333.6</w:t>
                  </w:r>
                  <w:r>
                    <w:rPr>
                      <w:rFonts w:hint="eastAsia" w:eastAsia="宋体"/>
                      <w:kern w:val="0"/>
                      <w:sz w:val="20"/>
                      <w:lang w:val="en-US" w:eastAsia="zh-CN"/>
                    </w:rPr>
                    <w:t>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rPr>
                    <w:t>16.61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350.21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0"/>
                      <w:lang w:val="en-US" w:eastAsia="zh-CN"/>
                    </w:rPr>
                  </w:pPr>
                  <w:r>
                    <w:rPr>
                      <w:rFonts w:hint="eastAsia" w:eastAsia="宋体"/>
                      <w:kern w:val="0"/>
                      <w:sz w:val="20"/>
                    </w:rPr>
                    <w:t>333.6</w:t>
                  </w:r>
                  <w:r>
                    <w:rPr>
                      <w:rFonts w:hint="eastAsia" w:eastAsia="宋体"/>
                      <w:kern w:val="0"/>
                      <w:sz w:val="20"/>
                      <w:lang w:val="en-US" w:eastAsia="zh-CN"/>
                    </w:rPr>
                    <w:t>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rPr>
                    <w:t>16.61</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289.2</w:t>
                  </w:r>
                  <w:r>
                    <w:rPr>
                      <w:rFonts w:hint="eastAsia" w:eastAsia="宋体" w:cs="Times New Roman"/>
                      <w:i w:val="0"/>
                      <w:iCs w:val="0"/>
                      <w:color w:val="000000"/>
                      <w:kern w:val="0"/>
                      <w:sz w:val="20"/>
                      <w:szCs w:val="20"/>
                      <w:u w:val="none"/>
                      <w:lang w:val="en-US" w:eastAsia="zh-CN" w:bidi="ar"/>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159.2</w:t>
                  </w:r>
                  <w:r>
                    <w:rPr>
                      <w:rFonts w:hint="eastAsia" w:eastAsia="宋体" w:cs="Times New Roman"/>
                      <w:i w:val="0"/>
                      <w:iCs w:val="0"/>
                      <w:color w:val="000000"/>
                      <w:kern w:val="0"/>
                      <w:sz w:val="20"/>
                      <w:szCs w:val="20"/>
                      <w:u w:val="none"/>
                      <w:lang w:val="en-US" w:eastAsia="zh-CN" w:bidi="ar"/>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35.45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130</w:t>
                  </w:r>
                  <w:r>
                    <w:rPr>
                      <w:rFonts w:hint="eastAsia" w:eastAsia="宋体" w:cs="Times New Roman"/>
                      <w:i w:val="0"/>
                      <w:iCs w:val="0"/>
                      <w:color w:val="000000"/>
                      <w:kern w:val="0"/>
                      <w:sz w:val="20"/>
                      <w:szCs w:val="20"/>
                      <w:u w:val="none"/>
                      <w:lang w:val="en-US" w:eastAsia="zh-CN" w:bidi="ar"/>
                    </w:rPr>
                    <w:t>.00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289.2</w:t>
                  </w:r>
                  <w:r>
                    <w:rPr>
                      <w:rFonts w:hint="eastAsia" w:eastAsia="宋体" w:cs="Times New Roman"/>
                      <w:i w:val="0"/>
                      <w:iCs w:val="0"/>
                      <w:color w:val="000000"/>
                      <w:kern w:val="0"/>
                      <w:sz w:val="20"/>
                      <w:szCs w:val="20"/>
                      <w:u w:val="none"/>
                      <w:lang w:val="en-US" w:eastAsia="zh-CN" w:bidi="ar"/>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159.2</w:t>
                  </w:r>
                  <w:r>
                    <w:rPr>
                      <w:rFonts w:hint="eastAsia" w:eastAsia="宋体" w:cs="Times New Roman"/>
                      <w:i w:val="0"/>
                      <w:iCs w:val="0"/>
                      <w:color w:val="000000"/>
                      <w:kern w:val="0"/>
                      <w:sz w:val="20"/>
                      <w:szCs w:val="20"/>
                      <w:u w:val="none"/>
                      <w:lang w:val="en-US" w:eastAsia="zh-CN" w:bidi="ar"/>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35.45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130</w:t>
                  </w:r>
                  <w:r>
                    <w:rPr>
                      <w:rFonts w:hint="eastAsia" w:eastAsia="宋体" w:cs="Times New Roman"/>
                      <w:i w:val="0"/>
                      <w:iCs w:val="0"/>
                      <w:color w:val="000000"/>
                      <w:kern w:val="0"/>
                      <w:sz w:val="20"/>
                      <w:szCs w:val="20"/>
                      <w:u w:val="none"/>
                      <w:lang w:val="en-US" w:eastAsia="zh-CN" w:bidi="ar"/>
                    </w:rPr>
                    <w:t>.00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159.2</w:t>
                  </w:r>
                  <w:r>
                    <w:rPr>
                      <w:rFonts w:hint="eastAsia" w:eastAsia="宋体" w:cs="Times New Roman"/>
                      <w:i w:val="0"/>
                      <w:iCs w:val="0"/>
                      <w:color w:val="000000"/>
                      <w:kern w:val="0"/>
                      <w:sz w:val="20"/>
                      <w:szCs w:val="20"/>
                      <w:u w:val="none"/>
                      <w:lang w:val="en-US" w:eastAsia="zh-CN" w:bidi="ar"/>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159.2</w:t>
                  </w:r>
                  <w:r>
                    <w:rPr>
                      <w:rFonts w:hint="eastAsia" w:eastAsia="宋体" w:cs="Times New Roman"/>
                      <w:i w:val="0"/>
                      <w:iCs w:val="0"/>
                      <w:color w:val="000000"/>
                      <w:kern w:val="0"/>
                      <w:sz w:val="20"/>
                      <w:szCs w:val="20"/>
                      <w:u w:val="none"/>
                      <w:lang w:val="en-US" w:eastAsia="zh-CN" w:bidi="ar"/>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35.45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50.51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56.54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56.54</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22.95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eastAsia="宋体"/>
                      <w:color w:val="000000"/>
                      <w:kern w:val="0"/>
                      <w:sz w:val="20"/>
                      <w:lang w:val="en-US" w:eastAsia="zh-CN"/>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220.22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35.45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130</w:t>
                  </w:r>
                  <w:r>
                    <w:rPr>
                      <w:rFonts w:hint="eastAsia" w:eastAsia="宋体" w:cs="Times New Roman"/>
                      <w:i w:val="0"/>
                      <w:iCs w:val="0"/>
                      <w:color w:val="000000"/>
                      <w:kern w:val="0"/>
                      <w:sz w:val="20"/>
                      <w:szCs w:val="20"/>
                      <w:u w:val="none"/>
                      <w:lang w:val="en-US" w:eastAsia="zh-CN" w:bidi="ar"/>
                    </w:rPr>
                    <w:t>.00</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858"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20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168.53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168.53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51.61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51.61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38.54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38.54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27.27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27.27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22.56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22.56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5.63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宋体"/>
                <w:color w:val="000000"/>
                <w:sz w:val="20"/>
                <w:szCs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16.96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16.96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ascii="宋体" w:hAnsi="宋体" w:eastAsia="宋体" w:cs="宋体"/>
                <w:color w:val="000000"/>
                <w:sz w:val="20"/>
                <w:szCs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ascii="宋体" w:hAnsi="宋体" w:eastAsia="宋体" w:cs="宋体"/>
                <w:color w:val="000000"/>
                <w:sz w:val="20"/>
                <w:szCs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ascii="宋体" w:hAnsi="宋体" w:eastAsia="宋体" w:cs="宋体"/>
                <w:color w:val="000000"/>
                <w:sz w:val="20"/>
                <w:szCs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32.65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32.65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2.07</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咨询费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0.15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0.10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6.16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6.16</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0.28</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0.28</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1.76</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5.75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5.75</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9.42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9.42</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5.18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5.18</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ascii="宋体" w:hAnsi="宋体" w:eastAsia="宋体" w:cs="宋体"/>
                <w:color w:val="000000"/>
                <w:sz w:val="20"/>
                <w:szCs w:val="20"/>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16.23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16.23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ascii="宋体" w:hAnsi="宋体" w:eastAsia="宋体" w:cs="宋体"/>
                <w:color w:val="000000"/>
                <w:sz w:val="20"/>
                <w:szCs w:val="20"/>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15.69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15.69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ascii="宋体" w:hAnsi="宋体" w:eastAsia="宋体" w:cs="宋体"/>
                <w:color w:val="000000"/>
                <w:sz w:val="20"/>
                <w:szCs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ascii="宋体" w:hAnsi="宋体" w:eastAsia="宋体" w:cs="宋体"/>
                <w:color w:val="000000"/>
                <w:sz w:val="20"/>
                <w:szCs w:val="20"/>
              </w:rPr>
              <w:t>四、资本性支出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2.80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ascii="宋体" w:hAnsi="宋体" w:eastAsia="宋体" w:cs="宋体"/>
                <w:color w:val="000000"/>
                <w:sz w:val="20"/>
                <w:szCs w:val="20"/>
              </w:rPr>
              <w:t>办公设备购置</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2.80</w:t>
            </w: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1200" w:firstLineChars="600"/>
              <w:jc w:val="both"/>
              <w:textAlignment w:val="center"/>
              <w:rPr>
                <w:rFonts w:hint="eastAsia" w:eastAsia="宋体"/>
                <w:kern w:val="0"/>
                <w:sz w:val="20"/>
                <w:lang w:eastAsia="zh-CN"/>
              </w:rPr>
            </w:pPr>
            <w:r>
              <w:rPr>
                <w:rFonts w:hint="eastAsia" w:eastAsia="宋体"/>
                <w:kern w:val="0"/>
                <w:sz w:val="20"/>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220.21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184.76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35.45</w:t>
            </w:r>
          </w:p>
        </w:tc>
      </w:tr>
    </w:tbl>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r>
              <w:rPr>
                <w:rFonts w:hint="eastAsia"/>
                <w:color w:val="000000"/>
                <w:kern w:val="0"/>
                <w:sz w:val="28"/>
                <w:szCs w:val="28"/>
                <w:lang w:val="en-US" w:eastAsia="zh-CN"/>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eastAsia="zh-CN"/>
              </w:rPr>
              <w:t>单位</w:t>
            </w:r>
            <w:r>
              <w:rPr>
                <w:color w:val="000000"/>
                <w:kern w:val="0"/>
                <w:sz w:val="28"/>
                <w:szCs w:val="28"/>
              </w:rPr>
              <w:t>本级</w:t>
            </w:r>
            <w:r>
              <w:rPr>
                <w:rFonts w:hint="eastAsia" w:eastAsia="宋体"/>
                <w:color w:val="000000"/>
                <w:kern w:val="0"/>
                <w:sz w:val="28"/>
                <w:szCs w:val="28"/>
                <w:u w:val="none"/>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bookmarkStart w:id="0" w:name="_GoBack"/>
            <w:bookmarkEnd w:id="0"/>
            <w:r>
              <w:rPr>
                <w:color w:val="000000"/>
                <w:kern w:val="0"/>
                <w:sz w:val="28"/>
                <w:szCs w:val="28"/>
              </w:rPr>
              <w:t>年预算数</w:t>
            </w:r>
            <w:r>
              <w:rPr>
                <w:rFonts w:eastAsia="宋体"/>
                <w:color w:val="000000"/>
                <w:kern w:val="0"/>
                <w:sz w:val="28"/>
                <w:szCs w:val="28"/>
              </w:rPr>
              <w:t>”</w:t>
            </w:r>
            <w:r>
              <w:rPr>
                <w:color w:val="000000"/>
                <w:kern w:val="0"/>
                <w:sz w:val="28"/>
                <w:szCs w:val="28"/>
              </w:rPr>
              <w:t>的实有</w:t>
            </w:r>
            <w:r>
              <w:rPr>
                <w:color w:val="000000"/>
                <w:kern w:val="0"/>
                <w:sz w:val="28"/>
                <w:szCs w:val="28"/>
                <w:u w:val="none"/>
              </w:rPr>
              <w:t>人员</w:t>
            </w:r>
            <w:r>
              <w:rPr>
                <w:rFonts w:hint="eastAsia" w:eastAsia="宋体"/>
                <w:color w:val="000000"/>
                <w:kern w:val="0"/>
                <w:sz w:val="28"/>
                <w:szCs w:val="28"/>
                <w:u w:val="none"/>
                <w:lang w:val="en-US" w:eastAsia="zh-CN"/>
              </w:rPr>
              <w:t>25</w:t>
            </w:r>
            <w:r>
              <w:rPr>
                <w:color w:val="000000"/>
                <w:kern w:val="0"/>
                <w:sz w:val="28"/>
                <w:szCs w:val="28"/>
                <w:u w:val="none"/>
              </w:rPr>
              <w:t>人，其中：在职人</w:t>
            </w:r>
            <w:r>
              <w:rPr>
                <w:rFonts w:hint="eastAsia"/>
                <w:color w:val="000000"/>
                <w:kern w:val="0"/>
                <w:sz w:val="28"/>
                <w:szCs w:val="28"/>
                <w:u w:val="none"/>
                <w:lang w:val="en-US" w:eastAsia="zh-CN"/>
              </w:rPr>
              <w:t>12</w:t>
            </w:r>
            <w:r>
              <w:rPr>
                <w:color w:val="000000"/>
                <w:kern w:val="0"/>
                <w:sz w:val="28"/>
                <w:szCs w:val="28"/>
                <w:u w:val="none"/>
              </w:rPr>
              <w:t>人，离退休人员</w:t>
            </w:r>
            <w:r>
              <w:rPr>
                <w:rFonts w:hint="eastAsia" w:eastAsia="宋体"/>
                <w:color w:val="000000"/>
                <w:kern w:val="0"/>
                <w:sz w:val="28"/>
                <w:szCs w:val="28"/>
                <w:u w:val="none"/>
                <w:lang w:val="en-US" w:eastAsia="zh-CN"/>
              </w:rPr>
              <w:t>13</w:t>
            </w:r>
            <w:r>
              <w:rPr>
                <w:color w:val="000000"/>
                <w:kern w:val="0"/>
                <w:sz w:val="28"/>
                <w:szCs w:val="28"/>
                <w:u w:val="none"/>
              </w:rPr>
              <w:t>人。</w:t>
            </w:r>
            <w:r>
              <w:rPr>
                <w:rFonts w:hint="eastAsia"/>
                <w:color w:val="000000"/>
                <w:kern w:val="0"/>
                <w:sz w:val="28"/>
                <w:szCs w:val="28"/>
                <w:lang w:val="en-US" w:eastAsia="zh-CN"/>
              </w:rPr>
              <w:t xml:space="preserve"> </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pPr w:leftFromText="180" w:rightFromText="180" w:vertAnchor="text" w:horzAnchor="page" w:tblpX="1641"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579"/>
        <w:gridCol w:w="445"/>
        <w:gridCol w:w="641"/>
        <w:gridCol w:w="855"/>
        <w:gridCol w:w="840"/>
        <w:gridCol w:w="375"/>
        <w:gridCol w:w="375"/>
        <w:gridCol w:w="360"/>
        <w:gridCol w:w="345"/>
        <w:gridCol w:w="630"/>
        <w:gridCol w:w="375"/>
        <w:gridCol w:w="345"/>
        <w:gridCol w:w="67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670"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both"/>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3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09"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4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4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5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9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9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3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54"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41"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85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29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59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3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3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24" w:type="dxa"/>
            <w:gridSpan w:val="2"/>
            <w:vMerge w:val="restart"/>
            <w:noWrap w:val="0"/>
            <w:vAlign w:val="center"/>
          </w:tcPr>
          <w:p>
            <w:pPr>
              <w:autoSpaceDN w:val="0"/>
              <w:jc w:val="center"/>
              <w:textAlignment w:val="center"/>
              <w:rPr>
                <w:rFonts w:hint="eastAsia" w:ascii="Calibri" w:hAnsi="Calibri" w:eastAsia="华文细黑"/>
                <w:color w:val="000000"/>
                <w:sz w:val="20"/>
                <w:szCs w:val="22"/>
                <w:lang w:val="en-US" w:eastAsia="zh-CN"/>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w:t>
            </w:r>
          </w:p>
        </w:tc>
        <w:tc>
          <w:tcPr>
            <w:tcW w:w="641"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85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90"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6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45"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5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45"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630" w:type="dxa"/>
            <w:vMerge w:val="continue"/>
            <w:noWrap w:val="0"/>
            <w:vAlign w:val="center"/>
          </w:tcPr>
          <w:p>
            <w:pPr>
              <w:autoSpaceDN w:val="0"/>
              <w:jc w:val="center"/>
              <w:textAlignment w:val="center"/>
              <w:rPr>
                <w:rFonts w:ascii="Calibri" w:hAnsi="Calibri" w:eastAsia="华文细黑"/>
                <w:color w:val="000000"/>
                <w:sz w:val="20"/>
                <w:szCs w:val="22"/>
              </w:rPr>
            </w:pPr>
          </w:p>
        </w:tc>
        <w:tc>
          <w:tcPr>
            <w:tcW w:w="630" w:type="dxa"/>
            <w:vMerge w:val="continue"/>
            <w:noWrap w:val="0"/>
            <w:vAlign w:val="center"/>
          </w:tcPr>
          <w:p>
            <w:pPr>
              <w:autoSpaceDN w:val="0"/>
              <w:jc w:val="center"/>
              <w:textAlignment w:val="center"/>
              <w:rPr>
                <w:rFonts w:ascii="Calibri" w:hAnsi="Calibri" w:eastAsia="华文细黑"/>
                <w:color w:val="000000"/>
                <w:sz w:val="20"/>
                <w:szCs w:val="22"/>
              </w:rPr>
            </w:pPr>
          </w:p>
        </w:tc>
        <w:tc>
          <w:tcPr>
            <w:tcW w:w="1024"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41" w:type="dxa"/>
            <w:vMerge w:val="continue"/>
            <w:noWrap w:val="0"/>
            <w:vAlign w:val="center"/>
          </w:tcPr>
          <w:p>
            <w:pPr>
              <w:autoSpaceDN w:val="0"/>
              <w:jc w:val="center"/>
              <w:textAlignment w:val="center"/>
              <w:rPr>
                <w:rFonts w:ascii="Calibri" w:hAnsi="Calibri" w:eastAsia="华文细黑"/>
                <w:color w:val="000000"/>
                <w:sz w:val="20"/>
                <w:szCs w:val="22"/>
              </w:rPr>
            </w:pPr>
          </w:p>
        </w:tc>
        <w:tc>
          <w:tcPr>
            <w:tcW w:w="855" w:type="dxa"/>
            <w:vMerge w:val="continue"/>
            <w:noWrap w:val="0"/>
            <w:vAlign w:val="center"/>
          </w:tcPr>
          <w:p>
            <w:pPr>
              <w:autoSpaceDN w:val="0"/>
              <w:jc w:val="center"/>
              <w:textAlignment w:val="center"/>
              <w:rPr>
                <w:rFonts w:ascii="Calibri" w:hAnsi="Calibri" w:eastAsia="华文细黑"/>
                <w:color w:val="000000"/>
                <w:sz w:val="20"/>
                <w:szCs w:val="22"/>
              </w:rPr>
            </w:pPr>
          </w:p>
        </w:tc>
        <w:tc>
          <w:tcPr>
            <w:tcW w:w="84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7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7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6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4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63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7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4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7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70"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专项业务支出</w:t>
            </w: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val="en-US" w:eastAsia="zh-CN"/>
              </w:rPr>
            </w:pP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855"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r>
              <w:rPr>
                <w:rFonts w:hint="default" w:ascii="Arial" w:hAnsi="Arial" w:eastAsia="华文细黑" w:cs="Arial"/>
                <w:color w:val="000000"/>
                <w:sz w:val="20"/>
                <w:szCs w:val="20"/>
                <w:lang w:val="en-US" w:eastAsia="zh-CN"/>
              </w:rPr>
              <w:t>130.00</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r>
              <w:rPr>
                <w:rFonts w:hint="default" w:ascii="Arial" w:hAnsi="Arial" w:eastAsia="华文细黑" w:cs="Arial"/>
                <w:color w:val="000000"/>
                <w:sz w:val="20"/>
                <w:szCs w:val="20"/>
                <w:lang w:val="en-US" w:eastAsia="zh-CN"/>
              </w:rPr>
              <w:t>124.89</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r>
              <w:rPr>
                <w:rFonts w:hint="default" w:ascii="Arial" w:hAnsi="Arial" w:eastAsia="华文细黑" w:cs="Arial"/>
                <w:color w:val="000000"/>
                <w:sz w:val="20"/>
                <w:szCs w:val="20"/>
                <w:lang w:val="en-US" w:eastAsia="zh-CN"/>
              </w:rPr>
              <w:t>5.11</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专项普查活动</w:t>
            </w: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855"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56.54</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56.54</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第五次全国经济普查经费</w:t>
            </w: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敦化市统计局</w:t>
            </w:r>
          </w:p>
        </w:tc>
        <w:tc>
          <w:tcPr>
            <w:tcW w:w="855"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56.54</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56.54</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专项统计业务</w:t>
            </w: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855"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r>
              <w:rPr>
                <w:rFonts w:hint="eastAsia" w:ascii="Arial" w:hAnsi="Arial" w:eastAsia="华文细黑" w:cs="Arial"/>
                <w:color w:val="000000"/>
                <w:sz w:val="20"/>
                <w:szCs w:val="20"/>
                <w:lang w:val="en-US" w:eastAsia="zh-CN"/>
              </w:rPr>
              <w:t>50.51</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48.35</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2.16</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统计调查经费</w:t>
            </w: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敦化市统计局</w:t>
            </w:r>
          </w:p>
        </w:tc>
        <w:tc>
          <w:tcPr>
            <w:tcW w:w="855"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eastAsia" w:ascii="Arial" w:hAnsi="Arial" w:eastAsia="华文细黑" w:cs="Arial"/>
                <w:color w:val="000000"/>
                <w:sz w:val="20"/>
                <w:szCs w:val="20"/>
                <w:lang w:val="en-US" w:eastAsia="zh-CN"/>
              </w:rPr>
              <w:t>50.51</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48.35</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2.16</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统计抽样调查</w:t>
            </w: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855"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r>
              <w:rPr>
                <w:rFonts w:hint="eastAsia" w:ascii="Arial" w:hAnsi="Arial" w:eastAsia="华文细黑" w:cs="Arial"/>
                <w:color w:val="000000"/>
                <w:sz w:val="20"/>
                <w:szCs w:val="20"/>
                <w:lang w:val="en-US" w:eastAsia="zh-CN"/>
              </w:rPr>
              <w:t>22.95</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20</w:t>
            </w:r>
            <w:r>
              <w:rPr>
                <w:rFonts w:hint="default" w:ascii="Arial" w:hAnsi="Arial" w:eastAsia="华文细黑" w:cs="Arial"/>
                <w:color w:val="000000"/>
                <w:sz w:val="20"/>
                <w:szCs w:val="20"/>
                <w:lang w:val="en-US" w:eastAsia="zh-CN"/>
              </w:rPr>
              <w:t>.00</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2.95</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全省地方点城乡居民住户调查及专项调查工作经费</w:t>
            </w: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敦化市统计局</w:t>
            </w:r>
          </w:p>
        </w:tc>
        <w:tc>
          <w:tcPr>
            <w:tcW w:w="855"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r>
              <w:rPr>
                <w:rFonts w:hint="eastAsia" w:ascii="Arial" w:hAnsi="Arial" w:eastAsia="华文细黑" w:cs="Arial"/>
                <w:color w:val="000000"/>
                <w:sz w:val="20"/>
                <w:szCs w:val="20"/>
                <w:lang w:val="en-US" w:eastAsia="zh-CN"/>
              </w:rPr>
              <w:t>22.95</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20</w:t>
            </w:r>
            <w:r>
              <w:rPr>
                <w:rFonts w:hint="default" w:ascii="Arial" w:hAnsi="Arial" w:eastAsia="华文细黑" w:cs="Arial"/>
                <w:color w:val="000000"/>
                <w:sz w:val="20"/>
                <w:szCs w:val="20"/>
                <w:lang w:val="en-US" w:eastAsia="zh-CN"/>
              </w:rPr>
              <w:t>.00</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eastAsia="zh-CN"/>
              </w:rPr>
              <w:t>2.95</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合计</w:t>
            </w:r>
          </w:p>
        </w:tc>
        <w:tc>
          <w:tcPr>
            <w:tcW w:w="630"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1024" w:type="dxa"/>
            <w:gridSpan w:val="2"/>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641" w:type="dxa"/>
            <w:noWrap w:val="0"/>
            <w:vAlign w:val="center"/>
          </w:tcPr>
          <w:p>
            <w:pPr>
              <w:autoSpaceDN w:val="0"/>
              <w:jc w:val="center"/>
              <w:textAlignment w:val="center"/>
              <w:rPr>
                <w:rFonts w:hint="eastAsia" w:ascii="华文细黑" w:hAnsi="华文细黑" w:eastAsia="华文细黑" w:cs="华文细黑"/>
                <w:color w:val="000000"/>
                <w:sz w:val="20"/>
                <w:szCs w:val="20"/>
                <w:lang w:eastAsia="zh-CN"/>
              </w:rPr>
            </w:pPr>
          </w:p>
        </w:tc>
        <w:tc>
          <w:tcPr>
            <w:tcW w:w="855"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r>
              <w:rPr>
                <w:rFonts w:hint="default" w:ascii="Arial" w:hAnsi="Arial" w:eastAsia="华文细黑" w:cs="Arial"/>
                <w:color w:val="000000"/>
                <w:sz w:val="20"/>
                <w:szCs w:val="20"/>
                <w:lang w:val="en-US" w:eastAsia="zh-CN"/>
              </w:rPr>
              <w:t>130.00</w:t>
            </w:r>
          </w:p>
        </w:tc>
        <w:tc>
          <w:tcPr>
            <w:tcW w:w="84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val="en-US" w:eastAsia="zh-CN"/>
              </w:rPr>
              <w:t>124.89</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6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30" w:type="dxa"/>
            <w:noWrap w:val="0"/>
            <w:vAlign w:val="center"/>
          </w:tcPr>
          <w:p>
            <w:pPr>
              <w:autoSpaceDN w:val="0"/>
              <w:jc w:val="center"/>
              <w:textAlignment w:val="center"/>
              <w:rPr>
                <w:rFonts w:hint="default" w:ascii="Arial" w:hAnsi="Arial" w:eastAsia="华文细黑" w:cs="Arial"/>
                <w:color w:val="000000"/>
                <w:sz w:val="20"/>
                <w:szCs w:val="20"/>
                <w:lang w:eastAsia="zh-CN"/>
              </w:rPr>
            </w:pPr>
            <w:r>
              <w:rPr>
                <w:rFonts w:hint="default" w:ascii="Arial" w:hAnsi="Arial" w:eastAsia="华文细黑" w:cs="Arial"/>
                <w:color w:val="000000"/>
                <w:sz w:val="20"/>
                <w:szCs w:val="20"/>
                <w:lang w:val="en-US" w:eastAsia="zh-CN"/>
              </w:rPr>
              <w:t>5.11</w:t>
            </w:r>
          </w:p>
        </w:tc>
        <w:tc>
          <w:tcPr>
            <w:tcW w:w="375" w:type="dxa"/>
            <w:noWrap w:val="0"/>
            <w:vAlign w:val="center"/>
          </w:tcPr>
          <w:p>
            <w:pPr>
              <w:autoSpaceDN w:val="0"/>
              <w:jc w:val="center"/>
              <w:textAlignment w:val="center"/>
              <w:rPr>
                <w:rFonts w:hint="default" w:ascii="Arial" w:hAnsi="Arial" w:eastAsia="华文细黑" w:cs="Arial"/>
                <w:color w:val="000000"/>
                <w:sz w:val="20"/>
                <w:szCs w:val="20"/>
                <w:lang w:val="en-US" w:eastAsia="zh-CN"/>
              </w:rPr>
            </w:pPr>
          </w:p>
        </w:tc>
        <w:tc>
          <w:tcPr>
            <w:tcW w:w="34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675" w:type="dxa"/>
            <w:noWrap w:val="0"/>
            <w:vAlign w:val="center"/>
          </w:tcPr>
          <w:p>
            <w:pPr>
              <w:autoSpaceDN w:val="0"/>
              <w:jc w:val="center"/>
              <w:textAlignment w:val="center"/>
              <w:rPr>
                <w:rFonts w:hint="default" w:ascii="Arial" w:hAnsi="Arial" w:eastAsia="华文细黑" w:cs="Arial"/>
                <w:color w:val="000000"/>
                <w:sz w:val="20"/>
                <w:szCs w:val="20"/>
                <w:lang w:eastAsia="zh-CN"/>
              </w:rPr>
            </w:pPr>
          </w:p>
        </w:tc>
        <w:tc>
          <w:tcPr>
            <w:tcW w:w="570" w:type="dxa"/>
            <w:noWrap w:val="0"/>
            <w:vAlign w:val="center"/>
          </w:tcPr>
          <w:p>
            <w:pPr>
              <w:autoSpaceDN w:val="0"/>
              <w:jc w:val="center"/>
              <w:textAlignment w:val="center"/>
              <w:rPr>
                <w:rFonts w:hint="default" w:ascii="Arial" w:hAnsi="Arial" w:eastAsia="华文细黑" w:cs="Arial"/>
                <w:color w:val="000000"/>
                <w:sz w:val="20"/>
                <w:szCs w:val="20"/>
                <w:lang w:eastAsia="zh-CN"/>
              </w:rPr>
            </w:pPr>
          </w:p>
        </w:tc>
      </w:tr>
    </w:tbl>
    <w:p>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405"/>
        <w:gridCol w:w="945"/>
        <w:gridCol w:w="1830"/>
        <w:gridCol w:w="465"/>
        <w:gridCol w:w="930"/>
        <w:gridCol w:w="1095"/>
        <w:gridCol w:w="1443"/>
        <w:gridCol w:w="80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79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楷体" w:cs="Times New Roman"/>
                <w:kern w:val="0"/>
                <w:szCs w:val="32"/>
                <w:vertAlign w:val="baseline"/>
              </w:rPr>
            </w:pPr>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9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敦化市统计局</w:t>
            </w:r>
          </w:p>
        </w:tc>
        <w:tc>
          <w:tcPr>
            <w:tcW w:w="40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统计调查经费</w:t>
            </w:r>
          </w:p>
        </w:tc>
        <w:tc>
          <w:tcPr>
            <w:tcW w:w="94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48.35</w:t>
            </w:r>
          </w:p>
        </w:tc>
        <w:tc>
          <w:tcPr>
            <w:tcW w:w="1830" w:type="dxa"/>
            <w:vMerge w:val="restart"/>
            <w:tcBorders>
              <w:top w:val="single" w:color="000000" w:sz="4" w:space="0"/>
              <w:left w:val="single" w:color="000000" w:sz="4" w:space="0"/>
              <w:right w:val="single" w:color="000000" w:sz="4" w:space="0"/>
            </w:tcBorders>
            <w:noWrap w:val="0"/>
            <w:vAlign w:val="center"/>
          </w:tcPr>
          <w:p>
            <w:pPr>
              <w:spacing w:line="240" w:lineRule="auto"/>
              <w:jc w:val="both"/>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为确保全省统一统计调查任务的完成，为主动适应经济发展新常态，全面落实上级主管部门和市委市政府决策部署，牢牢把握稳中求进总基调，全年开展国民经济核算统计、基本单位统计、农业农村统计、规模以上工业统计、建筑业统计、批发和零售业统计、住宿和餐饮业统计、固定资产投资统计、房地产开发统计、能源统计、四下企业抽样调查、人口年变吉林省县级粮食产量抽样调查等业务工作。分为月度报表、季度报表、年度报表，分别在每月底、季度末、年末之前完成。对国民经济和社会发展等情况进行统计分析、统计预测预警和统计监督，向市委、市政府及有关部门提供统计信息和咨询建议，定期向社会公众发布全市国民经济和社会发展情况的统计信息。根据经济普查清查及登记情况，对符合入库入统条件的服务业企业，进行入户跟踪调查，指导企业准备相关材料进行申报。对上级统计部门抽中的规模以下（工业）企业和个体户的登记注册类型、人员及生产经营状况等进行调查，调查分为年报和季报。上报数据用于推算全省规模以下工业经济总量和增涨速度。</w:t>
            </w:r>
          </w:p>
        </w:tc>
        <w:tc>
          <w:tcPr>
            <w:tcW w:w="46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成本指标</w:t>
            </w:r>
          </w:p>
        </w:tc>
        <w:tc>
          <w:tcPr>
            <w:tcW w:w="93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经济成本指标</w:t>
            </w:r>
          </w:p>
        </w:tc>
        <w:tc>
          <w:tcPr>
            <w:tcW w:w="109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人均培训成本</w:t>
            </w:r>
          </w:p>
        </w:tc>
        <w:tc>
          <w:tcPr>
            <w:tcW w:w="1443"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人均培训成本</w:t>
            </w:r>
          </w:p>
        </w:tc>
        <w:tc>
          <w:tcPr>
            <w:tcW w:w="806"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w:t>
            </w:r>
            <w:r>
              <w:rPr>
                <w:rFonts w:hint="eastAsia" w:ascii="华文细黑" w:hAnsi="华文细黑" w:eastAsia="华文细黑" w:cs="华文细黑"/>
                <w:kern w:val="0"/>
                <w:sz w:val="16"/>
                <w:szCs w:val="16"/>
                <w:vertAlign w:val="baseline"/>
              </w:rPr>
              <w:t>300元</w:t>
            </w:r>
          </w:p>
        </w:tc>
        <w:tc>
          <w:tcPr>
            <w:tcW w:w="476" w:type="dxa"/>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8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65"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930"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109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培训人次</w:t>
            </w:r>
          </w:p>
        </w:tc>
        <w:tc>
          <w:tcPr>
            <w:tcW w:w="1443"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反映参加培训人员的数量情况。</w:t>
            </w:r>
          </w:p>
        </w:tc>
        <w:tc>
          <w:tcPr>
            <w:tcW w:w="80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w:t>
            </w:r>
            <w:r>
              <w:rPr>
                <w:rFonts w:hint="eastAsia" w:ascii="华文细黑" w:hAnsi="华文细黑" w:eastAsia="华文细黑" w:cs="华文细黑"/>
                <w:kern w:val="0"/>
                <w:sz w:val="16"/>
                <w:szCs w:val="16"/>
                <w:vertAlign w:val="baseline"/>
              </w:rPr>
              <w:t>200人</w:t>
            </w:r>
          </w:p>
        </w:tc>
        <w:tc>
          <w:tcPr>
            <w:tcW w:w="47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8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65"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3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c>
          <w:tcPr>
            <w:tcW w:w="109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统计信息发布数</w:t>
            </w:r>
          </w:p>
        </w:tc>
        <w:tc>
          <w:tcPr>
            <w:tcW w:w="1443"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反应统计信息发布的数量</w:t>
            </w:r>
          </w:p>
        </w:tc>
        <w:tc>
          <w:tcPr>
            <w:tcW w:w="80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≥22篇</w:t>
            </w:r>
          </w:p>
        </w:tc>
        <w:tc>
          <w:tcPr>
            <w:tcW w:w="47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39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8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65"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30"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c>
          <w:tcPr>
            <w:tcW w:w="109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经济分析报告篇数</w:t>
            </w:r>
          </w:p>
        </w:tc>
        <w:tc>
          <w:tcPr>
            <w:tcW w:w="1443"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反映为市委市政府提供经济运行报告的数量情况。</w:t>
            </w:r>
          </w:p>
        </w:tc>
        <w:tc>
          <w:tcPr>
            <w:tcW w:w="80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w:t>
            </w:r>
            <w:r>
              <w:rPr>
                <w:rFonts w:hint="eastAsia" w:ascii="华文细黑" w:hAnsi="华文细黑" w:eastAsia="华文细黑" w:cs="华文细黑"/>
                <w:kern w:val="0"/>
                <w:sz w:val="16"/>
                <w:szCs w:val="16"/>
                <w:vertAlign w:val="baseline"/>
              </w:rPr>
              <w:t>8篇</w:t>
            </w:r>
          </w:p>
        </w:tc>
        <w:tc>
          <w:tcPr>
            <w:tcW w:w="47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8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65" w:type="dxa"/>
            <w:vMerge w:val="restart"/>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930" w:type="dxa"/>
            <w:vMerge w:val="restart"/>
            <w:tcBorders>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109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编印当年月度经济运行的统计月报，为党政领导决策提供数据支撑</w:t>
            </w:r>
          </w:p>
        </w:tc>
        <w:tc>
          <w:tcPr>
            <w:tcW w:w="1443"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提供反映当年月度经济运行发展情况，为党政领导决策提供数据支撑，发挥统计参谋和助手作用的统计月报。</w:t>
            </w:r>
          </w:p>
        </w:tc>
        <w:tc>
          <w:tcPr>
            <w:tcW w:w="80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=11篇</w:t>
            </w:r>
          </w:p>
        </w:tc>
        <w:tc>
          <w:tcPr>
            <w:tcW w:w="47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9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8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65"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30" w:type="dxa"/>
            <w:vMerge w:val="continue"/>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c>
          <w:tcPr>
            <w:tcW w:w="109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编印上年县域经济运行的统计公报，为党政领导决策提供数据支撑</w:t>
            </w:r>
          </w:p>
        </w:tc>
        <w:tc>
          <w:tcPr>
            <w:tcW w:w="1443"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编印上年县域经济运行的统计公报，为党政领导决策提供数据支撑</w:t>
            </w:r>
          </w:p>
        </w:tc>
        <w:tc>
          <w:tcPr>
            <w:tcW w:w="80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=1篇</w:t>
            </w:r>
          </w:p>
        </w:tc>
        <w:tc>
          <w:tcPr>
            <w:tcW w:w="476" w:type="dxa"/>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39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0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4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8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465" w:type="dxa"/>
            <w:vMerge w:val="continue"/>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30" w:type="dxa"/>
            <w:vMerge w:val="continue"/>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c>
          <w:tcPr>
            <w:tcW w:w="1095"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编印历年县域经济运行的统计年鉴，为党政领导决策提供数据支撑</w:t>
            </w:r>
          </w:p>
        </w:tc>
        <w:tc>
          <w:tcPr>
            <w:tcW w:w="1443"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编印全县历年经济运行的统计年鉴，为党政领导决策提供数据支撑</w:t>
            </w:r>
          </w:p>
        </w:tc>
        <w:tc>
          <w:tcPr>
            <w:tcW w:w="80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w:t>
            </w:r>
            <w:r>
              <w:rPr>
                <w:rFonts w:hint="eastAsia" w:ascii="华文细黑" w:hAnsi="华文细黑" w:eastAsia="华文细黑" w:cs="华文细黑"/>
                <w:kern w:val="0"/>
                <w:sz w:val="16"/>
                <w:szCs w:val="16"/>
                <w:vertAlign w:val="baseline"/>
              </w:rPr>
              <w:t>100册</w:t>
            </w:r>
          </w:p>
        </w:tc>
        <w:tc>
          <w:tcPr>
            <w:tcW w:w="476" w:type="dxa"/>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10</w:t>
            </w:r>
          </w:p>
        </w:tc>
      </w:tr>
    </w:tbl>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916"/>
        <w:gridCol w:w="1470"/>
        <w:gridCol w:w="585"/>
        <w:gridCol w:w="1125"/>
        <w:gridCol w:w="1080"/>
        <w:gridCol w:w="1185"/>
        <w:gridCol w:w="870"/>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楷体" w:cs="Times New Roman"/>
                <w:kern w:val="0"/>
                <w:szCs w:val="32"/>
                <w:vertAlign w:val="baseline"/>
              </w:rPr>
            </w:pPr>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敦化市统计局</w:t>
            </w:r>
          </w:p>
        </w:tc>
        <w:tc>
          <w:tcPr>
            <w:tcW w:w="62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全省地方点城乡居民住户调查及专项调查工作经费</w:t>
            </w:r>
          </w:p>
        </w:tc>
        <w:tc>
          <w:tcPr>
            <w:tcW w:w="91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c>
          <w:tcPr>
            <w:tcW w:w="147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对各网点做好记帐户收支调查及审核检查工作，保证数据质量，按季度召开培训会，检查记帐质量，按月录入审核数据。通过对网点的监督检查，掌握城乡居民可支配收入。本轮地方点城乡居民住户调查敦化市共有16个村级调查点，160户城乡调查户样本，为提高调查数据质量，激发调查户和村级辅助调查员的工作积极性，按照《吉林省统计局劳务费管理办法》规定，记账户补贴标准80元/月。村级辅助调查员补贴标准160元/月。</w:t>
            </w:r>
          </w:p>
        </w:tc>
        <w:tc>
          <w:tcPr>
            <w:tcW w:w="58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发放劳务费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发放调查户登记补贴劳务费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val="en-US" w:eastAsia="zh-CN"/>
              </w:rPr>
              <w:t>20.00</w:t>
            </w:r>
            <w:r>
              <w:rPr>
                <w:rFonts w:hint="eastAsia" w:ascii="华文细黑" w:hAnsi="华文细黑" w:eastAsia="华文细黑" w:cs="华文细黑"/>
                <w:kern w:val="0"/>
                <w:sz w:val="20"/>
                <w:szCs w:val="20"/>
                <w:vertAlign w:val="baseline"/>
              </w:rPr>
              <w:t>万元</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8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调查户登记补贴发放人数</w:t>
            </w:r>
          </w:p>
        </w:tc>
        <w:tc>
          <w:tcPr>
            <w:tcW w:w="11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反映发放调查户登记补贴的人数情况。</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lang w:eastAsia="zh-CN"/>
              </w:rPr>
              <w:t>≥</w:t>
            </w:r>
            <w:r>
              <w:rPr>
                <w:rFonts w:hint="eastAsia" w:ascii="华文细黑" w:hAnsi="华文细黑" w:eastAsia="华文细黑" w:cs="华文细黑"/>
                <w:kern w:val="0"/>
                <w:sz w:val="20"/>
                <w:szCs w:val="20"/>
                <w:vertAlign w:val="baseline"/>
                <w:lang w:val="en-US" w:eastAsia="zh-CN"/>
              </w:rPr>
              <w:t>160</w:t>
            </w:r>
            <w:r>
              <w:rPr>
                <w:rFonts w:hint="eastAsia" w:ascii="华文细黑" w:hAnsi="华文细黑" w:eastAsia="华文细黑" w:cs="华文细黑"/>
                <w:kern w:val="0"/>
                <w:sz w:val="20"/>
                <w:szCs w:val="20"/>
                <w:vertAlign w:val="baseline"/>
              </w:rPr>
              <w:t>人</w:t>
            </w:r>
          </w:p>
        </w:tc>
        <w:tc>
          <w:tcPr>
            <w:tcW w:w="46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8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抽样调查点户数</w:t>
            </w:r>
          </w:p>
        </w:tc>
        <w:tc>
          <w:tcPr>
            <w:tcW w:w="11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反映城乡住户调查记账户数量</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=160户</w:t>
            </w:r>
          </w:p>
        </w:tc>
        <w:tc>
          <w:tcPr>
            <w:tcW w:w="46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8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发放补助费时间</w:t>
            </w:r>
          </w:p>
        </w:tc>
        <w:tc>
          <w:tcPr>
            <w:tcW w:w="11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反映发放记账户、辅助调查员补助费时间</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12</w:t>
            </w:r>
            <w:r>
              <w:rPr>
                <w:rFonts w:hint="eastAsia" w:ascii="华文细黑" w:hAnsi="华文细黑" w:eastAsia="华文细黑" w:cs="华文细黑"/>
                <w:kern w:val="0"/>
                <w:sz w:val="20"/>
                <w:szCs w:val="20"/>
                <w:vertAlign w:val="baseline"/>
              </w:rPr>
              <w:t>月底之前</w:t>
            </w:r>
          </w:p>
        </w:tc>
        <w:tc>
          <w:tcPr>
            <w:tcW w:w="46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8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城乡住户调查补助发放覆盖率</w:t>
            </w:r>
          </w:p>
        </w:tc>
        <w:tc>
          <w:tcPr>
            <w:tcW w:w="11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反映城乡住户调查补助发放覆盖的情况</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100%</w:t>
            </w:r>
          </w:p>
        </w:tc>
        <w:tc>
          <w:tcPr>
            <w:tcW w:w="46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ind w:firstLine="640" w:firstLineChars="200"/>
        <w:rPr>
          <w:rFonts w:hint="eastAsia" w:eastAsia="楷体"/>
          <w:kern w:val="0"/>
          <w:szCs w:val="32"/>
        </w:rPr>
      </w:pP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916"/>
        <w:gridCol w:w="1470"/>
        <w:gridCol w:w="585"/>
        <w:gridCol w:w="1125"/>
        <w:gridCol w:w="1080"/>
        <w:gridCol w:w="1185"/>
        <w:gridCol w:w="870"/>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楷体" w:cs="Times New Roman"/>
                <w:kern w:val="0"/>
                <w:szCs w:val="32"/>
                <w:vertAlign w:val="baseline"/>
              </w:rPr>
            </w:pPr>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敦化市统计局</w:t>
            </w:r>
          </w:p>
        </w:tc>
        <w:tc>
          <w:tcPr>
            <w:tcW w:w="62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91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56.54</w:t>
            </w:r>
          </w:p>
        </w:tc>
        <w:tc>
          <w:tcPr>
            <w:tcW w:w="147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全国经济普查是大型国情国力调查，通过调查摸清全市二、三产业的发展规模、布局和效益，了解产业组织、产业结构、产业技术、产业形态的现状以及各生产要素的构成，摸清全部法人单位资产负债状况和新兴产业发展情况。通过普查，完善覆盖国民经济各行业的基本单位名录库及部门共建共享，并为市委市政府制定决策提供可靠依据。支付普查员劳务费54.4万元，邮电费（通讯补助）2.14万元。</w:t>
            </w:r>
          </w:p>
        </w:tc>
        <w:tc>
          <w:tcPr>
            <w:tcW w:w="58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=56.54万元</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8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11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lang w:eastAsia="zh-CN"/>
              </w:rPr>
              <w:t>≥</w:t>
            </w:r>
            <w:r>
              <w:rPr>
                <w:rFonts w:hint="eastAsia" w:ascii="华文细黑" w:hAnsi="华文细黑" w:eastAsia="华文细黑" w:cs="华文细黑"/>
                <w:kern w:val="0"/>
                <w:sz w:val="20"/>
                <w:szCs w:val="20"/>
                <w:vertAlign w:val="baseline"/>
              </w:rPr>
              <w:t>300人</w:t>
            </w:r>
          </w:p>
        </w:tc>
        <w:tc>
          <w:tcPr>
            <w:tcW w:w="46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8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发放补助费时间</w:t>
            </w:r>
          </w:p>
        </w:tc>
        <w:tc>
          <w:tcPr>
            <w:tcW w:w="11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反映发放普查员、指导员补助费时间</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7月底之前</w:t>
            </w:r>
          </w:p>
        </w:tc>
        <w:tc>
          <w:tcPr>
            <w:tcW w:w="46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7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8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2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11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8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lang w:eastAsia="zh-CN"/>
              </w:rPr>
              <w:t>≥</w:t>
            </w:r>
            <w:r>
              <w:rPr>
                <w:rFonts w:hint="eastAsia" w:ascii="华文细黑" w:hAnsi="华文细黑" w:eastAsia="华文细黑" w:cs="华文细黑"/>
                <w:kern w:val="0"/>
                <w:sz w:val="20"/>
                <w:szCs w:val="20"/>
                <w:vertAlign w:val="baseline"/>
              </w:rPr>
              <w:t>100%</w:t>
            </w:r>
          </w:p>
        </w:tc>
        <w:tc>
          <w:tcPr>
            <w:tcW w:w="462"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rPr>
          <w:rFonts w:hint="eastAsia" w:eastAsia="楷体"/>
          <w:kern w:val="0"/>
          <w:szCs w:val="32"/>
        </w:rPr>
      </w:pPr>
    </w:p>
    <w:p>
      <w:pPr>
        <w:spacing w:line="700" w:lineRule="exact"/>
        <w:rPr>
          <w:rFonts w:hint="eastAsia" w:eastAsia="楷体"/>
          <w:kern w:val="0"/>
          <w:szCs w:val="32"/>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rFonts w:hint="eastAsia"/>
          <w:szCs w:val="32"/>
          <w:lang w:eastAsia="zh-CN"/>
        </w:rPr>
        <w:t>、</w:t>
      </w:r>
      <w:r>
        <w:rPr>
          <w:szCs w:val="32"/>
        </w:rPr>
        <w:t>住房保障支出、结转下年支出等。20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350.21</w:t>
      </w:r>
      <w:r>
        <w:rPr>
          <w:szCs w:val="32"/>
        </w:rPr>
        <w:t>万元</w:t>
      </w:r>
      <w:r>
        <w:rPr>
          <w:rFonts w:hint="eastAsia"/>
          <w:szCs w:val="32"/>
          <w:lang w:eastAsia="zh-CN"/>
        </w:rPr>
        <w:t>，其中：本年预算</w:t>
      </w:r>
      <w:r>
        <w:rPr>
          <w:rFonts w:hint="eastAsia"/>
          <w:szCs w:val="32"/>
          <w:lang w:val="en-US" w:eastAsia="zh-CN"/>
        </w:rPr>
        <w:t>333.60</w:t>
      </w:r>
      <w:r>
        <w:rPr>
          <w:rFonts w:hint="eastAsia"/>
          <w:szCs w:val="32"/>
          <w:lang w:eastAsia="zh-CN"/>
        </w:rPr>
        <w:t>万元；上年结转</w:t>
      </w:r>
      <w:r>
        <w:rPr>
          <w:rFonts w:hint="eastAsia"/>
          <w:szCs w:val="32"/>
          <w:lang w:val="en-US" w:eastAsia="zh-CN"/>
        </w:rPr>
        <w:t>16.61</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65.13</w:t>
      </w:r>
      <w:r>
        <w:rPr>
          <w:szCs w:val="32"/>
        </w:rPr>
        <w:t>万元，主要原因是</w:t>
      </w:r>
      <w:r>
        <w:rPr>
          <w:rFonts w:hint="eastAsia"/>
          <w:szCs w:val="32"/>
          <w:lang w:val="en-US" w:eastAsia="zh-CN"/>
        </w:rPr>
        <w:t>2024年增加第五次全国经济普查经费，并将退休人员增加补贴部分纳入年初预算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350.21</w:t>
      </w:r>
      <w:r>
        <w:rPr>
          <w:szCs w:val="32"/>
        </w:rPr>
        <w:t>万元，其中：本年收入</w:t>
      </w:r>
      <w:r>
        <w:rPr>
          <w:rFonts w:hint="eastAsia"/>
          <w:szCs w:val="32"/>
          <w:lang w:val="en-US" w:eastAsia="zh-CN"/>
        </w:rPr>
        <w:t>333.60</w:t>
      </w:r>
      <w:r>
        <w:rPr>
          <w:szCs w:val="32"/>
        </w:rPr>
        <w:t>万元，占</w:t>
      </w:r>
      <w:r>
        <w:rPr>
          <w:rFonts w:hint="eastAsia"/>
          <w:szCs w:val="32"/>
          <w:lang w:val="en-US" w:eastAsia="zh-CN"/>
        </w:rPr>
        <w:t>95.26</w:t>
      </w:r>
      <w:r>
        <w:rPr>
          <w:szCs w:val="32"/>
        </w:rPr>
        <w:t>%；上年结转</w:t>
      </w:r>
      <w:r>
        <w:rPr>
          <w:rFonts w:hint="eastAsia"/>
          <w:szCs w:val="32"/>
          <w:lang w:eastAsia="zh-CN"/>
        </w:rPr>
        <w:t>结余</w:t>
      </w:r>
      <w:r>
        <w:rPr>
          <w:rFonts w:hint="eastAsia"/>
          <w:szCs w:val="32"/>
          <w:lang w:val="en-US" w:eastAsia="zh-CN"/>
        </w:rPr>
        <w:t>16.61</w:t>
      </w:r>
      <w:r>
        <w:rPr>
          <w:szCs w:val="32"/>
        </w:rPr>
        <w:t>万元，占</w:t>
      </w:r>
      <w:r>
        <w:rPr>
          <w:rFonts w:hint="eastAsia"/>
          <w:szCs w:val="32"/>
          <w:lang w:val="en-US" w:eastAsia="zh-CN"/>
        </w:rPr>
        <w:t>4.74</w:t>
      </w:r>
      <w:r>
        <w:rPr>
          <w:szCs w:val="32"/>
        </w:rPr>
        <w:t>%。本年收入中，一般公共预算拨款收入</w:t>
      </w:r>
      <w:r>
        <w:rPr>
          <w:rFonts w:hint="eastAsia"/>
          <w:szCs w:val="32"/>
          <w:lang w:val="en-US" w:eastAsia="zh-CN"/>
        </w:rPr>
        <w:t>333.60</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16.61</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350.22</w:t>
      </w:r>
      <w:r>
        <w:rPr>
          <w:szCs w:val="32"/>
        </w:rPr>
        <w:t>万元，其中：基本支出</w:t>
      </w:r>
      <w:r>
        <w:rPr>
          <w:rFonts w:hint="eastAsia"/>
          <w:szCs w:val="32"/>
          <w:lang w:val="en-US" w:eastAsia="zh-CN"/>
        </w:rPr>
        <w:t>220.22</w:t>
      </w:r>
      <w:r>
        <w:rPr>
          <w:szCs w:val="32"/>
        </w:rPr>
        <w:t>万元，占</w:t>
      </w:r>
      <w:r>
        <w:rPr>
          <w:rFonts w:hint="eastAsia"/>
          <w:szCs w:val="32"/>
          <w:lang w:val="en-US" w:eastAsia="zh-CN"/>
        </w:rPr>
        <w:t>62.88</w:t>
      </w:r>
      <w:r>
        <w:rPr>
          <w:szCs w:val="32"/>
        </w:rPr>
        <w:t>%；项目支出</w:t>
      </w:r>
      <w:r>
        <w:rPr>
          <w:rFonts w:hint="eastAsia"/>
          <w:szCs w:val="32"/>
          <w:lang w:val="en-US" w:eastAsia="zh-CN"/>
        </w:rPr>
        <w:t>130.00</w:t>
      </w:r>
      <w:r>
        <w:rPr>
          <w:szCs w:val="32"/>
        </w:rPr>
        <w:t>万元，占</w:t>
      </w:r>
      <w:r>
        <w:rPr>
          <w:rFonts w:hint="eastAsia"/>
          <w:szCs w:val="32"/>
          <w:lang w:val="en-US" w:eastAsia="zh-CN"/>
        </w:rPr>
        <w:t>37.12</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350.21</w:t>
      </w:r>
      <w:r>
        <w:rPr>
          <w:szCs w:val="32"/>
        </w:rPr>
        <w:t>万元，其中：</w:t>
      </w:r>
      <w:r>
        <w:rPr>
          <w:rFonts w:hint="eastAsia"/>
          <w:szCs w:val="32"/>
        </w:rPr>
        <w:t>本年</w:t>
      </w:r>
      <w:r>
        <w:rPr>
          <w:rFonts w:hint="eastAsia"/>
          <w:szCs w:val="32"/>
          <w:lang w:eastAsia="zh-CN"/>
        </w:rPr>
        <w:t>预算</w:t>
      </w:r>
      <w:r>
        <w:rPr>
          <w:rFonts w:hint="eastAsia"/>
          <w:szCs w:val="32"/>
          <w:lang w:val="en-US" w:eastAsia="zh-CN"/>
        </w:rPr>
        <w:t>333.60</w:t>
      </w:r>
      <w:r>
        <w:rPr>
          <w:szCs w:val="32"/>
        </w:rPr>
        <w:t>万元</w:t>
      </w:r>
      <w:r>
        <w:rPr>
          <w:rFonts w:hint="eastAsia"/>
          <w:szCs w:val="32"/>
        </w:rPr>
        <w:t>，上年结转</w:t>
      </w:r>
      <w:r>
        <w:rPr>
          <w:rFonts w:hint="eastAsia"/>
          <w:szCs w:val="32"/>
          <w:lang w:val="en-US" w:eastAsia="zh-CN"/>
        </w:rPr>
        <w:t>16.61</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289.20</w:t>
      </w:r>
      <w:r>
        <w:rPr>
          <w:szCs w:val="32"/>
        </w:rPr>
        <w:t>万元，</w:t>
      </w:r>
      <w:r>
        <w:rPr>
          <w:kern w:val="0"/>
          <w:szCs w:val="32"/>
        </w:rPr>
        <w:t>社会保障和就业支出</w:t>
      </w:r>
      <w:r>
        <w:rPr>
          <w:rFonts w:hint="eastAsia"/>
          <w:szCs w:val="32"/>
          <w:lang w:val="en-US" w:eastAsia="zh-CN"/>
        </w:rPr>
        <w:t>38.25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5.81</w:t>
      </w:r>
      <w:r>
        <w:rPr>
          <w:szCs w:val="32"/>
        </w:rPr>
        <w:t>万元，</w:t>
      </w:r>
      <w:r>
        <w:rPr>
          <w:kern w:val="0"/>
          <w:szCs w:val="32"/>
        </w:rPr>
        <w:t>住房保障支出</w:t>
      </w:r>
      <w:r>
        <w:rPr>
          <w:rFonts w:hint="eastAsia"/>
          <w:szCs w:val="32"/>
          <w:lang w:val="en-US" w:eastAsia="zh-CN"/>
        </w:rPr>
        <w:t>16.96</w:t>
      </w:r>
      <w:r>
        <w:rPr>
          <w:szCs w:val="32"/>
        </w:rPr>
        <w:t>万元。</w:t>
      </w:r>
    </w:p>
    <w:p>
      <w:pPr>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350.22</w:t>
      </w:r>
      <w:r>
        <w:rPr>
          <w:szCs w:val="32"/>
        </w:rPr>
        <w:t>万元，其中：基本支出</w:t>
      </w:r>
      <w:r>
        <w:rPr>
          <w:rFonts w:hint="eastAsia"/>
          <w:szCs w:val="32"/>
          <w:lang w:val="en-US" w:eastAsia="zh-CN"/>
        </w:rPr>
        <w:t>220.22</w:t>
      </w:r>
      <w:r>
        <w:rPr>
          <w:szCs w:val="32"/>
        </w:rPr>
        <w:t>万元，占</w:t>
      </w:r>
      <w:r>
        <w:rPr>
          <w:rFonts w:hint="eastAsia"/>
          <w:szCs w:val="32"/>
          <w:lang w:val="en-US" w:eastAsia="zh-CN"/>
        </w:rPr>
        <w:t>62.88</w:t>
      </w:r>
      <w:r>
        <w:rPr>
          <w:szCs w:val="32"/>
        </w:rPr>
        <w:t>%；项目支出</w:t>
      </w:r>
      <w:r>
        <w:rPr>
          <w:rFonts w:hint="eastAsia"/>
          <w:szCs w:val="32"/>
          <w:lang w:val="en-US" w:eastAsia="zh-CN"/>
        </w:rPr>
        <w:t>130.00</w:t>
      </w:r>
      <w:r>
        <w:rPr>
          <w:szCs w:val="32"/>
        </w:rPr>
        <w:t>万元，占</w:t>
      </w:r>
      <w:r>
        <w:rPr>
          <w:rFonts w:hint="eastAsia"/>
          <w:szCs w:val="32"/>
          <w:lang w:val="en-US" w:eastAsia="zh-CN"/>
        </w:rPr>
        <w:t>37.12</w:t>
      </w:r>
      <w:r>
        <w:rPr>
          <w:szCs w:val="32"/>
        </w:rPr>
        <w:t>%。基本支出中，人员经费</w:t>
      </w:r>
      <w:r>
        <w:rPr>
          <w:rFonts w:hint="eastAsia"/>
          <w:szCs w:val="32"/>
          <w:lang w:val="en-US" w:eastAsia="zh-CN"/>
        </w:rPr>
        <w:t>184.77</w:t>
      </w:r>
      <w:r>
        <w:rPr>
          <w:szCs w:val="32"/>
        </w:rPr>
        <w:t>万元，占</w:t>
      </w:r>
      <w:r>
        <w:rPr>
          <w:rFonts w:hint="eastAsia"/>
          <w:szCs w:val="32"/>
          <w:lang w:val="en-US" w:eastAsia="zh-CN"/>
        </w:rPr>
        <w:t>83.9</w:t>
      </w:r>
      <w:r>
        <w:rPr>
          <w:szCs w:val="32"/>
        </w:rPr>
        <w:t>%；公用经费</w:t>
      </w:r>
      <w:r>
        <w:rPr>
          <w:rFonts w:hint="eastAsia"/>
          <w:szCs w:val="32"/>
          <w:lang w:val="en-US" w:eastAsia="zh-CN"/>
        </w:rPr>
        <w:t>35.45</w:t>
      </w:r>
      <w:r>
        <w:rPr>
          <w:szCs w:val="32"/>
        </w:rPr>
        <w:t>万元，占</w:t>
      </w:r>
      <w:r>
        <w:rPr>
          <w:rFonts w:hint="eastAsia"/>
          <w:szCs w:val="32"/>
          <w:lang w:val="en-US" w:eastAsia="zh-CN"/>
        </w:rPr>
        <w:t>16.1</w:t>
      </w:r>
      <w:r>
        <w:rPr>
          <w:szCs w:val="32"/>
        </w:rPr>
        <w:t>%。</w:t>
      </w:r>
    </w:p>
    <w:p>
      <w:pPr>
        <w:spacing w:line="520" w:lineRule="exact"/>
        <w:ind w:firstLine="200"/>
        <w:rPr>
          <w:szCs w:val="32"/>
        </w:rPr>
      </w:pPr>
      <w:r>
        <w:rPr>
          <w:szCs w:val="32"/>
        </w:rPr>
        <w:t>一般公共服务（类）支出</w:t>
      </w:r>
      <w:r>
        <w:rPr>
          <w:rFonts w:hint="eastAsia"/>
          <w:szCs w:val="32"/>
          <w:lang w:val="en-US" w:eastAsia="zh-CN"/>
        </w:rPr>
        <w:t>289.20</w:t>
      </w:r>
      <w:r>
        <w:rPr>
          <w:szCs w:val="32"/>
        </w:rPr>
        <w:t>万元，占</w:t>
      </w:r>
      <w:r>
        <w:rPr>
          <w:rFonts w:hint="eastAsia"/>
          <w:szCs w:val="32"/>
          <w:lang w:val="en-US" w:eastAsia="zh-CN"/>
        </w:rPr>
        <w:t>82.58</w:t>
      </w:r>
      <w:r>
        <w:rPr>
          <w:szCs w:val="32"/>
        </w:rPr>
        <w:t>%，主要用于</w:t>
      </w:r>
      <w:r>
        <w:rPr>
          <w:rFonts w:hint="eastAsia"/>
          <w:szCs w:val="32"/>
          <w:lang w:eastAsia="zh-CN"/>
        </w:rPr>
        <w:t>保障职工工资，维持机关正常运转以及完成年度统计工作任务</w:t>
      </w:r>
      <w:r>
        <w:rPr>
          <w:szCs w:val="32"/>
        </w:rPr>
        <w:t>。</w:t>
      </w:r>
    </w:p>
    <w:p>
      <w:pPr>
        <w:spacing w:line="520" w:lineRule="exact"/>
        <w:ind w:firstLine="200"/>
        <w:rPr>
          <w:szCs w:val="32"/>
        </w:rPr>
      </w:pPr>
      <w:r>
        <w:rPr>
          <w:szCs w:val="32"/>
        </w:rPr>
        <w:t>社会保障和就业（类）支出</w:t>
      </w:r>
      <w:r>
        <w:rPr>
          <w:rFonts w:hint="eastAsia"/>
          <w:szCs w:val="32"/>
          <w:lang w:val="en-US" w:eastAsia="zh-CN"/>
        </w:rPr>
        <w:t>38.25</w:t>
      </w:r>
      <w:r>
        <w:rPr>
          <w:szCs w:val="32"/>
        </w:rPr>
        <w:t>万元，占</w:t>
      </w:r>
      <w:r>
        <w:rPr>
          <w:rFonts w:hint="eastAsia"/>
          <w:szCs w:val="32"/>
          <w:lang w:val="en-US" w:eastAsia="zh-CN"/>
        </w:rPr>
        <w:t>10.92</w:t>
      </w:r>
      <w:r>
        <w:rPr>
          <w:szCs w:val="32"/>
        </w:rPr>
        <w:t>%，主要用于</w:t>
      </w:r>
      <w:r>
        <w:rPr>
          <w:rFonts w:hint="eastAsia"/>
          <w:szCs w:val="32"/>
          <w:lang w:eastAsia="zh-CN"/>
        </w:rPr>
        <w:t>保障机关事业单位基本养老保险缴费支出</w:t>
      </w:r>
      <w:r>
        <w:rPr>
          <w:szCs w:val="32"/>
        </w:rPr>
        <w:t>。</w:t>
      </w:r>
    </w:p>
    <w:p>
      <w:pPr>
        <w:spacing w:line="520" w:lineRule="exact"/>
        <w:ind w:firstLine="200"/>
        <w:rPr>
          <w:szCs w:val="32"/>
        </w:rPr>
      </w:pPr>
      <w:r>
        <w:rPr>
          <w:rFonts w:hint="eastAsia"/>
          <w:szCs w:val="32"/>
          <w:lang w:eastAsia="zh-CN"/>
        </w:rPr>
        <w:t>卫生健康</w:t>
      </w:r>
      <w:r>
        <w:rPr>
          <w:szCs w:val="32"/>
        </w:rPr>
        <w:t>（类）支出</w:t>
      </w:r>
      <w:r>
        <w:rPr>
          <w:rFonts w:hint="eastAsia"/>
          <w:szCs w:val="32"/>
          <w:lang w:val="en-US" w:eastAsia="zh-CN"/>
        </w:rPr>
        <w:t>5.81</w:t>
      </w:r>
      <w:r>
        <w:rPr>
          <w:szCs w:val="32"/>
        </w:rPr>
        <w:t>万元，占</w:t>
      </w:r>
      <w:r>
        <w:rPr>
          <w:rFonts w:hint="eastAsia"/>
          <w:szCs w:val="32"/>
          <w:lang w:val="en-US" w:eastAsia="zh-CN"/>
        </w:rPr>
        <w:t>1.66</w:t>
      </w:r>
      <w:r>
        <w:rPr>
          <w:szCs w:val="32"/>
        </w:rPr>
        <w:t>%，主要用于</w:t>
      </w:r>
      <w:r>
        <w:rPr>
          <w:rFonts w:hint="eastAsia"/>
          <w:szCs w:val="32"/>
          <w:lang w:val="en-US" w:eastAsia="zh-CN"/>
        </w:rPr>
        <w:t>缴纳职工医疗保险。</w:t>
      </w:r>
    </w:p>
    <w:p>
      <w:pPr>
        <w:spacing w:line="520" w:lineRule="exact"/>
        <w:ind w:firstLine="200"/>
        <w:rPr>
          <w:rFonts w:hint="eastAsia"/>
          <w:szCs w:val="32"/>
        </w:rPr>
      </w:pPr>
      <w:r>
        <w:rPr>
          <w:szCs w:val="32"/>
        </w:rPr>
        <w:t>住房保障（类）支出</w:t>
      </w:r>
      <w:r>
        <w:rPr>
          <w:rFonts w:hint="eastAsia"/>
          <w:szCs w:val="32"/>
          <w:lang w:val="en-US" w:eastAsia="zh-CN"/>
        </w:rPr>
        <w:t>16.96</w:t>
      </w:r>
      <w:r>
        <w:rPr>
          <w:szCs w:val="32"/>
        </w:rPr>
        <w:t>万元，占</w:t>
      </w:r>
      <w:r>
        <w:rPr>
          <w:rFonts w:hint="eastAsia"/>
          <w:szCs w:val="32"/>
          <w:lang w:val="en-US" w:eastAsia="zh-CN"/>
        </w:rPr>
        <w:t>4.84</w:t>
      </w:r>
      <w:r>
        <w:rPr>
          <w:szCs w:val="32"/>
        </w:rPr>
        <w:t>%，主要用于</w:t>
      </w:r>
      <w:r>
        <w:rPr>
          <w:rFonts w:hint="eastAsia"/>
          <w:szCs w:val="32"/>
          <w:lang w:eastAsia="zh-CN"/>
        </w:rPr>
        <w:t>缴纳职工住房公积金</w:t>
      </w:r>
      <w:r>
        <w:rPr>
          <w:szCs w:val="32"/>
        </w:rPr>
        <w:t>。</w:t>
      </w:r>
    </w:p>
    <w:p>
      <w:pPr>
        <w:spacing w:line="520" w:lineRule="exact"/>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220.21</w:t>
      </w:r>
      <w:r>
        <w:rPr>
          <w:szCs w:val="32"/>
        </w:rPr>
        <w:t>万元，其中：</w:t>
      </w:r>
    </w:p>
    <w:p>
      <w:pPr>
        <w:ind w:firstLine="640" w:firstLineChars="200"/>
        <w:rPr>
          <w:kern w:val="0"/>
          <w:szCs w:val="32"/>
        </w:rPr>
      </w:pPr>
      <w:r>
        <w:rPr>
          <w:szCs w:val="32"/>
        </w:rPr>
        <w:t>人员经费</w:t>
      </w:r>
      <w:r>
        <w:rPr>
          <w:rFonts w:hint="eastAsia"/>
          <w:szCs w:val="32"/>
          <w:lang w:val="en-US" w:eastAsia="zh-CN"/>
        </w:rPr>
        <w:t>184.76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机关事业单位基本养老保险缴费、职工基本医疗保险缴费、其他社会保障缴费</w:t>
      </w:r>
      <w:r>
        <w:rPr>
          <w:szCs w:val="32"/>
        </w:rPr>
        <w:t>、</w:t>
      </w:r>
      <w:r>
        <w:rPr>
          <w:kern w:val="0"/>
          <w:szCs w:val="32"/>
        </w:rPr>
        <w:t>住房公积金</w:t>
      </w:r>
      <w:r>
        <w:rPr>
          <w:rFonts w:hint="eastAsia"/>
          <w:kern w:val="0"/>
          <w:szCs w:val="32"/>
          <w:lang w:eastAsia="zh-CN"/>
        </w:rPr>
        <w:t>、</w:t>
      </w:r>
      <w:r>
        <w:rPr>
          <w:rFonts w:hint="eastAsia"/>
          <w:szCs w:val="32"/>
          <w:lang w:eastAsia="zh-CN"/>
        </w:rPr>
        <w:t>医疗费、</w:t>
      </w:r>
      <w:r>
        <w:rPr>
          <w:kern w:val="0"/>
          <w:szCs w:val="32"/>
        </w:rPr>
        <w:t>其他工资福利支出</w:t>
      </w:r>
      <w:r>
        <w:rPr>
          <w:szCs w:val="32"/>
        </w:rPr>
        <w:t>、</w:t>
      </w:r>
      <w:r>
        <w:rPr>
          <w:rFonts w:hint="eastAsia"/>
          <w:szCs w:val="32"/>
          <w:lang w:eastAsia="zh-CN"/>
        </w:rPr>
        <w:t>退</w:t>
      </w:r>
      <w:r>
        <w:rPr>
          <w:kern w:val="0"/>
          <w:szCs w:val="32"/>
        </w:rPr>
        <w:t>休费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35.45</w:t>
      </w:r>
      <w:r>
        <w:rPr>
          <w:szCs w:val="32"/>
        </w:rPr>
        <w:t>万元，主要包括：</w:t>
      </w:r>
      <w:r>
        <w:rPr>
          <w:kern w:val="0"/>
          <w:szCs w:val="32"/>
        </w:rPr>
        <w:t>办公费</w:t>
      </w:r>
      <w:r>
        <w:rPr>
          <w:szCs w:val="32"/>
        </w:rPr>
        <w:t>、</w:t>
      </w:r>
      <w:r>
        <w:rPr>
          <w:rFonts w:hint="eastAsia"/>
          <w:szCs w:val="32"/>
          <w:lang w:eastAsia="zh-CN"/>
        </w:rPr>
        <w:t>咨询费、手续</w:t>
      </w:r>
      <w:r>
        <w:rPr>
          <w:kern w:val="0"/>
          <w:szCs w:val="32"/>
        </w:rPr>
        <w:t>费</w:t>
      </w:r>
      <w:r>
        <w:rPr>
          <w:szCs w:val="32"/>
        </w:rPr>
        <w:t>、</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0.28</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0.04</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0.28</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0.04</w:t>
      </w:r>
      <w:r>
        <w:rPr>
          <w:szCs w:val="32"/>
        </w:rPr>
        <w:t>万元，主要原因是</w:t>
      </w:r>
      <w:r>
        <w:rPr>
          <w:rFonts w:hint="eastAsia"/>
          <w:szCs w:val="32"/>
          <w:lang w:eastAsia="zh-CN"/>
        </w:rPr>
        <w:t>公务接待任务减少，本年度调减公务接待费。</w:t>
      </w:r>
    </w:p>
    <w:p>
      <w:pPr>
        <w:ind w:firstLine="640" w:firstLineChars="200"/>
        <w:jc w:val="both"/>
        <w:rPr>
          <w:rFonts w:eastAsia="楷体"/>
          <w:szCs w:val="32"/>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szCs w:val="32"/>
        </w:rPr>
      </w:pPr>
      <w:r>
        <w:rPr>
          <w:rFonts w:hint="eastAsia"/>
          <w:szCs w:val="32"/>
          <w:lang w:eastAsia="zh-CN"/>
        </w:rPr>
        <w:t>本单位无</w:t>
      </w:r>
      <w:r>
        <w:rPr>
          <w:szCs w:val="32"/>
        </w:rPr>
        <w:t>政府性基金</w:t>
      </w:r>
      <w:r>
        <w:rPr>
          <w:rFonts w:hint="eastAsia"/>
          <w:szCs w:val="32"/>
          <w:lang w:val="en-US" w:eastAsia="zh-CN"/>
        </w:rPr>
        <w:t>预算拨款</w:t>
      </w:r>
      <w:r>
        <w:rPr>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szCs w:val="32"/>
          <w:lang w:eastAsia="zh-CN"/>
        </w:rPr>
        <w:t>本单位无</w:t>
      </w:r>
      <w:r>
        <w:rPr>
          <w:rFonts w:hint="eastAsia"/>
          <w:szCs w:val="32"/>
        </w:rPr>
        <w:t>国有资本经营</w:t>
      </w:r>
      <w:r>
        <w:rPr>
          <w:rFonts w:hint="eastAsia"/>
          <w:szCs w:val="32"/>
          <w:lang w:val="en-US" w:eastAsia="zh-CN"/>
        </w:rPr>
        <w:t>预算拨款</w:t>
      </w:r>
      <w:r>
        <w:rPr>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本单位一</w:t>
      </w:r>
      <w:r>
        <w:rPr>
          <w:szCs w:val="32"/>
        </w:rPr>
        <w:t>家行政单位的机关运行经费财政拨款预算</w:t>
      </w:r>
      <w:r>
        <w:rPr>
          <w:rFonts w:hint="eastAsia"/>
          <w:szCs w:val="32"/>
          <w:lang w:val="en-US" w:eastAsia="zh-CN"/>
        </w:rPr>
        <w:t>35.45</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6.14</w:t>
      </w:r>
      <w:r>
        <w:rPr>
          <w:szCs w:val="32"/>
        </w:rPr>
        <w:t>万元，下降</w:t>
      </w:r>
      <w:r>
        <w:rPr>
          <w:rFonts w:hint="eastAsia"/>
          <w:szCs w:val="32"/>
          <w:lang w:val="en-US" w:eastAsia="zh-CN"/>
        </w:rPr>
        <w:t>1.48</w:t>
      </w:r>
      <w:r>
        <w:rPr>
          <w:szCs w:val="32"/>
        </w:rPr>
        <w:t>%</w:t>
      </w:r>
      <w:r>
        <w:rPr>
          <w:rFonts w:hint="eastAsia"/>
          <w:szCs w:val="32"/>
        </w:rPr>
        <w:t>，主要原因是</w:t>
      </w:r>
      <w:r>
        <w:rPr>
          <w:rFonts w:hint="eastAsia"/>
          <w:szCs w:val="32"/>
          <w:lang w:val="en-US" w:eastAsia="zh-CN"/>
        </w:rPr>
        <w:t>2024年核定公用经费减少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highlight w:val="none"/>
          <w:lang w:val="en-US" w:eastAsia="zh-CN"/>
        </w:rPr>
        <w:t>本单位无政府采购</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22"/>
          <w:lang w:val="en-US" w:eastAsia="zh-CN"/>
        </w:rPr>
        <w:t>本单位无国有资产</w:t>
      </w:r>
      <w:r>
        <w:rPr>
          <w:rFonts w:hint="eastAsia"/>
          <w:szCs w:val="32"/>
        </w:rPr>
        <w:t>。</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130.00</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124.89</w:t>
      </w:r>
      <w:r>
        <w:rPr>
          <w:szCs w:val="32"/>
        </w:rPr>
        <w:t>万元，</w:t>
      </w:r>
      <w:r>
        <w:rPr>
          <w:rFonts w:hint="eastAsia"/>
          <w:szCs w:val="32"/>
        </w:rPr>
        <w:t>财政拨款结转</w:t>
      </w:r>
      <w:r>
        <w:rPr>
          <w:rFonts w:hint="eastAsia"/>
          <w:szCs w:val="32"/>
          <w:lang w:val="en-US" w:eastAsia="zh-CN"/>
        </w:rPr>
        <w:t>5.11</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124.89</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TIwZDQ5Yjc5YjAwZjgwODg4NjkyYjM3ZjNmZjA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3CEA"/>
    <w:rsid w:val="00F8523B"/>
    <w:rsid w:val="00FF7928"/>
    <w:rsid w:val="01265BCF"/>
    <w:rsid w:val="019B69D8"/>
    <w:rsid w:val="01B7145A"/>
    <w:rsid w:val="02033000"/>
    <w:rsid w:val="020E6D2C"/>
    <w:rsid w:val="02C44267"/>
    <w:rsid w:val="031D7D4B"/>
    <w:rsid w:val="037F2004"/>
    <w:rsid w:val="041B17FC"/>
    <w:rsid w:val="0486486A"/>
    <w:rsid w:val="04954460"/>
    <w:rsid w:val="04B11902"/>
    <w:rsid w:val="04B818D1"/>
    <w:rsid w:val="050D06DA"/>
    <w:rsid w:val="05310B72"/>
    <w:rsid w:val="05513E94"/>
    <w:rsid w:val="056F5A6D"/>
    <w:rsid w:val="059B3770"/>
    <w:rsid w:val="05D96FA5"/>
    <w:rsid w:val="063949A0"/>
    <w:rsid w:val="06BD5BC7"/>
    <w:rsid w:val="06F008FF"/>
    <w:rsid w:val="074E3AA1"/>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D0130F"/>
    <w:rsid w:val="0DEB170B"/>
    <w:rsid w:val="0E4C7841"/>
    <w:rsid w:val="0E97506F"/>
    <w:rsid w:val="0F3E0406"/>
    <w:rsid w:val="0F980230"/>
    <w:rsid w:val="0FD62F63"/>
    <w:rsid w:val="0FDE2A27"/>
    <w:rsid w:val="10520F1B"/>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2B4C"/>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2B31CD"/>
    <w:rsid w:val="1C852172"/>
    <w:rsid w:val="1CA40C0C"/>
    <w:rsid w:val="1CD032A3"/>
    <w:rsid w:val="1CFF4A32"/>
    <w:rsid w:val="1D833200"/>
    <w:rsid w:val="1E3A3FD0"/>
    <w:rsid w:val="1EB55C07"/>
    <w:rsid w:val="1F351A10"/>
    <w:rsid w:val="1F857EA5"/>
    <w:rsid w:val="1FED47E9"/>
    <w:rsid w:val="20415771"/>
    <w:rsid w:val="206816AC"/>
    <w:rsid w:val="21134335"/>
    <w:rsid w:val="226E581D"/>
    <w:rsid w:val="22A4003E"/>
    <w:rsid w:val="23135C25"/>
    <w:rsid w:val="23317447"/>
    <w:rsid w:val="23EC61F6"/>
    <w:rsid w:val="244C543C"/>
    <w:rsid w:val="24624768"/>
    <w:rsid w:val="259B5BC5"/>
    <w:rsid w:val="25F62C4E"/>
    <w:rsid w:val="26643D6C"/>
    <w:rsid w:val="26FE109D"/>
    <w:rsid w:val="27073E1E"/>
    <w:rsid w:val="27B04AB3"/>
    <w:rsid w:val="282C3BA1"/>
    <w:rsid w:val="28A63332"/>
    <w:rsid w:val="28C96E8E"/>
    <w:rsid w:val="29C45F24"/>
    <w:rsid w:val="2B0C018E"/>
    <w:rsid w:val="2BF87C8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7FF4C0F"/>
    <w:rsid w:val="3838492F"/>
    <w:rsid w:val="383A009B"/>
    <w:rsid w:val="383E2F9F"/>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B34580"/>
    <w:rsid w:val="3CEF6494"/>
    <w:rsid w:val="3D365BF6"/>
    <w:rsid w:val="3D7F7007"/>
    <w:rsid w:val="3DB008AA"/>
    <w:rsid w:val="3DF23324"/>
    <w:rsid w:val="3EA14040"/>
    <w:rsid w:val="3EE8108D"/>
    <w:rsid w:val="3F716535"/>
    <w:rsid w:val="3F8201A3"/>
    <w:rsid w:val="402675EA"/>
    <w:rsid w:val="4078367D"/>
    <w:rsid w:val="40B80EFF"/>
    <w:rsid w:val="41A35364"/>
    <w:rsid w:val="41C31686"/>
    <w:rsid w:val="41C837BC"/>
    <w:rsid w:val="421643AC"/>
    <w:rsid w:val="42982B4E"/>
    <w:rsid w:val="429F5D0C"/>
    <w:rsid w:val="42B712B0"/>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6635B2"/>
    <w:rsid w:val="4AF16062"/>
    <w:rsid w:val="4B0A57E5"/>
    <w:rsid w:val="4B646DDD"/>
    <w:rsid w:val="4B7F44F8"/>
    <w:rsid w:val="4BAC24C5"/>
    <w:rsid w:val="4BFA0656"/>
    <w:rsid w:val="4D0769F2"/>
    <w:rsid w:val="4D3439E8"/>
    <w:rsid w:val="4D4E2809"/>
    <w:rsid w:val="4D730507"/>
    <w:rsid w:val="4D741DD3"/>
    <w:rsid w:val="4DC93207"/>
    <w:rsid w:val="4E010C4C"/>
    <w:rsid w:val="4E214B2B"/>
    <w:rsid w:val="4E8D5761"/>
    <w:rsid w:val="4EF54A85"/>
    <w:rsid w:val="4EF972C6"/>
    <w:rsid w:val="4FC70757"/>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51755B"/>
    <w:rsid w:val="586D6BAB"/>
    <w:rsid w:val="58C27FDB"/>
    <w:rsid w:val="59472AC7"/>
    <w:rsid w:val="59D514A6"/>
    <w:rsid w:val="59EC6E09"/>
    <w:rsid w:val="5AB343F7"/>
    <w:rsid w:val="5ABF50F2"/>
    <w:rsid w:val="5AF25D13"/>
    <w:rsid w:val="5AF76904"/>
    <w:rsid w:val="5B052E7A"/>
    <w:rsid w:val="5B3D7F7E"/>
    <w:rsid w:val="5B7C7777"/>
    <w:rsid w:val="5BEC6771"/>
    <w:rsid w:val="5C253F90"/>
    <w:rsid w:val="5CA506B9"/>
    <w:rsid w:val="5CF74CE4"/>
    <w:rsid w:val="5D5A7C63"/>
    <w:rsid w:val="5E256F6F"/>
    <w:rsid w:val="5F6235A9"/>
    <w:rsid w:val="60505480"/>
    <w:rsid w:val="60DC439E"/>
    <w:rsid w:val="614125C2"/>
    <w:rsid w:val="61AA1D1F"/>
    <w:rsid w:val="624C5C52"/>
    <w:rsid w:val="62D4129F"/>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156D7"/>
    <w:rsid w:val="6AD43ED1"/>
    <w:rsid w:val="6B11024D"/>
    <w:rsid w:val="6B7D5B36"/>
    <w:rsid w:val="6C834DAA"/>
    <w:rsid w:val="6C993CCE"/>
    <w:rsid w:val="6CF120A8"/>
    <w:rsid w:val="6D71752E"/>
    <w:rsid w:val="6D72413D"/>
    <w:rsid w:val="6FF50B81"/>
    <w:rsid w:val="70330B9C"/>
    <w:rsid w:val="714213DD"/>
    <w:rsid w:val="717F272E"/>
    <w:rsid w:val="720F19CC"/>
    <w:rsid w:val="72783A23"/>
    <w:rsid w:val="728027C6"/>
    <w:rsid w:val="73377452"/>
    <w:rsid w:val="73D62FA6"/>
    <w:rsid w:val="73FE7ACC"/>
    <w:rsid w:val="74556746"/>
    <w:rsid w:val="74743258"/>
    <w:rsid w:val="761B13C4"/>
    <w:rsid w:val="764B6A8A"/>
    <w:rsid w:val="76986FF2"/>
    <w:rsid w:val="76C17E06"/>
    <w:rsid w:val="76CA67BD"/>
    <w:rsid w:val="774E6400"/>
    <w:rsid w:val="775B0046"/>
    <w:rsid w:val="79700BEF"/>
    <w:rsid w:val="798D552B"/>
    <w:rsid w:val="7A090695"/>
    <w:rsid w:val="7A1D5951"/>
    <w:rsid w:val="7AA359C5"/>
    <w:rsid w:val="7AE175F4"/>
    <w:rsid w:val="7B417685"/>
    <w:rsid w:val="7B5220F0"/>
    <w:rsid w:val="7BA169C0"/>
    <w:rsid w:val="7BC55243"/>
    <w:rsid w:val="7C2F4A9A"/>
    <w:rsid w:val="7CAD595B"/>
    <w:rsid w:val="7CF65D07"/>
    <w:rsid w:val="7D2975D1"/>
    <w:rsid w:val="7D2F3083"/>
    <w:rsid w:val="7D906046"/>
    <w:rsid w:val="7DCC0CD6"/>
    <w:rsid w:val="7FD75A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cp:lastModifiedBy>
  <cp:lastPrinted>2024-02-23T06:31:00Z</cp:lastPrinted>
  <dcterms:modified xsi:type="dcterms:W3CDTF">2024-02-26T02:08:15Z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2778DE0D3D1747E5A61F757C22D63E49_13</vt:lpwstr>
  </property>
</Properties>
</file>