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b w:val="0"/>
          <w:bCs w:val="0"/>
          <w:sz w:val="44"/>
          <w:szCs w:val="44"/>
          <w:u w:val="none"/>
          <w:lang w:eastAsia="zh-CN"/>
        </w:rPr>
        <w:t>珲春市统计局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color w:val="000000"/>
          <w:sz w:val="21"/>
          <w:szCs w:val="21"/>
        </w:rPr>
      </w:pPr>
      <w:r>
        <w:rPr>
          <w:rFonts w:hint="eastAsia"/>
          <w:color w:val="000000"/>
          <w:szCs w:val="32"/>
        </w:rPr>
        <w:t>珲春市统计局主要职责是贯彻执行国家统计方针、政策以及法律、法规，制定全市统计规划及统计调查计划；监督检查统计法律、法规的实施。组织领导全市统计工作，承担确保统计数据真实、准确、及时的责任。根据国家统一的基本统计制度，建立健全全市国民经济核算体系，贯彻执行全省统一的基本统计报表制度和统计标准；汇编提供全市国民经济核算资料。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统一核定、管理、公布全市基本统计资料，定期向社会公众发布全市国民经济和社会发展情况的统计信息。建立、完善和管理全市统计信息自动化系统和全市统计数据库体系。负责全市统计系统的干部人事、劳动工资、机构编制和财务经费、审计监督及资产实施管理。领导局属事业单位。承办延边朝鲜族自治州统计局和珲春市政府交办的其他事项。</w:t>
      </w:r>
    </w:p>
    <w:p>
      <w:pPr>
        <w:ind w:firstLine="640" w:firstLineChars="200"/>
      </w:pPr>
      <w:r>
        <w:rPr>
          <w:rFonts w:eastAsia="楷体_GB2312"/>
        </w:rPr>
        <w:t>二、机构设置</w:t>
      </w:r>
    </w:p>
    <w:p>
      <w:pPr>
        <w:pStyle w:val="48"/>
        <w:ind w:firstLine="640" w:firstLineChars="200"/>
        <w:rPr>
          <w:rFonts w:eastAsia="楷体"/>
        </w:rPr>
      </w:pPr>
      <w:r>
        <w:rPr>
          <w:rFonts w:hint="eastAsia" w:eastAsia="仿宋_GB2312"/>
        </w:rPr>
        <w:t>根据上述职责，珲春市统计局内设3个机构，分别为办公室、综合统计科、社会经济统计科。</w:t>
      </w:r>
    </w:p>
    <w:p>
      <w:pPr>
        <w:ind w:firstLine="640" w:firstLineChars="200"/>
        <w:rPr>
          <w:kern w:val="0"/>
          <w:szCs w:val="32"/>
        </w:rPr>
      </w:pPr>
      <w:r>
        <w:rPr>
          <w:rFonts w:hint="eastAsia"/>
          <w:kern w:val="0"/>
          <w:szCs w:val="32"/>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335.39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308.00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27.39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268.51</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249.58</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18.93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335.39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27.39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39.96</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32.79</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7.17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7.86</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6.57</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1.29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ascii="Times New Roman" w:hAnsi="Times New Roman" w:eastAsia="宋体" w:cs="Times New Roman"/>
                <w:color w:val="00000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19.06</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19.06</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335.39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27.39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335.39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308.00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27.39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335.39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27.39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335.39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308.00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27.39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18" w:type="dxa"/>
        <w:jc w:val="center"/>
        <w:tblLayout w:type="fixed"/>
        <w:tblCellMar>
          <w:top w:w="0" w:type="dxa"/>
          <w:left w:w="108" w:type="dxa"/>
          <w:bottom w:w="0" w:type="dxa"/>
          <w:right w:w="108" w:type="dxa"/>
        </w:tblCellMar>
      </w:tblPr>
      <w:tblGrid>
        <w:gridCol w:w="1446"/>
        <w:gridCol w:w="825"/>
        <w:gridCol w:w="787"/>
        <w:gridCol w:w="807"/>
        <w:gridCol w:w="393"/>
        <w:gridCol w:w="488"/>
        <w:gridCol w:w="525"/>
        <w:gridCol w:w="416"/>
        <w:gridCol w:w="76"/>
        <w:gridCol w:w="164"/>
        <w:gridCol w:w="300"/>
        <w:gridCol w:w="356"/>
        <w:gridCol w:w="174"/>
        <w:gridCol w:w="169"/>
        <w:gridCol w:w="329"/>
        <w:gridCol w:w="397"/>
        <w:gridCol w:w="690"/>
        <w:gridCol w:w="236"/>
        <w:gridCol w:w="203"/>
        <w:gridCol w:w="375"/>
        <w:gridCol w:w="600"/>
        <w:gridCol w:w="662"/>
      </w:tblGrid>
      <w:tr>
        <w:trPr>
          <w:trHeight w:val="335" w:hRule="atLeast"/>
          <w:jc w:val="center"/>
        </w:trPr>
        <w:tc>
          <w:tcPr>
            <w:tcW w:w="1446" w:type="dxa"/>
            <w:tcBorders>
              <w:bottom w:val="single" w:color="000000" w:sz="4" w:space="0"/>
            </w:tcBorders>
            <w:noWrap w:val="0"/>
            <w:vAlign w:val="top"/>
          </w:tcPr>
          <w:p>
            <w:pPr>
              <w:autoSpaceDN w:val="0"/>
              <w:jc w:val="left"/>
              <w:textAlignment w:val="center"/>
              <w:rPr>
                <w:rFonts w:eastAsia="华文细黑"/>
                <w:color w:val="000000"/>
                <w:sz w:val="20"/>
              </w:rPr>
            </w:pPr>
          </w:p>
        </w:tc>
        <w:tc>
          <w:tcPr>
            <w:tcW w:w="4317"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087"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840"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hRule="atLeast"/>
          <w:jc w:val="center"/>
        </w:trPr>
        <w:tc>
          <w:tcPr>
            <w:tcW w:w="1446"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655"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492"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46"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87"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88"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52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655"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26"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04"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1262"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46"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8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0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93"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52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24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26"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7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0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珲春市统计局</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335.39</w:t>
            </w: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308.00</w:t>
            </w: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308.00</w:t>
            </w:r>
          </w:p>
        </w:tc>
        <w:tc>
          <w:tcPr>
            <w:tcW w:w="39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27.39</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27.39</w:t>
            </w: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rPr>
          <w:trHeight w:val="517" w:hRule="atLeast"/>
          <w:jc w:val="center"/>
        </w:trPr>
        <w:tc>
          <w:tcPr>
            <w:tcW w:w="14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rPr>
          <w:trHeight w:val="517" w:hRule="atLeast"/>
          <w:jc w:val="center"/>
        </w:trPr>
        <w:tc>
          <w:tcPr>
            <w:tcW w:w="14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4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335.39</w:t>
            </w: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308.00</w:t>
            </w: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308.00</w:t>
            </w:r>
          </w:p>
        </w:tc>
        <w:tc>
          <w:tcPr>
            <w:tcW w:w="39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52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2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4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72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27.39</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27.39</w:t>
            </w: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718" w:type="dxa"/>
              <w:tblInd w:w="442" w:type="dxa"/>
              <w:tblLayout w:type="fixed"/>
              <w:tblCellMar>
                <w:top w:w="15" w:type="dxa"/>
                <w:left w:w="15" w:type="dxa"/>
                <w:bottom w:w="15" w:type="dxa"/>
                <w:right w:w="15" w:type="dxa"/>
              </w:tblCellMar>
            </w:tblPr>
            <w:tblGrid>
              <w:gridCol w:w="4157"/>
              <w:gridCol w:w="881"/>
              <w:gridCol w:w="881"/>
              <w:gridCol w:w="883"/>
              <w:gridCol w:w="881"/>
              <w:gridCol w:w="882"/>
              <w:gridCol w:w="1153"/>
            </w:tblGrid>
            <w:tr>
              <w:tblPrEx>
                <w:tblCellMar>
                  <w:top w:w="15" w:type="dxa"/>
                  <w:left w:w="15" w:type="dxa"/>
                  <w:bottom w:w="15" w:type="dxa"/>
                  <w:right w:w="15" w:type="dxa"/>
                </w:tblCellMar>
              </w:tblPrEx>
              <w:trPr>
                <w:trHeight w:val="682" w:hRule="atLeast"/>
              </w:trPr>
              <w:tc>
                <w:tcPr>
                  <w:tcW w:w="6802" w:type="dxa"/>
                  <w:gridSpan w:val="4"/>
                  <w:tcBorders>
                    <w:bottom w:val="single" w:color="000000" w:sz="4" w:space="0"/>
                  </w:tcBorders>
                  <w:noWrap w:val="0"/>
                  <w:vAlign w:val="center"/>
                </w:tcPr>
                <w:p>
                  <w:pPr>
                    <w:widowControl/>
                    <w:jc w:val="left"/>
                    <w:rPr>
                      <w:rFonts w:eastAsia="华文细黑"/>
                      <w:color w:val="000000"/>
                      <w:kern w:val="0"/>
                      <w:sz w:val="20"/>
                    </w:rPr>
                  </w:pPr>
                </w:p>
              </w:tc>
              <w:tc>
                <w:tcPr>
                  <w:tcW w:w="881" w:type="dxa"/>
                  <w:tcBorders>
                    <w:bottom w:val="single" w:color="000000" w:sz="4" w:space="0"/>
                  </w:tcBorders>
                  <w:noWrap w:val="0"/>
                  <w:vAlign w:val="center"/>
                </w:tcPr>
                <w:p>
                  <w:pPr>
                    <w:widowControl/>
                    <w:jc w:val="right"/>
                    <w:rPr>
                      <w:rFonts w:eastAsia="华文细黑"/>
                      <w:color w:val="000000"/>
                      <w:kern w:val="0"/>
                      <w:sz w:val="20"/>
                    </w:rPr>
                  </w:pPr>
                </w:p>
              </w:tc>
              <w:tc>
                <w:tcPr>
                  <w:tcW w:w="882" w:type="dxa"/>
                  <w:tcBorders>
                    <w:bottom w:val="single" w:color="000000" w:sz="4" w:space="0"/>
                  </w:tcBorders>
                  <w:noWrap w:val="0"/>
                  <w:vAlign w:val="center"/>
                </w:tcPr>
                <w:p>
                  <w:pPr>
                    <w:widowControl/>
                    <w:jc w:val="right"/>
                    <w:rPr>
                      <w:rFonts w:eastAsia="华文细黑"/>
                      <w:color w:val="000000"/>
                      <w:kern w:val="0"/>
                      <w:sz w:val="20"/>
                    </w:rPr>
                  </w:pPr>
                </w:p>
              </w:tc>
              <w:tc>
                <w:tcPr>
                  <w:tcW w:w="1153" w:type="dxa"/>
                  <w:tcBorders>
                    <w:bottom w:val="single" w:color="000000" w:sz="4" w:space="0"/>
                  </w:tcBorders>
                  <w:noWrap w:val="0"/>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685" w:hRule="atLeast"/>
              </w:trPr>
              <w:tc>
                <w:tcPr>
                  <w:tcW w:w="415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881"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93"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eastAsia="zh-CN"/>
                    </w:rPr>
                  </w:pPr>
                  <w:r>
                    <w:rPr>
                      <w:rFonts w:ascii="Times New Roman" w:hAnsi="Times New Roman" w:eastAsia="宋体" w:cs="Times New Roman"/>
                      <w:color w:val="000000"/>
                      <w:kern w:val="0"/>
                      <w:sz w:val="20"/>
                    </w:rPr>
                    <w:t>一、一般公共服务</w:t>
                  </w:r>
                  <w:r>
                    <w:rPr>
                      <w:rFonts w:hint="eastAsia" w:ascii="Times New Roman" w:hAnsi="Times New Roman" w:eastAsia="宋体" w:cs="Times New Roman"/>
                      <w:color w:val="000000"/>
                      <w:kern w:val="0"/>
                      <w:sz w:val="20"/>
                      <w:lang w:eastAsia="zh-CN"/>
                    </w:rPr>
                    <w:t>支出</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268.51</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186.39</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82.12</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hint="eastAsia" w:ascii="Times New Roman" w:hAnsi="Times New Roman" w:eastAsia="宋体" w:cs="Times New Roman"/>
                      <w:color w:val="000000"/>
                      <w:kern w:val="0"/>
                      <w:sz w:val="20"/>
                      <w:lang w:eastAsia="zh-CN"/>
                    </w:rPr>
                  </w:pPr>
                  <w:r>
                    <w:rPr>
                      <w:rFonts w:hint="eastAsia" w:ascii="Times New Roman" w:hAnsi="Times New Roman" w:eastAsia="宋体" w:cs="Times New Roman"/>
                      <w:color w:val="000000"/>
                      <w:kern w:val="0"/>
                      <w:sz w:val="20"/>
                      <w:lang w:eastAsia="zh-CN"/>
                    </w:rPr>
                    <w:t>统计信息事务</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268.51</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186.39</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cs="Times New Roman"/>
                      <w:kern w:val="0"/>
                      <w:sz w:val="20"/>
                      <w:lang w:val="en-US" w:eastAsia="zh-CN"/>
                    </w:rPr>
                    <w:t>82.12</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ascii="Times New Roman" w:hAnsi="Times New Roman" w:eastAsia="宋体" w:cs="Times New Roman"/>
                      <w:color w:val="000000"/>
                      <w:kern w:val="0"/>
                      <w:sz w:val="20"/>
                    </w:rPr>
                  </w:pPr>
                  <w:r>
                    <w:rPr>
                      <w:rFonts w:ascii="Times New Roman" w:hAnsi="Times New Roman" w:eastAsia="宋体" w:cs="Times New Roman"/>
                      <w:color w:val="000000"/>
                      <w:kern w:val="0"/>
                      <w:sz w:val="20"/>
                    </w:rPr>
                    <w:t>行政运行</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cs="Times New Roman"/>
                      <w:kern w:val="0"/>
                      <w:sz w:val="20"/>
                      <w:lang w:val="en-US" w:eastAsia="zh-CN"/>
                    </w:rPr>
                    <w:t>186.39</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cs="Times New Roman"/>
                      <w:kern w:val="0"/>
                      <w:sz w:val="20"/>
                      <w:lang w:val="en-US" w:eastAsia="zh-CN"/>
                    </w:rPr>
                    <w:t>186.39</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eastAsia" w:ascii="Times New Roman" w:hAnsi="Times New Roman" w:eastAsia="宋体" w:cs="Times New Roman"/>
                      <w:color w:val="000000"/>
                      <w:kern w:val="0"/>
                      <w:sz w:val="20"/>
                      <w:lang w:eastAsia="zh-CN"/>
                    </w:rPr>
                  </w:pPr>
                  <w:r>
                    <w:rPr>
                      <w:rFonts w:hint="eastAsia" w:ascii="Times New Roman" w:hAnsi="Times New Roman" w:eastAsia="宋体" w:cs="Times New Roman"/>
                      <w:color w:val="000000"/>
                      <w:kern w:val="0"/>
                      <w:sz w:val="20"/>
                      <w:lang w:eastAsia="zh-CN"/>
                    </w:rPr>
                    <w:t>一般行政管理事务</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21.18</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21.18</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专项普查活动</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37.84</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37.84</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left="0" w:leftChars="0" w:firstLine="640" w:firstLineChars="320"/>
                    <w:jc w:val="both"/>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统计抽样调查</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23.10</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23.10</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eastAsia="zh-CN"/>
                    </w:rPr>
                  </w:pPr>
                  <w:r>
                    <w:rPr>
                      <w:rFonts w:ascii="Times New Roman" w:hAnsi="Times New Roman" w:eastAsia="宋体" w:cs="Times New Roman"/>
                      <w:color w:val="000000"/>
                      <w:kern w:val="0"/>
                      <w:sz w:val="20"/>
                    </w:rPr>
                    <w:t>二、</w:t>
                  </w:r>
                  <w:r>
                    <w:rPr>
                      <w:rFonts w:hint="eastAsia" w:ascii="Times New Roman" w:hAnsi="Times New Roman" w:eastAsia="宋体" w:cs="Times New Roman"/>
                      <w:color w:val="000000"/>
                      <w:kern w:val="0"/>
                      <w:sz w:val="20"/>
                      <w:lang w:eastAsia="zh-CN"/>
                    </w:rPr>
                    <w:t>社会保障和就业支出</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39.96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39.96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eastAsia="zh-CN"/>
                    </w:rPr>
                    <w:t>行政事业单位养老支出</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cs="Times New Roman"/>
                      <w:kern w:val="0"/>
                      <w:sz w:val="20"/>
                      <w:lang w:val="en-US" w:eastAsia="zh-CN"/>
                    </w:rPr>
                    <w:t>39.96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cs="Times New Roman"/>
                      <w:kern w:val="0"/>
                      <w:sz w:val="20"/>
                      <w:lang w:val="en-US" w:eastAsia="zh-CN"/>
                    </w:rPr>
                    <w:t>39.96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行政单位离退休</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12.80</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12.80</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ascii="Times New Roman" w:hAnsi="Times New Roman" w:eastAsia="宋体" w:cs="Times New Roman"/>
                      <w:color w:val="000000"/>
                      <w:kern w:val="0"/>
                      <w:sz w:val="20"/>
                    </w:rPr>
                  </w:pPr>
                  <w:r>
                    <w:rPr>
                      <w:rFonts w:hint="eastAsia" w:ascii="Times New Roman" w:hAnsi="Times New Roman" w:eastAsia="宋体" w:cs="Times New Roman"/>
                      <w:color w:val="000000"/>
                      <w:kern w:val="0"/>
                      <w:sz w:val="20"/>
                    </w:rPr>
                    <w:t>机关事业单位基本养老保险缴费支出</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27.16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27.16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eastAsia="zh-CN"/>
                    </w:rPr>
                    <w:t>三、卫生健康支出</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7.86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7.86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ascii="Times New Roman" w:hAnsi="Times New Roman" w:eastAsia="宋体" w:cs="Times New Roman"/>
                      <w:color w:val="000000"/>
                      <w:kern w:val="0"/>
                      <w:sz w:val="20"/>
                    </w:rPr>
                  </w:pPr>
                  <w:r>
                    <w:rPr>
                      <w:rFonts w:hint="eastAsia" w:ascii="Times New Roman" w:hAnsi="Times New Roman" w:eastAsia="宋体" w:cs="Times New Roman"/>
                      <w:color w:val="000000"/>
                      <w:kern w:val="0"/>
                      <w:sz w:val="20"/>
                    </w:rPr>
                    <w:t>行政事业单位医疗</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7.86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7.86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ascii="Times New Roman" w:hAnsi="Times New Roman" w:eastAsia="宋体" w:cs="Times New Roman"/>
                      <w:color w:val="000000"/>
                      <w:kern w:val="0"/>
                      <w:sz w:val="20"/>
                    </w:rPr>
                  </w:pPr>
                  <w:r>
                    <w:rPr>
                      <w:rFonts w:hint="eastAsia" w:ascii="Times New Roman" w:hAnsi="Times New Roman" w:eastAsia="宋体" w:cs="Times New Roman"/>
                      <w:color w:val="000000"/>
                      <w:kern w:val="0"/>
                      <w:sz w:val="20"/>
                    </w:rPr>
                    <w:t>行政单位医疗</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7.86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7.86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ascii="Times New Roman" w:hAnsi="Times New Roman" w:eastAsia="宋体" w:cs="Times New Roman"/>
                      <w:color w:val="000000"/>
                      <w:kern w:val="0"/>
                      <w:sz w:val="20"/>
                      <w:lang w:eastAsia="zh-CN"/>
                    </w:rPr>
                  </w:pPr>
                  <w:r>
                    <w:rPr>
                      <w:rFonts w:hint="eastAsia" w:ascii="Times New Roman" w:hAnsi="Times New Roman" w:eastAsia="宋体" w:cs="Times New Roman"/>
                      <w:color w:val="000000"/>
                      <w:kern w:val="0"/>
                      <w:sz w:val="20"/>
                      <w:lang w:eastAsia="zh-CN"/>
                    </w:rPr>
                    <w:t>四、住房保障支出</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19.06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19.06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ascii="Times New Roman" w:hAnsi="Times New Roman" w:eastAsia="宋体" w:cs="Times New Roman"/>
                      <w:color w:val="000000"/>
                      <w:kern w:val="0"/>
                      <w:sz w:val="20"/>
                    </w:rPr>
                  </w:pPr>
                  <w:r>
                    <w:rPr>
                      <w:rFonts w:hint="eastAsia" w:ascii="Times New Roman" w:hAnsi="Times New Roman" w:eastAsia="宋体" w:cs="Times New Roman"/>
                      <w:color w:val="000000"/>
                      <w:kern w:val="0"/>
                      <w:sz w:val="20"/>
                    </w:rPr>
                    <w:t>住房改革支出</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19.06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19.06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1"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ascii="Times New Roman" w:hAnsi="Times New Roman" w:eastAsia="宋体" w:cs="Times New Roman"/>
                      <w:color w:val="000000"/>
                      <w:kern w:val="0"/>
                      <w:sz w:val="20"/>
                    </w:rPr>
                  </w:pPr>
                  <w:r>
                    <w:rPr>
                      <w:rFonts w:hint="eastAsia" w:ascii="Times New Roman" w:hAnsi="Times New Roman" w:eastAsia="宋体" w:cs="Times New Roman"/>
                      <w:color w:val="000000"/>
                      <w:kern w:val="0"/>
                      <w:sz w:val="20"/>
                    </w:rPr>
                    <w:t>住房公积金</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19.06</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cs="Times New Roman"/>
                      <w:kern w:val="0"/>
                      <w:sz w:val="20"/>
                      <w:lang w:val="en-US" w:eastAsia="zh-CN"/>
                    </w:rPr>
                    <w:t>19.06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kern w:val="0"/>
                      <w:sz w:val="20"/>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2" w:hRule="atLeast"/>
              </w:trPr>
              <w:tc>
                <w:tcPr>
                  <w:tcW w:w="415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335.39</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253.27</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82.12</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335.39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308.00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27.39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335.39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308.00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27.39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335.39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308.00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27.39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rPr>
                  </w:pPr>
                  <w:r>
                    <w:rPr>
                      <w:rFonts w:hint="eastAsia" w:eastAsia="宋体"/>
                      <w:color w:val="000000"/>
                      <w:kern w:val="0"/>
                      <w:sz w:val="20"/>
                      <w:lang w:eastAsia="zh-CN"/>
                    </w:rPr>
                    <w:t>（一）</w:t>
                  </w:r>
                  <w:r>
                    <w:rPr>
                      <w:rFonts w:hint="eastAsia"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268.51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249.58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18.93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335.39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308.00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cs="Times New Roman"/>
                      <w:kern w:val="0"/>
                      <w:sz w:val="20"/>
                      <w:lang w:val="en-US" w:eastAsia="zh-CN"/>
                    </w:rPr>
                  </w:pPr>
                  <w:r>
                    <w:rPr>
                      <w:rFonts w:hint="default" w:eastAsia="宋体" w:cs="Times New Roman"/>
                      <w:kern w:val="0"/>
                      <w:sz w:val="20"/>
                      <w:lang w:val="en-US" w:eastAsia="zh-CN"/>
                    </w:rPr>
                    <w:t>27.39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280"/>
                    </w:tabs>
                    <w:jc w:val="left"/>
                    <w:rPr>
                      <w:rFonts w:hint="eastAsia" w:eastAsia="宋体"/>
                      <w:color w:val="000000"/>
                      <w:kern w:val="0"/>
                      <w:sz w:val="20"/>
                    </w:rPr>
                  </w:pPr>
                  <w:r>
                    <w:rPr>
                      <w:rFonts w:hint="eastAsia" w:eastAsia="宋体"/>
                      <w:color w:val="000000"/>
                      <w:kern w:val="0"/>
                      <w:sz w:val="20"/>
                      <w:lang w:val="en-US" w:eastAsia="zh-CN"/>
                    </w:rPr>
                    <w:t>（二）社会保障和就业支出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39.96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32.79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7.17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280"/>
                    </w:tabs>
                    <w:jc w:val="left"/>
                    <w:rPr>
                      <w:rFonts w:hint="eastAsia" w:eastAsia="宋体"/>
                      <w:color w:val="000000"/>
                      <w:kern w:val="0"/>
                      <w:sz w:val="20"/>
                    </w:rPr>
                  </w:pPr>
                  <w:r>
                    <w:rPr>
                      <w:rFonts w:hint="eastAsia" w:eastAsia="宋体"/>
                      <w:color w:val="000000"/>
                      <w:kern w:val="0"/>
                      <w:sz w:val="20"/>
                      <w:lang w:val="en-US" w:eastAsia="zh-CN"/>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6.57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280"/>
                    </w:tabs>
                    <w:jc w:val="left"/>
                    <w:rPr>
                      <w:rFonts w:hint="eastAsia" w:eastAsia="宋体"/>
                      <w:color w:val="000000"/>
                      <w:kern w:val="0"/>
                      <w:sz w:val="20"/>
                    </w:rPr>
                  </w:pPr>
                  <w:r>
                    <w:rPr>
                      <w:rFonts w:hint="eastAsia" w:eastAsia="宋体"/>
                      <w:color w:val="000000"/>
                      <w:kern w:val="0"/>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335.39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308.00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27.39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eastAsia="宋体" w:cs="Times New Roman"/>
                      <w:kern w:val="0"/>
                      <w:sz w:val="20"/>
                      <w:lang w:val="en-US" w:eastAsia="zh-CN"/>
                    </w:rPr>
                    <w:t>335.39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eastAsia="宋体" w:cs="Times New Roman"/>
                      <w:kern w:val="0"/>
                      <w:sz w:val="20"/>
                      <w:lang w:val="en-US" w:eastAsia="zh-CN"/>
                    </w:rPr>
                    <w:t>308.00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eastAsia="宋体" w:cs="Times New Roman"/>
                      <w:kern w:val="0"/>
                      <w:sz w:val="20"/>
                      <w:lang w:val="en-US" w:eastAsia="zh-CN"/>
                    </w:rPr>
                    <w:t>27.39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380" w:type="dxa"/>
        <w:jc w:val="center"/>
        <w:tblLayout w:type="fixed"/>
        <w:tblCellMar>
          <w:top w:w="0" w:type="dxa"/>
          <w:left w:w="108" w:type="dxa"/>
          <w:bottom w:w="0" w:type="dxa"/>
          <w:right w:w="108" w:type="dxa"/>
        </w:tblCellMar>
      </w:tblPr>
      <w:tblGrid>
        <w:gridCol w:w="10380"/>
      </w:tblGrid>
      <w:tr>
        <w:tblPrEx>
          <w:tblCellMar>
            <w:top w:w="0" w:type="dxa"/>
            <w:left w:w="108" w:type="dxa"/>
            <w:bottom w:w="0" w:type="dxa"/>
            <w:right w:w="108" w:type="dxa"/>
          </w:tblCellMar>
        </w:tblPrEx>
        <w:trPr>
          <w:trHeight w:val="9868" w:hRule="atLeast"/>
          <w:jc w:val="center"/>
        </w:trPr>
        <w:tc>
          <w:tcPr>
            <w:tcW w:w="10380"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268.51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186.39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147.78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38.61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82.12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268.51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186.39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147.78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38.61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82.12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186.39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186.39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147.78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38.61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21.18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37.84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23.10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23.10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335.39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253.27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214.66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38.61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82.12</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98"/>
        <w:gridCol w:w="2234"/>
        <w:gridCol w:w="1715"/>
        <w:gridCol w:w="1853"/>
      </w:tblGrid>
      <w:tr>
        <w:tblPrEx>
          <w:tblCellMar>
            <w:top w:w="0" w:type="dxa"/>
            <w:left w:w="108" w:type="dxa"/>
            <w:bottom w:w="0" w:type="dxa"/>
            <w:right w:w="108" w:type="dxa"/>
          </w:tblCellMar>
        </w:tblPrEx>
        <w:trPr>
          <w:trHeight w:val="1562" w:hRule="atLeast"/>
          <w:jc w:val="center"/>
        </w:trPr>
        <w:tc>
          <w:tcPr>
            <w:tcW w:w="9000"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68" w:hRule="atLeast"/>
          <w:jc w:val="center"/>
        </w:trPr>
        <w:tc>
          <w:tcPr>
            <w:tcW w:w="3198"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34"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68"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92" w:hRule="atLeast"/>
          <w:jc w:val="center"/>
        </w:trPr>
        <w:tc>
          <w:tcPr>
            <w:tcW w:w="3198"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34"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15"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一、工资福利支出</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200.63</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200.63</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基本工资</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59.50</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59.50</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津贴补贴</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47.27</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47.27</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奖金</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34.48</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34.48</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机关事业单位基本养老保险缴费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27.16</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27.16</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职工基本医疗保险缴费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7.53</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7.53</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其他社会保障缴费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1.92</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1.92</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住房公积金</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19.06</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医疗费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1.92</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1.92</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其他工资福利支出</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1.79</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1.79</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二、商品和服务支出</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37.69</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37.69</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办公费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5.29</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5.29</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印刷费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1.80</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1.80</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邮电费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2.51</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2.51</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差旅费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5.41</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5.41</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培训费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2.50</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2.50</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公务接待费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0.20</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0.20</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工会经费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1.99</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1.99</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福利费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6.13</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6.13</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其他交通费用</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11.14</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11.14</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其他商品和服务支出</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0.72</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0.72</w:t>
            </w: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三、对个人和家庭的补助</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14.02</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14.02</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退休费</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12.80</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12.80</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其他对个人和家庭的补助</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1.22</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1.22</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r>
      <w:tr>
        <w:tblPrEx>
          <w:tblCellMar>
            <w:top w:w="0" w:type="dxa"/>
            <w:left w:w="108" w:type="dxa"/>
            <w:bottom w:w="0" w:type="dxa"/>
            <w:right w:w="108" w:type="dxa"/>
          </w:tblCellMar>
        </w:tblPrEx>
        <w:trPr>
          <w:trHeight w:val="364"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四、资本性支出</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0.93</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0.93</w:t>
            </w:r>
          </w:p>
        </w:tc>
      </w:tr>
      <w:tr>
        <w:tblPrEx>
          <w:tblCellMar>
            <w:top w:w="0" w:type="dxa"/>
            <w:left w:w="108" w:type="dxa"/>
            <w:bottom w:w="0" w:type="dxa"/>
            <w:right w:w="108" w:type="dxa"/>
          </w:tblCellMar>
        </w:tblPrEx>
        <w:trPr>
          <w:trHeight w:val="376" w:hRule="atLeast"/>
          <w:jc w:val="center"/>
        </w:trPr>
        <w:tc>
          <w:tcPr>
            <w:tcW w:w="31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办公设备购置</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0.93</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0.93</w:t>
            </w:r>
          </w:p>
        </w:tc>
      </w:tr>
    </w:tbl>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hint="eastAsia" w:eastAsia="宋体"/>
                <w:color w:val="000000"/>
                <w:kern w:val="0"/>
                <w:sz w:val="20"/>
              </w:rPr>
              <w:t>0.2</w:t>
            </w:r>
            <w:r>
              <w:rPr>
                <w:rFonts w:hint="eastAsia" w:eastAsia="宋体"/>
                <w:color w:val="000000"/>
                <w:kern w:val="0"/>
                <w:sz w:val="20"/>
                <w:lang w:val="en-US" w:eastAsia="zh-CN"/>
              </w:rPr>
              <w:t>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hint="eastAsia" w:eastAsia="宋体"/>
                <w:color w:val="000000"/>
                <w:kern w:val="0"/>
                <w:sz w:val="20"/>
              </w:rPr>
              <w:t>0.2</w:t>
            </w:r>
            <w:r>
              <w:rPr>
                <w:rFonts w:hint="eastAsia" w:eastAsia="宋体"/>
                <w:color w:val="000000"/>
                <w:kern w:val="0"/>
                <w:sz w:val="20"/>
                <w:lang w:val="en-US" w:eastAsia="zh-CN"/>
              </w:rPr>
              <w:t>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670"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left="0" w:leftChars="0" w:firstLine="618" w:firstLineChars="221"/>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left="0" w:leftChars="0" w:firstLine="618" w:firstLineChars="221"/>
              <w:jc w:val="both"/>
              <w:rPr>
                <w:rFonts w:hint="default"/>
                <w:color w:val="000000"/>
                <w:kern w:val="0"/>
                <w:sz w:val="28"/>
                <w:szCs w:val="28"/>
                <w:lang w:val="en-US" w:eastAsia="zh-CN"/>
              </w:rPr>
            </w:pPr>
            <w:r>
              <w:rPr>
                <w:rFonts w:hint="eastAsia"/>
                <w:color w:val="000000"/>
                <w:kern w:val="0"/>
                <w:sz w:val="28"/>
                <w:szCs w:val="28"/>
                <w:lang w:val="en-US" w:eastAsia="zh-CN"/>
              </w:rPr>
              <w:t>2、“2024年预算数”的实有人员24人，其中：在职人员13人，离退休人员11人。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16"/>
        <w:gridCol w:w="758"/>
        <w:gridCol w:w="1459"/>
        <w:gridCol w:w="867"/>
        <w:gridCol w:w="733"/>
        <w:gridCol w:w="667"/>
        <w:gridCol w:w="350"/>
        <w:gridCol w:w="366"/>
        <w:gridCol w:w="400"/>
        <w:gridCol w:w="367"/>
        <w:gridCol w:w="567"/>
        <w:gridCol w:w="433"/>
        <w:gridCol w:w="417"/>
        <w:gridCol w:w="616"/>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859"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74"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45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6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3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15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3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38"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833"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67"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33"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150"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638"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8"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16"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221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867"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33"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383"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0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67"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41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21"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638" w:type="dxa"/>
            <w:vMerge w:val="continue"/>
            <w:noWrap w:val="0"/>
            <w:vAlign w:val="center"/>
          </w:tcPr>
          <w:p>
            <w:pPr>
              <w:autoSpaceDN w:val="0"/>
              <w:jc w:val="center"/>
              <w:textAlignment w:val="center"/>
              <w:rPr>
                <w:rFonts w:ascii="Calibri" w:hAnsi="Calibri" w:eastAsia="华文细黑"/>
                <w:color w:val="000000"/>
                <w:sz w:val="20"/>
                <w:szCs w:val="22"/>
              </w:rPr>
            </w:pPr>
          </w:p>
        </w:tc>
        <w:tc>
          <w:tcPr>
            <w:tcW w:w="616" w:type="dxa"/>
            <w:vMerge w:val="continue"/>
            <w:noWrap w:val="0"/>
            <w:vAlign w:val="center"/>
          </w:tcPr>
          <w:p>
            <w:pPr>
              <w:autoSpaceDN w:val="0"/>
              <w:jc w:val="center"/>
              <w:textAlignment w:val="center"/>
              <w:rPr>
                <w:rFonts w:ascii="Calibri" w:hAnsi="Calibri" w:eastAsia="华文细黑"/>
                <w:color w:val="000000"/>
                <w:sz w:val="20"/>
                <w:szCs w:val="22"/>
              </w:rPr>
            </w:pPr>
          </w:p>
        </w:tc>
        <w:tc>
          <w:tcPr>
            <w:tcW w:w="221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67" w:type="dxa"/>
            <w:vMerge w:val="continue"/>
            <w:noWrap w:val="0"/>
            <w:vAlign w:val="center"/>
          </w:tcPr>
          <w:p>
            <w:pPr>
              <w:autoSpaceDN w:val="0"/>
              <w:jc w:val="center"/>
              <w:textAlignment w:val="center"/>
              <w:rPr>
                <w:rFonts w:ascii="Calibri" w:hAnsi="Calibri" w:eastAsia="华文细黑"/>
                <w:color w:val="000000"/>
                <w:sz w:val="20"/>
                <w:szCs w:val="22"/>
              </w:rPr>
            </w:pPr>
          </w:p>
        </w:tc>
        <w:tc>
          <w:tcPr>
            <w:tcW w:w="733" w:type="dxa"/>
            <w:vMerge w:val="continue"/>
            <w:noWrap w:val="0"/>
            <w:vAlign w:val="center"/>
          </w:tcPr>
          <w:p>
            <w:pPr>
              <w:autoSpaceDN w:val="0"/>
              <w:jc w:val="center"/>
              <w:textAlignment w:val="center"/>
              <w:rPr>
                <w:rFonts w:ascii="Calibri" w:hAnsi="Calibri" w:eastAsia="华文细黑"/>
                <w:color w:val="000000"/>
                <w:sz w:val="20"/>
                <w:szCs w:val="22"/>
              </w:rPr>
            </w:pPr>
          </w:p>
        </w:tc>
        <w:tc>
          <w:tcPr>
            <w:tcW w:w="66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5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66"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0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67"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6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3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1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16"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05"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638" w:type="dxa"/>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专项业务支出</w:t>
            </w:r>
          </w:p>
        </w:tc>
        <w:tc>
          <w:tcPr>
            <w:tcW w:w="616" w:type="dxa"/>
            <w:noWrap w:val="0"/>
            <w:vAlign w:val="center"/>
          </w:tcPr>
          <w:p>
            <w:pPr>
              <w:widowControl/>
              <w:jc w:val="left"/>
              <w:rPr>
                <w:rFonts w:hint="eastAsia" w:eastAsia="宋体"/>
                <w:color w:val="000000"/>
                <w:kern w:val="0"/>
                <w:sz w:val="20"/>
                <w:lang w:val="en-US" w:eastAsia="zh-CN"/>
              </w:rPr>
            </w:pPr>
          </w:p>
        </w:tc>
        <w:tc>
          <w:tcPr>
            <w:tcW w:w="2217" w:type="dxa"/>
            <w:gridSpan w:val="2"/>
            <w:noWrap w:val="0"/>
            <w:vAlign w:val="center"/>
          </w:tcPr>
          <w:p>
            <w:pPr>
              <w:widowControl/>
              <w:jc w:val="left"/>
              <w:rPr>
                <w:rFonts w:hint="eastAsia" w:eastAsia="宋体"/>
                <w:color w:val="000000"/>
                <w:kern w:val="0"/>
                <w:sz w:val="20"/>
                <w:lang w:val="en-US" w:eastAsia="zh-CN"/>
              </w:rPr>
            </w:pPr>
          </w:p>
        </w:tc>
        <w:tc>
          <w:tcPr>
            <w:tcW w:w="867" w:type="dxa"/>
            <w:noWrap w:val="0"/>
            <w:vAlign w:val="center"/>
          </w:tcPr>
          <w:p>
            <w:pPr>
              <w:widowControl/>
              <w:jc w:val="left"/>
              <w:rPr>
                <w:rFonts w:hint="eastAsia" w:eastAsia="宋体"/>
                <w:color w:val="000000"/>
                <w:kern w:val="0"/>
                <w:sz w:val="20"/>
                <w:lang w:val="en-US" w:eastAsia="zh-CN"/>
              </w:rPr>
            </w:pP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82.12</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80.00</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2.12</w:t>
            </w: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38"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616"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专项普查活动</w:t>
            </w:r>
          </w:p>
        </w:tc>
        <w:tc>
          <w:tcPr>
            <w:tcW w:w="2217" w:type="dxa"/>
            <w:gridSpan w:val="2"/>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867"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37.84</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37.84</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38"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616"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2217" w:type="dxa"/>
            <w:gridSpan w:val="2"/>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第五次全国经济普查经费</w:t>
            </w:r>
          </w:p>
        </w:tc>
        <w:tc>
          <w:tcPr>
            <w:tcW w:w="867"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珲春市统计局</w:t>
            </w: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37.84</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37.84</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38"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616"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专项统计业务</w:t>
            </w:r>
          </w:p>
        </w:tc>
        <w:tc>
          <w:tcPr>
            <w:tcW w:w="2217" w:type="dxa"/>
            <w:gridSpan w:val="2"/>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867"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21.18</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21.16</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0.02</w:t>
            </w: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8"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616"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2217" w:type="dxa"/>
            <w:gridSpan w:val="2"/>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统计调查经费</w:t>
            </w:r>
          </w:p>
        </w:tc>
        <w:tc>
          <w:tcPr>
            <w:tcW w:w="867"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珲春市统计局</w:t>
            </w: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21.18</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21.16</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0.02</w:t>
            </w: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38"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616"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统计抽样调查</w:t>
            </w:r>
          </w:p>
        </w:tc>
        <w:tc>
          <w:tcPr>
            <w:tcW w:w="2217" w:type="dxa"/>
            <w:gridSpan w:val="2"/>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867"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23.10</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21.00</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2.10</w:t>
            </w: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38"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616" w:type="dxa"/>
            <w:noWrap w:val="0"/>
            <w:vAlign w:val="center"/>
          </w:tcPr>
          <w:p>
            <w:pPr>
              <w:jc w:val="left"/>
              <w:rPr>
                <w:rFonts w:hint="eastAsia" w:ascii="Times New Roman" w:hAnsi="Times New Roman" w:eastAsia="宋体" w:cs="Times New Roman"/>
                <w:color w:val="000000"/>
                <w:kern w:val="0"/>
                <w:sz w:val="20"/>
                <w:lang w:val="en-US" w:eastAsia="zh-CN" w:bidi="ar-SA"/>
              </w:rPr>
            </w:pPr>
          </w:p>
        </w:tc>
        <w:tc>
          <w:tcPr>
            <w:tcW w:w="2217" w:type="dxa"/>
            <w:gridSpan w:val="2"/>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全省地方点城乡居民住户调查及专项调查工作经费</w:t>
            </w:r>
          </w:p>
        </w:tc>
        <w:tc>
          <w:tcPr>
            <w:tcW w:w="867" w:type="dxa"/>
            <w:noWrap w:val="0"/>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珲春市统计局</w:t>
            </w: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23.10</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21.00</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2.10</w:t>
            </w: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38"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16" w:type="dxa"/>
            <w:noWrap w:val="0"/>
            <w:vAlign w:val="center"/>
          </w:tcPr>
          <w:p>
            <w:pPr>
              <w:autoSpaceDN w:val="0"/>
              <w:jc w:val="center"/>
              <w:textAlignment w:val="center"/>
              <w:rPr>
                <w:rFonts w:ascii="Calibri" w:hAnsi="Calibri" w:eastAsia="华文细黑"/>
                <w:color w:val="000000"/>
                <w:sz w:val="20"/>
                <w:szCs w:val="22"/>
              </w:rPr>
            </w:pPr>
          </w:p>
        </w:tc>
        <w:tc>
          <w:tcPr>
            <w:tcW w:w="2217" w:type="dxa"/>
            <w:gridSpan w:val="2"/>
            <w:noWrap w:val="0"/>
            <w:vAlign w:val="center"/>
          </w:tcPr>
          <w:p>
            <w:pPr>
              <w:spacing w:line="700" w:lineRule="exact"/>
              <w:jc w:val="center"/>
              <w:rPr>
                <w:rFonts w:ascii="Calibri" w:hAnsi="Calibri" w:eastAsia="楷体"/>
                <w:kern w:val="0"/>
                <w:szCs w:val="32"/>
              </w:rPr>
            </w:pPr>
          </w:p>
        </w:tc>
        <w:tc>
          <w:tcPr>
            <w:tcW w:w="867" w:type="dxa"/>
            <w:noWrap w:val="0"/>
            <w:vAlign w:val="center"/>
          </w:tcPr>
          <w:p>
            <w:pPr>
              <w:spacing w:line="700" w:lineRule="exact"/>
              <w:jc w:val="center"/>
              <w:rPr>
                <w:rFonts w:ascii="Calibri" w:hAnsi="Calibri" w:eastAsia="楷体"/>
                <w:kern w:val="0"/>
                <w:szCs w:val="32"/>
              </w:rPr>
            </w:pPr>
          </w:p>
        </w:tc>
        <w:tc>
          <w:tcPr>
            <w:tcW w:w="733"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82.12</w:t>
            </w:r>
          </w:p>
        </w:tc>
        <w:tc>
          <w:tcPr>
            <w:tcW w:w="6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80.00</w:t>
            </w:r>
          </w:p>
        </w:tc>
        <w:tc>
          <w:tcPr>
            <w:tcW w:w="350" w:type="dxa"/>
            <w:noWrap w:val="0"/>
            <w:vAlign w:val="center"/>
          </w:tcPr>
          <w:p>
            <w:pPr>
              <w:widowControl/>
              <w:jc w:val="right"/>
              <w:rPr>
                <w:rFonts w:hint="default" w:eastAsia="宋体" w:cs="Times New Roman"/>
                <w:kern w:val="0"/>
                <w:sz w:val="20"/>
                <w:lang w:val="en-US" w:eastAsia="zh-CN"/>
              </w:rPr>
            </w:pPr>
          </w:p>
        </w:tc>
        <w:tc>
          <w:tcPr>
            <w:tcW w:w="366" w:type="dxa"/>
            <w:noWrap w:val="0"/>
            <w:vAlign w:val="center"/>
          </w:tcPr>
          <w:p>
            <w:pPr>
              <w:widowControl/>
              <w:jc w:val="right"/>
              <w:rPr>
                <w:rFonts w:hint="default" w:eastAsia="宋体" w:cs="Times New Roman"/>
                <w:kern w:val="0"/>
                <w:sz w:val="20"/>
                <w:lang w:val="en-US" w:eastAsia="zh-CN"/>
              </w:rPr>
            </w:pPr>
          </w:p>
        </w:tc>
        <w:tc>
          <w:tcPr>
            <w:tcW w:w="400" w:type="dxa"/>
            <w:noWrap w:val="0"/>
            <w:vAlign w:val="center"/>
          </w:tcPr>
          <w:p>
            <w:pPr>
              <w:widowControl/>
              <w:jc w:val="right"/>
              <w:rPr>
                <w:rFonts w:hint="default" w:eastAsia="宋体" w:cs="Times New Roman"/>
                <w:kern w:val="0"/>
                <w:sz w:val="20"/>
                <w:lang w:val="en-US" w:eastAsia="zh-CN"/>
              </w:rPr>
            </w:pPr>
          </w:p>
        </w:tc>
        <w:tc>
          <w:tcPr>
            <w:tcW w:w="367" w:type="dxa"/>
            <w:noWrap w:val="0"/>
            <w:vAlign w:val="center"/>
          </w:tcPr>
          <w:p>
            <w:pPr>
              <w:widowControl/>
              <w:jc w:val="right"/>
              <w:rPr>
                <w:rFonts w:hint="default" w:eastAsia="宋体" w:cs="Times New Roman"/>
                <w:kern w:val="0"/>
                <w:sz w:val="20"/>
                <w:lang w:val="en-US" w:eastAsia="zh-CN"/>
              </w:rPr>
            </w:pPr>
          </w:p>
        </w:tc>
        <w:tc>
          <w:tcPr>
            <w:tcW w:w="567" w:type="dxa"/>
            <w:noWrap w:val="0"/>
            <w:vAlign w:val="center"/>
          </w:tcPr>
          <w:p>
            <w:pPr>
              <w:widowControl/>
              <w:jc w:val="right"/>
              <w:rPr>
                <w:rFonts w:hint="default" w:eastAsia="宋体" w:cs="Times New Roman"/>
                <w:kern w:val="0"/>
                <w:sz w:val="20"/>
                <w:lang w:val="en-US" w:eastAsia="zh-CN"/>
              </w:rPr>
            </w:pPr>
            <w:r>
              <w:rPr>
                <w:rFonts w:hint="default" w:eastAsia="宋体" w:cs="Times New Roman"/>
                <w:kern w:val="0"/>
                <w:sz w:val="20"/>
                <w:lang w:val="en-US" w:eastAsia="zh-CN"/>
              </w:rPr>
              <w:t>2.12</w:t>
            </w:r>
          </w:p>
        </w:tc>
        <w:tc>
          <w:tcPr>
            <w:tcW w:w="433"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c>
          <w:tcPr>
            <w:tcW w:w="616" w:type="dxa"/>
            <w:noWrap w:val="0"/>
            <w:vAlign w:val="center"/>
          </w:tcPr>
          <w:p>
            <w:pPr>
              <w:spacing w:line="700" w:lineRule="exact"/>
              <w:jc w:val="center"/>
              <w:rPr>
                <w:rFonts w:ascii="Calibri" w:hAnsi="Calibri" w:eastAsia="楷体"/>
                <w:kern w:val="0"/>
                <w:szCs w:val="32"/>
              </w:rPr>
            </w:pPr>
          </w:p>
        </w:tc>
        <w:tc>
          <w:tcPr>
            <w:tcW w:w="605"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keepNext w:val="0"/>
        <w:keepLines w:val="0"/>
        <w:widowControl/>
        <w:suppressLineNumbers w:val="0"/>
        <w:jc w:val="center"/>
        <w:textAlignment w:val="center"/>
        <w:rPr>
          <w:rFonts w:hint="eastAsia" w:ascii="Calibri" w:hAnsi="Calibri" w:eastAsia="方正小标宋简体" w:cs="Times New Roman"/>
          <w:kern w:val="0"/>
          <w:sz w:val="44"/>
          <w:szCs w:val="44"/>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9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5"/>
        <w:gridCol w:w="738"/>
        <w:gridCol w:w="988"/>
        <w:gridCol w:w="1142"/>
        <w:gridCol w:w="847"/>
        <w:gridCol w:w="847"/>
        <w:gridCol w:w="847"/>
        <w:gridCol w:w="867"/>
        <w:gridCol w:w="890"/>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32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Calibri" w:hAnsi="Calibri" w:eastAsia="方正小标宋简体" w:cs="Times New Roman"/>
                <w:kern w:val="0"/>
                <w:sz w:val="44"/>
                <w:szCs w:val="44"/>
                <w:lang w:val="en-US" w:eastAsia="zh-CN"/>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单位名称</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项目名称</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年度资金总额</w:t>
            </w:r>
          </w:p>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（万元）</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年度绩效目标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一级指标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二级指标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三级指标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指标解释</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指标值</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1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珲春市</w:t>
            </w:r>
          </w:p>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统计局</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全省地方点城乡居民住户调查及专项调查工作经费</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21.00</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1、提高我市城乡住户调查各项指标数据对珲春的样本代表性</w:t>
            </w:r>
            <w:r>
              <w:rPr>
                <w:rFonts w:hint="eastAsia" w:ascii="华文细黑" w:hAnsi="华文细黑" w:eastAsia="华文细黑" w:cs="华文细黑"/>
                <w:color w:val="000000"/>
                <w:sz w:val="20"/>
                <w:szCs w:val="20"/>
                <w:lang w:val="en-US" w:eastAsia="zh-CN"/>
              </w:rPr>
              <w:br w:type="textWrapping"/>
            </w:r>
            <w:r>
              <w:rPr>
                <w:rFonts w:hint="eastAsia" w:ascii="华文细黑" w:hAnsi="华文细黑" w:eastAsia="华文细黑" w:cs="华文细黑"/>
                <w:color w:val="000000"/>
                <w:sz w:val="20"/>
                <w:szCs w:val="20"/>
                <w:lang w:val="en-US" w:eastAsia="zh-CN"/>
              </w:rPr>
              <w:t>2、提供城乡居民家庭收入与支出情况</w:t>
            </w:r>
            <w:r>
              <w:rPr>
                <w:rFonts w:hint="eastAsia" w:ascii="华文细黑" w:hAnsi="华文细黑" w:eastAsia="华文细黑" w:cs="华文细黑"/>
                <w:color w:val="000000"/>
                <w:sz w:val="20"/>
                <w:szCs w:val="20"/>
                <w:lang w:val="en-US" w:eastAsia="zh-CN"/>
              </w:rPr>
              <w:br w:type="textWrapping"/>
            </w:r>
            <w:r>
              <w:rPr>
                <w:rFonts w:hint="eastAsia" w:ascii="华文细黑" w:hAnsi="华文细黑" w:eastAsia="华文细黑" w:cs="华文细黑"/>
                <w:color w:val="000000"/>
                <w:sz w:val="20"/>
                <w:szCs w:val="20"/>
                <w:lang w:val="en-US" w:eastAsia="zh-CN"/>
              </w:rPr>
              <w:t>支出全年四个季度住户调查补贴，发放辅助调查员劳务费，支出参加各项培训会议与实地调查等差旅费，发放住户调查登记宣传品。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成本指标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经济成本指标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调查成本</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反映各项调查成本</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&lt;16万元</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2" w:hRule="atLeast"/>
          <w:jc w:val="center"/>
        </w:trPr>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产出指标</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数量指标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调查户登记补贴发放人数</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反映发放调查户登记补贴的人数情况。</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=160户</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宣传品发放次数</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反映住户调查员发放宣传品情况。</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=160户</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4" w:hRule="atLeast"/>
          <w:jc w:val="center"/>
        </w:trPr>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效益指标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社会效益指标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调查户登记补贴发放覆盖率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反映调查户登记补贴发放覆盖的情况</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=100%</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30</w:t>
            </w:r>
          </w:p>
        </w:tc>
      </w:tr>
    </w:tbl>
    <w:p>
      <w:pPr>
        <w:spacing w:line="240" w:lineRule="auto"/>
        <w:jc w:val="center"/>
        <w:rPr>
          <w:rFonts w:hint="eastAsia" w:ascii="华文细黑" w:hAnsi="华文细黑" w:eastAsia="华文细黑" w:cs="华文细黑"/>
          <w:color w:val="000000"/>
          <w:sz w:val="20"/>
          <w:szCs w:val="20"/>
          <w:lang w:eastAsia="zh-CN"/>
        </w:rPr>
        <w:sectPr>
          <w:pgSz w:w="11907" w:h="16840"/>
          <w:pgMar w:top="2041" w:right="1587" w:bottom="2041" w:left="1587" w:header="851" w:footer="1587" w:gutter="0"/>
          <w:pgBorders>
            <w:top w:val="none" w:sz="0" w:space="0"/>
            <w:left w:val="none" w:sz="0" w:space="0"/>
            <w:bottom w:val="none" w:sz="0" w:space="0"/>
            <w:right w:val="none" w:sz="0" w:space="0"/>
          </w:pgBorders>
          <w:pgNumType w:fmt="numberInDash"/>
          <w:cols w:space="0" w:num="1"/>
          <w:titlePg/>
          <w:rtlGutter w:val="0"/>
          <w:docGrid w:type="lines" w:linePitch="574" w:charSpace="0"/>
        </w:sectPr>
      </w:pPr>
    </w:p>
    <w:tbl>
      <w:tblPr>
        <w:tblStyle w:val="9"/>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2"/>
        <w:gridCol w:w="700"/>
        <w:gridCol w:w="917"/>
        <w:gridCol w:w="1783"/>
        <w:gridCol w:w="650"/>
        <w:gridCol w:w="700"/>
        <w:gridCol w:w="940"/>
        <w:gridCol w:w="1177"/>
        <w:gridCol w:w="933"/>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Calibri" w:hAnsi="Calibri" w:eastAsia="方正小标宋简体" w:cs="Times New Roman"/>
                <w:kern w:val="0"/>
                <w:sz w:val="44"/>
                <w:szCs w:val="44"/>
                <w:lang w:val="en-US" w:eastAsia="zh-CN"/>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单位名称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项目名称</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年度资金总额（万元）</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年度绩效目标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一级指标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二级指标</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三级指标</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指标解释</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指标值</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珲春市</w:t>
            </w:r>
          </w:p>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统计局</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统计调查经费</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21.16</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2024年为突出稳增长、调结构、促改革、惠民生等重点任务做好统计服务。做好国民经济核算统计、基本单位统计、规模以上工业统计、建筑业统计、运输邮电统计、批发和零售业统计、住宿和餐饮业统计、对外经济贸易和旅游综合统计、固定资产投资统计、房地产开发统计、能源统计、劳动力调查统计、环境综合统计和社会综合统计等业务工作。通过支出差旅费参加省州培训以及到企业实地调查；支出其他商品和服务支出向企业等发放宣传品；支出办公费保障工作运行；支出劳务费雇佣调查员开展统计辅助调查；支出印刷费印制各种报表等相关统计资料达到做好统计服务的目的。</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成本指标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经济成本指标</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统计年鉴印刷成本费用</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编印2024年度统计年鉴每本印刷成本费用</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&lt;500元/册</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发放劳务费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雇佣调查员开展统计辅助调查</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≤4.44万元</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产出指标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数量指标</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编印统计公报</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编制并印发上一年度统计公报，为市委市政府决策提供依据。</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发布统计数据次数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发布统计月报次数。</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统计年鉴编印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编印2024年度统计年鉴</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时效指标</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年鉴出版时间</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反应年鉴出版完成时间</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12月底前</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效益指标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社会效益指标</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调查分析报告数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发布调查分析报告数量</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≥6篇</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向社会公众提供统计公报</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向社会公众提供统计公报次数</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≥5次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15</w:t>
            </w:r>
          </w:p>
        </w:tc>
      </w:tr>
    </w:tbl>
    <w:p>
      <w:pPr>
        <w:ind w:firstLine="640" w:firstLineChars="200"/>
        <w:jc w:val="center"/>
        <w:rPr>
          <w:rFonts w:eastAsia="黑体"/>
        </w:rPr>
      </w:pPr>
    </w:p>
    <w:p>
      <w:pPr>
        <w:ind w:firstLine="640" w:firstLineChars="200"/>
        <w:jc w:val="center"/>
        <w:rPr>
          <w:rFonts w:eastAsia="黑体"/>
        </w:rPr>
      </w:pPr>
    </w:p>
    <w:tbl>
      <w:tblPr>
        <w:tblStyle w:val="9"/>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3"/>
        <w:gridCol w:w="885"/>
        <w:gridCol w:w="917"/>
        <w:gridCol w:w="907"/>
        <w:gridCol w:w="886"/>
        <w:gridCol w:w="886"/>
        <w:gridCol w:w="907"/>
        <w:gridCol w:w="907"/>
        <w:gridCol w:w="938"/>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42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Calibri" w:hAnsi="Calibri" w:eastAsia="方正小标宋简体" w:cs="Times New Roman"/>
                <w:kern w:val="0"/>
                <w:sz w:val="44"/>
                <w:szCs w:val="44"/>
                <w:lang w:val="en-US" w:eastAsia="zh-CN"/>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jc w:val="center"/>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单位名称</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项目名称</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年度资金总额（万元）</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年度绩效目标</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一级指标</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二级指标</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三级指标</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指标解释</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指标值</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珲春市</w:t>
            </w:r>
          </w:p>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统计局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第五次全国经济普查经费</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37.84</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通过按时足量发放两员补贴，支出通讯补助做好第五次全国经济普查后勤保障工作，确保第五次全国经济普查顺利开展。</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成本指标</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经济成本指标</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发放劳务费人均成本</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反映发放劳务费人均费用。</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≤1000元</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发放劳务费</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向第五次全国经济普查“两员”发放劳务费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=36.40万元</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产出指标</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数量指标</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普查员、普查指导员补贴发放人数</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反映普查员、普查指导员补贴发放人数。</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&gt;400人</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时效指标</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劳务费发放及时性</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反映劳务费发放及时性情况</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7月底前</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效益指标</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社会效益指标</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普查员、普查指导员补贴发放覆盖率</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反映普查员、普查指导员补贴发放覆盖率情况。</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30</w:t>
            </w:r>
          </w:p>
        </w:tc>
      </w:tr>
    </w:tbl>
    <w:p>
      <w:pPr>
        <w:spacing w:line="240" w:lineRule="auto"/>
        <w:jc w:val="center"/>
        <w:rPr>
          <w:rFonts w:hint="eastAsia" w:ascii="华文细黑" w:hAnsi="华文细黑" w:eastAsia="华文细黑" w:cs="华文细黑"/>
          <w:color w:val="000000"/>
          <w:sz w:val="20"/>
          <w:szCs w:val="20"/>
          <w:lang w:val="en-US" w:eastAsia="zh-CN"/>
        </w:rPr>
      </w:pPr>
    </w:p>
    <w:p>
      <w:pPr>
        <w:ind w:firstLine="640" w:firstLineChars="200"/>
        <w:jc w:val="center"/>
        <w:rPr>
          <w:rFonts w:eastAsia="黑体"/>
        </w:rPr>
      </w:pPr>
    </w:p>
    <w:p>
      <w:pPr>
        <w:ind w:firstLine="640" w:firstLineChars="200"/>
        <w:jc w:val="center"/>
        <w:rPr>
          <w:rFonts w:eastAsia="黑体"/>
        </w:rPr>
      </w:pPr>
      <w:bookmarkStart w:id="0" w:name="_GoBack"/>
      <w:r>
        <w:rPr>
          <w:rFonts w:eastAsia="黑体"/>
        </w:rPr>
        <w:t>第三部分 情况说明</w:t>
      </w:r>
    </w:p>
    <w:bookmarkEnd w:id="0"/>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rFonts w:hint="eastAsia"/>
          <w:szCs w:val="32"/>
          <w:lang w:eastAsia="zh-CN"/>
        </w:rPr>
        <w:t>、</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335.39</w:t>
      </w:r>
      <w:r>
        <w:rPr>
          <w:szCs w:val="32"/>
        </w:rPr>
        <w:t>万元</w:t>
      </w:r>
      <w:r>
        <w:rPr>
          <w:rFonts w:hint="eastAsia"/>
          <w:szCs w:val="32"/>
          <w:lang w:eastAsia="zh-CN"/>
        </w:rPr>
        <w:t>，其中：本年预算</w:t>
      </w:r>
      <w:r>
        <w:rPr>
          <w:rFonts w:hint="eastAsia"/>
          <w:szCs w:val="32"/>
          <w:lang w:val="en-US" w:eastAsia="zh-CN"/>
        </w:rPr>
        <w:t>308</w:t>
      </w:r>
      <w:r>
        <w:rPr>
          <w:rFonts w:hint="eastAsia"/>
          <w:szCs w:val="32"/>
          <w:lang w:eastAsia="zh-CN"/>
        </w:rPr>
        <w:t>万元；上年结转</w:t>
      </w:r>
      <w:r>
        <w:rPr>
          <w:rFonts w:hint="eastAsia"/>
          <w:szCs w:val="32"/>
          <w:lang w:val="en-US" w:eastAsia="zh-CN"/>
        </w:rPr>
        <w:t>27.39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51.02</w:t>
      </w:r>
      <w:r>
        <w:rPr>
          <w:szCs w:val="32"/>
        </w:rPr>
        <w:t>万元，主要原因是</w:t>
      </w:r>
      <w:r>
        <w:rPr>
          <w:rFonts w:hint="eastAsia"/>
          <w:szCs w:val="32"/>
          <w:lang w:eastAsia="zh-CN"/>
        </w:rPr>
        <w:t>当年预算中增加了第五次全国经济普查经费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335.39</w:t>
      </w:r>
      <w:r>
        <w:rPr>
          <w:szCs w:val="32"/>
        </w:rPr>
        <w:t>万元，其中：本年收入</w:t>
      </w:r>
      <w:r>
        <w:rPr>
          <w:rFonts w:hint="eastAsia"/>
          <w:szCs w:val="32"/>
          <w:lang w:val="en-US" w:eastAsia="zh-CN"/>
        </w:rPr>
        <w:t>308.00</w:t>
      </w:r>
      <w:r>
        <w:rPr>
          <w:szCs w:val="32"/>
        </w:rPr>
        <w:t>万元，占</w:t>
      </w:r>
      <w:r>
        <w:rPr>
          <w:rFonts w:hint="eastAsia"/>
          <w:szCs w:val="32"/>
          <w:lang w:val="en-US" w:eastAsia="zh-CN"/>
        </w:rPr>
        <w:t>91.83</w:t>
      </w:r>
      <w:r>
        <w:rPr>
          <w:szCs w:val="32"/>
        </w:rPr>
        <w:t>%；上年结转</w:t>
      </w:r>
      <w:r>
        <w:rPr>
          <w:rFonts w:hint="eastAsia"/>
          <w:szCs w:val="32"/>
          <w:lang w:eastAsia="zh-CN"/>
        </w:rPr>
        <w:t>结余</w:t>
      </w:r>
      <w:r>
        <w:rPr>
          <w:rFonts w:hint="eastAsia"/>
          <w:szCs w:val="32"/>
          <w:lang w:val="en-US" w:eastAsia="zh-CN"/>
        </w:rPr>
        <w:t>27.39</w:t>
      </w:r>
      <w:r>
        <w:rPr>
          <w:szCs w:val="32"/>
        </w:rPr>
        <w:t>万元，占</w:t>
      </w:r>
      <w:r>
        <w:rPr>
          <w:rFonts w:hint="eastAsia"/>
          <w:szCs w:val="32"/>
          <w:lang w:val="en-US" w:eastAsia="zh-CN"/>
        </w:rPr>
        <w:t>8.17</w:t>
      </w:r>
      <w:r>
        <w:rPr>
          <w:szCs w:val="32"/>
        </w:rPr>
        <w:t>%。本年收入中，一般公共预算拨款收入</w:t>
      </w:r>
      <w:r>
        <w:rPr>
          <w:rFonts w:hint="eastAsia"/>
          <w:szCs w:val="32"/>
          <w:lang w:val="en-US" w:eastAsia="zh-CN"/>
        </w:rPr>
        <w:t>335.39</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27.39</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335.39</w:t>
      </w:r>
      <w:r>
        <w:rPr>
          <w:szCs w:val="32"/>
        </w:rPr>
        <w:t>万元，其中：基本支出</w:t>
      </w:r>
      <w:r>
        <w:rPr>
          <w:rFonts w:hint="eastAsia"/>
          <w:szCs w:val="32"/>
          <w:lang w:val="en-US" w:eastAsia="zh-CN"/>
        </w:rPr>
        <w:t>253.27</w:t>
      </w:r>
      <w:r>
        <w:rPr>
          <w:szCs w:val="32"/>
        </w:rPr>
        <w:t>万元，占</w:t>
      </w:r>
      <w:r>
        <w:rPr>
          <w:rFonts w:hint="eastAsia"/>
          <w:szCs w:val="32"/>
          <w:lang w:val="en-US" w:eastAsia="zh-CN"/>
        </w:rPr>
        <w:t>75.52</w:t>
      </w:r>
      <w:r>
        <w:rPr>
          <w:szCs w:val="32"/>
        </w:rPr>
        <w:t>%；项目支出</w:t>
      </w:r>
      <w:r>
        <w:rPr>
          <w:rFonts w:hint="eastAsia"/>
          <w:szCs w:val="32"/>
          <w:lang w:val="en-US" w:eastAsia="zh-CN"/>
        </w:rPr>
        <w:t>82.12</w:t>
      </w:r>
      <w:r>
        <w:rPr>
          <w:szCs w:val="32"/>
        </w:rPr>
        <w:t>万元，占</w:t>
      </w:r>
      <w:r>
        <w:rPr>
          <w:rFonts w:hint="eastAsia"/>
          <w:szCs w:val="32"/>
          <w:lang w:val="en-US" w:eastAsia="zh-CN"/>
        </w:rPr>
        <w:t>24.48</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335.39</w:t>
      </w:r>
      <w:r>
        <w:rPr>
          <w:szCs w:val="32"/>
        </w:rPr>
        <w:t>万元，其中：</w:t>
      </w:r>
      <w:r>
        <w:rPr>
          <w:rFonts w:hint="eastAsia"/>
          <w:szCs w:val="32"/>
        </w:rPr>
        <w:t>本年</w:t>
      </w:r>
      <w:r>
        <w:rPr>
          <w:rFonts w:hint="eastAsia"/>
          <w:szCs w:val="32"/>
          <w:lang w:eastAsia="zh-CN"/>
        </w:rPr>
        <w:t>预算</w:t>
      </w:r>
      <w:r>
        <w:rPr>
          <w:rFonts w:hint="eastAsia"/>
          <w:szCs w:val="32"/>
          <w:lang w:val="en-US" w:eastAsia="zh-CN"/>
        </w:rPr>
        <w:t>308.00</w:t>
      </w:r>
      <w:r>
        <w:rPr>
          <w:szCs w:val="32"/>
        </w:rPr>
        <w:t>万元</w:t>
      </w:r>
      <w:r>
        <w:rPr>
          <w:rFonts w:hint="eastAsia"/>
          <w:szCs w:val="32"/>
        </w:rPr>
        <w:t>，上年结转</w:t>
      </w:r>
      <w:r>
        <w:rPr>
          <w:rFonts w:hint="eastAsia"/>
          <w:szCs w:val="32"/>
          <w:lang w:val="en-US" w:eastAsia="zh-CN"/>
        </w:rPr>
        <w:t>27.39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268.51</w:t>
      </w:r>
      <w:r>
        <w:rPr>
          <w:szCs w:val="32"/>
        </w:rPr>
        <w:t>万元，</w:t>
      </w:r>
      <w:r>
        <w:rPr>
          <w:kern w:val="0"/>
          <w:szCs w:val="32"/>
        </w:rPr>
        <w:t>社会保障和就业支出</w:t>
      </w:r>
      <w:r>
        <w:rPr>
          <w:rFonts w:hint="eastAsia"/>
          <w:szCs w:val="32"/>
          <w:lang w:val="en-US" w:eastAsia="zh-CN"/>
        </w:rPr>
        <w:t>39.96</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7.86</w:t>
      </w:r>
      <w:r>
        <w:rPr>
          <w:szCs w:val="32"/>
        </w:rPr>
        <w:t>万元，</w:t>
      </w:r>
      <w:r>
        <w:rPr>
          <w:kern w:val="0"/>
          <w:szCs w:val="32"/>
        </w:rPr>
        <w:t>住房保障支出</w:t>
      </w:r>
      <w:r>
        <w:rPr>
          <w:rFonts w:hint="eastAsia"/>
          <w:szCs w:val="32"/>
          <w:lang w:val="en-US" w:eastAsia="zh-CN"/>
        </w:rPr>
        <w:t>19.06</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335.39</w:t>
      </w:r>
      <w:r>
        <w:rPr>
          <w:szCs w:val="32"/>
        </w:rPr>
        <w:t>万元，其中：基本支出</w:t>
      </w:r>
      <w:r>
        <w:rPr>
          <w:rFonts w:hint="eastAsia"/>
          <w:szCs w:val="32"/>
          <w:lang w:val="en-US" w:eastAsia="zh-CN"/>
        </w:rPr>
        <w:t>253.27</w:t>
      </w:r>
      <w:r>
        <w:rPr>
          <w:szCs w:val="32"/>
        </w:rPr>
        <w:t>万元，占</w:t>
      </w:r>
      <w:r>
        <w:rPr>
          <w:rFonts w:hint="eastAsia"/>
          <w:szCs w:val="32"/>
          <w:lang w:val="en-US" w:eastAsia="zh-CN"/>
        </w:rPr>
        <w:t>75.52</w:t>
      </w:r>
      <w:r>
        <w:rPr>
          <w:szCs w:val="32"/>
        </w:rPr>
        <w:t>%；项目支出</w:t>
      </w:r>
      <w:r>
        <w:rPr>
          <w:rFonts w:hint="eastAsia"/>
          <w:szCs w:val="32"/>
          <w:lang w:val="en-US" w:eastAsia="zh-CN"/>
        </w:rPr>
        <w:t>82.12</w:t>
      </w:r>
      <w:r>
        <w:rPr>
          <w:szCs w:val="32"/>
        </w:rPr>
        <w:t>万元，占</w:t>
      </w:r>
      <w:r>
        <w:rPr>
          <w:rFonts w:hint="eastAsia"/>
          <w:szCs w:val="32"/>
          <w:lang w:val="en-US" w:eastAsia="zh-CN"/>
        </w:rPr>
        <w:t>24.48</w:t>
      </w:r>
      <w:r>
        <w:rPr>
          <w:szCs w:val="32"/>
        </w:rPr>
        <w:t>%。基本支出中，人员经费</w:t>
      </w:r>
      <w:r>
        <w:rPr>
          <w:rFonts w:hint="eastAsia"/>
          <w:szCs w:val="32"/>
          <w:lang w:val="en-US" w:eastAsia="zh-CN"/>
        </w:rPr>
        <w:t>214.66</w:t>
      </w:r>
      <w:r>
        <w:rPr>
          <w:szCs w:val="32"/>
        </w:rPr>
        <w:t>万元，占</w:t>
      </w:r>
      <w:r>
        <w:rPr>
          <w:rFonts w:hint="eastAsia"/>
          <w:szCs w:val="32"/>
          <w:lang w:val="en-US" w:eastAsia="zh-CN"/>
        </w:rPr>
        <w:t>84.76</w:t>
      </w:r>
      <w:r>
        <w:rPr>
          <w:szCs w:val="32"/>
        </w:rPr>
        <w:t>%；公用经费</w:t>
      </w:r>
      <w:r>
        <w:rPr>
          <w:rFonts w:hint="eastAsia"/>
          <w:szCs w:val="32"/>
          <w:lang w:val="en-US" w:eastAsia="zh-CN"/>
        </w:rPr>
        <w:t>38.61</w:t>
      </w:r>
      <w:r>
        <w:rPr>
          <w:szCs w:val="32"/>
        </w:rPr>
        <w:t>万元，占</w:t>
      </w:r>
      <w:r>
        <w:rPr>
          <w:rFonts w:hint="eastAsia"/>
          <w:szCs w:val="32"/>
          <w:lang w:val="en-US" w:eastAsia="zh-CN"/>
        </w:rPr>
        <w:t>15.24</w:t>
      </w:r>
      <w:r>
        <w:rPr>
          <w:szCs w:val="32"/>
        </w:rPr>
        <w:t>%。</w:t>
      </w:r>
    </w:p>
    <w:p>
      <w:pPr>
        <w:spacing w:line="520" w:lineRule="exact"/>
        <w:ind w:left="0" w:leftChars="0" w:firstLine="620" w:firstLineChars="0"/>
        <w:rPr>
          <w:szCs w:val="32"/>
        </w:rPr>
      </w:pPr>
      <w:r>
        <w:rPr>
          <w:szCs w:val="32"/>
        </w:rPr>
        <w:t>一般公共服务（类）支出</w:t>
      </w:r>
      <w:r>
        <w:rPr>
          <w:rFonts w:hint="eastAsia"/>
          <w:szCs w:val="32"/>
          <w:lang w:val="en-US" w:eastAsia="zh-CN"/>
        </w:rPr>
        <w:t>268.51</w:t>
      </w:r>
      <w:r>
        <w:rPr>
          <w:szCs w:val="32"/>
        </w:rPr>
        <w:t>万元，占</w:t>
      </w:r>
      <w:r>
        <w:rPr>
          <w:rFonts w:hint="eastAsia"/>
          <w:szCs w:val="32"/>
          <w:lang w:val="en-US" w:eastAsia="zh-CN"/>
        </w:rPr>
        <w:t>80.06</w:t>
      </w:r>
      <w:r>
        <w:rPr>
          <w:szCs w:val="32"/>
        </w:rPr>
        <w:t>%，主要用于</w:t>
      </w:r>
      <w:r>
        <w:rPr>
          <w:rFonts w:hint="eastAsia"/>
          <w:szCs w:val="32"/>
          <w:lang w:eastAsia="zh-CN"/>
        </w:rPr>
        <w:t>保障职工工资，维持机关正常运转以及完成年度统计工作任务</w:t>
      </w:r>
      <w:r>
        <w:rPr>
          <w:szCs w:val="32"/>
        </w:rPr>
        <w:t>。</w:t>
      </w:r>
    </w:p>
    <w:p>
      <w:pPr>
        <w:spacing w:line="520" w:lineRule="exact"/>
        <w:ind w:left="0" w:leftChars="0" w:firstLine="620" w:firstLineChars="0"/>
        <w:rPr>
          <w:szCs w:val="32"/>
        </w:rPr>
      </w:pPr>
      <w:r>
        <w:rPr>
          <w:szCs w:val="32"/>
        </w:rPr>
        <w:t>社会保障和就业（类）支出</w:t>
      </w:r>
      <w:r>
        <w:rPr>
          <w:rFonts w:hint="eastAsia"/>
          <w:szCs w:val="32"/>
          <w:lang w:val="en-US" w:eastAsia="zh-CN"/>
        </w:rPr>
        <w:t>39.96</w:t>
      </w:r>
      <w:r>
        <w:rPr>
          <w:szCs w:val="32"/>
        </w:rPr>
        <w:t>万元，占</w:t>
      </w:r>
      <w:r>
        <w:rPr>
          <w:rFonts w:hint="eastAsia"/>
          <w:szCs w:val="32"/>
          <w:lang w:val="en-US" w:eastAsia="zh-CN"/>
        </w:rPr>
        <w:t>11.92</w:t>
      </w:r>
      <w:r>
        <w:rPr>
          <w:szCs w:val="32"/>
        </w:rPr>
        <w:t>%，主要用于</w:t>
      </w:r>
      <w:r>
        <w:rPr>
          <w:rFonts w:hint="eastAsia"/>
          <w:szCs w:val="32"/>
          <w:lang w:eastAsia="zh-CN"/>
        </w:rPr>
        <w:t>保障机关事业单位基本养老保险缴费支出以及离退休人员增补贴支出</w:t>
      </w:r>
      <w:r>
        <w:rPr>
          <w:szCs w:val="32"/>
        </w:rPr>
        <w:t>。</w:t>
      </w:r>
    </w:p>
    <w:p>
      <w:pPr>
        <w:spacing w:line="520" w:lineRule="exact"/>
        <w:ind w:left="0" w:leftChars="0" w:firstLine="620" w:firstLineChars="0"/>
        <w:rPr>
          <w:szCs w:val="32"/>
        </w:rPr>
      </w:pPr>
      <w:r>
        <w:rPr>
          <w:rFonts w:hint="eastAsia"/>
          <w:szCs w:val="32"/>
        </w:rPr>
        <w:t>卫生健康</w:t>
      </w:r>
      <w:r>
        <w:rPr>
          <w:szCs w:val="32"/>
        </w:rPr>
        <w:t>（类）支出</w:t>
      </w:r>
      <w:r>
        <w:rPr>
          <w:rFonts w:hint="eastAsia"/>
          <w:szCs w:val="32"/>
          <w:lang w:val="en-US" w:eastAsia="zh-CN"/>
        </w:rPr>
        <w:t>7.86</w:t>
      </w:r>
      <w:r>
        <w:rPr>
          <w:szCs w:val="32"/>
        </w:rPr>
        <w:t>万元，占</w:t>
      </w:r>
      <w:r>
        <w:rPr>
          <w:rFonts w:hint="eastAsia"/>
          <w:szCs w:val="32"/>
          <w:lang w:val="en-US" w:eastAsia="zh-CN"/>
        </w:rPr>
        <w:t>2.34</w:t>
      </w:r>
      <w:r>
        <w:rPr>
          <w:szCs w:val="32"/>
        </w:rPr>
        <w:t>%，主要用于</w:t>
      </w:r>
      <w:r>
        <w:rPr>
          <w:rFonts w:hint="eastAsia"/>
          <w:szCs w:val="32"/>
          <w:lang w:eastAsia="zh-CN"/>
        </w:rPr>
        <w:t>缴纳职工医疗保险</w:t>
      </w:r>
      <w:r>
        <w:rPr>
          <w:szCs w:val="32"/>
        </w:rPr>
        <w:t>。</w:t>
      </w:r>
    </w:p>
    <w:p>
      <w:pPr>
        <w:spacing w:line="520" w:lineRule="exact"/>
        <w:ind w:left="0" w:leftChars="0" w:firstLine="620" w:firstLineChars="0"/>
        <w:rPr>
          <w:rFonts w:hint="eastAsia"/>
          <w:szCs w:val="32"/>
        </w:rPr>
      </w:pPr>
      <w:r>
        <w:rPr>
          <w:szCs w:val="32"/>
        </w:rPr>
        <w:t>住房保障（类）支出</w:t>
      </w:r>
      <w:r>
        <w:rPr>
          <w:rFonts w:hint="eastAsia"/>
          <w:szCs w:val="32"/>
          <w:lang w:val="en-US" w:eastAsia="zh-CN"/>
        </w:rPr>
        <w:t>19.06</w:t>
      </w:r>
      <w:r>
        <w:rPr>
          <w:szCs w:val="32"/>
        </w:rPr>
        <w:t>万元，占</w:t>
      </w:r>
      <w:r>
        <w:rPr>
          <w:rFonts w:hint="eastAsia"/>
          <w:szCs w:val="32"/>
          <w:lang w:val="en-US" w:eastAsia="zh-CN"/>
        </w:rPr>
        <w:t>5.68</w:t>
      </w:r>
      <w:r>
        <w:rPr>
          <w:szCs w:val="32"/>
        </w:rPr>
        <w:t>%，主要用于</w:t>
      </w:r>
      <w:r>
        <w:rPr>
          <w:rFonts w:hint="eastAsia"/>
          <w:szCs w:val="32"/>
          <w:lang w:eastAsia="zh-CN"/>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335.39</w:t>
      </w:r>
      <w:r>
        <w:rPr>
          <w:szCs w:val="32"/>
        </w:rPr>
        <w:t>万元，其中：</w:t>
      </w:r>
    </w:p>
    <w:p>
      <w:pPr>
        <w:ind w:firstLine="640" w:firstLineChars="200"/>
        <w:rPr>
          <w:kern w:val="0"/>
          <w:szCs w:val="32"/>
        </w:rPr>
      </w:pPr>
      <w:r>
        <w:rPr>
          <w:szCs w:val="32"/>
        </w:rPr>
        <w:t>人员经费</w:t>
      </w:r>
      <w:r>
        <w:rPr>
          <w:rFonts w:hint="eastAsia"/>
          <w:szCs w:val="32"/>
          <w:lang w:val="en-US" w:eastAsia="zh-CN"/>
        </w:rPr>
        <w:t>214.66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rPr>
        <w:t>机关事业单位基本养老保险缴费</w:t>
      </w:r>
      <w:r>
        <w:rPr>
          <w:rFonts w:hint="eastAsia"/>
          <w:kern w:val="0"/>
          <w:szCs w:val="32"/>
          <w:lang w:eastAsia="zh-CN"/>
        </w:rPr>
        <w:t>、职工基本医疗保险缴费、其他社会保障缴费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kern w:val="0"/>
          <w:szCs w:val="32"/>
          <w:lang w:eastAsia="zh-CN"/>
        </w:rPr>
        <w:t>、</w:t>
      </w:r>
      <w:r>
        <w:rPr>
          <w:kern w:val="0"/>
          <w:szCs w:val="32"/>
        </w:rPr>
        <w:t>退休费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38.61</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0.2</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0.17</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0.2</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0.17</w:t>
      </w:r>
      <w:r>
        <w:rPr>
          <w:szCs w:val="32"/>
        </w:rPr>
        <w:t>万元，主要原因是</w:t>
      </w:r>
      <w:r>
        <w:rPr>
          <w:rFonts w:hint="eastAsia"/>
          <w:szCs w:val="32"/>
          <w:lang w:eastAsia="zh-CN"/>
        </w:rPr>
        <w:t>严格控制公务接待费用支出，结合</w:t>
      </w:r>
      <w:r>
        <w:rPr>
          <w:rFonts w:hint="eastAsia"/>
          <w:szCs w:val="32"/>
          <w:lang w:val="en-US" w:eastAsia="zh-CN"/>
        </w:rPr>
        <w:t>2023年</w:t>
      </w:r>
      <w:r>
        <w:rPr>
          <w:rFonts w:hint="eastAsia"/>
          <w:szCs w:val="32"/>
          <w:lang w:eastAsia="zh-CN"/>
        </w:rPr>
        <w:t>当年</w:t>
      </w:r>
      <w:r>
        <w:rPr>
          <w:rFonts w:hint="eastAsia"/>
          <w:szCs w:val="32"/>
          <w:lang w:val="en-US" w:eastAsia="zh-CN"/>
        </w:rPr>
        <w:t>实际支出，对2024年本年公务接待费调减预算</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hint="eastAsia"/>
          <w:szCs w:val="32"/>
          <w:lang w:eastAsia="zh-CN"/>
        </w:rPr>
      </w:pPr>
      <w:r>
        <w:rPr>
          <w:rFonts w:hint="eastAsia"/>
          <w:szCs w:val="32"/>
          <w:lang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hint="eastAsia"/>
          <w:szCs w:val="32"/>
          <w:lang w:eastAsia="zh-CN"/>
        </w:rPr>
      </w:pPr>
      <w:r>
        <w:rPr>
          <w:rFonts w:hint="eastAsia"/>
          <w:szCs w:val="32"/>
          <w:lang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38.61</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3.06</w:t>
      </w:r>
      <w:r>
        <w:rPr>
          <w:szCs w:val="32"/>
        </w:rPr>
        <w:t>万元，下降</w:t>
      </w:r>
      <w:r>
        <w:rPr>
          <w:rFonts w:hint="eastAsia"/>
          <w:szCs w:val="32"/>
          <w:lang w:val="en-US" w:eastAsia="zh-CN"/>
        </w:rPr>
        <w:t>7.34</w:t>
      </w:r>
      <w:r>
        <w:rPr>
          <w:szCs w:val="32"/>
        </w:rPr>
        <w:t>%</w:t>
      </w:r>
      <w:r>
        <w:rPr>
          <w:rFonts w:hint="eastAsia"/>
          <w:szCs w:val="32"/>
        </w:rPr>
        <w:t>，主要原因是</w:t>
      </w:r>
      <w:r>
        <w:rPr>
          <w:rFonts w:hint="eastAsia"/>
          <w:szCs w:val="32"/>
          <w:lang w:val="en-US" w:eastAsia="zh-CN"/>
        </w:rPr>
        <w:t>2023年度退休2人，本年相应机关运行经费减少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lang w:eastAsia="zh-CN"/>
        </w:rPr>
      </w:pPr>
      <w:r>
        <w:rPr>
          <w:rFonts w:hint="eastAsia"/>
          <w:szCs w:val="32"/>
          <w:lang w:eastAsia="zh-CN"/>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lang w:eastAsia="zh-CN"/>
        </w:rPr>
      </w:pPr>
      <w:r>
        <w:rPr>
          <w:rFonts w:hint="eastAsia"/>
          <w:szCs w:val="32"/>
          <w:lang w:eastAsia="zh-CN"/>
        </w:rPr>
        <w:t>本单位无国有资产。</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本单位</w:t>
      </w:r>
      <w:r>
        <w:t>项目支出</w:t>
      </w:r>
      <w:r>
        <w:rPr>
          <w:rFonts w:hint="eastAsia"/>
          <w:szCs w:val="32"/>
          <w:lang w:val="en-US" w:eastAsia="zh-CN"/>
        </w:rPr>
        <w:t>82.12</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80</w:t>
      </w:r>
      <w:r>
        <w:rPr>
          <w:szCs w:val="32"/>
        </w:rPr>
        <w:t>万元，</w:t>
      </w:r>
      <w:r>
        <w:rPr>
          <w:rFonts w:hint="eastAsia"/>
          <w:szCs w:val="32"/>
        </w:rPr>
        <w:t>财政拨款结转</w:t>
      </w:r>
      <w:r>
        <w:rPr>
          <w:rFonts w:hint="eastAsia"/>
          <w:szCs w:val="32"/>
          <w:lang w:val="en-US" w:eastAsia="zh-CN"/>
        </w:rPr>
        <w:t>2.12</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82.12</w:t>
      </w:r>
      <w:r>
        <w:rPr>
          <w:rFonts w:hint="eastAsia" w:ascii="宋体" w:hAnsi="宋体"/>
        </w:rPr>
        <w:t>万元。</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7E7DB2"/>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1E1B8C"/>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201F1F"/>
    <w:rsid w:val="259B5BC5"/>
    <w:rsid w:val="25F62C4E"/>
    <w:rsid w:val="26643D6C"/>
    <w:rsid w:val="26FE109D"/>
    <w:rsid w:val="27073E1E"/>
    <w:rsid w:val="27B04AB3"/>
    <w:rsid w:val="282C3BA1"/>
    <w:rsid w:val="28A63332"/>
    <w:rsid w:val="28C96E8E"/>
    <w:rsid w:val="294A4ACD"/>
    <w:rsid w:val="29C45F24"/>
    <w:rsid w:val="2B4A3852"/>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3DA004D"/>
    <w:rsid w:val="34555AF5"/>
    <w:rsid w:val="34F85393"/>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5F607F5"/>
    <w:rsid w:val="569B7F91"/>
    <w:rsid w:val="56D21BED"/>
    <w:rsid w:val="572651B2"/>
    <w:rsid w:val="57AE5C26"/>
    <w:rsid w:val="57DD75A9"/>
    <w:rsid w:val="5801059F"/>
    <w:rsid w:val="58256ABD"/>
    <w:rsid w:val="582662AC"/>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AE82164"/>
    <w:rsid w:val="6B11024D"/>
    <w:rsid w:val="6B7D5B36"/>
    <w:rsid w:val="6C834DAA"/>
    <w:rsid w:val="6C993CCE"/>
    <w:rsid w:val="6CF120A8"/>
    <w:rsid w:val="6D72413D"/>
    <w:rsid w:val="6FF50B81"/>
    <w:rsid w:val="70330B9C"/>
    <w:rsid w:val="714213DD"/>
    <w:rsid w:val="717F272E"/>
    <w:rsid w:val="71CC464D"/>
    <w:rsid w:val="72783A23"/>
    <w:rsid w:val="728027C6"/>
    <w:rsid w:val="73D62FA6"/>
    <w:rsid w:val="73FE7ACC"/>
    <w:rsid w:val="74556746"/>
    <w:rsid w:val="74743258"/>
    <w:rsid w:val="761B13C4"/>
    <w:rsid w:val="764B6A8A"/>
    <w:rsid w:val="76C17E06"/>
    <w:rsid w:val="76CA67BD"/>
    <w:rsid w:val="774242F3"/>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autoRedefine/>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autoRedefine/>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6311</Words>
  <Characters>7728</Characters>
  <Lines>71</Lines>
  <Paragraphs>20</Paragraphs>
  <TotalTime>23</TotalTime>
  <ScaleCrop>false</ScaleCrop>
  <LinksUpToDate>false</LinksUpToDate>
  <CharactersWithSpaces>8466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大尾巴</cp:lastModifiedBy>
  <cp:lastPrinted>2024-01-23T03:39:00Z</cp:lastPrinted>
  <dcterms:modified xsi:type="dcterms:W3CDTF">2024-02-26T01:47:30Z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B7D73725F941476BA83723EC9DD341F6_13</vt:lpwstr>
  </property>
</Properties>
</file>