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val="en-US" w:eastAsia="zh-CN"/>
        </w:rPr>
        <w:t>和龙市统计局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楷体_GB2312"/>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eastAsia="楷体_GB2312"/>
        </w:rPr>
      </w:pPr>
      <w:r>
        <w:rPr>
          <w:rFonts w:hint="eastAsia" w:ascii="Times New Roman" w:hAnsi="Times New Roman" w:cs="Times New Roman"/>
        </w:rPr>
        <w:t>贯彻执行国家统计方针、政策以及法律、法规，制定全市统计规划及统计调查计划；监督检查统计法律、法规的实施。组织领导全市统计工作，承担确保统计数据真实、准确、及时的责任。根据国家统一的基本统计制度，建立健全全市国民经济核算体系和统计指标体系，贯彻执行全省统一的基本统计报表制度和统计标准；汇编提供全市国民经济核算资料。组织实施重大省情省力普查计划；统一组织协调全市社会经济统计调查；汇总、整理全市基本统计资料；对国民经济、科技进步和社会发展等情况进行统计分析、统计预测预警和统计监督，向市委、市政府及有关单位提供统计信息和咨询建议。统一核定、管理、公布全市基本统计资料，定期向社会公众发布全市国民经济和社会发展情况的统计信息。建立、完善和管理全市统计信息自动化系统和全市统计数据库体系。负责全市统计系统的干部人事、劳动工资、机构编制和财务经费、审计监督及资产设施管理。领导局属事业</w:t>
      </w:r>
      <w:r>
        <w:rPr>
          <w:rFonts w:hint="eastAsia" w:ascii="Times New Roman" w:hAnsi="Times New Roman" w:cs="Times New Roman"/>
          <w:lang w:val="en-US" w:eastAsia="zh-CN"/>
        </w:rPr>
        <w:t>单位。承办延边州朝鲜族自治州统计局及和龙市政府交办的其他事项。</w:t>
      </w:r>
    </w:p>
    <w:p>
      <w:pPr>
        <w:ind w:firstLine="640" w:firstLineChars="200"/>
      </w:pPr>
      <w:r>
        <w:rPr>
          <w:rFonts w:eastAsia="楷体_GB2312"/>
        </w:rPr>
        <w:t>二、机构设置</w:t>
      </w:r>
    </w:p>
    <w:p>
      <w:pPr>
        <w:ind w:firstLine="640" w:firstLineChars="200"/>
        <w:rPr>
          <w:rFonts w:hint="eastAsia" w:ascii="Times New Roman" w:hAnsi="Times New Roman" w:cs="Times New Roman"/>
          <w:lang w:eastAsia="zh-CN"/>
        </w:rPr>
      </w:pPr>
      <w:r>
        <w:rPr>
          <w:rFonts w:hint="eastAsia" w:ascii="Times New Roman" w:hAnsi="Times New Roman" w:cs="Times New Roman"/>
        </w:rPr>
        <w:t>根据上述职责，和龙市统计局内设3个机构，分别为办公室、综合统计科、社会经济统计科</w:t>
      </w:r>
      <w:r>
        <w:rPr>
          <w:rFonts w:hint="eastAsia" w:ascii="Times New Roman" w:hAnsi="Times New Roman" w:cs="Times New Roman"/>
          <w:lang w:eastAsia="zh-CN"/>
        </w:rPr>
        <w:t>。</w:t>
      </w:r>
    </w:p>
    <w:p>
      <w:pPr>
        <w:ind w:firstLine="640" w:firstLineChars="200"/>
        <w:rPr>
          <w:kern w:val="0"/>
          <w:szCs w:val="32"/>
        </w:rPr>
      </w:pPr>
      <w:r>
        <w:rPr>
          <w:rFonts w:hint="eastAsia" w:ascii="Times New Roman" w:hAnsi="Times New Roman" w:cs="Times New Roman"/>
          <w:lang w:val="en-US" w:eastAsia="zh-CN"/>
        </w:rPr>
        <w:t>本单位无下设预算单位。</w:t>
      </w:r>
    </w:p>
    <w:p>
      <w:pPr>
        <w:pStyle w:val="48"/>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223.65</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196.07</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27.58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177.58</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159.09</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18.49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223.65</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196.07</w:t>
            </w:r>
          </w:p>
        </w:tc>
        <w:tc>
          <w:tcPr>
            <w:tcW w:w="1134" w:type="dxa"/>
            <w:tcBorders>
              <w:top w:val="nil"/>
              <w:left w:val="single" w:color="auto" w:sz="4" w:space="0"/>
              <w:bottom w:val="single" w:color="auto" w:sz="4" w:space="0"/>
              <w:right w:val="nil"/>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27.58</w:t>
            </w:r>
          </w:p>
        </w:tc>
        <w:tc>
          <w:tcPr>
            <w:tcW w:w="1342" w:type="dxa"/>
            <w:tcBorders>
              <w:top w:val="nil"/>
              <w:left w:val="single" w:color="auto" w:sz="4" w:space="0"/>
              <w:bottom w:val="single" w:color="auto" w:sz="4" w:space="0"/>
              <w:right w:val="single" w:color="auto" w:sz="4" w:space="0"/>
            </w:tcBorders>
            <w:noWrap w:val="0"/>
            <w:vAlign w:val="center"/>
          </w:tcPr>
          <w:p>
            <w:pPr>
              <w:widowControl/>
              <w:spacing w:line="200" w:lineRule="exact"/>
              <w:jc w:val="left"/>
              <w:textAlignment w:val="center"/>
              <w:rPr>
                <w:rFonts w:eastAsia="宋体"/>
                <w:color w:val="000000"/>
                <w:kern w:val="0"/>
                <w:sz w:val="20"/>
              </w:rPr>
            </w:pPr>
            <w:r>
              <w:rPr>
                <w:rFonts w:hint="eastAsia" w:ascii="宋体" w:hAnsi="宋体" w:eastAsia="宋体" w:cs="宋体"/>
                <w:kern w:val="0"/>
                <w:sz w:val="20"/>
                <w:lang w:bidi="ar"/>
              </w:rPr>
              <w:t>二、社会保障和就业支出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28.74</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22.54</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6.20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spacing w:line="200" w:lineRule="exact"/>
              <w:jc w:val="left"/>
              <w:textAlignment w:val="center"/>
              <w:rPr>
                <w:rFonts w:eastAsia="宋体"/>
                <w:color w:val="000000"/>
                <w:kern w:val="0"/>
                <w:sz w:val="20"/>
              </w:rPr>
            </w:pPr>
            <w:r>
              <w:rPr>
                <w:rFonts w:hint="eastAsia" w:ascii="宋体" w:hAnsi="宋体" w:eastAsia="宋体" w:cs="宋体"/>
                <w:kern w:val="0"/>
                <w:sz w:val="20"/>
                <w:lang w:bidi="ar"/>
              </w:rPr>
              <w:t>三、卫生健康支出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3.76</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0.11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spacing w:line="200" w:lineRule="exact"/>
              <w:jc w:val="left"/>
              <w:textAlignment w:val="center"/>
              <w:rPr>
                <w:rFonts w:eastAsia="宋体"/>
                <w:color w:val="000000"/>
                <w:kern w:val="0"/>
                <w:sz w:val="20"/>
              </w:rPr>
            </w:pPr>
            <w:r>
              <w:rPr>
                <w:rFonts w:hint="eastAsia" w:ascii="宋体" w:hAnsi="宋体" w:eastAsia="宋体" w:cs="宋体"/>
                <w:kern w:val="0"/>
                <w:sz w:val="20"/>
                <w:lang w:bidi="ar"/>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13.46</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10.68</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2.78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223.65</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196.07</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27.58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bCs/>
                <w:kern w:val="0"/>
                <w:sz w:val="20"/>
                <w:lang w:val="en-US" w:eastAsia="zh-CN"/>
              </w:rPr>
            </w:pPr>
            <w:r>
              <w:rPr>
                <w:rFonts w:hint="eastAsia" w:eastAsia="宋体"/>
                <w:b w:val="0"/>
                <w:bCs w:val="0"/>
                <w:kern w:val="0"/>
                <w:sz w:val="20"/>
                <w:lang w:val="en-US" w:eastAsia="zh-CN"/>
              </w:rPr>
              <w:t>223.65</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196.07</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27.58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223.65</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196.07</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27.58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223.65</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196.07</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27.58</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067" w:type="dxa"/>
        <w:jc w:val="center"/>
        <w:tblLayout w:type="fixed"/>
        <w:tblCellMar>
          <w:top w:w="0" w:type="dxa"/>
          <w:left w:w="108" w:type="dxa"/>
          <w:bottom w:w="0" w:type="dxa"/>
          <w:right w:w="108" w:type="dxa"/>
        </w:tblCellMar>
      </w:tblPr>
      <w:tblGrid>
        <w:gridCol w:w="1275"/>
        <w:gridCol w:w="825"/>
        <w:gridCol w:w="809"/>
        <w:gridCol w:w="810"/>
        <w:gridCol w:w="310"/>
        <w:gridCol w:w="421"/>
        <w:gridCol w:w="421"/>
        <w:gridCol w:w="363"/>
        <w:gridCol w:w="360"/>
        <w:gridCol w:w="218"/>
        <w:gridCol w:w="52"/>
        <w:gridCol w:w="345"/>
        <w:gridCol w:w="315"/>
        <w:gridCol w:w="780"/>
        <w:gridCol w:w="92"/>
        <w:gridCol w:w="763"/>
        <w:gridCol w:w="236"/>
        <w:gridCol w:w="154"/>
        <w:gridCol w:w="345"/>
        <w:gridCol w:w="410"/>
        <w:gridCol w:w="667"/>
        <w:gridCol w:w="96"/>
      </w:tblGrid>
      <w:tr>
        <w:tblPrEx>
          <w:tblCellMar>
            <w:top w:w="0" w:type="dxa"/>
            <w:left w:w="108" w:type="dxa"/>
            <w:bottom w:w="0" w:type="dxa"/>
            <w:right w:w="108" w:type="dxa"/>
          </w:tblCellMar>
        </w:tblPrEx>
        <w:trPr>
          <w:trHeight w:val="335" w:hRule="atLeast"/>
          <w:jc w:val="center"/>
        </w:trPr>
        <w:tc>
          <w:tcPr>
            <w:tcW w:w="1275" w:type="dxa"/>
            <w:tcBorders>
              <w:bottom w:val="single" w:color="000000" w:sz="4" w:space="0"/>
            </w:tcBorders>
            <w:noWrap w:val="0"/>
            <w:vAlign w:val="top"/>
          </w:tcPr>
          <w:p>
            <w:pPr>
              <w:autoSpaceDN w:val="0"/>
              <w:jc w:val="left"/>
              <w:textAlignment w:val="center"/>
              <w:rPr>
                <w:rFonts w:eastAsia="华文细黑"/>
                <w:color w:val="000000"/>
                <w:sz w:val="20"/>
              </w:rPr>
            </w:pPr>
          </w:p>
        </w:tc>
        <w:tc>
          <w:tcPr>
            <w:tcW w:w="4537" w:type="dxa"/>
            <w:gridSpan w:val="9"/>
            <w:tcBorders>
              <w:bottom w:val="single" w:color="000000" w:sz="4" w:space="0"/>
            </w:tcBorders>
            <w:noWrap w:val="0"/>
            <w:vAlign w:val="center"/>
          </w:tcPr>
          <w:p>
            <w:pPr>
              <w:autoSpaceDN w:val="0"/>
              <w:jc w:val="left"/>
              <w:textAlignment w:val="center"/>
              <w:rPr>
                <w:rFonts w:eastAsia="华文细黑"/>
                <w:color w:val="000000"/>
                <w:sz w:val="20"/>
              </w:rPr>
            </w:pPr>
          </w:p>
        </w:tc>
        <w:tc>
          <w:tcPr>
            <w:tcW w:w="712" w:type="dxa"/>
            <w:gridSpan w:val="3"/>
            <w:noWrap w:val="0"/>
            <w:vAlign w:val="center"/>
          </w:tcPr>
          <w:p>
            <w:pPr>
              <w:autoSpaceDN w:val="0"/>
              <w:jc w:val="left"/>
              <w:textAlignment w:val="center"/>
              <w:rPr>
                <w:rFonts w:eastAsia="华文细黑"/>
                <w:color w:val="000000"/>
                <w:sz w:val="20"/>
              </w:rPr>
            </w:pPr>
          </w:p>
        </w:tc>
        <w:tc>
          <w:tcPr>
            <w:tcW w:w="780" w:type="dxa"/>
            <w:noWrap w:val="0"/>
            <w:vAlign w:val="center"/>
          </w:tcPr>
          <w:p>
            <w:pPr>
              <w:autoSpaceDN w:val="0"/>
              <w:jc w:val="left"/>
              <w:textAlignment w:val="center"/>
              <w:rPr>
                <w:rFonts w:eastAsia="华文细黑"/>
                <w:color w:val="000000"/>
                <w:sz w:val="20"/>
              </w:rPr>
            </w:pPr>
          </w:p>
        </w:tc>
        <w:tc>
          <w:tcPr>
            <w:tcW w:w="855"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96" w:type="dxa"/>
          <w:trHeight w:val="517" w:hRule="atLeast"/>
          <w:jc w:val="center"/>
        </w:trPr>
        <w:tc>
          <w:tcPr>
            <w:tcW w:w="1275"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2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424"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447"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96" w:type="dxa"/>
          <w:trHeight w:val="517" w:hRule="atLeast"/>
          <w:jc w:val="center"/>
        </w:trPr>
        <w:tc>
          <w:tcPr>
            <w:tcW w:w="127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25"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09"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41"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421"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653"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872"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98"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1077"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96" w:type="dxa"/>
          <w:trHeight w:val="2818" w:hRule="atLeast"/>
          <w:jc w:val="center"/>
        </w:trPr>
        <w:tc>
          <w:tcPr>
            <w:tcW w:w="1275"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09"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1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1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21"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872"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4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1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96" w:type="dxa"/>
          <w:trHeight w:val="517" w:hRule="atLeast"/>
          <w:jc w:val="center"/>
        </w:trPr>
        <w:tc>
          <w:tcPr>
            <w:tcW w:w="1275"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eastAsia="宋体"/>
                <w:color w:val="000000"/>
                <w:sz w:val="20"/>
                <w:shd w:val="clear" w:color="auto" w:fill="FFFFFF"/>
              </w:rPr>
            </w:pPr>
            <w:r>
              <w:rPr>
                <w:rFonts w:hint="default" w:ascii="宋体" w:hAnsi="宋体" w:eastAsia="宋体" w:cs="宋体"/>
                <w:color w:val="000000"/>
                <w:kern w:val="0"/>
                <w:sz w:val="20"/>
                <w:lang w:val="en-US" w:eastAsia="zh-CN" w:bidi="ar"/>
              </w:rPr>
              <w:t>和龙市统计局</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223.65</w:t>
            </w:r>
          </w:p>
        </w:tc>
        <w:tc>
          <w:tcPr>
            <w:tcW w:w="8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196.07</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196.07</w:t>
            </w:r>
          </w:p>
        </w:tc>
        <w:tc>
          <w:tcPr>
            <w:tcW w:w="31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27.58</w:t>
            </w:r>
          </w:p>
        </w:tc>
        <w:tc>
          <w:tcPr>
            <w:tcW w:w="7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27.58</w:t>
            </w: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96" w:type="dxa"/>
          <w:trHeight w:val="517" w:hRule="atLeast"/>
          <w:jc w:val="center"/>
        </w:trPr>
        <w:tc>
          <w:tcPr>
            <w:tcW w:w="127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96" w:type="dxa"/>
          <w:trHeight w:val="517" w:hRule="atLeast"/>
          <w:jc w:val="center"/>
        </w:trPr>
        <w:tc>
          <w:tcPr>
            <w:tcW w:w="127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96" w:type="dxa"/>
          <w:trHeight w:val="517" w:hRule="atLeast"/>
          <w:jc w:val="center"/>
        </w:trPr>
        <w:tc>
          <w:tcPr>
            <w:tcW w:w="127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96" w:type="dxa"/>
          <w:trHeight w:val="530" w:hRule="atLeast"/>
          <w:jc w:val="center"/>
        </w:trPr>
        <w:tc>
          <w:tcPr>
            <w:tcW w:w="12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eastAsia="宋体"/>
                <w:color w:val="000000"/>
                <w:sz w:val="20"/>
                <w:shd w:val="clear" w:color="auto" w:fill="FFFFFF"/>
                <w:lang w:val="en-US" w:eastAsia="zh-CN"/>
              </w:rPr>
              <w:t>223.65</w:t>
            </w:r>
          </w:p>
        </w:tc>
        <w:tc>
          <w:tcPr>
            <w:tcW w:w="8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196.07</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196.07</w:t>
            </w:r>
          </w:p>
        </w:tc>
        <w:tc>
          <w:tcPr>
            <w:tcW w:w="31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8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27.58</w:t>
            </w:r>
          </w:p>
        </w:tc>
        <w:tc>
          <w:tcPr>
            <w:tcW w:w="7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27.58</w:t>
            </w: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一、一般公共服务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177.58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128.21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49.37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177.58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128.21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49.37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128.21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128.21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34.40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34.40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eastAsia="宋体"/>
                      <w:color w:val="000000"/>
                      <w:kern w:val="0"/>
                      <w:sz w:val="20"/>
                      <w:lang w:eastAsia="zh-CN"/>
                    </w:rPr>
                  </w:pPr>
                  <w:r>
                    <w:rPr>
                      <w:rFonts w:hint="eastAsia" w:ascii="宋体" w:hAnsi="宋体" w:eastAsia="宋体" w:cs="宋体"/>
                      <w:color w:val="000000"/>
                      <w:kern w:val="0"/>
                      <w:sz w:val="20"/>
                      <w:lang w:bidi="ar"/>
                    </w:rPr>
                    <w:t>　　专项</w:t>
                  </w:r>
                  <w:r>
                    <w:rPr>
                      <w:rFonts w:hint="eastAsia" w:ascii="宋体" w:hAnsi="宋体" w:eastAsia="宋体" w:cs="宋体"/>
                      <w:color w:val="000000"/>
                      <w:kern w:val="0"/>
                      <w:sz w:val="20"/>
                      <w:lang w:val="en-US" w:eastAsia="zh-CN" w:bidi="ar"/>
                    </w:rPr>
                    <w:t>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14.97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3"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223.65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174.28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49.37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223.65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196.07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27.58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223.65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196.07</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27.58</w:t>
                  </w:r>
                  <w:r>
                    <w:rPr>
                      <w:rFonts w:eastAsia="宋体"/>
                      <w:kern w:val="0"/>
                      <w:sz w:val="20"/>
                    </w:rPr>
                    <w:t>　</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223.65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196.07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27.58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177.58</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159.09</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18.49</w:t>
                  </w:r>
                  <w:r>
                    <w:rPr>
                      <w:rFonts w:eastAsia="宋体"/>
                      <w:kern w:val="0"/>
                      <w:sz w:val="20"/>
                    </w:rPr>
                    <w:t>　</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28.74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22.54</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6.20</w:t>
                  </w:r>
                  <w:r>
                    <w:rPr>
                      <w:rFonts w:eastAsia="宋体"/>
                      <w:kern w:val="0"/>
                      <w:sz w:val="20"/>
                    </w:rPr>
                    <w:t>　</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3.87</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3.76</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0.11</w:t>
                  </w:r>
                  <w:r>
                    <w:rPr>
                      <w:rFonts w:eastAsia="宋体"/>
                      <w:kern w:val="0"/>
                      <w:sz w:val="20"/>
                    </w:rPr>
                    <w:t>　</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lang w:eastAsia="zh-CN"/>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13.46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10.68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kern w:val="2"/>
                      <w:sz w:val="32"/>
                      <w:lang w:val="en-US" w:eastAsia="zh-CN" w:bidi="ar-SA"/>
                    </w:rPr>
                  </w:pPr>
                  <w:r>
                    <w:rPr>
                      <w:rFonts w:hint="eastAsia" w:eastAsia="宋体"/>
                      <w:kern w:val="0"/>
                      <w:sz w:val="20"/>
                      <w:lang w:val="en-US" w:eastAsia="zh-CN"/>
                    </w:rPr>
                    <w:t>2.78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both"/>
                    <w:rPr>
                      <w:rFonts w:eastAsia="宋体"/>
                      <w:kern w:val="0"/>
                      <w:sz w:val="20"/>
                    </w:rPr>
                  </w:pPr>
                </w:p>
              </w:tc>
            </w:tr>
            <w:tr>
              <w:tblPrEx>
                <w:tblCellMar>
                  <w:top w:w="0" w:type="dxa"/>
                  <w:left w:w="108" w:type="dxa"/>
                  <w:bottom w:w="0" w:type="dxa"/>
                  <w:right w:w="108" w:type="dxa"/>
                </w:tblCellMar>
              </w:tblPrEx>
              <w:trPr>
                <w:trHeight w:val="496"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both"/>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both"/>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both"/>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both"/>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both"/>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both"/>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pacing w:line="240" w:lineRule="auto"/>
                    <w:ind w:firstLine="200" w:firstLineChars="100"/>
                    <w:jc w:val="both"/>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黑体"/>
                      <w:kern w:val="0"/>
                      <w:sz w:val="20"/>
                      <w:lang w:val="en-US" w:eastAsia="zh-CN"/>
                    </w:rPr>
                    <w:t>223.65</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196.07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27.58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223.65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196.07</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27.58</w:t>
                  </w:r>
                  <w:r>
                    <w:rPr>
                      <w:rFonts w:eastAsia="宋体"/>
                      <w:kern w:val="0"/>
                      <w:sz w:val="20"/>
                    </w:rPr>
                    <w:t>　</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一、一般公共服务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177.58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128.21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32.74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49.37</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177.58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128.21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95.47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32.74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49.37</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128.21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128.21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32.74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34.40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34.40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专项统计业务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14.97</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13.46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223.65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174.28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32.74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49.37</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289"/>
        <w:gridCol w:w="2107"/>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289"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107"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190" w:hRule="atLeast"/>
          <w:jc w:val="center"/>
        </w:trPr>
        <w:tc>
          <w:tcPr>
            <w:tcW w:w="3289"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107"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kern w:val="0"/>
                <w:sz w:val="20"/>
              </w:rPr>
            </w:pPr>
            <w:r>
              <w:rPr>
                <w:rFonts w:hint="eastAsia" w:ascii="宋体" w:hAnsi="宋体" w:eastAsia="宋体" w:cs="宋体"/>
                <w:kern w:val="0"/>
                <w:sz w:val="20"/>
                <w:lang w:bidi="ar"/>
              </w:rPr>
              <w:t>一、工资福利支出</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129.47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129.47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kern w:val="0"/>
                <w:sz w:val="20"/>
              </w:rPr>
            </w:pPr>
            <w:r>
              <w:rPr>
                <w:rFonts w:hint="eastAsia" w:ascii="宋体" w:hAnsi="宋体" w:eastAsia="宋体" w:cs="宋体"/>
                <w:kern w:val="0"/>
                <w:sz w:val="20"/>
                <w:lang w:bidi="ar"/>
              </w:rPr>
              <w:t>　基本工资</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35.25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35.25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kern w:val="0"/>
                <w:sz w:val="20"/>
              </w:rPr>
            </w:pPr>
            <w:r>
              <w:rPr>
                <w:rFonts w:hint="eastAsia" w:ascii="宋体" w:hAnsi="宋体" w:eastAsia="宋体" w:cs="宋体"/>
                <w:kern w:val="0"/>
                <w:sz w:val="20"/>
                <w:lang w:bidi="ar"/>
              </w:rPr>
              <w:t>　津贴补贴</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34.08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34.08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kern w:val="0"/>
                <w:sz w:val="20"/>
              </w:rPr>
            </w:pPr>
            <w:r>
              <w:rPr>
                <w:rFonts w:hint="eastAsia" w:ascii="宋体" w:hAnsi="宋体" w:eastAsia="宋体" w:cs="宋体"/>
                <w:kern w:val="0"/>
                <w:sz w:val="20"/>
                <w:lang w:bidi="ar"/>
              </w:rPr>
              <w:t>　奖金</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lang w:val="en-US"/>
              </w:rPr>
            </w:pPr>
            <w:r>
              <w:rPr>
                <w:rFonts w:hint="eastAsia" w:eastAsia="宋体"/>
                <w:kern w:val="0"/>
                <w:sz w:val="20"/>
                <w:lang w:val="en-US" w:eastAsia="zh-CN"/>
              </w:rPr>
              <w:t>21.90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kern w:val="0"/>
                <w:sz w:val="20"/>
              </w:rPr>
            </w:pPr>
            <w:r>
              <w:rPr>
                <w:rFonts w:hint="eastAsia" w:ascii="宋体" w:hAnsi="宋体" w:eastAsia="宋体" w:cs="宋体"/>
                <w:kern w:val="0"/>
                <w:sz w:val="20"/>
                <w:lang w:bidi="ar"/>
              </w:rPr>
              <w:t>　机关事业单位基本养老保险缴费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17.19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kern w:val="0"/>
                <w:sz w:val="20"/>
              </w:rPr>
            </w:pPr>
            <w:r>
              <w:rPr>
                <w:rFonts w:hint="eastAsia" w:ascii="宋体" w:hAnsi="宋体" w:eastAsia="宋体" w:cs="宋体"/>
                <w:kern w:val="0"/>
                <w:sz w:val="20"/>
                <w:lang w:bidi="ar"/>
              </w:rPr>
              <w:t>　职工基本医疗保险缴费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3.65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3.65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kern w:val="0"/>
                <w:sz w:val="20"/>
              </w:rPr>
            </w:pPr>
            <w:r>
              <w:rPr>
                <w:rFonts w:hint="eastAsia" w:ascii="宋体" w:hAnsi="宋体" w:eastAsia="宋体" w:cs="宋体"/>
                <w:kern w:val="0"/>
                <w:sz w:val="20"/>
                <w:lang w:bidi="ar"/>
              </w:rPr>
              <w:t>　其他社会保障缴费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kern w:val="0"/>
                <w:sz w:val="20"/>
              </w:rPr>
            </w:pPr>
            <w:r>
              <w:rPr>
                <w:rFonts w:hint="eastAsia" w:ascii="宋体" w:hAnsi="宋体" w:eastAsia="宋体" w:cs="宋体"/>
                <w:kern w:val="0"/>
                <w:sz w:val="20"/>
                <w:lang w:bidi="ar"/>
              </w:rPr>
              <w:t>　住房公积金</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13.46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bidi="ar"/>
              </w:rPr>
              <w:t>　医疗费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bidi="ar"/>
              </w:rPr>
              <w:t>　其他工资福利支出</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color w:val="000000"/>
                <w:kern w:val="0"/>
                <w:sz w:val="20"/>
                <w:lang w:bidi="ar"/>
              </w:rPr>
              <w:t>二、商品和服务支出</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29.24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29.24</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办公费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lang w:val="en-US"/>
              </w:rPr>
            </w:pPr>
            <w:r>
              <w:rPr>
                <w:rFonts w:hint="eastAsia" w:eastAsia="宋体"/>
                <w:kern w:val="0"/>
                <w:sz w:val="20"/>
                <w:lang w:val="en-US" w:eastAsia="zh-CN"/>
              </w:rPr>
              <w:t>1.90</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咨询费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0.15</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电费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lang w:val="en-US" w:eastAsia="zh-CN"/>
              </w:rPr>
              <w:t>1.26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1.26</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邮电费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lang w:val="en-US"/>
              </w:rPr>
            </w:pPr>
            <w:r>
              <w:rPr>
                <w:rFonts w:hint="eastAsia" w:eastAsia="宋体"/>
                <w:kern w:val="0"/>
                <w:sz w:val="20"/>
                <w:lang w:val="en-US" w:eastAsia="zh-CN"/>
              </w:rPr>
              <w:t>0.90</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取暖费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3.11</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差旅费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2.11</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维修（护）费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lang w:val="en-US"/>
              </w:rPr>
            </w:pPr>
            <w:r>
              <w:rPr>
                <w:rFonts w:hint="eastAsia" w:eastAsia="宋体"/>
                <w:kern w:val="0"/>
                <w:sz w:val="20"/>
                <w:lang w:val="en-US" w:eastAsia="zh-CN"/>
              </w:rPr>
              <w:t>0.60</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976"/>
              </w:tabs>
              <w:ind w:firstLine="200" w:firstLineChars="100"/>
              <w:jc w:val="left"/>
              <w:textAlignment w:val="center"/>
              <w:rPr>
                <w:rFonts w:hint="default" w:ascii="宋体" w:hAnsi="宋体" w:eastAsia="宋体" w:cs="宋体"/>
                <w:kern w:val="0"/>
                <w:sz w:val="20"/>
                <w:lang w:val="en-US" w:eastAsia="zh-CN" w:bidi="ar"/>
              </w:rPr>
            </w:pPr>
            <w:r>
              <w:rPr>
                <w:rFonts w:hint="eastAsia" w:ascii="宋体" w:hAnsi="宋体" w:eastAsia="宋体" w:cs="宋体"/>
                <w:kern w:val="0"/>
                <w:sz w:val="20"/>
                <w:lang w:val="en-US" w:eastAsia="zh-CN" w:bidi="ar"/>
              </w:rPr>
              <w:t>培训费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lang w:val="en-US"/>
              </w:rPr>
            </w:pPr>
            <w:r>
              <w:rPr>
                <w:rFonts w:hint="eastAsia" w:eastAsia="宋体"/>
                <w:kern w:val="0"/>
                <w:sz w:val="20"/>
                <w:lang w:val="en-US" w:eastAsia="zh-CN"/>
              </w:rPr>
              <w:t>1.00</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公务接待费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0.21</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劳务费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4.32</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工会经费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1.14</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福利费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3.92</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其他交通费用</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6.72</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其他商品和服务支出</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lang w:val="en-US"/>
              </w:rPr>
            </w:pPr>
            <w:r>
              <w:rPr>
                <w:rFonts w:hint="eastAsia" w:eastAsia="宋体"/>
                <w:kern w:val="0"/>
                <w:sz w:val="20"/>
                <w:lang w:val="en-US" w:eastAsia="zh-CN"/>
              </w:rPr>
              <w:t>1.90</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bidi="ar"/>
              </w:rPr>
              <w:t>三、对个人和家庭的补助</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12.08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bidi="ar"/>
              </w:rPr>
              <w:t>　退休费</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11.55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11.55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bidi="ar"/>
              </w:rPr>
              <w:t>　其他对个人和家庭的补助</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0.53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eastAsia="zh-CN" w:bidi="ar"/>
              </w:rPr>
              <w:t>四</w:t>
            </w:r>
            <w:r>
              <w:rPr>
                <w:rFonts w:hint="eastAsia" w:ascii="宋体" w:hAnsi="宋体" w:eastAsia="宋体" w:cs="宋体"/>
                <w:kern w:val="0"/>
                <w:sz w:val="20"/>
                <w:lang w:bidi="ar"/>
              </w:rPr>
              <w:t>、</w:t>
            </w:r>
            <w:r>
              <w:rPr>
                <w:rFonts w:hint="eastAsia" w:ascii="宋体" w:hAnsi="宋体" w:eastAsia="宋体" w:cs="宋体"/>
                <w:kern w:val="0"/>
                <w:sz w:val="20"/>
                <w:lang w:eastAsia="zh-CN" w:bidi="ar"/>
              </w:rPr>
              <w:t>资本性支出</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lang w:val="en-US"/>
              </w:rPr>
            </w:pPr>
            <w:r>
              <w:rPr>
                <w:rFonts w:hint="eastAsia" w:eastAsia="宋体"/>
                <w:kern w:val="0"/>
                <w:sz w:val="20"/>
                <w:lang w:val="en-US" w:eastAsia="zh-CN"/>
              </w:rPr>
              <w:t>3.50</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kern w:val="0"/>
                <w:sz w:val="20"/>
                <w:lang w:val="en-US" w:eastAsia="zh-CN" w:bidi="ar"/>
              </w:rPr>
              <w:t xml:space="preserve">  办公设备购置</w:t>
            </w:r>
          </w:p>
        </w:tc>
        <w:tc>
          <w:tcPr>
            <w:tcW w:w="21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lang w:val="en-US"/>
              </w:rPr>
            </w:pPr>
            <w:r>
              <w:rPr>
                <w:rFonts w:hint="eastAsia" w:eastAsia="宋体"/>
                <w:kern w:val="0"/>
                <w:sz w:val="20"/>
                <w:lang w:val="en-US" w:eastAsia="zh-CN"/>
              </w:rPr>
              <w:t>3.50</w:t>
            </w:r>
          </w:p>
        </w:tc>
      </w:tr>
      <w:tr>
        <w:tblPrEx>
          <w:tblCellMar>
            <w:top w:w="0" w:type="dxa"/>
            <w:left w:w="108" w:type="dxa"/>
            <w:bottom w:w="0" w:type="dxa"/>
            <w:right w:w="108" w:type="dxa"/>
          </w:tblCellMar>
        </w:tblPrEx>
        <w:trPr>
          <w:trHeight w:val="340" w:hRule="exact"/>
          <w:jc w:val="center"/>
        </w:trPr>
        <w:tc>
          <w:tcPr>
            <w:tcW w:w="32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eastAsia="宋体"/>
                <w:kern w:val="0"/>
                <w:sz w:val="20"/>
              </w:rPr>
            </w:pPr>
            <w:r>
              <w:rPr>
                <w:rFonts w:hint="eastAsia" w:ascii="宋体" w:hAnsi="宋体" w:eastAsia="宋体" w:cs="宋体"/>
                <w:color w:val="000000"/>
                <w:kern w:val="0"/>
                <w:sz w:val="20"/>
                <w:lang w:bidi="ar"/>
              </w:rPr>
              <w:t>合计</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174.29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141.55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32.74</w:t>
            </w:r>
          </w:p>
        </w:tc>
      </w:tr>
    </w:tbl>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0.21</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0.21</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color w:val="000000"/>
                <w:kern w:val="0"/>
                <w:sz w:val="28"/>
                <w:szCs w:val="28"/>
              </w:rPr>
            </w:pPr>
            <w:r>
              <w:rPr>
                <w:rFonts w:eastAsia="宋体"/>
                <w:color w:val="000000"/>
                <w:kern w:val="0"/>
                <w:sz w:val="28"/>
                <w:szCs w:val="28"/>
              </w:rPr>
              <w:t xml:space="preserve">  </w:t>
            </w:r>
            <w:r>
              <w:rPr>
                <w:color w:val="000000"/>
                <w:kern w:val="0"/>
                <w:sz w:val="28"/>
                <w:szCs w:val="28"/>
              </w:rPr>
              <w:t>说明：</w:t>
            </w:r>
          </w:p>
          <w:p>
            <w:pPr>
              <w:widowControl/>
              <w:jc w:val="left"/>
              <w:rPr>
                <w:rFonts w:hint="eastAsia" w:eastAsia="宋体"/>
                <w:color w:val="000000"/>
                <w:kern w:val="0"/>
                <w:sz w:val="28"/>
                <w:szCs w:val="28"/>
              </w:rPr>
            </w:pPr>
            <w:r>
              <w:rPr>
                <w:color w:val="000000"/>
                <w:kern w:val="0"/>
                <w:sz w:val="28"/>
                <w:szCs w:val="28"/>
              </w:rPr>
              <w:t xml:space="preserve">       1、“20</w:t>
            </w:r>
            <w:r>
              <w:rPr>
                <w:rFonts w:hint="eastAsia"/>
                <w:color w:val="000000"/>
                <w:kern w:val="0"/>
                <w:sz w:val="28"/>
                <w:szCs w:val="28"/>
              </w:rPr>
              <w:t>2</w:t>
            </w:r>
            <w:r>
              <w:rPr>
                <w:rFonts w:hint="eastAsia"/>
                <w:color w:val="000000"/>
                <w:kern w:val="0"/>
                <w:sz w:val="28"/>
                <w:szCs w:val="28"/>
                <w:lang w:val="en-US" w:eastAsia="zh-CN"/>
              </w:rPr>
              <w:t>4</w:t>
            </w:r>
            <w:r>
              <w:rPr>
                <w:color w:val="000000"/>
                <w:kern w:val="0"/>
                <w:sz w:val="28"/>
                <w:szCs w:val="28"/>
              </w:rPr>
              <w:t>年预算数”的单位范围包括本级</w:t>
            </w:r>
            <w:r>
              <w:rPr>
                <w:rFonts w:hint="eastAsia" w:eastAsia="宋体"/>
                <w:color w:val="000000"/>
                <w:kern w:val="0"/>
                <w:sz w:val="28"/>
                <w:szCs w:val="28"/>
              </w:rPr>
              <w:t>1</w:t>
            </w:r>
            <w:r>
              <w:rPr>
                <w:color w:val="000000"/>
                <w:kern w:val="0"/>
                <w:sz w:val="28"/>
                <w:szCs w:val="28"/>
              </w:rPr>
              <w:t>个预算单位。</w:t>
            </w:r>
            <w:r>
              <w:rPr>
                <w:rFonts w:eastAsia="宋体"/>
                <w:color w:val="000000"/>
                <w:kern w:val="0"/>
                <w:sz w:val="28"/>
                <w:szCs w:val="28"/>
              </w:rPr>
              <w:t xml:space="preserve">  </w:t>
            </w:r>
          </w:p>
          <w:p>
            <w:pPr>
              <w:widowControl/>
              <w:jc w:val="left"/>
              <w:rPr>
                <w:rFonts w:hint="eastAsia" w:ascii="Times New Roman" w:hAnsi="Times New Roman" w:cs="Times New Roman"/>
                <w:color w:val="FF0000"/>
                <w:kern w:val="0"/>
                <w:sz w:val="28"/>
                <w:szCs w:val="28"/>
                <w:lang w:val="en-US" w:eastAsia="zh-CN"/>
              </w:rPr>
            </w:pP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w:t>
            </w:r>
            <w:r>
              <w:rPr>
                <w:rFonts w:hint="eastAsia" w:ascii="Times New Roman" w:hAnsi="Times New Roman" w:cs="Times New Roman"/>
                <w:color w:val="000000"/>
                <w:kern w:val="0"/>
                <w:sz w:val="28"/>
                <w:szCs w:val="28"/>
                <w:lang w:val="en-US" w:eastAsia="zh-CN"/>
              </w:rPr>
              <w:t>员</w:t>
            </w:r>
            <w:r>
              <w:rPr>
                <w:rFonts w:hint="eastAsia" w:cs="Times New Roman"/>
                <w:color w:val="000000"/>
                <w:kern w:val="0"/>
                <w:sz w:val="28"/>
                <w:szCs w:val="28"/>
                <w:lang w:val="en-US" w:eastAsia="zh-CN"/>
              </w:rPr>
              <w:t>17</w:t>
            </w:r>
            <w:bookmarkStart w:id="0" w:name="_GoBack"/>
            <w:bookmarkEnd w:id="0"/>
            <w:r>
              <w:rPr>
                <w:rFonts w:hint="eastAsia" w:ascii="Times New Roman" w:hAnsi="Times New Roman" w:cs="Times New Roman"/>
                <w:color w:val="000000"/>
                <w:kern w:val="0"/>
                <w:sz w:val="28"/>
                <w:szCs w:val="28"/>
                <w:lang w:val="en-US" w:eastAsia="zh-CN"/>
              </w:rPr>
              <w:t>人，其中：在职人员</w:t>
            </w:r>
            <w:r>
              <w:rPr>
                <w:rFonts w:hint="eastAsia" w:cs="Times New Roman"/>
                <w:color w:val="000000"/>
                <w:kern w:val="0"/>
                <w:sz w:val="28"/>
                <w:szCs w:val="28"/>
                <w:lang w:val="en-US" w:eastAsia="zh-CN"/>
              </w:rPr>
              <w:t>8</w:t>
            </w:r>
            <w:r>
              <w:rPr>
                <w:rFonts w:hint="eastAsia" w:ascii="Times New Roman" w:hAnsi="Times New Roman" w:cs="Times New Roman"/>
                <w:color w:val="000000"/>
                <w:kern w:val="0"/>
                <w:sz w:val="28"/>
                <w:szCs w:val="28"/>
                <w:lang w:val="en-US" w:eastAsia="zh-CN"/>
              </w:rPr>
              <w:t>人，离退休人员</w:t>
            </w:r>
            <w:r>
              <w:rPr>
                <w:rFonts w:hint="eastAsia" w:cs="Times New Roman"/>
                <w:color w:val="000000"/>
                <w:kern w:val="0"/>
                <w:sz w:val="28"/>
                <w:szCs w:val="28"/>
                <w:lang w:val="en-US" w:eastAsia="zh-CN"/>
              </w:rPr>
              <w:t>9</w:t>
            </w:r>
            <w:r>
              <w:rPr>
                <w:rFonts w:hint="eastAsia" w:ascii="Times New Roman" w:hAnsi="Times New Roman" w:cs="Times New Roman"/>
                <w:color w:val="000000"/>
                <w:kern w:val="0"/>
                <w:sz w:val="28"/>
                <w:szCs w:val="28"/>
                <w:lang w:val="en-US" w:eastAsia="zh-CN"/>
              </w:rPr>
              <w:t>人。</w:t>
            </w:r>
          </w:p>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80"/>
        <w:gridCol w:w="780"/>
        <w:gridCol w:w="510"/>
        <w:gridCol w:w="660"/>
        <w:gridCol w:w="780"/>
        <w:gridCol w:w="810"/>
        <w:gridCol w:w="480"/>
        <w:gridCol w:w="465"/>
        <w:gridCol w:w="420"/>
        <w:gridCol w:w="420"/>
        <w:gridCol w:w="405"/>
        <w:gridCol w:w="510"/>
        <w:gridCol w:w="450"/>
        <w:gridCol w:w="510"/>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252"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560"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51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6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8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59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92"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5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07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6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80"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59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292"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5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8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290"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66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80"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755"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20"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2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6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927"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55" w:type="dxa"/>
            <w:vMerge w:val="continue"/>
            <w:noWrap w:val="0"/>
            <w:vAlign w:val="center"/>
          </w:tcPr>
          <w:p>
            <w:pPr>
              <w:autoSpaceDN w:val="0"/>
              <w:jc w:val="center"/>
              <w:textAlignment w:val="center"/>
              <w:rPr>
                <w:rFonts w:ascii="Calibri" w:hAnsi="Calibri" w:eastAsia="华文细黑"/>
                <w:color w:val="000000"/>
                <w:sz w:val="20"/>
                <w:szCs w:val="22"/>
              </w:rPr>
            </w:pPr>
          </w:p>
        </w:tc>
        <w:tc>
          <w:tcPr>
            <w:tcW w:w="780" w:type="dxa"/>
            <w:vMerge w:val="continue"/>
            <w:noWrap w:val="0"/>
            <w:vAlign w:val="center"/>
          </w:tcPr>
          <w:p>
            <w:pPr>
              <w:autoSpaceDN w:val="0"/>
              <w:jc w:val="center"/>
              <w:textAlignment w:val="center"/>
              <w:rPr>
                <w:rFonts w:ascii="Calibri" w:hAnsi="Calibri" w:eastAsia="华文细黑"/>
                <w:color w:val="000000"/>
                <w:sz w:val="20"/>
                <w:szCs w:val="22"/>
              </w:rPr>
            </w:pPr>
          </w:p>
        </w:tc>
        <w:tc>
          <w:tcPr>
            <w:tcW w:w="1290"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60" w:type="dxa"/>
            <w:vMerge w:val="continue"/>
            <w:noWrap w:val="0"/>
            <w:vAlign w:val="center"/>
          </w:tcPr>
          <w:p>
            <w:pPr>
              <w:autoSpaceDN w:val="0"/>
              <w:jc w:val="center"/>
              <w:textAlignment w:val="center"/>
              <w:rPr>
                <w:rFonts w:ascii="Calibri" w:hAnsi="Calibri" w:eastAsia="华文细黑"/>
                <w:color w:val="000000"/>
                <w:sz w:val="20"/>
                <w:szCs w:val="22"/>
              </w:rPr>
            </w:pPr>
          </w:p>
        </w:tc>
        <w:tc>
          <w:tcPr>
            <w:tcW w:w="780" w:type="dxa"/>
            <w:vMerge w:val="continue"/>
            <w:noWrap w:val="0"/>
            <w:vAlign w:val="center"/>
          </w:tcPr>
          <w:p>
            <w:pPr>
              <w:autoSpaceDN w:val="0"/>
              <w:jc w:val="center"/>
              <w:textAlignment w:val="center"/>
              <w:rPr>
                <w:rFonts w:ascii="Calibri" w:hAnsi="Calibri" w:eastAsia="华文细黑"/>
                <w:color w:val="000000"/>
                <w:sz w:val="20"/>
                <w:szCs w:val="22"/>
              </w:rPr>
            </w:pPr>
          </w:p>
        </w:tc>
        <w:tc>
          <w:tcPr>
            <w:tcW w:w="81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8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6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2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2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1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1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17"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855" w:type="dxa"/>
            <w:noWrap w:val="0"/>
            <w:vAlign w:val="center"/>
          </w:tcPr>
          <w:p>
            <w:pPr>
              <w:jc w:val="left"/>
              <w:rPr>
                <w:rFonts w:hint="default" w:ascii="宋体" w:hAnsi="宋体" w:eastAsia="宋体" w:cs="宋体"/>
                <w:kern w:val="0"/>
                <w:sz w:val="20"/>
                <w:szCs w:val="20"/>
                <w:lang w:val="en-US" w:eastAsia="zh-CN"/>
              </w:rPr>
            </w:pPr>
            <w:r>
              <w:rPr>
                <w:rFonts w:hint="eastAsia" w:ascii="宋体" w:hAnsi="宋体" w:eastAsia="宋体" w:cs="宋体"/>
                <w:color w:val="000000"/>
                <w:kern w:val="0"/>
                <w:sz w:val="20"/>
                <w:lang w:val="en-US" w:eastAsia="zh-CN" w:bidi="ar"/>
              </w:rPr>
              <w:t>专项业务支出</w:t>
            </w:r>
          </w:p>
        </w:tc>
        <w:tc>
          <w:tcPr>
            <w:tcW w:w="780" w:type="dxa"/>
            <w:noWrap w:val="0"/>
            <w:vAlign w:val="center"/>
          </w:tcPr>
          <w:p>
            <w:pPr>
              <w:spacing w:line="700" w:lineRule="exact"/>
              <w:jc w:val="center"/>
              <w:rPr>
                <w:rFonts w:ascii="Calibri" w:hAnsi="Calibri" w:eastAsia="楷体"/>
                <w:kern w:val="0"/>
                <w:szCs w:val="32"/>
              </w:rPr>
            </w:pPr>
          </w:p>
        </w:tc>
        <w:tc>
          <w:tcPr>
            <w:tcW w:w="1290" w:type="dxa"/>
            <w:gridSpan w:val="2"/>
            <w:noWrap w:val="0"/>
            <w:vAlign w:val="center"/>
          </w:tcPr>
          <w:p>
            <w:pPr>
              <w:spacing w:line="700" w:lineRule="exact"/>
              <w:jc w:val="center"/>
              <w:rPr>
                <w:rFonts w:ascii="Calibri" w:hAnsi="Calibri" w:eastAsia="楷体"/>
                <w:kern w:val="0"/>
                <w:szCs w:val="32"/>
              </w:rPr>
            </w:pPr>
          </w:p>
        </w:tc>
        <w:tc>
          <w:tcPr>
            <w:tcW w:w="660"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widowControl/>
              <w:jc w:val="right"/>
              <w:textAlignment w:val="center"/>
              <w:rPr>
                <w:rFonts w:hint="default" w:ascii="Calibri" w:hAnsi="Calibri" w:eastAsia="楷体"/>
                <w:kern w:val="0"/>
                <w:szCs w:val="32"/>
                <w:lang w:val="en-US" w:eastAsia="zh-CN"/>
              </w:rPr>
            </w:pPr>
            <w:r>
              <w:rPr>
                <w:rFonts w:hint="eastAsia" w:ascii="宋体" w:hAnsi="宋体" w:eastAsia="宋体" w:cs="宋体"/>
                <w:kern w:val="0"/>
                <w:sz w:val="20"/>
                <w:lang w:val="en-US" w:eastAsia="zh-CN"/>
              </w:rPr>
              <w:t>49.37</w:t>
            </w:r>
          </w:p>
        </w:tc>
        <w:tc>
          <w:tcPr>
            <w:tcW w:w="810" w:type="dxa"/>
            <w:noWrap w:val="0"/>
            <w:vAlign w:val="center"/>
          </w:tcPr>
          <w:p>
            <w:pPr>
              <w:widowControl/>
              <w:jc w:val="right"/>
              <w:textAlignment w:val="center"/>
              <w:rPr>
                <w:rFonts w:ascii="Calibri" w:hAnsi="Calibri" w:eastAsia="楷体"/>
                <w:kern w:val="0"/>
                <w:szCs w:val="32"/>
              </w:rPr>
            </w:pPr>
            <w:r>
              <w:rPr>
                <w:rFonts w:hint="eastAsia" w:ascii="宋体" w:hAnsi="宋体" w:eastAsia="宋体" w:cs="宋体"/>
                <w:kern w:val="0"/>
                <w:sz w:val="20"/>
                <w:lang w:val="en-US" w:eastAsia="zh-CN"/>
              </w:rPr>
              <w:t>49.37</w:t>
            </w:r>
          </w:p>
        </w:tc>
        <w:tc>
          <w:tcPr>
            <w:tcW w:w="480" w:type="dxa"/>
            <w:noWrap w:val="0"/>
            <w:vAlign w:val="center"/>
          </w:tcPr>
          <w:p>
            <w:pPr>
              <w:spacing w:line="700" w:lineRule="exact"/>
              <w:jc w:val="center"/>
              <w:rPr>
                <w:rFonts w:ascii="Calibri" w:hAnsi="Calibri" w:eastAsia="楷体"/>
                <w:kern w:val="0"/>
                <w:szCs w:val="32"/>
              </w:rPr>
            </w:pPr>
          </w:p>
        </w:tc>
        <w:tc>
          <w:tcPr>
            <w:tcW w:w="46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50"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55"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jc w:val="left"/>
              <w:rPr>
                <w:rFonts w:hint="default" w:ascii="Calibri" w:hAnsi="Calibri" w:eastAsia="楷体"/>
                <w:kern w:val="0"/>
                <w:szCs w:val="32"/>
                <w:lang w:val="en-US" w:eastAsia="zh-CN"/>
              </w:rPr>
            </w:pPr>
            <w:r>
              <w:rPr>
                <w:rFonts w:hint="eastAsia" w:ascii="宋体" w:hAnsi="宋体" w:eastAsia="宋体" w:cs="宋体"/>
                <w:color w:val="000000"/>
                <w:kern w:val="0"/>
                <w:sz w:val="20"/>
                <w:lang w:bidi="ar"/>
              </w:rPr>
              <w:t>专项</w:t>
            </w:r>
            <w:r>
              <w:rPr>
                <w:rFonts w:hint="eastAsia" w:ascii="宋体" w:hAnsi="宋体" w:eastAsia="宋体" w:cs="宋体"/>
                <w:color w:val="000000"/>
                <w:kern w:val="0"/>
                <w:sz w:val="20"/>
                <w:lang w:val="en-US" w:eastAsia="zh-CN" w:bidi="ar"/>
              </w:rPr>
              <w:t>普查活动</w:t>
            </w:r>
          </w:p>
        </w:tc>
        <w:tc>
          <w:tcPr>
            <w:tcW w:w="1290" w:type="dxa"/>
            <w:gridSpan w:val="2"/>
            <w:noWrap w:val="0"/>
            <w:vAlign w:val="center"/>
          </w:tcPr>
          <w:p>
            <w:pPr>
              <w:spacing w:line="700" w:lineRule="exact"/>
              <w:jc w:val="center"/>
              <w:rPr>
                <w:rFonts w:ascii="Calibri" w:hAnsi="Calibri" w:eastAsia="楷体"/>
                <w:kern w:val="0"/>
                <w:szCs w:val="32"/>
              </w:rPr>
            </w:pPr>
          </w:p>
        </w:tc>
        <w:tc>
          <w:tcPr>
            <w:tcW w:w="660"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widowControl/>
              <w:jc w:val="right"/>
              <w:textAlignment w:val="center"/>
              <w:rPr>
                <w:rFonts w:ascii="Calibri" w:hAnsi="Calibri" w:eastAsia="楷体"/>
                <w:kern w:val="0"/>
                <w:szCs w:val="32"/>
              </w:rPr>
            </w:pPr>
            <w:r>
              <w:rPr>
                <w:rFonts w:hint="eastAsia" w:ascii="宋体" w:hAnsi="宋体" w:eastAsia="宋体" w:cs="宋体"/>
                <w:kern w:val="0"/>
                <w:sz w:val="20"/>
                <w:lang w:val="en-US" w:eastAsia="zh-CN"/>
              </w:rPr>
              <w:t>14.97</w:t>
            </w:r>
          </w:p>
        </w:tc>
        <w:tc>
          <w:tcPr>
            <w:tcW w:w="810" w:type="dxa"/>
            <w:noWrap w:val="0"/>
            <w:vAlign w:val="center"/>
          </w:tcPr>
          <w:p>
            <w:pPr>
              <w:widowControl/>
              <w:jc w:val="right"/>
              <w:textAlignment w:val="center"/>
              <w:rPr>
                <w:rFonts w:ascii="Calibri" w:hAnsi="Calibri" w:eastAsia="楷体"/>
                <w:kern w:val="0"/>
                <w:szCs w:val="32"/>
              </w:rPr>
            </w:pPr>
            <w:r>
              <w:rPr>
                <w:rFonts w:hint="eastAsia" w:ascii="宋体" w:hAnsi="宋体" w:eastAsia="宋体" w:cs="宋体"/>
                <w:kern w:val="0"/>
                <w:sz w:val="20"/>
                <w:lang w:val="en-US" w:eastAsia="zh-CN"/>
              </w:rPr>
              <w:t>14.97</w:t>
            </w:r>
          </w:p>
        </w:tc>
        <w:tc>
          <w:tcPr>
            <w:tcW w:w="480" w:type="dxa"/>
            <w:noWrap w:val="0"/>
            <w:vAlign w:val="center"/>
          </w:tcPr>
          <w:p>
            <w:pPr>
              <w:spacing w:line="700" w:lineRule="exact"/>
              <w:jc w:val="center"/>
              <w:rPr>
                <w:rFonts w:ascii="Calibri" w:hAnsi="Calibri" w:eastAsia="楷体"/>
                <w:kern w:val="0"/>
                <w:szCs w:val="32"/>
              </w:rPr>
            </w:pPr>
          </w:p>
        </w:tc>
        <w:tc>
          <w:tcPr>
            <w:tcW w:w="46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50"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55"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1290" w:type="dxa"/>
            <w:gridSpan w:val="2"/>
            <w:noWrap w:val="0"/>
            <w:vAlign w:val="center"/>
          </w:tcPr>
          <w:p>
            <w:pPr>
              <w:jc w:val="left"/>
              <w:rPr>
                <w:rFonts w:hint="default" w:ascii="Calibri" w:hAnsi="Calibri" w:eastAsia="楷体"/>
                <w:kern w:val="0"/>
                <w:szCs w:val="32"/>
                <w:lang w:val="en-US" w:eastAsia="zh-CN"/>
              </w:rPr>
            </w:pPr>
            <w:r>
              <w:rPr>
                <w:rFonts w:hint="eastAsia" w:ascii="宋体" w:hAnsi="宋体" w:eastAsia="宋体" w:cs="宋体"/>
                <w:color w:val="000000"/>
                <w:kern w:val="0"/>
                <w:sz w:val="20"/>
                <w:lang w:val="en-US" w:eastAsia="zh-CN" w:bidi="ar"/>
              </w:rPr>
              <w:t>第五次全国经济普查经费</w:t>
            </w:r>
          </w:p>
        </w:tc>
        <w:tc>
          <w:tcPr>
            <w:tcW w:w="660" w:type="dxa"/>
            <w:noWrap w:val="0"/>
            <w:vAlign w:val="center"/>
          </w:tcPr>
          <w:p>
            <w:pPr>
              <w:jc w:val="left"/>
              <w:rPr>
                <w:rFonts w:ascii="Calibri" w:hAnsi="Calibri" w:eastAsia="楷体"/>
                <w:kern w:val="0"/>
                <w:szCs w:val="32"/>
              </w:rPr>
            </w:pPr>
            <w:r>
              <w:rPr>
                <w:rFonts w:hint="default" w:ascii="宋体" w:hAnsi="宋体" w:eastAsia="宋体" w:cs="宋体"/>
                <w:color w:val="000000"/>
                <w:kern w:val="0"/>
                <w:sz w:val="20"/>
                <w:lang w:val="en-US" w:eastAsia="zh-CN" w:bidi="ar"/>
              </w:rPr>
              <w:t>和龙市统计局</w:t>
            </w:r>
          </w:p>
        </w:tc>
        <w:tc>
          <w:tcPr>
            <w:tcW w:w="780" w:type="dxa"/>
            <w:noWrap w:val="0"/>
            <w:vAlign w:val="center"/>
          </w:tcPr>
          <w:p>
            <w:pPr>
              <w:widowControl/>
              <w:jc w:val="right"/>
              <w:textAlignment w:val="center"/>
              <w:rPr>
                <w:rFonts w:hint="default" w:ascii="Calibri" w:hAnsi="Calibri" w:eastAsia="楷体"/>
                <w:kern w:val="0"/>
                <w:szCs w:val="32"/>
                <w:lang w:val="en-US"/>
              </w:rPr>
            </w:pPr>
            <w:r>
              <w:rPr>
                <w:rFonts w:hint="eastAsia" w:ascii="宋体" w:hAnsi="宋体" w:eastAsia="宋体" w:cs="宋体"/>
                <w:kern w:val="0"/>
                <w:sz w:val="20"/>
                <w:lang w:val="en-US" w:eastAsia="zh-CN"/>
              </w:rPr>
              <w:t>14.97</w:t>
            </w:r>
          </w:p>
        </w:tc>
        <w:tc>
          <w:tcPr>
            <w:tcW w:w="810" w:type="dxa"/>
            <w:noWrap w:val="0"/>
            <w:vAlign w:val="center"/>
          </w:tcPr>
          <w:p>
            <w:pPr>
              <w:widowControl/>
              <w:jc w:val="right"/>
              <w:textAlignment w:val="center"/>
              <w:rPr>
                <w:rFonts w:ascii="Calibri" w:hAnsi="Calibri" w:eastAsia="楷体"/>
                <w:kern w:val="0"/>
                <w:szCs w:val="32"/>
              </w:rPr>
            </w:pPr>
            <w:r>
              <w:rPr>
                <w:rFonts w:hint="eastAsia" w:ascii="宋体" w:hAnsi="宋体" w:eastAsia="宋体" w:cs="宋体"/>
                <w:kern w:val="0"/>
                <w:sz w:val="20"/>
                <w:lang w:val="en-US" w:eastAsia="zh-CN"/>
              </w:rPr>
              <w:t>14.97</w:t>
            </w:r>
          </w:p>
        </w:tc>
        <w:tc>
          <w:tcPr>
            <w:tcW w:w="480" w:type="dxa"/>
            <w:noWrap w:val="0"/>
            <w:vAlign w:val="center"/>
          </w:tcPr>
          <w:p>
            <w:pPr>
              <w:spacing w:line="700" w:lineRule="exact"/>
              <w:jc w:val="center"/>
              <w:rPr>
                <w:rFonts w:ascii="Calibri" w:hAnsi="Calibri" w:eastAsia="楷体"/>
                <w:kern w:val="0"/>
                <w:szCs w:val="32"/>
              </w:rPr>
            </w:pPr>
          </w:p>
        </w:tc>
        <w:tc>
          <w:tcPr>
            <w:tcW w:w="46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50"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5"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jc w:val="left"/>
              <w:rPr>
                <w:rFonts w:ascii="Calibri" w:hAnsi="Calibri" w:eastAsia="楷体"/>
                <w:kern w:val="0"/>
                <w:szCs w:val="32"/>
              </w:rPr>
            </w:pPr>
            <w:r>
              <w:rPr>
                <w:rFonts w:hint="eastAsia" w:ascii="宋体" w:hAnsi="宋体" w:eastAsia="宋体" w:cs="宋体"/>
                <w:color w:val="000000"/>
                <w:kern w:val="0"/>
                <w:sz w:val="20"/>
                <w:lang w:bidi="ar"/>
              </w:rPr>
              <w:t>专项统计业务</w:t>
            </w:r>
          </w:p>
        </w:tc>
        <w:tc>
          <w:tcPr>
            <w:tcW w:w="1290" w:type="dxa"/>
            <w:gridSpan w:val="2"/>
            <w:noWrap w:val="0"/>
            <w:vAlign w:val="center"/>
          </w:tcPr>
          <w:p>
            <w:pPr>
              <w:spacing w:line="700" w:lineRule="exact"/>
              <w:jc w:val="center"/>
              <w:rPr>
                <w:rFonts w:ascii="Calibri" w:hAnsi="Calibri" w:eastAsia="楷体"/>
                <w:kern w:val="0"/>
                <w:szCs w:val="32"/>
              </w:rPr>
            </w:pPr>
          </w:p>
        </w:tc>
        <w:tc>
          <w:tcPr>
            <w:tcW w:w="660"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widowControl/>
              <w:jc w:val="right"/>
              <w:textAlignment w:val="center"/>
              <w:rPr>
                <w:rFonts w:hint="default" w:ascii="Calibri" w:hAnsi="Calibri" w:eastAsia="楷体"/>
                <w:kern w:val="0"/>
                <w:szCs w:val="32"/>
                <w:lang w:val="en-US"/>
              </w:rPr>
            </w:pPr>
            <w:r>
              <w:rPr>
                <w:rFonts w:hint="eastAsia" w:ascii="宋体" w:hAnsi="宋体" w:eastAsia="宋体" w:cs="宋体"/>
                <w:kern w:val="0"/>
                <w:sz w:val="20"/>
                <w:lang w:val="en-US" w:eastAsia="zh-CN"/>
              </w:rPr>
              <w:t>34.40</w:t>
            </w:r>
          </w:p>
        </w:tc>
        <w:tc>
          <w:tcPr>
            <w:tcW w:w="810" w:type="dxa"/>
            <w:noWrap w:val="0"/>
            <w:vAlign w:val="center"/>
          </w:tcPr>
          <w:p>
            <w:pPr>
              <w:widowControl/>
              <w:jc w:val="right"/>
              <w:textAlignment w:val="center"/>
              <w:rPr>
                <w:rFonts w:ascii="Calibri" w:hAnsi="Calibri" w:eastAsia="楷体"/>
                <w:kern w:val="0"/>
                <w:szCs w:val="32"/>
              </w:rPr>
            </w:pPr>
            <w:r>
              <w:rPr>
                <w:rFonts w:hint="eastAsia" w:ascii="宋体" w:hAnsi="宋体" w:eastAsia="宋体" w:cs="宋体"/>
                <w:kern w:val="0"/>
                <w:sz w:val="20"/>
                <w:lang w:val="en-US" w:eastAsia="zh-CN"/>
              </w:rPr>
              <w:t>34.40</w:t>
            </w:r>
          </w:p>
        </w:tc>
        <w:tc>
          <w:tcPr>
            <w:tcW w:w="480" w:type="dxa"/>
            <w:noWrap w:val="0"/>
            <w:vAlign w:val="center"/>
          </w:tcPr>
          <w:p>
            <w:pPr>
              <w:spacing w:line="700" w:lineRule="exact"/>
              <w:jc w:val="center"/>
              <w:rPr>
                <w:rFonts w:ascii="Calibri" w:hAnsi="Calibri" w:eastAsia="楷体"/>
                <w:kern w:val="0"/>
                <w:szCs w:val="32"/>
              </w:rPr>
            </w:pPr>
          </w:p>
        </w:tc>
        <w:tc>
          <w:tcPr>
            <w:tcW w:w="46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50"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5"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1290" w:type="dxa"/>
            <w:gridSpan w:val="2"/>
            <w:noWrap w:val="0"/>
            <w:vAlign w:val="center"/>
          </w:tcPr>
          <w:p>
            <w:pPr>
              <w:jc w:val="left"/>
              <w:rPr>
                <w:rFonts w:ascii="Calibri" w:hAnsi="Calibri" w:eastAsia="楷体"/>
                <w:kern w:val="0"/>
                <w:szCs w:val="32"/>
              </w:rPr>
            </w:pPr>
            <w:r>
              <w:rPr>
                <w:rFonts w:hint="default" w:ascii="宋体" w:hAnsi="宋体" w:eastAsia="宋体" w:cs="宋体"/>
                <w:color w:val="000000"/>
                <w:kern w:val="0"/>
                <w:sz w:val="20"/>
                <w:lang w:val="en-US" w:eastAsia="zh-CN" w:bidi="ar"/>
              </w:rPr>
              <w:t>统计调查经费</w:t>
            </w:r>
          </w:p>
        </w:tc>
        <w:tc>
          <w:tcPr>
            <w:tcW w:w="660" w:type="dxa"/>
            <w:noWrap w:val="0"/>
            <w:vAlign w:val="center"/>
          </w:tcPr>
          <w:p>
            <w:pPr>
              <w:jc w:val="left"/>
              <w:rPr>
                <w:rFonts w:ascii="Calibri" w:hAnsi="Calibri" w:eastAsia="楷体"/>
                <w:kern w:val="0"/>
                <w:szCs w:val="32"/>
              </w:rPr>
            </w:pPr>
            <w:r>
              <w:rPr>
                <w:rFonts w:hint="default" w:ascii="宋体" w:hAnsi="宋体" w:eastAsia="宋体" w:cs="宋体"/>
                <w:color w:val="000000"/>
                <w:kern w:val="0"/>
                <w:sz w:val="20"/>
                <w:lang w:val="en-US" w:eastAsia="zh-CN" w:bidi="ar"/>
              </w:rPr>
              <w:t>和龙市统计局</w:t>
            </w:r>
          </w:p>
        </w:tc>
        <w:tc>
          <w:tcPr>
            <w:tcW w:w="780" w:type="dxa"/>
            <w:noWrap w:val="0"/>
            <w:vAlign w:val="center"/>
          </w:tcPr>
          <w:p>
            <w:pPr>
              <w:widowControl/>
              <w:jc w:val="right"/>
              <w:textAlignment w:val="center"/>
              <w:rPr>
                <w:rFonts w:hint="default" w:ascii="Calibri" w:hAnsi="Calibri" w:eastAsia="楷体"/>
                <w:kern w:val="0"/>
                <w:szCs w:val="32"/>
                <w:lang w:val="en-US"/>
              </w:rPr>
            </w:pPr>
            <w:r>
              <w:rPr>
                <w:rFonts w:hint="eastAsia" w:ascii="宋体" w:hAnsi="宋体" w:eastAsia="宋体" w:cs="宋体"/>
                <w:kern w:val="0"/>
                <w:sz w:val="20"/>
                <w:lang w:val="en-US" w:eastAsia="zh-CN"/>
              </w:rPr>
              <w:t>34.40</w:t>
            </w:r>
          </w:p>
        </w:tc>
        <w:tc>
          <w:tcPr>
            <w:tcW w:w="810" w:type="dxa"/>
            <w:noWrap w:val="0"/>
            <w:vAlign w:val="center"/>
          </w:tcPr>
          <w:p>
            <w:pPr>
              <w:widowControl/>
              <w:jc w:val="right"/>
              <w:textAlignment w:val="center"/>
              <w:rPr>
                <w:rFonts w:ascii="Calibri" w:hAnsi="Calibri" w:eastAsia="楷体"/>
                <w:kern w:val="0"/>
                <w:szCs w:val="32"/>
              </w:rPr>
            </w:pPr>
            <w:r>
              <w:rPr>
                <w:rFonts w:hint="eastAsia" w:ascii="宋体" w:hAnsi="宋体" w:eastAsia="宋体" w:cs="宋体"/>
                <w:kern w:val="0"/>
                <w:sz w:val="20"/>
                <w:lang w:val="en-US" w:eastAsia="zh-CN"/>
              </w:rPr>
              <w:t>34.40</w:t>
            </w:r>
          </w:p>
        </w:tc>
        <w:tc>
          <w:tcPr>
            <w:tcW w:w="480" w:type="dxa"/>
            <w:noWrap w:val="0"/>
            <w:vAlign w:val="center"/>
          </w:tcPr>
          <w:p>
            <w:pPr>
              <w:spacing w:line="700" w:lineRule="exact"/>
              <w:jc w:val="center"/>
              <w:rPr>
                <w:rFonts w:ascii="Calibri" w:hAnsi="Calibri" w:eastAsia="楷体"/>
                <w:kern w:val="0"/>
                <w:szCs w:val="32"/>
              </w:rPr>
            </w:pPr>
          </w:p>
        </w:tc>
        <w:tc>
          <w:tcPr>
            <w:tcW w:w="46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50"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pPr>
              <w:autoSpaceDN w:val="0"/>
              <w:jc w:val="center"/>
              <w:textAlignment w:val="center"/>
              <w:rPr>
                <w:rFonts w:ascii="Calibri" w:hAnsi="Calibri" w:eastAsia="华文细黑"/>
                <w:color w:val="000000"/>
                <w:sz w:val="20"/>
                <w:szCs w:val="22"/>
              </w:rPr>
            </w:pPr>
          </w:p>
        </w:tc>
        <w:tc>
          <w:tcPr>
            <w:tcW w:w="1290" w:type="dxa"/>
            <w:gridSpan w:val="2"/>
            <w:noWrap w:val="0"/>
            <w:vAlign w:val="center"/>
          </w:tcPr>
          <w:p>
            <w:pPr>
              <w:spacing w:line="700" w:lineRule="exact"/>
              <w:jc w:val="center"/>
              <w:rPr>
                <w:rFonts w:ascii="Calibri" w:hAnsi="Calibri" w:eastAsia="楷体"/>
                <w:kern w:val="0"/>
                <w:szCs w:val="32"/>
              </w:rPr>
            </w:pPr>
          </w:p>
        </w:tc>
        <w:tc>
          <w:tcPr>
            <w:tcW w:w="660"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widowControl/>
              <w:jc w:val="right"/>
              <w:textAlignment w:val="center"/>
              <w:rPr>
                <w:rFonts w:ascii="Calibri" w:hAnsi="Calibri" w:eastAsia="楷体"/>
                <w:kern w:val="0"/>
                <w:szCs w:val="32"/>
              </w:rPr>
            </w:pPr>
            <w:r>
              <w:rPr>
                <w:rFonts w:hint="eastAsia" w:ascii="宋体" w:hAnsi="宋体" w:eastAsia="宋体" w:cs="宋体"/>
                <w:kern w:val="0"/>
                <w:sz w:val="20"/>
                <w:lang w:val="en-US" w:eastAsia="zh-CN"/>
              </w:rPr>
              <w:t>49.37</w:t>
            </w:r>
          </w:p>
        </w:tc>
        <w:tc>
          <w:tcPr>
            <w:tcW w:w="810" w:type="dxa"/>
            <w:noWrap w:val="0"/>
            <w:vAlign w:val="center"/>
          </w:tcPr>
          <w:p>
            <w:pPr>
              <w:widowControl/>
              <w:jc w:val="right"/>
              <w:textAlignment w:val="center"/>
              <w:rPr>
                <w:rFonts w:ascii="Calibri" w:hAnsi="Calibri" w:eastAsia="楷体"/>
                <w:kern w:val="0"/>
                <w:szCs w:val="32"/>
              </w:rPr>
            </w:pPr>
            <w:r>
              <w:rPr>
                <w:rFonts w:hint="eastAsia" w:ascii="宋体" w:hAnsi="宋体" w:eastAsia="宋体" w:cs="宋体"/>
                <w:kern w:val="0"/>
                <w:sz w:val="20"/>
                <w:lang w:val="en-US" w:eastAsia="zh-CN"/>
              </w:rPr>
              <w:t>49.37</w:t>
            </w:r>
          </w:p>
        </w:tc>
        <w:tc>
          <w:tcPr>
            <w:tcW w:w="480" w:type="dxa"/>
            <w:noWrap w:val="0"/>
            <w:vAlign w:val="center"/>
          </w:tcPr>
          <w:p>
            <w:pPr>
              <w:spacing w:line="700" w:lineRule="exact"/>
              <w:jc w:val="center"/>
              <w:rPr>
                <w:rFonts w:ascii="Calibri" w:hAnsi="Calibri" w:eastAsia="楷体"/>
                <w:kern w:val="0"/>
                <w:szCs w:val="32"/>
              </w:rPr>
            </w:pPr>
          </w:p>
        </w:tc>
        <w:tc>
          <w:tcPr>
            <w:tcW w:w="46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50"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tbl>
      <w:tblPr>
        <w:tblStyle w:val="10"/>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921"/>
        <w:gridCol w:w="960"/>
        <w:gridCol w:w="973"/>
        <w:gridCol w:w="826"/>
        <w:gridCol w:w="1005"/>
        <w:gridCol w:w="1080"/>
        <w:gridCol w:w="871"/>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162"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和龙市统计局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统计调查经费</w:t>
            </w:r>
          </w:p>
        </w:tc>
        <w:tc>
          <w:tcPr>
            <w:tcW w:w="92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Times New Roman" w:hAnsi="Times New Roman" w:eastAsia="华文细黑" w:cs="Times New Roman"/>
                <w:kern w:val="0"/>
                <w:sz w:val="20"/>
                <w:szCs w:val="20"/>
                <w:vertAlign w:val="baseline"/>
              </w:rPr>
              <w:t>34.40</w:t>
            </w:r>
          </w:p>
        </w:tc>
        <w:tc>
          <w:tcPr>
            <w:tcW w:w="96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6"/>
                <w:szCs w:val="16"/>
                <w:vertAlign w:val="baseline"/>
              </w:rPr>
              <w:t>通过开展统计调查、统计监测、统计分析、统计报告等相关统计工作。不断提升统计服务质量，较好的发挥统计工作在和龙市社会经济发展方面的职能作用，为市委市政府提供经济运行各项指标及经济运行分析预测，研判经济发展态势。全面、及时、准确地上报各专业统计报表，及时发布统计公报，印发《第五次全国经济普查年鉴》及各年度《统计年鉴》。</w:t>
            </w:r>
          </w:p>
        </w:tc>
        <w:tc>
          <w:tcPr>
            <w:tcW w:w="973"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82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100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统计信息发布条数</w:t>
            </w:r>
          </w:p>
        </w:tc>
        <w:tc>
          <w:tcPr>
            <w:tcW w:w="10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反映数据发布篇数情况</w:t>
            </w:r>
          </w:p>
        </w:tc>
        <w:tc>
          <w:tcPr>
            <w:tcW w:w="87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≥4篇</w:t>
            </w:r>
          </w:p>
        </w:tc>
        <w:tc>
          <w:tcPr>
            <w:tcW w:w="450"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2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05" w:type="dxa"/>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形成《月报》数量</w:t>
            </w:r>
          </w:p>
        </w:tc>
        <w:tc>
          <w:tcPr>
            <w:tcW w:w="1080"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完成《月报》数量</w:t>
            </w:r>
          </w:p>
        </w:tc>
        <w:tc>
          <w:tcPr>
            <w:tcW w:w="871"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≥10本</w:t>
            </w:r>
          </w:p>
        </w:tc>
        <w:tc>
          <w:tcPr>
            <w:tcW w:w="450" w:type="dxa"/>
            <w:tcBorders>
              <w:lef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2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05" w:type="dxa"/>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统计分析报告篇数</w:t>
            </w:r>
          </w:p>
        </w:tc>
        <w:tc>
          <w:tcPr>
            <w:tcW w:w="1080"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反映统计分析报告篇数情况。</w:t>
            </w:r>
          </w:p>
        </w:tc>
        <w:tc>
          <w:tcPr>
            <w:tcW w:w="871"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≥4篇</w:t>
            </w:r>
          </w:p>
        </w:tc>
        <w:tc>
          <w:tcPr>
            <w:tcW w:w="450" w:type="dxa"/>
            <w:tcBorders>
              <w:lef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1038"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921"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960"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973"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826"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1005" w:type="dxa"/>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经济分析报告篇数</w:t>
            </w:r>
          </w:p>
        </w:tc>
        <w:tc>
          <w:tcPr>
            <w:tcW w:w="1080"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反映为政府提供经济运行报告的数量情况。</w:t>
            </w:r>
          </w:p>
        </w:tc>
        <w:tc>
          <w:tcPr>
            <w:tcW w:w="871"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≥2篇</w:t>
            </w:r>
          </w:p>
        </w:tc>
        <w:tc>
          <w:tcPr>
            <w:tcW w:w="450" w:type="dxa"/>
            <w:tcBorders>
              <w:lef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3"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16"/>
                <w:szCs w:val="16"/>
                <w:vertAlign w:val="baseline"/>
                <w:lang w:eastAsia="zh-CN"/>
              </w:rPr>
              <w:t>效益指标</w:t>
            </w:r>
          </w:p>
        </w:tc>
        <w:tc>
          <w:tcPr>
            <w:tcW w:w="826"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社会效益指标</w:t>
            </w:r>
          </w:p>
        </w:tc>
        <w:tc>
          <w:tcPr>
            <w:tcW w:w="1005" w:type="dxa"/>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编印当年月度经济运行的统计月报，为党政领导决策提供数据支撑</w:t>
            </w:r>
          </w:p>
        </w:tc>
        <w:tc>
          <w:tcPr>
            <w:tcW w:w="1080"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提供反映当年月度经济运行发展情况，为党政领导决策提供数据支撑，发挥统计参谋和助手作用的统计月报。</w:t>
            </w:r>
          </w:p>
        </w:tc>
        <w:tc>
          <w:tcPr>
            <w:tcW w:w="871"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≥10本</w:t>
            </w:r>
          </w:p>
        </w:tc>
        <w:tc>
          <w:tcPr>
            <w:tcW w:w="450" w:type="dxa"/>
            <w:tcBorders>
              <w:lef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2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05" w:type="dxa"/>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编印上年县域经济运行的统计公报，为党政领导决策提供数据支撑</w:t>
            </w:r>
          </w:p>
        </w:tc>
        <w:tc>
          <w:tcPr>
            <w:tcW w:w="1080"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编印上年县域经济运行的统计公报，为党政领导决策提供数据支撑</w:t>
            </w:r>
          </w:p>
        </w:tc>
        <w:tc>
          <w:tcPr>
            <w:tcW w:w="871"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=1篇</w:t>
            </w:r>
          </w:p>
        </w:tc>
        <w:tc>
          <w:tcPr>
            <w:tcW w:w="450" w:type="dxa"/>
            <w:tcBorders>
              <w:lef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38"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1"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3"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26"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编印历年县域经济运行的统计年鉴，为党政领导决策提供数据支撑</w:t>
            </w:r>
          </w:p>
        </w:tc>
        <w:tc>
          <w:tcPr>
            <w:tcW w:w="108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编印全县历年经济运行的统计年鉴，为党政领导决策提供数据支撑</w:t>
            </w:r>
          </w:p>
        </w:tc>
        <w:tc>
          <w:tcPr>
            <w:tcW w:w="87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=1本</w:t>
            </w:r>
          </w:p>
        </w:tc>
        <w:tc>
          <w:tcPr>
            <w:tcW w:w="450" w:type="dxa"/>
            <w:tcBorders>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bl>
    <w:tbl>
      <w:tblPr>
        <w:tblStyle w:val="9"/>
        <w:tblpPr w:leftFromText="180" w:rightFromText="180" w:vertAnchor="text" w:horzAnchor="page" w:tblpX="1740" w:tblpY="608"/>
        <w:tblOverlap w:val="never"/>
        <w:tblW w:w="8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848"/>
        <w:gridCol w:w="956"/>
        <w:gridCol w:w="1050"/>
        <w:gridCol w:w="870"/>
        <w:gridCol w:w="870"/>
        <w:gridCol w:w="855"/>
        <w:gridCol w:w="1065"/>
        <w:gridCol w:w="945"/>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8935" w:type="dxa"/>
            <w:gridSpan w:val="10"/>
            <w:tcBorders>
              <w:top w:val="nil"/>
              <w:left w:val="nil"/>
              <w:bottom w:val="single" w:color="000000" w:sz="4" w:space="0"/>
              <w:right w:val="nil"/>
            </w:tcBorders>
            <w:shd w:val="clear" w:color="auto" w:fill="auto"/>
            <w:noWrap/>
            <w:vAlign w:val="center"/>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val="en-US" w:eastAsia="zh-CN"/>
              </w:rPr>
              <w:t xml:space="preserve">                                                                              </w:t>
            </w:r>
            <w:r>
              <w:rPr>
                <w:rFonts w:hint="eastAsia" w:ascii="Calibri" w:hAnsi="Calibri" w:eastAsia="华文细黑" w:cs="Times New Roman"/>
                <w:color w:val="000000"/>
                <w:sz w:val="20"/>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宋体" w:hAnsi="宋体" w:eastAsia="宋体" w:cs="宋体"/>
                <w:i w:val="0"/>
                <w:iCs w:val="0"/>
                <w:color w:val="000000"/>
                <w:sz w:val="20"/>
                <w:szCs w:val="20"/>
                <w:u w:val="none"/>
              </w:rPr>
            </w:pPr>
            <w:r>
              <w:rPr>
                <w:rFonts w:hint="eastAsia" w:ascii="华文细黑" w:hAnsi="华文细黑" w:eastAsia="华文细黑" w:cs="华文细黑"/>
                <w:kern w:val="0"/>
                <w:sz w:val="20"/>
                <w:szCs w:val="20"/>
                <w:vertAlign w:val="baseline"/>
                <w:lang w:val="en-US" w:eastAsia="zh-CN"/>
              </w:rPr>
              <w:t>单位名称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kern w:val="0"/>
                <w:sz w:val="20"/>
                <w:szCs w:val="20"/>
                <w:vertAlign w:val="baseline"/>
                <w:lang w:eastAsia="zh-CN"/>
              </w:rPr>
              <w:t>项目名称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kern w:val="0"/>
                <w:sz w:val="20"/>
                <w:szCs w:val="20"/>
                <w:vertAlign w:val="baseline"/>
                <w:lang w:eastAsia="zh-CN"/>
              </w:rPr>
              <w:t>一级指标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kern w:val="0"/>
                <w:sz w:val="20"/>
                <w:szCs w:val="20"/>
                <w:vertAlign w:val="baseline"/>
                <w:lang w:eastAsia="zh-CN"/>
              </w:rPr>
              <w:t>二级指标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kern w:val="0"/>
                <w:sz w:val="20"/>
                <w:szCs w:val="20"/>
                <w:vertAlign w:val="baseline"/>
                <w:lang w:eastAsia="zh-CN"/>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kern w:val="0"/>
                <w:sz w:val="20"/>
                <w:szCs w:val="20"/>
                <w:vertAlign w:val="baseline"/>
                <w:lang w:eastAsia="zh-CN"/>
              </w:rPr>
              <w:t>指标解释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kern w:val="0"/>
                <w:sz w:val="20"/>
                <w:szCs w:val="20"/>
                <w:vertAlign w:val="baseline"/>
                <w:lang w:eastAsia="zh-CN"/>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kern w:val="0"/>
                <w:sz w:val="20"/>
                <w:szCs w:val="20"/>
                <w:vertAlign w:val="baseline"/>
                <w:lang w:eastAsia="zh-CN"/>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5"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kern w:val="0"/>
                <w:sz w:val="20"/>
                <w:szCs w:val="20"/>
                <w:vertAlign w:val="baseline"/>
                <w:lang w:val="en-US" w:eastAsia="zh-CN"/>
              </w:rPr>
              <w:t>和龙市统计局</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i w:val="0"/>
                <w:iCs w:val="0"/>
                <w:color w:val="000000"/>
                <w:kern w:val="0"/>
                <w:sz w:val="16"/>
                <w:szCs w:val="16"/>
                <w:u w:val="none"/>
                <w:lang w:val="en-US" w:eastAsia="zh-CN" w:bidi="ar"/>
              </w:rPr>
              <w:t>第五次全国经济普查经费</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14.97</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i w:val="0"/>
                <w:iCs w:val="0"/>
                <w:color w:val="000000"/>
                <w:kern w:val="0"/>
                <w:sz w:val="16"/>
                <w:szCs w:val="16"/>
                <w:u w:val="none"/>
                <w:lang w:val="en-US" w:eastAsia="zh-CN" w:bidi="ar"/>
              </w:rPr>
              <w:t>根据《中华人民共和国统计法》《全国经济普查条例》规定和《中华人民共和国统计法实施条例》精神，为进一步做好第五次全国经济普查保障工作，1：科学编制普查预算，准确核定并及时落实普查经费；2：充分运用现代信息技术，合理做好普查设备配置工作；3：规范普查指导员和普查员选调工作，保障落实劳动报酬经费；4：加大统筹安排力度，切实提高普查经费使用效益；5：形成统计分析报告，为相关部门提供数据参考。</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i w:val="0"/>
                <w:iCs w:val="0"/>
                <w:color w:val="000000"/>
                <w:kern w:val="0"/>
                <w:sz w:val="16"/>
                <w:szCs w:val="16"/>
                <w:u w:val="none"/>
                <w:lang w:val="en-US" w:eastAsia="zh-CN" w:bidi="ar"/>
              </w:rPr>
              <w:t>普查员、普查指导员补贴发放人数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华文细黑" w:hAnsi="华文细黑" w:eastAsia="华文细黑" w:cs="华文细黑"/>
                <w:i w:val="0"/>
                <w:iCs w:val="0"/>
                <w:color w:val="000000"/>
                <w:kern w:val="0"/>
                <w:sz w:val="16"/>
                <w:szCs w:val="16"/>
                <w:u w:val="none"/>
                <w:lang w:val="en-US" w:eastAsia="zh-CN" w:bidi="ar"/>
              </w:rPr>
              <w:t>反映普查员、普查指导员补贴发放人数。</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eastAsia="宋体"/>
                <w:color w:val="000000"/>
                <w:kern w:val="0"/>
                <w:sz w:val="20"/>
                <w:lang w:val="en-US" w:eastAsia="zh-CN"/>
              </w:rPr>
            </w:pPr>
            <w:r>
              <w:rPr>
                <w:rFonts w:hint="eastAsia" w:ascii="华文细黑" w:hAnsi="华文细黑" w:eastAsia="华文细黑" w:cs="华文细黑"/>
                <w:i w:val="0"/>
                <w:iCs w:val="0"/>
                <w:color w:val="000000"/>
                <w:kern w:val="0"/>
                <w:sz w:val="16"/>
                <w:szCs w:val="16"/>
                <w:u w:val="none"/>
                <w:lang w:val="en-US" w:eastAsia="zh-CN" w:bidi="ar"/>
              </w:rPr>
              <w:t>≥253人</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eastAsia="宋体"/>
                <w:color w:val="000000"/>
                <w:kern w:val="0"/>
                <w:sz w:val="20"/>
                <w:lang w:val="en-US" w:eastAsia="zh-CN"/>
              </w:rPr>
            </w:pPr>
            <w:r>
              <w:rPr>
                <w:rFonts w:hint="eastAsia" w:ascii="华文细黑" w:hAnsi="华文细黑" w:eastAsia="华文细黑" w:cs="华文细黑"/>
                <w:i w:val="0"/>
                <w:iCs w:val="0"/>
                <w:color w:val="00000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8" w:hRule="atLeast"/>
        </w:trPr>
        <w:tc>
          <w:tcPr>
            <w:tcW w:w="105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84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95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05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普查员、普查指导员补贴发放覆盖率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反映普查员、普查指导员补贴发放覆盖率情况。</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40</w:t>
            </w:r>
          </w:p>
        </w:tc>
      </w:tr>
    </w:tbl>
    <w:p>
      <w:pPr>
        <w:spacing w:line="700" w:lineRule="exact"/>
        <w:rPr>
          <w:rFonts w:eastAsia="楷体"/>
          <w:kern w:val="0"/>
          <w:szCs w:val="32"/>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预算管理。收入包括：一般公共预算拨款收入、政府性基金预算拨款收入、</w:t>
      </w:r>
      <w:r>
        <w:rPr>
          <w:rFonts w:hint="eastAsia"/>
          <w:szCs w:val="32"/>
        </w:rPr>
        <w:t>国有资本经营预算拨款收入、财政专户管理资金收入、</w:t>
      </w:r>
      <w:r>
        <w:rPr>
          <w:szCs w:val="32"/>
        </w:rPr>
        <w:t>事业收入、</w:t>
      </w:r>
      <w:r>
        <w:rPr>
          <w:rFonts w:hint="eastAsia"/>
          <w:szCs w:val="32"/>
        </w:rPr>
        <w:t>上级补助收入</w:t>
      </w:r>
      <w:r>
        <w:rPr>
          <w:szCs w:val="32"/>
        </w:rPr>
        <w:t>、</w:t>
      </w:r>
      <w:r>
        <w:rPr>
          <w:rFonts w:hint="eastAsia"/>
          <w:szCs w:val="32"/>
        </w:rPr>
        <w:t>附属单位上缴收入、</w:t>
      </w:r>
      <w:r>
        <w:rPr>
          <w:szCs w:val="32"/>
        </w:rPr>
        <w:t>事业单位经营收入</w:t>
      </w:r>
      <w:r>
        <w:rPr>
          <w:rFonts w:hint="eastAsia"/>
          <w:szCs w:val="32"/>
        </w:rPr>
        <w:t>、</w:t>
      </w:r>
      <w:r>
        <w:rPr>
          <w:szCs w:val="32"/>
        </w:rPr>
        <w:t>其他收入、上年结转</w:t>
      </w:r>
      <w:r>
        <w:rPr>
          <w:rFonts w:hint="eastAsia"/>
          <w:szCs w:val="32"/>
        </w:rPr>
        <w:t>结余</w:t>
      </w:r>
      <w:r>
        <w:rPr>
          <w:szCs w:val="32"/>
        </w:rPr>
        <w:t>等；支出包括：一般公共服务支出、教育支出、科学技术支出、文化</w:t>
      </w:r>
      <w:r>
        <w:rPr>
          <w:rFonts w:hint="eastAsia"/>
          <w:szCs w:val="32"/>
        </w:rPr>
        <w:t>旅游</w:t>
      </w:r>
      <w:r>
        <w:rPr>
          <w:szCs w:val="32"/>
        </w:rPr>
        <w:t>体育与传媒支出、社会保障和就业支出、农林水支出、住房保障支出、结转下年支出等。20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223.65</w:t>
      </w:r>
      <w:r>
        <w:rPr>
          <w:szCs w:val="32"/>
        </w:rPr>
        <w:t>万元</w:t>
      </w:r>
      <w:r>
        <w:rPr>
          <w:rFonts w:hint="eastAsia"/>
          <w:szCs w:val="32"/>
          <w:lang w:eastAsia="zh-CN"/>
        </w:rPr>
        <w:t>，其中：本年预算</w:t>
      </w:r>
      <w:r>
        <w:rPr>
          <w:rFonts w:hint="eastAsia"/>
          <w:szCs w:val="32"/>
          <w:lang w:val="en-US" w:eastAsia="zh-CN"/>
        </w:rPr>
        <w:t>196.07</w:t>
      </w:r>
      <w:r>
        <w:rPr>
          <w:rFonts w:hint="eastAsia"/>
          <w:szCs w:val="32"/>
          <w:lang w:eastAsia="zh-CN"/>
        </w:rPr>
        <w:t>万元；上年结转</w:t>
      </w:r>
      <w:r>
        <w:rPr>
          <w:rFonts w:hint="eastAsia"/>
          <w:szCs w:val="32"/>
          <w:lang w:val="en-US" w:eastAsia="zh-CN"/>
        </w:rPr>
        <w:t>27.58</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预算增加（减少）</w:t>
      </w:r>
      <w:r>
        <w:rPr>
          <w:rFonts w:hint="eastAsia"/>
          <w:szCs w:val="32"/>
          <w:lang w:val="en-US" w:eastAsia="zh-CN"/>
        </w:rPr>
        <w:t>32.45</w:t>
      </w:r>
      <w:r>
        <w:rPr>
          <w:szCs w:val="32"/>
        </w:rPr>
        <w:t>万元，主要原因是</w:t>
      </w:r>
      <w:r>
        <w:rPr>
          <w:rFonts w:hint="eastAsia"/>
          <w:szCs w:val="32"/>
          <w:lang w:val="en-US" w:eastAsia="zh-CN"/>
        </w:rPr>
        <w:t>本年度增加第五次全国经济普查经费；新招录两名公务员，预算核定的公用经费和人员经费增加；将退休人员增加补贴部分纳入年初预算</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223.65</w:t>
      </w:r>
      <w:r>
        <w:rPr>
          <w:szCs w:val="32"/>
        </w:rPr>
        <w:t>万元，其中：本年收入</w:t>
      </w:r>
      <w:r>
        <w:rPr>
          <w:rFonts w:hint="eastAsia"/>
          <w:szCs w:val="32"/>
          <w:lang w:val="en-US" w:eastAsia="zh-CN"/>
        </w:rPr>
        <w:t>196.07</w:t>
      </w:r>
      <w:r>
        <w:rPr>
          <w:szCs w:val="32"/>
        </w:rPr>
        <w:t>万元，占</w:t>
      </w:r>
      <w:r>
        <w:rPr>
          <w:rFonts w:hint="eastAsia"/>
          <w:szCs w:val="32"/>
          <w:lang w:val="en-US" w:eastAsia="zh-CN"/>
        </w:rPr>
        <w:t>87.67</w:t>
      </w:r>
      <w:r>
        <w:rPr>
          <w:szCs w:val="32"/>
        </w:rPr>
        <w:t>%；上年结转</w:t>
      </w:r>
      <w:r>
        <w:rPr>
          <w:rFonts w:hint="eastAsia"/>
          <w:szCs w:val="32"/>
          <w:lang w:eastAsia="zh-CN"/>
        </w:rPr>
        <w:t>结余</w:t>
      </w:r>
      <w:r>
        <w:rPr>
          <w:rFonts w:hint="eastAsia"/>
          <w:szCs w:val="32"/>
          <w:lang w:val="en-US" w:eastAsia="zh-CN"/>
        </w:rPr>
        <w:t>27.58</w:t>
      </w:r>
      <w:r>
        <w:rPr>
          <w:szCs w:val="32"/>
        </w:rPr>
        <w:t>万元，占</w:t>
      </w:r>
      <w:r>
        <w:rPr>
          <w:rFonts w:hint="eastAsia"/>
          <w:szCs w:val="32"/>
          <w:lang w:val="en-US" w:eastAsia="zh-CN"/>
        </w:rPr>
        <w:t>12.33</w:t>
      </w:r>
      <w:r>
        <w:rPr>
          <w:szCs w:val="32"/>
        </w:rPr>
        <w:t>%。本年收入中，一般公共预算拨款收入</w:t>
      </w:r>
      <w:r>
        <w:rPr>
          <w:rFonts w:hint="eastAsia"/>
          <w:szCs w:val="32"/>
          <w:lang w:val="en-US" w:eastAsia="zh-CN"/>
        </w:rPr>
        <w:t>196.07</w:t>
      </w:r>
      <w:r>
        <w:rPr>
          <w:szCs w:val="32"/>
        </w:rPr>
        <w:t>万元，占</w:t>
      </w:r>
      <w:r>
        <w:rPr>
          <w:rFonts w:hint="eastAsia"/>
          <w:szCs w:val="32"/>
          <w:lang w:val="en-US" w:eastAsia="zh-CN"/>
        </w:rPr>
        <w:t>100</w:t>
      </w:r>
      <w:r>
        <w:rPr>
          <w:szCs w:val="32"/>
        </w:rPr>
        <w:t>%；上年结转</w:t>
      </w:r>
      <w:r>
        <w:rPr>
          <w:rFonts w:hint="eastAsia"/>
          <w:szCs w:val="32"/>
        </w:rPr>
        <w:t>中，一般公共预算拨款结转</w:t>
      </w:r>
      <w:r>
        <w:rPr>
          <w:rFonts w:hint="eastAsia"/>
          <w:szCs w:val="32"/>
          <w:lang w:val="en-US" w:eastAsia="zh-CN"/>
        </w:rPr>
        <w:t>27.58</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223.65</w:t>
      </w:r>
      <w:r>
        <w:rPr>
          <w:szCs w:val="32"/>
        </w:rPr>
        <w:t>万元，其中：基本支出</w:t>
      </w:r>
      <w:r>
        <w:rPr>
          <w:rFonts w:hint="eastAsia"/>
          <w:szCs w:val="32"/>
          <w:lang w:val="en-US" w:eastAsia="zh-CN"/>
        </w:rPr>
        <w:t>174.28</w:t>
      </w:r>
      <w:r>
        <w:rPr>
          <w:szCs w:val="32"/>
        </w:rPr>
        <w:t>万元，占</w:t>
      </w:r>
      <w:r>
        <w:rPr>
          <w:rFonts w:hint="eastAsia"/>
          <w:szCs w:val="32"/>
          <w:lang w:val="en-US" w:eastAsia="zh-CN"/>
        </w:rPr>
        <w:t>77.93</w:t>
      </w:r>
      <w:r>
        <w:rPr>
          <w:szCs w:val="32"/>
        </w:rPr>
        <w:t>%；项目支出</w:t>
      </w:r>
      <w:r>
        <w:rPr>
          <w:rFonts w:hint="eastAsia"/>
          <w:szCs w:val="32"/>
          <w:lang w:val="en-US" w:eastAsia="zh-CN"/>
        </w:rPr>
        <w:t>49.37</w:t>
      </w:r>
      <w:r>
        <w:rPr>
          <w:szCs w:val="32"/>
        </w:rPr>
        <w:t>万元，占</w:t>
      </w:r>
      <w:r>
        <w:rPr>
          <w:rFonts w:hint="eastAsia"/>
          <w:szCs w:val="32"/>
          <w:lang w:val="en-US" w:eastAsia="zh-CN"/>
        </w:rPr>
        <w:t>22.07</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223.65</w:t>
      </w:r>
      <w:r>
        <w:rPr>
          <w:szCs w:val="32"/>
        </w:rPr>
        <w:t>万元，其中：</w:t>
      </w:r>
      <w:r>
        <w:rPr>
          <w:rFonts w:hint="eastAsia"/>
          <w:szCs w:val="32"/>
        </w:rPr>
        <w:t>本年</w:t>
      </w:r>
      <w:r>
        <w:rPr>
          <w:rFonts w:hint="eastAsia"/>
          <w:szCs w:val="32"/>
          <w:lang w:eastAsia="zh-CN"/>
        </w:rPr>
        <w:t>预算</w:t>
      </w:r>
      <w:r>
        <w:rPr>
          <w:rFonts w:hint="eastAsia"/>
          <w:szCs w:val="32"/>
          <w:lang w:val="en-US" w:eastAsia="zh-CN"/>
        </w:rPr>
        <w:t>196.07</w:t>
      </w:r>
      <w:r>
        <w:rPr>
          <w:szCs w:val="32"/>
        </w:rPr>
        <w:t>万元</w:t>
      </w:r>
      <w:r>
        <w:rPr>
          <w:rFonts w:hint="eastAsia"/>
          <w:szCs w:val="32"/>
        </w:rPr>
        <w:t>，上年结转</w:t>
      </w:r>
      <w:r>
        <w:rPr>
          <w:rFonts w:hint="eastAsia"/>
          <w:szCs w:val="32"/>
          <w:lang w:val="en-US" w:eastAsia="zh-CN"/>
        </w:rPr>
        <w:t>27.58</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177.58</w:t>
      </w:r>
      <w:r>
        <w:rPr>
          <w:szCs w:val="32"/>
        </w:rPr>
        <w:t>万元，</w:t>
      </w:r>
      <w:r>
        <w:rPr>
          <w:kern w:val="0"/>
          <w:szCs w:val="32"/>
        </w:rPr>
        <w:t>社会保障和就业支出</w:t>
      </w:r>
      <w:r>
        <w:rPr>
          <w:rFonts w:hint="eastAsia"/>
          <w:szCs w:val="32"/>
          <w:lang w:val="en-US" w:eastAsia="zh-CN"/>
        </w:rPr>
        <w:t>28.74</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3.87</w:t>
      </w:r>
      <w:r>
        <w:rPr>
          <w:szCs w:val="32"/>
        </w:rPr>
        <w:t>万元，</w:t>
      </w:r>
      <w:r>
        <w:rPr>
          <w:kern w:val="0"/>
          <w:szCs w:val="32"/>
        </w:rPr>
        <w:t>住房保障支出</w:t>
      </w:r>
      <w:r>
        <w:rPr>
          <w:rFonts w:hint="eastAsia"/>
          <w:szCs w:val="32"/>
          <w:lang w:val="en-US" w:eastAsia="zh-CN"/>
        </w:rPr>
        <w:t>13.46</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223.65</w:t>
      </w:r>
      <w:r>
        <w:rPr>
          <w:szCs w:val="32"/>
        </w:rPr>
        <w:t>万元，其中：基本支出</w:t>
      </w:r>
      <w:r>
        <w:rPr>
          <w:rFonts w:hint="eastAsia"/>
          <w:szCs w:val="32"/>
          <w:lang w:val="en-US" w:eastAsia="zh-CN"/>
        </w:rPr>
        <w:t>174.28</w:t>
      </w:r>
      <w:r>
        <w:rPr>
          <w:szCs w:val="32"/>
        </w:rPr>
        <w:t>万元，占</w:t>
      </w:r>
      <w:r>
        <w:rPr>
          <w:rFonts w:hint="eastAsia"/>
          <w:szCs w:val="32"/>
          <w:lang w:val="en-US" w:eastAsia="zh-CN"/>
        </w:rPr>
        <w:t>77.93</w:t>
      </w:r>
      <w:r>
        <w:rPr>
          <w:szCs w:val="32"/>
        </w:rPr>
        <w:t>%；项目支出</w:t>
      </w:r>
      <w:r>
        <w:rPr>
          <w:rFonts w:hint="eastAsia"/>
          <w:szCs w:val="32"/>
          <w:lang w:val="en-US" w:eastAsia="zh-CN"/>
        </w:rPr>
        <w:t>49.37</w:t>
      </w:r>
      <w:r>
        <w:rPr>
          <w:szCs w:val="32"/>
        </w:rPr>
        <w:t>万元，占</w:t>
      </w:r>
      <w:r>
        <w:rPr>
          <w:rFonts w:hint="eastAsia"/>
          <w:szCs w:val="32"/>
          <w:lang w:val="en-US" w:eastAsia="zh-CN"/>
        </w:rPr>
        <w:t>22.07</w:t>
      </w:r>
      <w:r>
        <w:rPr>
          <w:szCs w:val="32"/>
        </w:rPr>
        <w:t>%。基本支出中，人员经费</w:t>
      </w:r>
      <w:r>
        <w:rPr>
          <w:rFonts w:hint="eastAsia"/>
          <w:szCs w:val="32"/>
          <w:lang w:val="en-US" w:eastAsia="zh-CN"/>
        </w:rPr>
        <w:t>141.54</w:t>
      </w:r>
      <w:r>
        <w:rPr>
          <w:szCs w:val="32"/>
        </w:rPr>
        <w:t>万元，占</w:t>
      </w:r>
      <w:r>
        <w:rPr>
          <w:rFonts w:hint="eastAsia"/>
          <w:szCs w:val="32"/>
          <w:lang w:val="en-US" w:eastAsia="zh-CN"/>
        </w:rPr>
        <w:t>81.21</w:t>
      </w:r>
      <w:r>
        <w:rPr>
          <w:szCs w:val="32"/>
        </w:rPr>
        <w:t>%；公用经费</w:t>
      </w:r>
      <w:r>
        <w:rPr>
          <w:rFonts w:hint="eastAsia"/>
          <w:szCs w:val="32"/>
          <w:lang w:val="en-US" w:eastAsia="zh-CN"/>
        </w:rPr>
        <w:t>32.74</w:t>
      </w:r>
      <w:r>
        <w:rPr>
          <w:szCs w:val="32"/>
        </w:rPr>
        <w:t>万元，占</w:t>
      </w:r>
      <w:r>
        <w:rPr>
          <w:rFonts w:hint="eastAsia"/>
          <w:szCs w:val="32"/>
          <w:lang w:val="en-US" w:eastAsia="zh-CN"/>
        </w:rPr>
        <w:t>18.79</w:t>
      </w:r>
      <w:r>
        <w:rPr>
          <w:szCs w:val="32"/>
        </w:rPr>
        <w:t>%。</w:t>
      </w:r>
    </w:p>
    <w:p>
      <w:pPr>
        <w:spacing w:line="540" w:lineRule="exact"/>
        <w:ind w:firstLine="640" w:firstLineChars="200"/>
        <w:rPr>
          <w:szCs w:val="32"/>
        </w:rPr>
      </w:pPr>
      <w:r>
        <w:rPr>
          <w:szCs w:val="32"/>
        </w:rPr>
        <w:t>一般公共服务（类）支出</w:t>
      </w:r>
      <w:r>
        <w:rPr>
          <w:rFonts w:hint="eastAsia"/>
          <w:szCs w:val="32"/>
          <w:lang w:val="en-US" w:eastAsia="zh-CN"/>
        </w:rPr>
        <w:t>177.58</w:t>
      </w:r>
      <w:r>
        <w:rPr>
          <w:szCs w:val="32"/>
        </w:rPr>
        <w:t>万元，占</w:t>
      </w:r>
      <w:r>
        <w:rPr>
          <w:rFonts w:hint="eastAsia"/>
          <w:szCs w:val="32"/>
          <w:lang w:val="en-US" w:eastAsia="zh-CN"/>
        </w:rPr>
        <w:t>79.4</w:t>
      </w:r>
      <w:r>
        <w:rPr>
          <w:szCs w:val="32"/>
        </w:rPr>
        <w:t>%，主要用于</w:t>
      </w:r>
      <w:r>
        <w:rPr>
          <w:rFonts w:hint="eastAsia"/>
          <w:szCs w:val="32"/>
        </w:rPr>
        <w:t>保障职工工资，维持机关正常运转以及完成年度统计工作任务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28.74</w:t>
      </w:r>
      <w:r>
        <w:rPr>
          <w:szCs w:val="32"/>
        </w:rPr>
        <w:t>万元，占</w:t>
      </w:r>
      <w:r>
        <w:rPr>
          <w:rFonts w:hint="eastAsia"/>
          <w:szCs w:val="32"/>
          <w:lang w:val="en-US" w:eastAsia="zh-CN"/>
        </w:rPr>
        <w:t>12.85</w:t>
      </w:r>
      <w:r>
        <w:rPr>
          <w:szCs w:val="32"/>
        </w:rPr>
        <w:t>%，主要用于</w:t>
      </w:r>
      <w:r>
        <w:rPr>
          <w:rFonts w:hint="eastAsia"/>
          <w:szCs w:val="32"/>
        </w:rPr>
        <w:t>保障机关事业单位基本养老保险缴费支出</w:t>
      </w:r>
      <w:r>
        <w:rPr>
          <w:szCs w:val="32"/>
        </w:rPr>
        <w:t>。</w:t>
      </w:r>
    </w:p>
    <w:p>
      <w:pPr>
        <w:spacing w:line="540" w:lineRule="exact"/>
        <w:ind w:firstLine="640" w:firstLineChars="200"/>
        <w:rPr>
          <w:szCs w:val="32"/>
        </w:rPr>
      </w:pPr>
      <w:r>
        <w:rPr>
          <w:rFonts w:hint="eastAsia"/>
          <w:szCs w:val="32"/>
        </w:rPr>
        <w:t>卫生健康</w:t>
      </w:r>
      <w:r>
        <w:rPr>
          <w:szCs w:val="32"/>
        </w:rPr>
        <w:t>（类）支出</w:t>
      </w:r>
      <w:r>
        <w:rPr>
          <w:rFonts w:hint="eastAsia"/>
          <w:szCs w:val="32"/>
          <w:lang w:val="en-US" w:eastAsia="zh-CN"/>
        </w:rPr>
        <w:t>3.87</w:t>
      </w:r>
      <w:r>
        <w:rPr>
          <w:szCs w:val="32"/>
        </w:rPr>
        <w:t>万元，占</w:t>
      </w:r>
      <w:r>
        <w:rPr>
          <w:rFonts w:hint="eastAsia"/>
          <w:szCs w:val="32"/>
          <w:lang w:val="en-US" w:eastAsia="zh-CN"/>
        </w:rPr>
        <w:t>1.73</w:t>
      </w:r>
      <w:r>
        <w:rPr>
          <w:szCs w:val="32"/>
        </w:rPr>
        <w:t>%，主要用于</w:t>
      </w:r>
      <w:r>
        <w:rPr>
          <w:rFonts w:hint="eastAsia"/>
          <w:szCs w:val="32"/>
        </w:rPr>
        <w:t>缴纳职工医疗保险。</w:t>
      </w:r>
    </w:p>
    <w:p>
      <w:pPr>
        <w:spacing w:line="520" w:lineRule="exact"/>
        <w:ind w:firstLine="640" w:firstLineChars="200"/>
        <w:rPr>
          <w:szCs w:val="32"/>
        </w:rPr>
      </w:pPr>
      <w:r>
        <w:rPr>
          <w:szCs w:val="32"/>
        </w:rPr>
        <w:t>住房保障（类）支出</w:t>
      </w:r>
      <w:r>
        <w:rPr>
          <w:rFonts w:hint="eastAsia"/>
          <w:szCs w:val="32"/>
          <w:lang w:val="en-US" w:eastAsia="zh-CN"/>
        </w:rPr>
        <w:t>13.46</w:t>
      </w:r>
      <w:r>
        <w:rPr>
          <w:szCs w:val="32"/>
        </w:rPr>
        <w:t>万元，占</w:t>
      </w:r>
      <w:r>
        <w:rPr>
          <w:rFonts w:hint="eastAsia"/>
          <w:szCs w:val="32"/>
          <w:lang w:val="en-US" w:eastAsia="zh-CN"/>
        </w:rPr>
        <w:t>6.02</w:t>
      </w:r>
      <w:r>
        <w:rPr>
          <w:szCs w:val="32"/>
        </w:rPr>
        <w:t>%，主要用于</w:t>
      </w:r>
      <w:r>
        <w:rPr>
          <w:rFonts w:hint="eastAsia"/>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174.28</w:t>
      </w:r>
      <w:r>
        <w:rPr>
          <w:szCs w:val="32"/>
        </w:rPr>
        <w:t>万元，其中：</w:t>
      </w:r>
    </w:p>
    <w:p>
      <w:pPr>
        <w:spacing w:line="540" w:lineRule="exact"/>
        <w:ind w:firstLine="640" w:firstLineChars="200"/>
        <w:rPr>
          <w:szCs w:val="32"/>
        </w:rPr>
      </w:pPr>
      <w:r>
        <w:rPr>
          <w:szCs w:val="32"/>
        </w:rPr>
        <w:t>人员经费</w:t>
      </w:r>
      <w:r>
        <w:rPr>
          <w:rFonts w:hint="eastAsia"/>
          <w:szCs w:val="32"/>
          <w:lang w:val="en-US" w:eastAsia="zh-CN"/>
        </w:rPr>
        <w:t>141.54</w:t>
      </w:r>
      <w:r>
        <w:rPr>
          <w:szCs w:val="32"/>
        </w:rPr>
        <w:t>万元，主要包括：基本工资、津贴补贴、奖金、</w:t>
      </w:r>
      <w:r>
        <w:rPr>
          <w:rFonts w:hint="eastAsia"/>
          <w:szCs w:val="32"/>
        </w:rPr>
        <w:t>机关事业单位基本养老保险缴费、职工基本医疗保险缴费、其他社会保障缴费</w:t>
      </w:r>
      <w:r>
        <w:rPr>
          <w:szCs w:val="32"/>
        </w:rPr>
        <w:t>、</w:t>
      </w:r>
      <w:r>
        <w:rPr>
          <w:rFonts w:hint="eastAsia"/>
          <w:szCs w:val="32"/>
        </w:rPr>
        <w:t>住房公积金、医疗费、</w:t>
      </w:r>
      <w:r>
        <w:rPr>
          <w:szCs w:val="32"/>
        </w:rPr>
        <w:t>其他工资福利支出、</w:t>
      </w:r>
      <w:r>
        <w:rPr>
          <w:rFonts w:hint="eastAsia"/>
          <w:szCs w:val="32"/>
        </w:rPr>
        <w:t>退休费、</w:t>
      </w:r>
      <w:r>
        <w:rPr>
          <w:szCs w:val="32"/>
        </w:rPr>
        <w:t>其他对个人和家庭的补助支出。</w:t>
      </w:r>
    </w:p>
    <w:p>
      <w:pPr>
        <w:ind w:firstLine="640" w:firstLineChars="200"/>
        <w:rPr>
          <w:rFonts w:hint="eastAsia"/>
          <w:szCs w:val="32"/>
        </w:rPr>
      </w:pPr>
      <w:r>
        <w:rPr>
          <w:kern w:val="0"/>
          <w:szCs w:val="32"/>
        </w:rPr>
        <w:t>公用经费</w:t>
      </w:r>
      <w:r>
        <w:rPr>
          <w:rFonts w:hint="eastAsia"/>
          <w:szCs w:val="32"/>
          <w:lang w:val="en-US" w:eastAsia="zh-CN"/>
        </w:rPr>
        <w:t>32.74</w:t>
      </w:r>
      <w:r>
        <w:rPr>
          <w:szCs w:val="32"/>
        </w:rPr>
        <w:t>万元，主要包括：办公费、</w:t>
      </w:r>
      <w:r>
        <w:rPr>
          <w:rFonts w:hint="eastAsia"/>
          <w:szCs w:val="32"/>
          <w:lang w:val="en-US" w:eastAsia="zh-CN"/>
        </w:rPr>
        <w:t>咨询费</w:t>
      </w:r>
      <w:r>
        <w:rPr>
          <w:szCs w:val="32"/>
        </w:rPr>
        <w:t>、</w:t>
      </w:r>
      <w:r>
        <w:rPr>
          <w:rFonts w:hint="eastAsia"/>
          <w:szCs w:val="32"/>
          <w:lang w:val="en-US" w:eastAsia="zh-CN"/>
        </w:rPr>
        <w:t>电费</w:t>
      </w:r>
      <w:r>
        <w:rPr>
          <w:rFonts w:hint="eastAsia"/>
          <w:szCs w:val="32"/>
        </w:rPr>
        <w:t>、</w:t>
      </w:r>
      <w:r>
        <w:rPr>
          <w:szCs w:val="32"/>
        </w:rPr>
        <w:t>邮电费、取暖费、差旅费、维修（护）费</w:t>
      </w:r>
      <w:r>
        <w:rPr>
          <w:rFonts w:hint="eastAsia"/>
          <w:szCs w:val="32"/>
        </w:rPr>
        <w:t>、</w:t>
      </w:r>
      <w:r>
        <w:rPr>
          <w:szCs w:val="32"/>
        </w:rPr>
        <w:t>培训费、公务接待费、</w:t>
      </w:r>
      <w:r>
        <w:rPr>
          <w:rFonts w:hint="eastAsia"/>
          <w:szCs w:val="32"/>
          <w:lang w:val="en-US" w:eastAsia="zh-CN"/>
        </w:rPr>
        <w:t>劳务费、</w:t>
      </w:r>
      <w:r>
        <w:rPr>
          <w:szCs w:val="32"/>
        </w:rPr>
        <w:t>工会经费、福利费、其他交通</w:t>
      </w:r>
      <w:r>
        <w:rPr>
          <w:rFonts w:hint="eastAsia"/>
          <w:szCs w:val="32"/>
        </w:rPr>
        <w:t>费用、</w:t>
      </w:r>
      <w:r>
        <w:rPr>
          <w:szCs w:val="32"/>
        </w:rPr>
        <w:t>其他商品和服务支出</w:t>
      </w:r>
      <w:r>
        <w:rPr>
          <w:rFonts w:hint="eastAsia"/>
          <w:szCs w:val="32"/>
        </w:rPr>
        <w:t>、办公设备购置。</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0.21</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w:t>
      </w:r>
      <w:r>
        <w:rPr>
          <w:rFonts w:hint="eastAsia"/>
          <w:szCs w:val="32"/>
          <w:lang w:val="en-US" w:eastAsia="zh-CN"/>
        </w:rPr>
        <w:t>0.02</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spacing w:line="540" w:lineRule="exact"/>
        <w:ind w:firstLine="640" w:firstLineChars="200"/>
        <w:rPr>
          <w:rFonts w:hint="eastAsia" w:eastAsia="仿宋_GB2312"/>
          <w:szCs w:val="32"/>
          <w:lang w:eastAsia="zh-CN"/>
        </w:rPr>
      </w:pPr>
      <w:r>
        <w:rPr>
          <w:szCs w:val="32"/>
        </w:rPr>
        <w:t>2.公务接待费</w:t>
      </w:r>
      <w:r>
        <w:rPr>
          <w:rFonts w:hint="eastAsia"/>
          <w:szCs w:val="32"/>
          <w:lang w:val="en-US" w:eastAsia="zh-CN"/>
        </w:rPr>
        <w:t>0.21</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w:t>
      </w:r>
      <w:r>
        <w:rPr>
          <w:rFonts w:hint="eastAsia"/>
          <w:szCs w:val="32"/>
          <w:lang w:val="en-US" w:eastAsia="zh-CN"/>
        </w:rPr>
        <w:t>0.02</w:t>
      </w:r>
      <w:r>
        <w:rPr>
          <w:szCs w:val="32"/>
        </w:rPr>
        <w:t>万元，主要原因是</w:t>
      </w:r>
      <w:r>
        <w:rPr>
          <w:rFonts w:hint="eastAsia"/>
          <w:szCs w:val="32"/>
          <w:lang w:val="en-US" w:eastAsia="zh-CN"/>
        </w:rPr>
        <w:t>新招录两名公务员，本年度核定的公务接待费相应增加</w:t>
      </w:r>
      <w:r>
        <w:rPr>
          <w:szCs w:val="32"/>
        </w:rPr>
        <w:t>。</w:t>
      </w:r>
    </w:p>
    <w:p>
      <w:pPr>
        <w:ind w:firstLine="640" w:firstLineChars="200"/>
        <w:jc w:val="both"/>
        <w:rPr>
          <w:szCs w:val="32"/>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szCs w:val="32"/>
        </w:rPr>
        <w:t>本</w:t>
      </w:r>
      <w:r>
        <w:rPr>
          <w:rFonts w:hint="eastAsia"/>
          <w:szCs w:val="32"/>
        </w:rPr>
        <w:t>单位</w:t>
      </w:r>
      <w:r>
        <w:rPr>
          <w:szCs w:val="32"/>
        </w:rPr>
        <w:t>无政府性基金预算拨款</w:t>
      </w:r>
      <w:r>
        <w:rPr>
          <w:rFonts w:hint="eastAsia"/>
          <w:szCs w:val="32"/>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szCs w:val="32"/>
        </w:rPr>
        <w:t>本</w:t>
      </w:r>
      <w:r>
        <w:rPr>
          <w:rFonts w:hint="eastAsia"/>
          <w:szCs w:val="32"/>
        </w:rPr>
        <w:t>单位</w:t>
      </w:r>
      <w:r>
        <w:rPr>
          <w:szCs w:val="32"/>
        </w:rPr>
        <w:t>无</w:t>
      </w:r>
      <w:r>
        <w:rPr>
          <w:rFonts w:hint="eastAsia"/>
          <w:szCs w:val="32"/>
        </w:rPr>
        <w:t>国有资本经营</w:t>
      </w:r>
      <w:r>
        <w:rPr>
          <w:szCs w:val="32"/>
        </w:rPr>
        <w:t>预算拨款</w:t>
      </w:r>
      <w:r>
        <w:rPr>
          <w:rFonts w:hint="eastAsia"/>
          <w:szCs w:val="32"/>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本单位</w:t>
      </w:r>
      <w:r>
        <w:rPr>
          <w:rFonts w:hint="eastAsia"/>
          <w:szCs w:val="32"/>
          <w:lang w:val="en-US" w:eastAsia="zh-CN"/>
        </w:rPr>
        <w:t>1</w:t>
      </w:r>
      <w:r>
        <w:rPr>
          <w:szCs w:val="32"/>
        </w:rPr>
        <w:t>家行政单位的机关运行经费财政拨款预算</w:t>
      </w:r>
      <w:r>
        <w:rPr>
          <w:rFonts w:hint="eastAsia"/>
          <w:szCs w:val="32"/>
          <w:lang w:val="en-US" w:eastAsia="zh-CN"/>
        </w:rPr>
        <w:t>32.74</w:t>
      </w:r>
      <w:r>
        <w:rPr>
          <w:szCs w:val="32"/>
        </w:rPr>
        <w:t>万元，比20</w:t>
      </w:r>
      <w:r>
        <w:rPr>
          <w:rFonts w:hint="eastAsia"/>
          <w:szCs w:val="32"/>
        </w:rPr>
        <w:t>2</w:t>
      </w:r>
      <w:r>
        <w:rPr>
          <w:rFonts w:hint="eastAsia"/>
          <w:szCs w:val="32"/>
          <w:lang w:val="en-US" w:eastAsia="zh-CN"/>
        </w:rPr>
        <w:t>3</w:t>
      </w:r>
      <w:r>
        <w:rPr>
          <w:szCs w:val="32"/>
        </w:rPr>
        <w:t>年预算增加</w:t>
      </w:r>
      <w:r>
        <w:rPr>
          <w:rFonts w:hint="eastAsia"/>
          <w:szCs w:val="32"/>
          <w:lang w:val="en-US" w:eastAsia="zh-CN"/>
        </w:rPr>
        <w:t>0.76</w:t>
      </w:r>
      <w:r>
        <w:rPr>
          <w:szCs w:val="32"/>
        </w:rPr>
        <w:t>万元，增长</w:t>
      </w:r>
      <w:r>
        <w:rPr>
          <w:rFonts w:hint="eastAsia"/>
          <w:szCs w:val="32"/>
          <w:lang w:val="en-US" w:eastAsia="zh-CN"/>
        </w:rPr>
        <w:t>2.38</w:t>
      </w:r>
      <w:r>
        <w:rPr>
          <w:szCs w:val="32"/>
        </w:rPr>
        <w:t>%</w:t>
      </w:r>
      <w:r>
        <w:rPr>
          <w:rFonts w:hint="eastAsia"/>
          <w:szCs w:val="32"/>
        </w:rPr>
        <w:t>，主要原因是</w:t>
      </w:r>
      <w:r>
        <w:rPr>
          <w:rFonts w:hint="eastAsia"/>
          <w:szCs w:val="32"/>
          <w:lang w:val="en-US" w:eastAsia="zh-CN"/>
        </w:rPr>
        <w:t>新招录两名公务员，本年度核定的机关运行经费相应增加</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rPr>
      </w:pPr>
      <w:r>
        <w:rPr>
          <w:rFonts w:hint="eastAsia"/>
          <w:szCs w:val="32"/>
        </w:rPr>
        <w:t>本单位无政府采购。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lang w:eastAsia="zh-CN"/>
        </w:rPr>
      </w:pPr>
      <w:r>
        <w:rPr>
          <w:rFonts w:hint="eastAsia"/>
          <w:szCs w:val="32"/>
          <w:lang w:eastAsia="zh-CN"/>
        </w:rPr>
        <w:t>本单位无国有资产。</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49.37</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49.37</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按照全面实施预算绩效管理的要求，结合本部门职能和重点工作，202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49.37</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主要</w:t>
      </w:r>
      <w:r>
        <w:rPr>
          <w:rFonts w:hint="eastAsia"/>
          <w:szCs w:val="32"/>
          <w:lang w:eastAsia="zh-CN"/>
        </w:rPr>
        <w:t>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YjI1YzRkYTRiNmJhODJiOTg1MGJmZWMyNTI4YmEifQ=="/>
  </w:docVars>
  <w:rsids>
    <w:rsidRoot w:val="48674ED2"/>
    <w:rsid w:val="000C6D48"/>
    <w:rsid w:val="000D7FB8"/>
    <w:rsid w:val="000E46F6"/>
    <w:rsid w:val="00102492"/>
    <w:rsid w:val="00145456"/>
    <w:rsid w:val="00164C26"/>
    <w:rsid w:val="002300BA"/>
    <w:rsid w:val="00292A39"/>
    <w:rsid w:val="002A5441"/>
    <w:rsid w:val="002E7CD8"/>
    <w:rsid w:val="003357D8"/>
    <w:rsid w:val="00367BC1"/>
    <w:rsid w:val="00396D8D"/>
    <w:rsid w:val="00426F96"/>
    <w:rsid w:val="00487479"/>
    <w:rsid w:val="00514321"/>
    <w:rsid w:val="00584D1B"/>
    <w:rsid w:val="00586A56"/>
    <w:rsid w:val="005D5B16"/>
    <w:rsid w:val="005F314F"/>
    <w:rsid w:val="00623896"/>
    <w:rsid w:val="006358AE"/>
    <w:rsid w:val="006B3914"/>
    <w:rsid w:val="007638E0"/>
    <w:rsid w:val="007D6A53"/>
    <w:rsid w:val="007F6BB6"/>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0BB2"/>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710365"/>
    <w:rsid w:val="01785B98"/>
    <w:rsid w:val="018C519F"/>
    <w:rsid w:val="019B69D8"/>
    <w:rsid w:val="01A60BB9"/>
    <w:rsid w:val="01B7145A"/>
    <w:rsid w:val="01F66ABD"/>
    <w:rsid w:val="02033000"/>
    <w:rsid w:val="020E6D2C"/>
    <w:rsid w:val="024737BC"/>
    <w:rsid w:val="02C44267"/>
    <w:rsid w:val="031D7D4B"/>
    <w:rsid w:val="032A2EC2"/>
    <w:rsid w:val="0361440A"/>
    <w:rsid w:val="037F2004"/>
    <w:rsid w:val="03990047"/>
    <w:rsid w:val="0486486A"/>
    <w:rsid w:val="04954460"/>
    <w:rsid w:val="04B818D1"/>
    <w:rsid w:val="050D06DA"/>
    <w:rsid w:val="05310B72"/>
    <w:rsid w:val="05507F0F"/>
    <w:rsid w:val="05513E94"/>
    <w:rsid w:val="056F5A6D"/>
    <w:rsid w:val="057952EF"/>
    <w:rsid w:val="0580501B"/>
    <w:rsid w:val="0599432F"/>
    <w:rsid w:val="059B3770"/>
    <w:rsid w:val="059E36F3"/>
    <w:rsid w:val="05A0746B"/>
    <w:rsid w:val="05A84572"/>
    <w:rsid w:val="05B80C59"/>
    <w:rsid w:val="05F6352F"/>
    <w:rsid w:val="063949A0"/>
    <w:rsid w:val="06BD5BC7"/>
    <w:rsid w:val="06F008FF"/>
    <w:rsid w:val="071C0D73"/>
    <w:rsid w:val="07626B53"/>
    <w:rsid w:val="079E5032"/>
    <w:rsid w:val="07C17B6D"/>
    <w:rsid w:val="08863552"/>
    <w:rsid w:val="09015F14"/>
    <w:rsid w:val="091C5C63"/>
    <w:rsid w:val="093323A4"/>
    <w:rsid w:val="09421190"/>
    <w:rsid w:val="098175B4"/>
    <w:rsid w:val="0984102A"/>
    <w:rsid w:val="09A0082A"/>
    <w:rsid w:val="09EB2C7F"/>
    <w:rsid w:val="0A00435B"/>
    <w:rsid w:val="0A8E1F88"/>
    <w:rsid w:val="0AAA1697"/>
    <w:rsid w:val="0ABA06FE"/>
    <w:rsid w:val="0B352404"/>
    <w:rsid w:val="0B49202F"/>
    <w:rsid w:val="0B5533E5"/>
    <w:rsid w:val="0B5F5ADA"/>
    <w:rsid w:val="0B994EA4"/>
    <w:rsid w:val="0C2A5C84"/>
    <w:rsid w:val="0C4F64D9"/>
    <w:rsid w:val="0C583939"/>
    <w:rsid w:val="0C6D1BAE"/>
    <w:rsid w:val="0CBA3508"/>
    <w:rsid w:val="0CCF6E83"/>
    <w:rsid w:val="0D2A2435"/>
    <w:rsid w:val="0D701E19"/>
    <w:rsid w:val="0D9D0734"/>
    <w:rsid w:val="0DA001B0"/>
    <w:rsid w:val="0DB00467"/>
    <w:rsid w:val="0DC161D1"/>
    <w:rsid w:val="0DEB170B"/>
    <w:rsid w:val="0E4C7841"/>
    <w:rsid w:val="0E8C4A31"/>
    <w:rsid w:val="0E97506F"/>
    <w:rsid w:val="0EDE1004"/>
    <w:rsid w:val="0EFB3964"/>
    <w:rsid w:val="0F3E0406"/>
    <w:rsid w:val="0F543075"/>
    <w:rsid w:val="0F9477AA"/>
    <w:rsid w:val="0F980230"/>
    <w:rsid w:val="0FD62F63"/>
    <w:rsid w:val="0FDE2A27"/>
    <w:rsid w:val="106317C1"/>
    <w:rsid w:val="10AE7F82"/>
    <w:rsid w:val="10C93B35"/>
    <w:rsid w:val="10E548CC"/>
    <w:rsid w:val="11177619"/>
    <w:rsid w:val="112605C8"/>
    <w:rsid w:val="11290C5D"/>
    <w:rsid w:val="11A6707B"/>
    <w:rsid w:val="11B35B2F"/>
    <w:rsid w:val="12154D3D"/>
    <w:rsid w:val="124D44D7"/>
    <w:rsid w:val="12E61595"/>
    <w:rsid w:val="12E711B7"/>
    <w:rsid w:val="1319085D"/>
    <w:rsid w:val="135D2E40"/>
    <w:rsid w:val="136D62BD"/>
    <w:rsid w:val="136E4388"/>
    <w:rsid w:val="138C54D3"/>
    <w:rsid w:val="13F21722"/>
    <w:rsid w:val="1441443C"/>
    <w:rsid w:val="14956609"/>
    <w:rsid w:val="14C12787"/>
    <w:rsid w:val="15051099"/>
    <w:rsid w:val="15204125"/>
    <w:rsid w:val="15593E10"/>
    <w:rsid w:val="159F7E25"/>
    <w:rsid w:val="15EF3AF7"/>
    <w:rsid w:val="15F848D0"/>
    <w:rsid w:val="160E1FA5"/>
    <w:rsid w:val="160F2600"/>
    <w:rsid w:val="16C829AB"/>
    <w:rsid w:val="16DD34F5"/>
    <w:rsid w:val="170A52C4"/>
    <w:rsid w:val="17143815"/>
    <w:rsid w:val="174560C4"/>
    <w:rsid w:val="174F2A9F"/>
    <w:rsid w:val="17765BCA"/>
    <w:rsid w:val="17885FB1"/>
    <w:rsid w:val="17A027D8"/>
    <w:rsid w:val="17C34AD2"/>
    <w:rsid w:val="17CC2625"/>
    <w:rsid w:val="17D005A4"/>
    <w:rsid w:val="17D31922"/>
    <w:rsid w:val="17D86F39"/>
    <w:rsid w:val="17FF2717"/>
    <w:rsid w:val="189A10A7"/>
    <w:rsid w:val="18A62B93"/>
    <w:rsid w:val="19132BE0"/>
    <w:rsid w:val="191F4716"/>
    <w:rsid w:val="192835A8"/>
    <w:rsid w:val="1954649C"/>
    <w:rsid w:val="19630A84"/>
    <w:rsid w:val="19933ECC"/>
    <w:rsid w:val="1997072D"/>
    <w:rsid w:val="19B66E06"/>
    <w:rsid w:val="19CF1AE8"/>
    <w:rsid w:val="1A4A39F2"/>
    <w:rsid w:val="1A7D5B75"/>
    <w:rsid w:val="1A817DF8"/>
    <w:rsid w:val="1A8A6135"/>
    <w:rsid w:val="1ADC594E"/>
    <w:rsid w:val="1AEB5252"/>
    <w:rsid w:val="1B8A03E4"/>
    <w:rsid w:val="1B9238A2"/>
    <w:rsid w:val="1B937410"/>
    <w:rsid w:val="1B9C1459"/>
    <w:rsid w:val="1BE51C24"/>
    <w:rsid w:val="1C0876C1"/>
    <w:rsid w:val="1C2D7127"/>
    <w:rsid w:val="1C4C3A51"/>
    <w:rsid w:val="1C852172"/>
    <w:rsid w:val="1CA40C0C"/>
    <w:rsid w:val="1CAE30A8"/>
    <w:rsid w:val="1CFF4A32"/>
    <w:rsid w:val="1D833200"/>
    <w:rsid w:val="1DAB317D"/>
    <w:rsid w:val="1E087E4C"/>
    <w:rsid w:val="1E3A3FD0"/>
    <w:rsid w:val="1EB1403F"/>
    <w:rsid w:val="1EB55C07"/>
    <w:rsid w:val="1F351A10"/>
    <w:rsid w:val="1F6226AC"/>
    <w:rsid w:val="1F857EA5"/>
    <w:rsid w:val="1FB45B95"/>
    <w:rsid w:val="1FED47E9"/>
    <w:rsid w:val="20120B0E"/>
    <w:rsid w:val="203B0065"/>
    <w:rsid w:val="20676FF3"/>
    <w:rsid w:val="206816AC"/>
    <w:rsid w:val="210B5C89"/>
    <w:rsid w:val="21134335"/>
    <w:rsid w:val="212B632B"/>
    <w:rsid w:val="214E201A"/>
    <w:rsid w:val="2190618E"/>
    <w:rsid w:val="21A44ACE"/>
    <w:rsid w:val="220C0CCB"/>
    <w:rsid w:val="221E19EC"/>
    <w:rsid w:val="226E581D"/>
    <w:rsid w:val="227E6175"/>
    <w:rsid w:val="228026A7"/>
    <w:rsid w:val="22A4003E"/>
    <w:rsid w:val="22B97545"/>
    <w:rsid w:val="22D14CB0"/>
    <w:rsid w:val="230E7CB2"/>
    <w:rsid w:val="231057D9"/>
    <w:rsid w:val="23135C25"/>
    <w:rsid w:val="23784056"/>
    <w:rsid w:val="23931F66"/>
    <w:rsid w:val="23C33983"/>
    <w:rsid w:val="23EC61F6"/>
    <w:rsid w:val="24013373"/>
    <w:rsid w:val="24100D1E"/>
    <w:rsid w:val="241A4435"/>
    <w:rsid w:val="244A6AC8"/>
    <w:rsid w:val="244C543C"/>
    <w:rsid w:val="24624768"/>
    <w:rsid w:val="25895CD9"/>
    <w:rsid w:val="259B5BC5"/>
    <w:rsid w:val="25E66CC5"/>
    <w:rsid w:val="25F62C4E"/>
    <w:rsid w:val="26643D6C"/>
    <w:rsid w:val="267E0CAB"/>
    <w:rsid w:val="26B50445"/>
    <w:rsid w:val="26CD578F"/>
    <w:rsid w:val="26D62895"/>
    <w:rsid w:val="26FE109D"/>
    <w:rsid w:val="27073E1E"/>
    <w:rsid w:val="27B04AB3"/>
    <w:rsid w:val="27C941A8"/>
    <w:rsid w:val="27CB6172"/>
    <w:rsid w:val="282C3BA1"/>
    <w:rsid w:val="288B76AF"/>
    <w:rsid w:val="28A47E0D"/>
    <w:rsid w:val="28A63332"/>
    <w:rsid w:val="28B22E8E"/>
    <w:rsid w:val="28C96E8E"/>
    <w:rsid w:val="295D50B0"/>
    <w:rsid w:val="29C45F24"/>
    <w:rsid w:val="29EA323F"/>
    <w:rsid w:val="2A491627"/>
    <w:rsid w:val="2A5F0DF4"/>
    <w:rsid w:val="2BEE0681"/>
    <w:rsid w:val="2BF043F9"/>
    <w:rsid w:val="2BF13818"/>
    <w:rsid w:val="2C230203"/>
    <w:rsid w:val="2C2E06FD"/>
    <w:rsid w:val="2C475FE3"/>
    <w:rsid w:val="2C714E0E"/>
    <w:rsid w:val="2C723060"/>
    <w:rsid w:val="2CFA4E04"/>
    <w:rsid w:val="2D80355B"/>
    <w:rsid w:val="2D8C7D6D"/>
    <w:rsid w:val="2D9038E4"/>
    <w:rsid w:val="2DC7118A"/>
    <w:rsid w:val="2DD438A6"/>
    <w:rsid w:val="2DF8796C"/>
    <w:rsid w:val="2E04721D"/>
    <w:rsid w:val="2E8715CE"/>
    <w:rsid w:val="2E9143DE"/>
    <w:rsid w:val="2EA339A5"/>
    <w:rsid w:val="2EB22F18"/>
    <w:rsid w:val="2EE12108"/>
    <w:rsid w:val="2EED35E3"/>
    <w:rsid w:val="2EFF6701"/>
    <w:rsid w:val="2F0B5068"/>
    <w:rsid w:val="2F250383"/>
    <w:rsid w:val="2F63610B"/>
    <w:rsid w:val="2FBC646B"/>
    <w:rsid w:val="300965A3"/>
    <w:rsid w:val="30730D6E"/>
    <w:rsid w:val="308B20C9"/>
    <w:rsid w:val="30B91A70"/>
    <w:rsid w:val="30F84C22"/>
    <w:rsid w:val="30FC114A"/>
    <w:rsid w:val="310C6AA2"/>
    <w:rsid w:val="31793674"/>
    <w:rsid w:val="31894469"/>
    <w:rsid w:val="31AF440F"/>
    <w:rsid w:val="31D16A7B"/>
    <w:rsid w:val="32036508"/>
    <w:rsid w:val="3220355E"/>
    <w:rsid w:val="32332703"/>
    <w:rsid w:val="323A4620"/>
    <w:rsid w:val="3296737C"/>
    <w:rsid w:val="32CF2C5D"/>
    <w:rsid w:val="32EE2C61"/>
    <w:rsid w:val="330B2B6B"/>
    <w:rsid w:val="335402B5"/>
    <w:rsid w:val="339466B2"/>
    <w:rsid w:val="3409619C"/>
    <w:rsid w:val="34164C19"/>
    <w:rsid w:val="34555AF5"/>
    <w:rsid w:val="347A51A8"/>
    <w:rsid w:val="34FA1E45"/>
    <w:rsid w:val="34FF687B"/>
    <w:rsid w:val="35284DDE"/>
    <w:rsid w:val="354C4987"/>
    <w:rsid w:val="35616772"/>
    <w:rsid w:val="35690D78"/>
    <w:rsid w:val="35A10512"/>
    <w:rsid w:val="35EA1663"/>
    <w:rsid w:val="36162CAE"/>
    <w:rsid w:val="364C598E"/>
    <w:rsid w:val="368A3622"/>
    <w:rsid w:val="36AE1139"/>
    <w:rsid w:val="36B543E5"/>
    <w:rsid w:val="36CC2B0F"/>
    <w:rsid w:val="36FC762F"/>
    <w:rsid w:val="37386C54"/>
    <w:rsid w:val="37920A5A"/>
    <w:rsid w:val="379245B6"/>
    <w:rsid w:val="37BA1D5F"/>
    <w:rsid w:val="3838492F"/>
    <w:rsid w:val="383A009B"/>
    <w:rsid w:val="3887374F"/>
    <w:rsid w:val="38B844F1"/>
    <w:rsid w:val="38CB0ABC"/>
    <w:rsid w:val="39041A07"/>
    <w:rsid w:val="39043B77"/>
    <w:rsid w:val="39670895"/>
    <w:rsid w:val="397B4EE2"/>
    <w:rsid w:val="39F30000"/>
    <w:rsid w:val="3A1A6AE5"/>
    <w:rsid w:val="3A387943"/>
    <w:rsid w:val="3A657F9A"/>
    <w:rsid w:val="3A6D30B9"/>
    <w:rsid w:val="3A9113D4"/>
    <w:rsid w:val="3AC54F32"/>
    <w:rsid w:val="3B144A0A"/>
    <w:rsid w:val="3B254018"/>
    <w:rsid w:val="3B5257F8"/>
    <w:rsid w:val="3B6049CB"/>
    <w:rsid w:val="3B7566C9"/>
    <w:rsid w:val="3BAC7C11"/>
    <w:rsid w:val="3BC92948"/>
    <w:rsid w:val="3BD17677"/>
    <w:rsid w:val="3BE370D4"/>
    <w:rsid w:val="3BFC5598"/>
    <w:rsid w:val="3C0B1989"/>
    <w:rsid w:val="3C1A026D"/>
    <w:rsid w:val="3C29381E"/>
    <w:rsid w:val="3C711E1D"/>
    <w:rsid w:val="3C7F463D"/>
    <w:rsid w:val="3CAE3960"/>
    <w:rsid w:val="3CEF6494"/>
    <w:rsid w:val="3D2D6B2F"/>
    <w:rsid w:val="3D365BF6"/>
    <w:rsid w:val="3D7F7007"/>
    <w:rsid w:val="3DB008AA"/>
    <w:rsid w:val="3DF23324"/>
    <w:rsid w:val="3EA14040"/>
    <w:rsid w:val="3EC534C3"/>
    <w:rsid w:val="3EE8108D"/>
    <w:rsid w:val="3F253F62"/>
    <w:rsid w:val="3F5E1222"/>
    <w:rsid w:val="3F636838"/>
    <w:rsid w:val="3F8201A3"/>
    <w:rsid w:val="3F86533D"/>
    <w:rsid w:val="3FBB48C6"/>
    <w:rsid w:val="402675EA"/>
    <w:rsid w:val="40B80EFF"/>
    <w:rsid w:val="41175B2C"/>
    <w:rsid w:val="417C1E33"/>
    <w:rsid w:val="419929E5"/>
    <w:rsid w:val="41A35364"/>
    <w:rsid w:val="41C31686"/>
    <w:rsid w:val="41C837BC"/>
    <w:rsid w:val="41EC6FB9"/>
    <w:rsid w:val="42077D77"/>
    <w:rsid w:val="421643AC"/>
    <w:rsid w:val="42772D26"/>
    <w:rsid w:val="42982B4E"/>
    <w:rsid w:val="429F5D0C"/>
    <w:rsid w:val="42D83665"/>
    <w:rsid w:val="42F9312E"/>
    <w:rsid w:val="43140575"/>
    <w:rsid w:val="434A6B47"/>
    <w:rsid w:val="436B1E42"/>
    <w:rsid w:val="44A41DCD"/>
    <w:rsid w:val="44AB315B"/>
    <w:rsid w:val="44EB79FC"/>
    <w:rsid w:val="456D114B"/>
    <w:rsid w:val="45B925DE"/>
    <w:rsid w:val="45EB670F"/>
    <w:rsid w:val="460A5C60"/>
    <w:rsid w:val="463A4797"/>
    <w:rsid w:val="466E2692"/>
    <w:rsid w:val="4691012F"/>
    <w:rsid w:val="46AB7C0D"/>
    <w:rsid w:val="46BA1434"/>
    <w:rsid w:val="46D44808"/>
    <w:rsid w:val="46D71FE6"/>
    <w:rsid w:val="46ED776B"/>
    <w:rsid w:val="472F1E22"/>
    <w:rsid w:val="479D2523"/>
    <w:rsid w:val="47CF49E6"/>
    <w:rsid w:val="47FE7A46"/>
    <w:rsid w:val="480D7C89"/>
    <w:rsid w:val="48674ED2"/>
    <w:rsid w:val="487708E6"/>
    <w:rsid w:val="48A979B2"/>
    <w:rsid w:val="48B00D40"/>
    <w:rsid w:val="48B540F2"/>
    <w:rsid w:val="48B63E7D"/>
    <w:rsid w:val="490746D8"/>
    <w:rsid w:val="493F6F72"/>
    <w:rsid w:val="49535B70"/>
    <w:rsid w:val="49645F71"/>
    <w:rsid w:val="4983437F"/>
    <w:rsid w:val="499F5C68"/>
    <w:rsid w:val="49EF5898"/>
    <w:rsid w:val="49F65851"/>
    <w:rsid w:val="4A407EA2"/>
    <w:rsid w:val="4A52465C"/>
    <w:rsid w:val="4A5C4AC6"/>
    <w:rsid w:val="4A662FBF"/>
    <w:rsid w:val="4AA77F21"/>
    <w:rsid w:val="4AF16062"/>
    <w:rsid w:val="4B0A57E5"/>
    <w:rsid w:val="4B646DDD"/>
    <w:rsid w:val="4B757F60"/>
    <w:rsid w:val="4B7F44F8"/>
    <w:rsid w:val="4B900799"/>
    <w:rsid w:val="4B9A7A86"/>
    <w:rsid w:val="4BAC24C5"/>
    <w:rsid w:val="4BD44D46"/>
    <w:rsid w:val="4BFA0656"/>
    <w:rsid w:val="4CA50490"/>
    <w:rsid w:val="4CF3744D"/>
    <w:rsid w:val="4D3439E8"/>
    <w:rsid w:val="4D470B7A"/>
    <w:rsid w:val="4D4E0B28"/>
    <w:rsid w:val="4D4E2809"/>
    <w:rsid w:val="4D695962"/>
    <w:rsid w:val="4D730507"/>
    <w:rsid w:val="4D741DD3"/>
    <w:rsid w:val="4D9A3D6D"/>
    <w:rsid w:val="4DC93207"/>
    <w:rsid w:val="4E010C4C"/>
    <w:rsid w:val="4E214B2B"/>
    <w:rsid w:val="4E280B54"/>
    <w:rsid w:val="4E3E0B9C"/>
    <w:rsid w:val="4E8D5761"/>
    <w:rsid w:val="4EF54A85"/>
    <w:rsid w:val="4EF972C6"/>
    <w:rsid w:val="4FD07F1A"/>
    <w:rsid w:val="4FF534DD"/>
    <w:rsid w:val="5015592D"/>
    <w:rsid w:val="501B3C66"/>
    <w:rsid w:val="504B40C5"/>
    <w:rsid w:val="50987DC2"/>
    <w:rsid w:val="50A4703E"/>
    <w:rsid w:val="50FE4613"/>
    <w:rsid w:val="51282B99"/>
    <w:rsid w:val="51305287"/>
    <w:rsid w:val="5136104F"/>
    <w:rsid w:val="513B1E2E"/>
    <w:rsid w:val="51465EDE"/>
    <w:rsid w:val="517E0ACF"/>
    <w:rsid w:val="51DE5C94"/>
    <w:rsid w:val="52071113"/>
    <w:rsid w:val="52085509"/>
    <w:rsid w:val="522774C4"/>
    <w:rsid w:val="522A7431"/>
    <w:rsid w:val="525A440D"/>
    <w:rsid w:val="52626449"/>
    <w:rsid w:val="532540D9"/>
    <w:rsid w:val="537868FE"/>
    <w:rsid w:val="5402266C"/>
    <w:rsid w:val="542645AC"/>
    <w:rsid w:val="544E511A"/>
    <w:rsid w:val="5458228C"/>
    <w:rsid w:val="54741940"/>
    <w:rsid w:val="54810E66"/>
    <w:rsid w:val="54B43966"/>
    <w:rsid w:val="54C063E4"/>
    <w:rsid w:val="54C2556E"/>
    <w:rsid w:val="54EE420B"/>
    <w:rsid w:val="54FC530D"/>
    <w:rsid w:val="55376515"/>
    <w:rsid w:val="55480EEF"/>
    <w:rsid w:val="55E464CD"/>
    <w:rsid w:val="561D19DF"/>
    <w:rsid w:val="56666EE2"/>
    <w:rsid w:val="56794E67"/>
    <w:rsid w:val="569B7F91"/>
    <w:rsid w:val="56D21BED"/>
    <w:rsid w:val="572651B2"/>
    <w:rsid w:val="57346FE0"/>
    <w:rsid w:val="57A04676"/>
    <w:rsid w:val="57AE5C26"/>
    <w:rsid w:val="57DD75A9"/>
    <w:rsid w:val="5801059F"/>
    <w:rsid w:val="58256ABD"/>
    <w:rsid w:val="58A6607C"/>
    <w:rsid w:val="58C27FDB"/>
    <w:rsid w:val="58FE78A6"/>
    <w:rsid w:val="59472AC7"/>
    <w:rsid w:val="59611BE3"/>
    <w:rsid w:val="597F34C7"/>
    <w:rsid w:val="59D514A6"/>
    <w:rsid w:val="59EC6E09"/>
    <w:rsid w:val="5A2A6479"/>
    <w:rsid w:val="5AB343F7"/>
    <w:rsid w:val="5ABF4E13"/>
    <w:rsid w:val="5ABF50F2"/>
    <w:rsid w:val="5AF25D13"/>
    <w:rsid w:val="5AF76904"/>
    <w:rsid w:val="5B052E7A"/>
    <w:rsid w:val="5B3D7F7E"/>
    <w:rsid w:val="5B4E6197"/>
    <w:rsid w:val="5B7C7777"/>
    <w:rsid w:val="5B995664"/>
    <w:rsid w:val="5BD329BA"/>
    <w:rsid w:val="5BEC6771"/>
    <w:rsid w:val="5C337866"/>
    <w:rsid w:val="5C5E240A"/>
    <w:rsid w:val="5C95407D"/>
    <w:rsid w:val="5CA506B9"/>
    <w:rsid w:val="5CF74CE4"/>
    <w:rsid w:val="5D5A7C63"/>
    <w:rsid w:val="5E256F6F"/>
    <w:rsid w:val="5E2F0501"/>
    <w:rsid w:val="5E473A9D"/>
    <w:rsid w:val="5E4C2E61"/>
    <w:rsid w:val="5E4F2952"/>
    <w:rsid w:val="5EB6477F"/>
    <w:rsid w:val="5F6235A9"/>
    <w:rsid w:val="5FA82319"/>
    <w:rsid w:val="5FBE1B3D"/>
    <w:rsid w:val="60675D31"/>
    <w:rsid w:val="60CC20C8"/>
    <w:rsid w:val="60DC439E"/>
    <w:rsid w:val="61105F95"/>
    <w:rsid w:val="614125C2"/>
    <w:rsid w:val="6147235A"/>
    <w:rsid w:val="61986E7C"/>
    <w:rsid w:val="61A66D2D"/>
    <w:rsid w:val="61AA1D1F"/>
    <w:rsid w:val="61B34FA6"/>
    <w:rsid w:val="61E86AFB"/>
    <w:rsid w:val="620A5975"/>
    <w:rsid w:val="624C5C52"/>
    <w:rsid w:val="627B1F67"/>
    <w:rsid w:val="62B2525D"/>
    <w:rsid w:val="63520F1A"/>
    <w:rsid w:val="63A460E4"/>
    <w:rsid w:val="63D062E3"/>
    <w:rsid w:val="63DF08E4"/>
    <w:rsid w:val="63F26259"/>
    <w:rsid w:val="64124205"/>
    <w:rsid w:val="642841DC"/>
    <w:rsid w:val="647E7AED"/>
    <w:rsid w:val="64963088"/>
    <w:rsid w:val="64966BE4"/>
    <w:rsid w:val="64C04AFD"/>
    <w:rsid w:val="64EA33D4"/>
    <w:rsid w:val="654523B9"/>
    <w:rsid w:val="655B219F"/>
    <w:rsid w:val="65D06126"/>
    <w:rsid w:val="661A7B69"/>
    <w:rsid w:val="66216982"/>
    <w:rsid w:val="66455323"/>
    <w:rsid w:val="664909C1"/>
    <w:rsid w:val="66635AE4"/>
    <w:rsid w:val="66C63EB5"/>
    <w:rsid w:val="67136C12"/>
    <w:rsid w:val="674A094A"/>
    <w:rsid w:val="67592674"/>
    <w:rsid w:val="679461D3"/>
    <w:rsid w:val="6858287E"/>
    <w:rsid w:val="68593A1E"/>
    <w:rsid w:val="685F19E3"/>
    <w:rsid w:val="68C04D52"/>
    <w:rsid w:val="68D33DE9"/>
    <w:rsid w:val="68F44821"/>
    <w:rsid w:val="69157114"/>
    <w:rsid w:val="691A443E"/>
    <w:rsid w:val="699B6A4B"/>
    <w:rsid w:val="69E203A0"/>
    <w:rsid w:val="6A5512F0"/>
    <w:rsid w:val="6A5B6D7D"/>
    <w:rsid w:val="6A765FBC"/>
    <w:rsid w:val="6A80735F"/>
    <w:rsid w:val="6A813E93"/>
    <w:rsid w:val="6A845731"/>
    <w:rsid w:val="6AC17181"/>
    <w:rsid w:val="6AC60D7B"/>
    <w:rsid w:val="6ACC5E47"/>
    <w:rsid w:val="6AD43ED1"/>
    <w:rsid w:val="6B0625EA"/>
    <w:rsid w:val="6B11024D"/>
    <w:rsid w:val="6B6F63E1"/>
    <w:rsid w:val="6B7D5B36"/>
    <w:rsid w:val="6BD6020E"/>
    <w:rsid w:val="6BEC358E"/>
    <w:rsid w:val="6C53360D"/>
    <w:rsid w:val="6C700663"/>
    <w:rsid w:val="6C7C2B64"/>
    <w:rsid w:val="6C834DAA"/>
    <w:rsid w:val="6C975BF0"/>
    <w:rsid w:val="6C993CCE"/>
    <w:rsid w:val="6CD32B7D"/>
    <w:rsid w:val="6CF120A8"/>
    <w:rsid w:val="6D1B05CF"/>
    <w:rsid w:val="6D1C7EA3"/>
    <w:rsid w:val="6D3F0468"/>
    <w:rsid w:val="6D72413D"/>
    <w:rsid w:val="6E9028F6"/>
    <w:rsid w:val="6EB45CC4"/>
    <w:rsid w:val="6ED70525"/>
    <w:rsid w:val="6F0137F4"/>
    <w:rsid w:val="6FF50B81"/>
    <w:rsid w:val="700153DD"/>
    <w:rsid w:val="70052E70"/>
    <w:rsid w:val="702F613F"/>
    <w:rsid w:val="703025E3"/>
    <w:rsid w:val="70330B9C"/>
    <w:rsid w:val="704A2F79"/>
    <w:rsid w:val="71063344"/>
    <w:rsid w:val="713D663A"/>
    <w:rsid w:val="714213DD"/>
    <w:rsid w:val="714839EC"/>
    <w:rsid w:val="714D2D21"/>
    <w:rsid w:val="716965A9"/>
    <w:rsid w:val="717F272E"/>
    <w:rsid w:val="718D75C1"/>
    <w:rsid w:val="71950224"/>
    <w:rsid w:val="71D76A8E"/>
    <w:rsid w:val="7271735D"/>
    <w:rsid w:val="72783A23"/>
    <w:rsid w:val="728027C6"/>
    <w:rsid w:val="72CD25B1"/>
    <w:rsid w:val="733A5527"/>
    <w:rsid w:val="735E7467"/>
    <w:rsid w:val="73C346FD"/>
    <w:rsid w:val="73D62FA6"/>
    <w:rsid w:val="73F27BAF"/>
    <w:rsid w:val="73FE7ACC"/>
    <w:rsid w:val="74185868"/>
    <w:rsid w:val="74556746"/>
    <w:rsid w:val="74743258"/>
    <w:rsid w:val="74F3598D"/>
    <w:rsid w:val="75E32AFB"/>
    <w:rsid w:val="761B13C4"/>
    <w:rsid w:val="762F6E99"/>
    <w:rsid w:val="764B6A8A"/>
    <w:rsid w:val="765A338F"/>
    <w:rsid w:val="76A2766B"/>
    <w:rsid w:val="76B567C9"/>
    <w:rsid w:val="76C17E06"/>
    <w:rsid w:val="76CA67BD"/>
    <w:rsid w:val="76E732D0"/>
    <w:rsid w:val="770420D4"/>
    <w:rsid w:val="774E6400"/>
    <w:rsid w:val="775B0046"/>
    <w:rsid w:val="77844FC2"/>
    <w:rsid w:val="77972F48"/>
    <w:rsid w:val="78251700"/>
    <w:rsid w:val="78880AE2"/>
    <w:rsid w:val="78891A33"/>
    <w:rsid w:val="78CA4C57"/>
    <w:rsid w:val="791A4969"/>
    <w:rsid w:val="791F31F5"/>
    <w:rsid w:val="79700BEF"/>
    <w:rsid w:val="798D552B"/>
    <w:rsid w:val="7A0316B7"/>
    <w:rsid w:val="7A090695"/>
    <w:rsid w:val="7A1D5951"/>
    <w:rsid w:val="7A560E98"/>
    <w:rsid w:val="7AA468C0"/>
    <w:rsid w:val="7AB91427"/>
    <w:rsid w:val="7AE175F4"/>
    <w:rsid w:val="7B1D3764"/>
    <w:rsid w:val="7B417685"/>
    <w:rsid w:val="7B5220F0"/>
    <w:rsid w:val="7B58479C"/>
    <w:rsid w:val="7B6C0247"/>
    <w:rsid w:val="7B902188"/>
    <w:rsid w:val="7BA169C0"/>
    <w:rsid w:val="7BC55243"/>
    <w:rsid w:val="7BDD2EF3"/>
    <w:rsid w:val="7C211032"/>
    <w:rsid w:val="7C2F4A9A"/>
    <w:rsid w:val="7C7B5A7C"/>
    <w:rsid w:val="7C8F243F"/>
    <w:rsid w:val="7CAD595B"/>
    <w:rsid w:val="7CB43116"/>
    <w:rsid w:val="7CCA16C9"/>
    <w:rsid w:val="7CCA3477"/>
    <w:rsid w:val="7CF65D07"/>
    <w:rsid w:val="7CFD1A9F"/>
    <w:rsid w:val="7D2975D1"/>
    <w:rsid w:val="7D2F3083"/>
    <w:rsid w:val="7D44147C"/>
    <w:rsid w:val="7D906046"/>
    <w:rsid w:val="7DCC0CD6"/>
    <w:rsid w:val="7E551467"/>
    <w:rsid w:val="7F1946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1</TotalTime>
  <ScaleCrop>false</ScaleCrop>
  <LinksUpToDate>false</LinksUpToDate>
  <CharactersWithSpaces>10118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闵翔</cp:lastModifiedBy>
  <cp:lastPrinted>2024-01-23T03:39:00Z</cp:lastPrinted>
  <dcterms:modified xsi:type="dcterms:W3CDTF">2024-02-26T02:21:14Z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2778DE0D3D1747E5A61F757C22D63E49_13</vt:lpwstr>
  </property>
</Properties>
</file>