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afterLines="30" w:line="520" w:lineRule="exact"/>
        <w:jc w:val="center"/>
        <w:rPr>
          <w:rFonts w:hint="eastAsia" w:eastAsia="黑体"/>
          <w:color w:val="000000"/>
          <w:sz w:val="36"/>
          <w:szCs w:val="36"/>
        </w:rPr>
      </w:pPr>
      <w:bookmarkStart w:id="0" w:name="_Toc322932648"/>
      <w:bookmarkStart w:id="1" w:name="_Toc322699303"/>
      <w:bookmarkStart w:id="2" w:name="_Toc322937623"/>
      <w:bookmarkStart w:id="3" w:name="_Toc322932577"/>
      <w:bookmarkStart w:id="4" w:name="_Toc322932651"/>
      <w:bookmarkStart w:id="5" w:name="_Toc322937626"/>
      <w:r>
        <w:rPr>
          <w:rFonts w:eastAsia="黑体"/>
          <w:color w:val="000000"/>
          <w:sz w:val="36"/>
          <w:szCs w:val="36"/>
        </w:rPr>
        <w:tab/>
      </w: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r>
        <w:drawing>
          <wp:anchor distT="0" distB="0" distL="114300" distR="114300" simplePos="0" relativeHeight="251659264"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1828800" cy="1433195"/>
                    </a:xfrm>
                    <a:prstGeom prst="rect">
                      <a:avLst/>
                    </a:prstGeom>
                    <a:noFill/>
                    <a:ln>
                      <a:noFill/>
                    </a:ln>
                  </pic:spPr>
                </pic:pic>
              </a:graphicData>
            </a:graphic>
          </wp:anchor>
        </w:drawing>
      </w: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jc w:val="center"/>
        <w:rPr>
          <w:rFonts w:eastAsia="黑体"/>
          <w:color w:val="000000"/>
          <w:sz w:val="36"/>
          <w:szCs w:val="36"/>
        </w:rPr>
      </w:pPr>
    </w:p>
    <w:p>
      <w:pPr>
        <w:jc w:val="center"/>
        <w:rPr>
          <w:rFonts w:eastAsia="方正小标宋_GBK"/>
          <w:b/>
          <w:color w:val="000000"/>
          <w:sz w:val="72"/>
          <w:szCs w:val="72"/>
        </w:rPr>
      </w:pPr>
      <w:r>
        <w:rPr>
          <w:rFonts w:eastAsia="方正小标宋_GBK"/>
          <w:b/>
          <w:color w:val="000000"/>
          <w:sz w:val="72"/>
          <w:szCs w:val="72"/>
        </w:rPr>
        <w:t>国家统计局</w:t>
      </w:r>
      <w:r>
        <w:rPr>
          <w:rFonts w:hint="eastAsia" w:eastAsia="方正小标宋_GBK"/>
          <w:b/>
          <w:color w:val="000000"/>
          <w:sz w:val="72"/>
          <w:szCs w:val="72"/>
          <w:lang w:val="en-US" w:eastAsia="zh-CN"/>
        </w:rPr>
        <w:t>吉林调查总队</w:t>
      </w:r>
      <w:r>
        <w:rPr>
          <w:rFonts w:eastAsia="方正小标宋_GBK"/>
          <w:b/>
          <w:color w:val="000000"/>
          <w:sz w:val="72"/>
          <w:szCs w:val="72"/>
        </w:rPr>
        <w:t>预算</w:t>
      </w:r>
    </w:p>
    <w:p>
      <w:pPr>
        <w:jc w:val="center"/>
        <w:rPr>
          <w:rFonts w:eastAsia="方正小标宋简体"/>
          <w:b/>
          <w:color w:val="000000"/>
          <w:sz w:val="72"/>
          <w:szCs w:val="72"/>
        </w:rPr>
      </w:pPr>
      <w:r>
        <w:rPr>
          <w:rFonts w:eastAsia="方正小标宋_GBK"/>
          <w:b/>
          <w:color w:val="000000"/>
          <w:sz w:val="72"/>
          <w:szCs w:val="72"/>
        </w:rPr>
        <w:t>（202</w:t>
      </w:r>
      <w:r>
        <w:rPr>
          <w:rFonts w:hint="eastAsia" w:eastAsia="方正小标宋_GBK"/>
          <w:b/>
          <w:color w:val="000000"/>
          <w:sz w:val="72"/>
          <w:szCs w:val="72"/>
          <w:lang w:val="en-US" w:eastAsia="zh-CN"/>
        </w:rPr>
        <w:t>4</w:t>
      </w:r>
      <w:r>
        <w:rPr>
          <w:rFonts w:eastAsia="方正小标宋_GBK"/>
          <w:b/>
          <w:color w:val="000000"/>
          <w:sz w:val="72"/>
          <w:szCs w:val="72"/>
        </w:rPr>
        <w:t>）</w:t>
      </w: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sectPr>
          <w:footerReference r:id="rId3" w:type="default"/>
          <w:footerReference r:id="rId4" w:type="even"/>
          <w:pgSz w:w="11906" w:h="16838"/>
          <w:pgMar w:top="1021" w:right="1021" w:bottom="1021" w:left="1021" w:header="851" w:footer="992" w:gutter="0"/>
          <w:pgNumType w:fmt="numberInDash" w:start="0"/>
          <w:cols w:space="425" w:num="1"/>
          <w:titlePg/>
          <w:docGrid w:linePitch="312" w:charSpace="0"/>
        </w:sectPr>
      </w:pPr>
    </w:p>
    <w:p/>
    <w:p/>
    <w:p/>
    <w:p>
      <w:pPr>
        <w:jc w:val="center"/>
        <w:rPr>
          <w:rFonts w:eastAsia="方正小标宋_GBK"/>
          <w:b/>
          <w:color w:val="000000"/>
          <w:sz w:val="36"/>
          <w:szCs w:val="32"/>
        </w:rPr>
      </w:pPr>
      <w:bookmarkStart w:id="6" w:name="_Toc510537142"/>
      <w:r>
        <w:rPr>
          <w:rFonts w:eastAsia="方正小标宋_GBK"/>
          <w:b/>
          <w:color w:val="000000"/>
          <w:sz w:val="36"/>
          <w:szCs w:val="32"/>
        </w:rPr>
        <w:t>目   录</w:t>
      </w:r>
      <w:bookmarkEnd w:id="6"/>
    </w:p>
    <w:p>
      <w:pPr>
        <w:spacing w:after="93" w:afterLines="30" w:line="520" w:lineRule="exact"/>
        <w:ind w:left="462" w:leftChars="257" w:firstLine="594" w:firstLineChars="198"/>
        <w:rPr>
          <w:rFonts w:eastAsia="黑体"/>
          <w:color w:val="000000"/>
          <w:sz w:val="30"/>
          <w:szCs w:val="30"/>
        </w:rPr>
      </w:pPr>
    </w:p>
    <w:p>
      <w:pPr>
        <w:spacing w:before="156" w:beforeLines="50" w:after="156" w:afterLines="50" w:line="520" w:lineRule="exact"/>
        <w:ind w:firstLine="1124" w:firstLineChars="400"/>
        <w:rPr>
          <w:rFonts w:eastAsia="仿宋_GB2312"/>
          <w:b/>
          <w:color w:val="000000"/>
          <w:sz w:val="28"/>
          <w:szCs w:val="28"/>
        </w:rPr>
      </w:pPr>
      <w:bookmarkStart w:id="7" w:name="_Toc510537143"/>
      <w:r>
        <w:rPr>
          <w:rFonts w:eastAsia="仿宋_GB2312"/>
          <w:b/>
          <w:color w:val="000000"/>
          <w:sz w:val="28"/>
          <w:szCs w:val="28"/>
        </w:rPr>
        <w:t>第一部分 国家统计局</w:t>
      </w:r>
      <w:r>
        <w:rPr>
          <w:rFonts w:hint="eastAsia" w:eastAsia="仿宋_GB2312"/>
          <w:b/>
          <w:color w:val="000000"/>
          <w:sz w:val="28"/>
          <w:szCs w:val="28"/>
          <w:lang w:eastAsia="zh-CN"/>
        </w:rPr>
        <w:t>吉林调查总队</w:t>
      </w:r>
      <w:r>
        <w:rPr>
          <w:rFonts w:eastAsia="仿宋_GB2312"/>
          <w:b/>
          <w:color w:val="000000"/>
          <w:sz w:val="28"/>
          <w:szCs w:val="28"/>
        </w:rPr>
        <w:t>概况</w:t>
      </w:r>
      <w:bookmarkEnd w:id="7"/>
    </w:p>
    <w:p>
      <w:pPr>
        <w:pStyle w:val="23"/>
        <w:widowControl w:val="0"/>
        <w:spacing w:before="0" w:beforeAutospacing="0" w:after="0" w:afterAutospacing="0" w:line="520" w:lineRule="exact"/>
        <w:ind w:firstLine="1680" w:firstLineChars="600"/>
        <w:jc w:val="both"/>
        <w:rPr>
          <w:rFonts w:ascii="Times New Roman" w:hAnsi="Times New Roman" w:eastAsia="仿宋_GB2312" w:cs="Times New Roman"/>
          <w:color w:val="000000"/>
          <w:sz w:val="28"/>
          <w:szCs w:val="28"/>
        </w:rPr>
      </w:pPr>
      <w:bookmarkStart w:id="8" w:name="_Toc510537144"/>
      <w:r>
        <w:rPr>
          <w:rFonts w:ascii="Times New Roman" w:hAnsi="Times New Roman" w:eastAsia="仿宋_GB2312" w:cs="Times New Roman"/>
          <w:color w:val="000000"/>
          <w:sz w:val="28"/>
          <w:szCs w:val="28"/>
        </w:rPr>
        <w:t>一、主要职能</w:t>
      </w:r>
      <w:bookmarkEnd w:id="8"/>
    </w:p>
    <w:p>
      <w:pPr>
        <w:spacing w:line="520" w:lineRule="exact"/>
        <w:ind w:firstLine="1680" w:firstLineChars="600"/>
        <w:rPr>
          <w:rFonts w:eastAsia="仿宋_GB2312"/>
          <w:color w:val="000000"/>
          <w:sz w:val="28"/>
          <w:szCs w:val="28"/>
        </w:rPr>
      </w:pPr>
      <w:bookmarkStart w:id="9" w:name="_Toc510537145"/>
      <w:r>
        <w:rPr>
          <w:rFonts w:eastAsia="仿宋_GB2312"/>
          <w:color w:val="000000"/>
          <w:sz w:val="28"/>
          <w:szCs w:val="28"/>
        </w:rPr>
        <w:t>二、单位构成</w:t>
      </w:r>
      <w:bookmarkEnd w:id="9"/>
    </w:p>
    <w:p>
      <w:pPr>
        <w:spacing w:before="156" w:beforeLines="50" w:after="156" w:afterLines="50" w:line="520" w:lineRule="exact"/>
        <w:ind w:firstLine="1124" w:firstLineChars="400"/>
        <w:rPr>
          <w:rFonts w:eastAsia="仿宋_GB2312"/>
          <w:b/>
          <w:color w:val="000000"/>
          <w:sz w:val="28"/>
          <w:szCs w:val="28"/>
        </w:rPr>
      </w:pPr>
      <w:bookmarkStart w:id="10" w:name="_Toc510537146"/>
      <w:r>
        <w:rPr>
          <w:rFonts w:eastAsia="仿宋_GB2312"/>
          <w:b/>
          <w:color w:val="000000"/>
          <w:sz w:val="28"/>
          <w:szCs w:val="28"/>
        </w:rPr>
        <w:t>第二部分 国家统计局</w:t>
      </w:r>
      <w:r>
        <w:rPr>
          <w:rFonts w:hint="eastAsia" w:eastAsia="仿宋_GB2312"/>
          <w:b/>
          <w:color w:val="000000"/>
          <w:sz w:val="28"/>
          <w:szCs w:val="28"/>
          <w:lang w:eastAsia="zh-CN"/>
        </w:rPr>
        <w:t>吉林调查总队2024</w:t>
      </w:r>
      <w:r>
        <w:rPr>
          <w:rFonts w:eastAsia="仿宋_GB2312"/>
          <w:b/>
          <w:color w:val="000000"/>
          <w:sz w:val="28"/>
          <w:szCs w:val="28"/>
        </w:rPr>
        <w:t>年预算表</w:t>
      </w:r>
      <w:bookmarkEnd w:id="10"/>
    </w:p>
    <w:p>
      <w:pPr>
        <w:spacing w:line="520" w:lineRule="exact"/>
        <w:ind w:firstLine="1680" w:firstLineChars="600"/>
        <w:rPr>
          <w:rFonts w:eastAsia="仿宋_GB2312"/>
          <w:color w:val="000000"/>
          <w:sz w:val="28"/>
          <w:szCs w:val="28"/>
        </w:rPr>
      </w:pPr>
      <w:bookmarkStart w:id="11" w:name="_Toc510537155"/>
      <w:r>
        <w:rPr>
          <w:rFonts w:eastAsia="仿宋_GB2312"/>
          <w:color w:val="000000"/>
          <w:sz w:val="28"/>
          <w:szCs w:val="28"/>
        </w:rPr>
        <w:t>一、</w:t>
      </w:r>
      <w:r>
        <w:rPr>
          <w:rFonts w:hint="eastAsia" w:eastAsia="仿宋_GB2312"/>
          <w:color w:val="000000"/>
          <w:sz w:val="28"/>
          <w:szCs w:val="28"/>
        </w:rPr>
        <w:t>部门</w:t>
      </w:r>
      <w:r>
        <w:rPr>
          <w:rFonts w:eastAsia="仿宋_GB2312"/>
          <w:color w:val="000000"/>
          <w:sz w:val="28"/>
          <w:szCs w:val="28"/>
        </w:rPr>
        <w:t>收支总表</w:t>
      </w:r>
    </w:p>
    <w:p>
      <w:pPr>
        <w:spacing w:line="520" w:lineRule="exact"/>
        <w:ind w:firstLine="1680" w:firstLineChars="600"/>
        <w:rPr>
          <w:rFonts w:eastAsia="仿宋_GB2312"/>
          <w:color w:val="000000"/>
          <w:sz w:val="28"/>
          <w:szCs w:val="28"/>
        </w:rPr>
      </w:pPr>
      <w:r>
        <w:rPr>
          <w:rFonts w:eastAsia="仿宋_GB2312"/>
          <w:color w:val="000000"/>
          <w:sz w:val="28"/>
          <w:szCs w:val="28"/>
        </w:rPr>
        <w:t>二、</w:t>
      </w:r>
      <w:r>
        <w:rPr>
          <w:rFonts w:hint="eastAsia" w:eastAsia="仿宋_GB2312"/>
          <w:color w:val="000000"/>
          <w:sz w:val="28"/>
          <w:szCs w:val="28"/>
        </w:rPr>
        <w:t>部门</w:t>
      </w:r>
      <w:r>
        <w:rPr>
          <w:rFonts w:eastAsia="仿宋_GB2312"/>
          <w:color w:val="000000"/>
          <w:sz w:val="28"/>
          <w:szCs w:val="28"/>
        </w:rPr>
        <w:t>收入总表</w:t>
      </w:r>
    </w:p>
    <w:p>
      <w:pPr>
        <w:spacing w:line="520" w:lineRule="exact"/>
        <w:ind w:firstLine="1680" w:firstLineChars="600"/>
        <w:rPr>
          <w:rFonts w:eastAsia="仿宋_GB2312"/>
          <w:color w:val="000000"/>
          <w:sz w:val="28"/>
          <w:szCs w:val="28"/>
        </w:rPr>
      </w:pPr>
      <w:r>
        <w:rPr>
          <w:rFonts w:eastAsia="仿宋_GB2312"/>
          <w:color w:val="000000"/>
          <w:sz w:val="28"/>
          <w:szCs w:val="28"/>
        </w:rPr>
        <w:t>三、</w:t>
      </w:r>
      <w:r>
        <w:rPr>
          <w:rFonts w:hint="eastAsia" w:eastAsia="仿宋_GB2312"/>
          <w:color w:val="000000"/>
          <w:sz w:val="28"/>
          <w:szCs w:val="28"/>
        </w:rPr>
        <w:t>部门</w:t>
      </w:r>
      <w:r>
        <w:rPr>
          <w:rFonts w:eastAsia="仿宋_GB2312"/>
          <w:color w:val="000000"/>
          <w:sz w:val="28"/>
          <w:szCs w:val="28"/>
        </w:rPr>
        <w:t>支出总表</w:t>
      </w:r>
    </w:p>
    <w:p>
      <w:pPr>
        <w:spacing w:line="520" w:lineRule="exact"/>
        <w:ind w:firstLine="1680" w:firstLineChars="600"/>
        <w:rPr>
          <w:rFonts w:eastAsia="仿宋_GB2312"/>
          <w:color w:val="000000"/>
          <w:sz w:val="28"/>
          <w:szCs w:val="28"/>
        </w:rPr>
      </w:pPr>
      <w:r>
        <w:rPr>
          <w:rFonts w:eastAsia="仿宋_GB2312"/>
          <w:color w:val="000000"/>
          <w:sz w:val="28"/>
          <w:szCs w:val="28"/>
        </w:rPr>
        <w:t>四、财政拨款收支总表</w:t>
      </w:r>
    </w:p>
    <w:p>
      <w:pPr>
        <w:spacing w:line="520" w:lineRule="exact"/>
        <w:ind w:firstLine="1680" w:firstLineChars="600"/>
        <w:rPr>
          <w:rFonts w:eastAsia="仿宋_GB2312"/>
          <w:color w:val="000000"/>
          <w:sz w:val="28"/>
          <w:szCs w:val="28"/>
        </w:rPr>
      </w:pPr>
      <w:r>
        <w:rPr>
          <w:rFonts w:eastAsia="仿宋_GB2312"/>
          <w:color w:val="000000"/>
          <w:sz w:val="28"/>
          <w:szCs w:val="28"/>
        </w:rPr>
        <w:t>五、一般公共预算支出表</w:t>
      </w:r>
    </w:p>
    <w:p>
      <w:pPr>
        <w:spacing w:line="520" w:lineRule="exact"/>
        <w:ind w:firstLine="1680" w:firstLineChars="600"/>
        <w:rPr>
          <w:rFonts w:eastAsia="仿宋_GB2312"/>
          <w:color w:val="000000"/>
          <w:sz w:val="28"/>
          <w:szCs w:val="28"/>
        </w:rPr>
      </w:pPr>
      <w:r>
        <w:rPr>
          <w:rFonts w:eastAsia="仿宋_GB2312"/>
          <w:color w:val="000000"/>
          <w:sz w:val="28"/>
          <w:szCs w:val="28"/>
        </w:rPr>
        <w:t>六、一般公共预算基本支出表</w:t>
      </w:r>
    </w:p>
    <w:p>
      <w:pPr>
        <w:spacing w:line="520" w:lineRule="exact"/>
        <w:ind w:firstLine="1680" w:firstLineChars="600"/>
        <w:rPr>
          <w:rFonts w:eastAsia="仿宋_GB2312"/>
          <w:color w:val="000000"/>
          <w:sz w:val="28"/>
          <w:szCs w:val="28"/>
        </w:rPr>
      </w:pPr>
      <w:r>
        <w:rPr>
          <w:rFonts w:eastAsia="仿宋_GB2312"/>
          <w:color w:val="000000"/>
          <w:sz w:val="28"/>
          <w:szCs w:val="28"/>
        </w:rPr>
        <w:t>七、</w:t>
      </w:r>
      <w:r>
        <w:rPr>
          <w:rFonts w:hint="eastAsia" w:eastAsia="仿宋_GB2312"/>
          <w:color w:val="000000"/>
          <w:sz w:val="28"/>
          <w:szCs w:val="28"/>
        </w:rPr>
        <w:t>财政拨款预算“三公”经费支出表</w:t>
      </w:r>
    </w:p>
    <w:p>
      <w:pPr>
        <w:spacing w:before="156" w:beforeLines="50" w:after="156" w:afterLines="50" w:line="520" w:lineRule="exact"/>
        <w:ind w:firstLine="1124" w:firstLineChars="400"/>
        <w:rPr>
          <w:rFonts w:eastAsia="仿宋_GB2312"/>
          <w:b/>
          <w:color w:val="000000"/>
          <w:sz w:val="28"/>
          <w:szCs w:val="28"/>
        </w:rPr>
      </w:pPr>
      <w:r>
        <w:rPr>
          <w:rFonts w:eastAsia="仿宋_GB2312"/>
          <w:b/>
          <w:color w:val="000000"/>
          <w:sz w:val="28"/>
          <w:szCs w:val="28"/>
        </w:rPr>
        <w:t>第三部分 国家统计局</w:t>
      </w:r>
      <w:r>
        <w:rPr>
          <w:rFonts w:hint="eastAsia" w:eastAsia="仿宋_GB2312"/>
          <w:b/>
          <w:color w:val="000000"/>
          <w:sz w:val="28"/>
          <w:szCs w:val="28"/>
          <w:lang w:eastAsia="zh-CN"/>
        </w:rPr>
        <w:t>吉林调查总队2024</w:t>
      </w:r>
      <w:r>
        <w:rPr>
          <w:rFonts w:eastAsia="仿宋_GB2312"/>
          <w:b/>
          <w:color w:val="000000"/>
          <w:sz w:val="28"/>
          <w:szCs w:val="28"/>
        </w:rPr>
        <w:t>年预算情况说明</w:t>
      </w:r>
      <w:bookmarkEnd w:id="11"/>
    </w:p>
    <w:p>
      <w:pPr>
        <w:spacing w:before="156" w:beforeLines="50" w:after="156" w:afterLines="50" w:line="520" w:lineRule="exact"/>
        <w:ind w:firstLine="1124" w:firstLineChars="400"/>
        <w:rPr>
          <w:rFonts w:ascii="仿宋_GB2312" w:eastAsia="仿宋_GB2312"/>
          <w:b/>
          <w:color w:val="000000"/>
          <w:sz w:val="28"/>
          <w:szCs w:val="28"/>
        </w:rPr>
      </w:pPr>
      <w:r>
        <w:rPr>
          <w:rFonts w:hint="eastAsia" w:ascii="仿宋_GB2312" w:eastAsia="仿宋_GB2312"/>
          <w:b/>
          <w:color w:val="000000"/>
          <w:sz w:val="28"/>
          <w:szCs w:val="28"/>
        </w:rPr>
        <w:t>第四部分 附件（项目绩效目标表）</w:t>
      </w:r>
    </w:p>
    <w:p>
      <w:pPr>
        <w:spacing w:before="156" w:beforeLines="50" w:after="156" w:afterLines="50" w:line="520" w:lineRule="exact"/>
        <w:ind w:firstLine="1124" w:firstLineChars="400"/>
        <w:jc w:val="center"/>
        <w:rPr>
          <w:rFonts w:eastAsia="仿宋_GB2312"/>
          <w:b/>
          <w:color w:val="000000"/>
          <w:sz w:val="28"/>
          <w:szCs w:val="28"/>
        </w:rPr>
      </w:pPr>
    </w:p>
    <w:p>
      <w:pPr>
        <w:spacing w:before="156" w:beforeLines="50" w:after="156" w:afterLines="50" w:line="520" w:lineRule="exact"/>
        <w:ind w:firstLine="1280" w:firstLineChars="400"/>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rPr>
          <w:rFonts w:eastAsia="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0"/>
        <w:rPr>
          <w:rFonts w:eastAsia="方正小标宋_GBK"/>
          <w:color w:val="000000"/>
          <w:sz w:val="32"/>
          <w:szCs w:val="32"/>
        </w:rPr>
      </w:pPr>
      <w:bookmarkStart w:id="12" w:name="_Toc510537157"/>
      <w:r>
        <w:rPr>
          <w:rFonts w:eastAsia="方正小标宋_GBK"/>
          <w:color w:val="000000"/>
          <w:sz w:val="32"/>
          <w:szCs w:val="32"/>
        </w:rPr>
        <w:t>第一部分 国家统计局</w:t>
      </w:r>
      <w:r>
        <w:rPr>
          <w:rFonts w:hint="eastAsia" w:eastAsia="方正小标宋_GBK"/>
          <w:color w:val="000000"/>
          <w:sz w:val="32"/>
          <w:szCs w:val="32"/>
          <w:lang w:eastAsia="zh-CN"/>
        </w:rPr>
        <w:t>吉林调查总队</w:t>
      </w:r>
      <w:r>
        <w:rPr>
          <w:rFonts w:eastAsia="方正小标宋_GBK"/>
          <w:color w:val="000000"/>
          <w:sz w:val="32"/>
          <w:szCs w:val="32"/>
        </w:rPr>
        <w:t>概况</w:t>
      </w:r>
      <w:bookmarkEnd w:id="0"/>
      <w:bookmarkEnd w:id="1"/>
      <w:bookmarkEnd w:id="2"/>
      <w:bookmarkEnd w:id="12"/>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eastAsia="仿宋_GB2312"/>
          <w:b/>
          <w:color w:val="000000"/>
          <w:sz w:val="30"/>
          <w:szCs w:val="30"/>
        </w:rPr>
      </w:pPr>
    </w:p>
    <w:p>
      <w:pPr>
        <w:pStyle w:val="22"/>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600" w:lineRule="exact"/>
        <w:ind w:firstLine="548" w:firstLineChars="196"/>
        <w:textAlignment w:val="auto"/>
        <w:outlineLvl w:val="1"/>
        <w:rPr>
          <w:rFonts w:ascii="Times New Roman" w:hAnsi="Times New Roman" w:eastAsia="黑体" w:cs="Times New Roman"/>
          <w:color w:val="000000"/>
          <w:sz w:val="28"/>
          <w:szCs w:val="28"/>
        </w:rPr>
      </w:pPr>
      <w:bookmarkStart w:id="13" w:name="_Toc322699304"/>
      <w:bookmarkStart w:id="14" w:name="_Toc322932649"/>
      <w:bookmarkStart w:id="15" w:name="_Toc510537158"/>
      <w:bookmarkStart w:id="16" w:name="_Toc322937624"/>
      <w:bookmarkStart w:id="17" w:name="_Toc322932575"/>
      <w:r>
        <w:rPr>
          <w:rFonts w:ascii="Times New Roman" w:hAnsi="Times New Roman" w:eastAsia="黑体" w:cs="Times New Roman"/>
          <w:color w:val="000000"/>
          <w:sz w:val="28"/>
          <w:szCs w:val="28"/>
        </w:rPr>
        <w:t>一、主要职能</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bookmarkStart w:id="18" w:name="_Toc322937625"/>
      <w:bookmarkStart w:id="19" w:name="_Toc322932576"/>
      <w:bookmarkStart w:id="20" w:name="_Toc322932650"/>
      <w:bookmarkStart w:id="21" w:name="_Toc322699305"/>
      <w:bookmarkStart w:id="22" w:name="_Toc510537159"/>
      <w:r>
        <w:rPr>
          <w:rFonts w:hint="eastAsia" w:ascii="Times New Roman" w:hAnsi="Times New Roman" w:eastAsia="仿宋_GB2312" w:cs="Times New Roman"/>
          <w:color w:val="000000"/>
          <w:sz w:val="28"/>
          <w:szCs w:val="28"/>
        </w:rPr>
        <w:t>国家统计局吉林调查总队既是政府统计调查机构，也是统计执法机构，依法独立行使统计调查、统计监督的职权，独立向国家统计局上报调查结果，并对上报的调查资料的真实性负责。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（一）组织实施住户调查、劳动力调查、价格调查、农业与农村调查，组织实施有关社情民意调查、企业和个体经营户调查等。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（二）组织实施国家统计快速反应制度，组织开展经济社会重大问题和经济发展新动能专项调查，及时报告本地区的突发性经济事件和重大社会经济问题等方面信息。</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（三）参与组织实施国家有关普查项目。</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（四）根据国家统计局的授权，管理和公布有关统计调查数据。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（五）依法查处其组织实施的统计调查活动中发生的统计违法行为。</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（六）组织开展统计信息化的有关工作。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（七）负责调查总队机关人事、财务工作，管理下属各级调查队人事、财务工作。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（八）加强党对调查队工作的全面领导，承担总队和下属调查队系统党的建设、全面从严治党主体责任，组织落实总队和下属调查队系统党的建设、纪检监察、巡察工作。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（九）受国家统计局委托管理下属各级调查队；组织领导地方调查队的业务工作。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（十）接受地方党委政府的委托，开展统计调查和提供信息服务。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（十一）完成国家统计局交办的其他事项。</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eastAsia="黑体"/>
          <w:sz w:val="28"/>
          <w:szCs w:val="28"/>
        </w:rPr>
      </w:pPr>
      <w:r>
        <w:rPr>
          <w:rFonts w:eastAsia="黑体"/>
          <w:sz w:val="28"/>
          <w:szCs w:val="28"/>
        </w:rPr>
        <w:t>二、单位构成</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pPr>
      <w:r>
        <w:rPr>
          <w:rFonts w:hint="eastAsia" w:eastAsia="仿宋_GB2312"/>
          <w:sz w:val="28"/>
          <w:szCs w:val="28"/>
        </w:rPr>
        <w:t>国家统计局吉林调查总队预算包括1个省级调查队（国家统计局吉林调查总队本级）、1个副省级</w:t>
      </w:r>
      <w:r>
        <w:rPr>
          <w:rFonts w:hint="eastAsia" w:eastAsia="仿宋_GB2312"/>
          <w:sz w:val="28"/>
          <w:szCs w:val="28"/>
          <w:lang w:val="en-US" w:eastAsia="zh-CN"/>
        </w:rPr>
        <w:t>城市</w:t>
      </w:r>
      <w:r>
        <w:rPr>
          <w:rFonts w:hint="eastAsia" w:eastAsia="仿宋_GB2312"/>
          <w:sz w:val="28"/>
          <w:szCs w:val="28"/>
        </w:rPr>
        <w:t>调查队（国家统计局长春调查队）、8个市级调查队以及21个县级调查队预算，共1个二级预算单位和30个三级预算单位。</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
    <w:p/>
    <w:p/>
    <w:p/>
    <w:p/>
    <w:p/>
    <w:p/>
    <w:p/>
    <w:p/>
    <w:p/>
    <w:p/>
    <w:p/>
    <w:p/>
    <w:p/>
    <w:p/>
    <w:p/>
    <w:p/>
    <w:p/>
    <w:p/>
    <w:p/>
    <w:p/>
    <w:p/>
    <w:p/>
    <w:p/>
    <w:p/>
    <w:p/>
    <w:bookmarkEnd w:id="3"/>
    <w:bookmarkEnd w:id="4"/>
    <w:bookmarkEnd w:id="5"/>
    <w:p>
      <w:pPr>
        <w:spacing w:before="312" w:beforeLines="100" w:after="312" w:afterLines="100" w:line="520" w:lineRule="exact"/>
        <w:outlineLvl w:val="0"/>
        <w:rPr>
          <w:rFonts w:eastAsia="方正小标宋_GBK"/>
          <w:color w:val="000000"/>
          <w:sz w:val="32"/>
          <w:szCs w:val="32"/>
        </w:rPr>
      </w:pPr>
      <w:bookmarkStart w:id="23" w:name="_Toc510537171"/>
      <w:bookmarkStart w:id="24" w:name="_Toc322932657"/>
      <w:bookmarkStart w:id="25" w:name="_Toc322937632"/>
      <w:bookmarkStart w:id="26" w:name="_Toc322932583"/>
      <w:bookmarkStart w:id="27" w:name="_Toc322699312"/>
    </w:p>
    <w:p>
      <w:pPr>
        <w:spacing w:before="312" w:beforeLines="100" w:after="312" w:afterLines="100" w:line="520" w:lineRule="exact"/>
        <w:jc w:val="center"/>
        <w:outlineLvl w:val="0"/>
        <w:rPr>
          <w:rFonts w:eastAsia="方正小标宋_GBK"/>
          <w:color w:val="000000"/>
          <w:sz w:val="32"/>
          <w:szCs w:val="32"/>
        </w:rPr>
      </w:pPr>
      <w:r>
        <w:rPr>
          <w:rFonts w:eastAsia="方正小标宋_GBK"/>
          <w:color w:val="000000"/>
          <w:sz w:val="32"/>
          <w:szCs w:val="32"/>
        </w:rPr>
        <w:t>第二部分 国家统计局</w:t>
      </w:r>
      <w:r>
        <w:rPr>
          <w:rFonts w:hint="eastAsia" w:eastAsia="方正小标宋_GBK"/>
          <w:color w:val="000000"/>
          <w:sz w:val="32"/>
          <w:szCs w:val="32"/>
          <w:lang w:eastAsia="zh-CN"/>
        </w:rPr>
        <w:t>吉林调查总队2024</w:t>
      </w:r>
      <w:r>
        <w:rPr>
          <w:rFonts w:eastAsia="方正小标宋_GBK"/>
          <w:color w:val="000000"/>
          <w:sz w:val="32"/>
          <w:szCs w:val="32"/>
        </w:rPr>
        <w:t>年预算表</w:t>
      </w:r>
      <w:bookmarkStart w:id="28" w:name="_Toc322932652"/>
      <w:bookmarkStart w:id="29" w:name="_Toc322699307"/>
      <w:bookmarkStart w:id="30" w:name="_Toc322937627"/>
      <w:bookmarkStart w:id="31" w:name="_Toc322932578"/>
    </w:p>
    <w:bookmarkEnd w:id="28"/>
    <w:bookmarkEnd w:id="29"/>
    <w:bookmarkEnd w:id="30"/>
    <w:bookmarkEnd w:id="31"/>
    <w:tbl>
      <w:tblPr>
        <w:tblStyle w:val="16"/>
        <w:tblW w:w="94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119"/>
        <w:gridCol w:w="1559"/>
        <w:gridCol w:w="2835"/>
        <w:gridCol w:w="1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right"/>
              <w:rPr>
                <w:sz w:val="20"/>
                <w:szCs w:val="20"/>
              </w:rPr>
            </w:pPr>
            <w:r>
              <w:rPr>
                <w:sz w:val="20"/>
                <w:szCs w:val="20"/>
              </w:rPr>
              <w:t>部门公开表1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center"/>
              <w:rPr>
                <w:rFonts w:eastAsia="黑体"/>
                <w:sz w:val="32"/>
                <w:szCs w:val="32"/>
              </w:rPr>
            </w:pPr>
            <w:r>
              <w:rPr>
                <w:rFonts w:eastAsia="黑体"/>
                <w:sz w:val="32"/>
                <w:szCs w:val="32"/>
              </w:rPr>
              <w:t>部门收支总表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3119" w:type="dxa"/>
            <w:tcBorders>
              <w:top w:val="nil"/>
              <w:left w:val="nil"/>
              <w:bottom w:val="single" w:color="auto" w:sz="4" w:space="0"/>
              <w:right w:val="nil"/>
            </w:tcBorders>
            <w:shd w:val="clear" w:color="auto" w:fill="auto"/>
            <w:noWrap/>
            <w:vAlign w:val="center"/>
          </w:tcPr>
          <w:p>
            <w:pPr>
              <w:widowControl/>
              <w:jc w:val="center"/>
              <w:rPr>
                <w:rFonts w:eastAsia="黑体"/>
                <w:sz w:val="32"/>
                <w:szCs w:val="32"/>
              </w:rPr>
            </w:pPr>
          </w:p>
        </w:tc>
        <w:tc>
          <w:tcPr>
            <w:tcW w:w="1559"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2835"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1985" w:type="dxa"/>
            <w:tcBorders>
              <w:top w:val="nil"/>
              <w:left w:val="nil"/>
              <w:bottom w:val="single" w:color="auto" w:sz="4" w:space="0"/>
              <w:right w:val="nil"/>
            </w:tcBorders>
            <w:shd w:val="clear" w:color="auto" w:fill="auto"/>
            <w:noWrap/>
            <w:vAlign w:val="center"/>
          </w:tcPr>
          <w:p>
            <w:pPr>
              <w:widowControl/>
              <w:jc w:val="right"/>
            </w:pPr>
            <w:r>
              <w:rPr>
                <w:rFonts w:hint="eastAsia" w:ascii="宋体" w:hAnsi="宋体" w:cs="宋体"/>
                <w:sz w:val="20"/>
                <w:szCs w:val="20"/>
              </w:rPr>
              <w:t>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收      入</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支      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3119"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559"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c>
          <w:tcPr>
            <w:tcW w:w="2835"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985"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一、一般公共预算拨款收入</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10710.50</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一、一般公共服务支出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15028.07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二、政府性基金预算拨款收入</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二、外交支出</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三、国有资本经营预算拨款收入</w:t>
            </w:r>
          </w:p>
        </w:tc>
        <w:tc>
          <w:tcPr>
            <w:tcW w:w="1559" w:type="dxa"/>
            <w:shd w:val="clear" w:color="auto" w:fill="auto"/>
            <w:noWrap/>
            <w:vAlign w:val="center"/>
          </w:tcPr>
          <w:p>
            <w:pPr>
              <w:widowControl/>
              <w:jc w:val="right"/>
              <w:rPr>
                <w:sz w:val="20"/>
                <w:szCs w:val="20"/>
              </w:rPr>
            </w:pPr>
            <w:r>
              <w:rPr>
                <w:sz w:val="20"/>
                <w:szCs w:val="20"/>
              </w:rPr>
              <w:t xml:space="preserve">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三、科学技术支出</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四、事业收入</w:t>
            </w:r>
          </w:p>
        </w:tc>
        <w:tc>
          <w:tcPr>
            <w:tcW w:w="1559" w:type="dxa"/>
            <w:shd w:val="clear" w:color="auto" w:fill="auto"/>
            <w:noWrap/>
            <w:vAlign w:val="center"/>
          </w:tcPr>
          <w:p>
            <w:pPr>
              <w:widowControl/>
              <w:jc w:val="right"/>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四、社会保障和就业支出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1233.66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五、事业单位经营收入</w:t>
            </w:r>
          </w:p>
        </w:tc>
        <w:tc>
          <w:tcPr>
            <w:tcW w:w="1559" w:type="dxa"/>
            <w:shd w:val="clear" w:color="auto" w:fill="auto"/>
            <w:noWrap/>
            <w:vAlign w:val="center"/>
          </w:tcPr>
          <w:p>
            <w:pPr>
              <w:widowControl/>
              <w:jc w:val="right"/>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五、卫生健康支出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477.51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六、其他收入</w:t>
            </w:r>
          </w:p>
        </w:tc>
        <w:tc>
          <w:tcPr>
            <w:tcW w:w="1559" w:type="dxa"/>
            <w:shd w:val="clear" w:color="auto" w:fill="auto"/>
            <w:noWrap/>
            <w:vAlign w:val="center"/>
          </w:tcPr>
          <w:p>
            <w:pPr>
              <w:widowControl/>
              <w:jc w:val="right"/>
              <w:rPr>
                <w:sz w:val="20"/>
                <w:szCs w:val="20"/>
              </w:rPr>
            </w:pPr>
            <w:r>
              <w:rPr>
                <w:rFonts w:hint="eastAsia"/>
                <w:sz w:val="20"/>
                <w:szCs w:val="20"/>
                <w:lang w:val="en-US" w:eastAsia="zh-CN"/>
              </w:rPr>
              <w:t>2644.89</w:t>
            </w:r>
            <w:r>
              <w:rPr>
                <w:sz w:val="20"/>
                <w:szCs w:val="20"/>
              </w:rPr>
              <w:t>　</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六、住房保障支出</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701.75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4"/>
                <w:szCs w:val="24"/>
              </w:rPr>
            </w:pPr>
            <w:r>
              <w:rPr>
                <w:sz w:val="24"/>
                <w:szCs w:val="24"/>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right"/>
              <w:rPr>
                <w:sz w:val="20"/>
                <w:szCs w:val="20"/>
              </w:rPr>
            </w:pP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本年收入合计</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13355.39</w:t>
            </w:r>
          </w:p>
        </w:tc>
        <w:tc>
          <w:tcPr>
            <w:tcW w:w="2835" w:type="dxa"/>
            <w:shd w:val="clear" w:color="auto" w:fill="auto"/>
            <w:noWrap/>
            <w:vAlign w:val="center"/>
          </w:tcPr>
          <w:p>
            <w:pPr>
              <w:widowControl/>
              <w:jc w:val="center"/>
              <w:rPr>
                <w:sz w:val="20"/>
                <w:szCs w:val="20"/>
              </w:rPr>
            </w:pPr>
            <w:r>
              <w:rPr>
                <w:sz w:val="20"/>
                <w:szCs w:val="20"/>
              </w:rPr>
              <w:t>本年支出合计</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17440.99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使用非财政拨款结余</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结转下年</w:t>
            </w:r>
          </w:p>
        </w:tc>
        <w:tc>
          <w:tcPr>
            <w:tcW w:w="1985" w:type="dxa"/>
            <w:shd w:val="clear" w:color="auto" w:fill="auto"/>
            <w:noWrap/>
            <w:vAlign w:val="center"/>
          </w:tcPr>
          <w:p>
            <w:pPr>
              <w:widowControl/>
              <w:jc w:val="right"/>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上年结转</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4085.60</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right"/>
              <w:rPr>
                <w:sz w:val="20"/>
                <w:szCs w:val="20"/>
              </w:rPr>
            </w:pPr>
            <w:r>
              <w:rPr>
                <w:sz w:val="20"/>
                <w:szCs w:val="20"/>
              </w:rPr>
              <w:t>　</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right"/>
              <w:rPr>
                <w:sz w:val="20"/>
                <w:szCs w:val="20"/>
              </w:rPr>
            </w:pPr>
            <w:r>
              <w:rPr>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收    入    总    计</w:t>
            </w:r>
          </w:p>
        </w:tc>
        <w:tc>
          <w:tcPr>
            <w:tcW w:w="1559"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17440.99</w:t>
            </w:r>
          </w:p>
        </w:tc>
        <w:tc>
          <w:tcPr>
            <w:tcW w:w="2835" w:type="dxa"/>
            <w:shd w:val="clear" w:color="auto" w:fill="auto"/>
            <w:noWrap/>
            <w:vAlign w:val="center"/>
          </w:tcPr>
          <w:p>
            <w:pPr>
              <w:widowControl/>
              <w:jc w:val="center"/>
              <w:rPr>
                <w:sz w:val="20"/>
                <w:szCs w:val="20"/>
              </w:rPr>
            </w:pPr>
            <w:r>
              <w:rPr>
                <w:sz w:val="20"/>
                <w:szCs w:val="20"/>
              </w:rPr>
              <w:t>支    出    总    计</w:t>
            </w:r>
          </w:p>
        </w:tc>
        <w:tc>
          <w:tcPr>
            <w:tcW w:w="1985" w:type="dxa"/>
            <w:shd w:val="clear" w:color="auto" w:fill="auto"/>
            <w:noWrap/>
            <w:vAlign w:val="center"/>
          </w:tcPr>
          <w:p>
            <w:pPr>
              <w:widowControl/>
              <w:jc w:val="right"/>
              <w:rPr>
                <w:rFonts w:hint="default" w:eastAsia="宋体"/>
                <w:sz w:val="20"/>
                <w:szCs w:val="20"/>
                <w:lang w:val="en-US" w:eastAsia="zh-CN"/>
              </w:rPr>
            </w:pPr>
            <w:r>
              <w:rPr>
                <w:rFonts w:hint="eastAsia"/>
                <w:sz w:val="20"/>
                <w:szCs w:val="20"/>
                <w:lang w:val="en-US" w:eastAsia="zh-CN"/>
              </w:rPr>
              <w:t>17440.99</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
    <w:tbl>
      <w:tblPr>
        <w:tblStyle w:val="16"/>
        <w:tblW w:w="10896" w:type="dxa"/>
        <w:jc w:val="center"/>
        <w:tblLayout w:type="fixed"/>
        <w:tblCellMar>
          <w:top w:w="0" w:type="dxa"/>
          <w:left w:w="108" w:type="dxa"/>
          <w:bottom w:w="0" w:type="dxa"/>
          <w:right w:w="108" w:type="dxa"/>
        </w:tblCellMar>
      </w:tblPr>
      <w:tblGrid>
        <w:gridCol w:w="1231"/>
        <w:gridCol w:w="1231"/>
        <w:gridCol w:w="1231"/>
        <w:gridCol w:w="624"/>
        <w:gridCol w:w="624"/>
        <w:gridCol w:w="1029"/>
        <w:gridCol w:w="710"/>
        <w:gridCol w:w="786"/>
        <w:gridCol w:w="675"/>
        <w:gridCol w:w="720"/>
        <w:gridCol w:w="1020"/>
        <w:gridCol w:w="1015"/>
      </w:tblGrid>
      <w:tr>
        <w:tblPrEx>
          <w:tblCellMar>
            <w:top w:w="0" w:type="dxa"/>
            <w:left w:w="108" w:type="dxa"/>
            <w:bottom w:w="0" w:type="dxa"/>
            <w:right w:w="108" w:type="dxa"/>
          </w:tblCellMar>
        </w:tblPrEx>
        <w:trPr>
          <w:trHeight w:val="306" w:hRule="atLeast"/>
          <w:jc w:val="center"/>
        </w:trPr>
        <w:tc>
          <w:tcPr>
            <w:tcW w:w="1231" w:type="dxa"/>
            <w:tcBorders>
              <w:top w:val="nil"/>
              <w:left w:val="nil"/>
              <w:bottom w:val="nil"/>
              <w:right w:val="nil"/>
            </w:tcBorders>
            <w:noWrap/>
            <w:vAlign w:val="center"/>
          </w:tcPr>
          <w:p>
            <w:pPr>
              <w:widowControl/>
              <w:jc w:val="left"/>
              <w:rPr>
                <w:rFonts w:ascii="宋体" w:hAnsi="宋体" w:eastAsia="Times New Roman" w:cs="宋体"/>
                <w:sz w:val="20"/>
                <w:szCs w:val="20"/>
              </w:rPr>
            </w:pPr>
          </w:p>
        </w:tc>
        <w:tc>
          <w:tcPr>
            <w:tcW w:w="1231" w:type="dxa"/>
            <w:tcBorders>
              <w:top w:val="nil"/>
              <w:left w:val="nil"/>
              <w:bottom w:val="nil"/>
              <w:right w:val="nil"/>
            </w:tcBorders>
            <w:noWrap/>
            <w:vAlign w:val="center"/>
          </w:tcPr>
          <w:p>
            <w:pPr>
              <w:widowControl/>
              <w:jc w:val="left"/>
              <w:rPr>
                <w:rFonts w:eastAsia="Times New Roman"/>
                <w:sz w:val="20"/>
                <w:szCs w:val="20"/>
              </w:rPr>
            </w:pPr>
          </w:p>
        </w:tc>
        <w:tc>
          <w:tcPr>
            <w:tcW w:w="1231" w:type="dxa"/>
            <w:tcBorders>
              <w:top w:val="nil"/>
              <w:left w:val="nil"/>
              <w:bottom w:val="nil"/>
              <w:right w:val="nil"/>
            </w:tcBorders>
            <w:noWrap/>
            <w:vAlign w:val="center"/>
          </w:tcPr>
          <w:p>
            <w:pPr>
              <w:widowControl/>
              <w:jc w:val="left"/>
              <w:rPr>
                <w:rFonts w:eastAsia="Times New Roman"/>
                <w:sz w:val="20"/>
                <w:szCs w:val="20"/>
              </w:rPr>
            </w:pPr>
          </w:p>
        </w:tc>
        <w:tc>
          <w:tcPr>
            <w:tcW w:w="624" w:type="dxa"/>
            <w:tcBorders>
              <w:top w:val="nil"/>
              <w:left w:val="nil"/>
              <w:bottom w:val="nil"/>
              <w:right w:val="nil"/>
            </w:tcBorders>
            <w:noWrap/>
            <w:vAlign w:val="center"/>
          </w:tcPr>
          <w:p>
            <w:pPr>
              <w:widowControl/>
              <w:jc w:val="left"/>
              <w:rPr>
                <w:rFonts w:eastAsia="Times New Roman"/>
                <w:sz w:val="20"/>
                <w:szCs w:val="20"/>
              </w:rPr>
            </w:pPr>
          </w:p>
        </w:tc>
        <w:tc>
          <w:tcPr>
            <w:tcW w:w="624" w:type="dxa"/>
            <w:tcBorders>
              <w:top w:val="nil"/>
              <w:left w:val="nil"/>
              <w:bottom w:val="nil"/>
              <w:right w:val="nil"/>
            </w:tcBorders>
            <w:noWrap/>
            <w:vAlign w:val="center"/>
          </w:tcPr>
          <w:p>
            <w:pPr>
              <w:widowControl/>
              <w:jc w:val="left"/>
              <w:rPr>
                <w:rFonts w:eastAsia="Times New Roman"/>
                <w:sz w:val="20"/>
                <w:szCs w:val="20"/>
              </w:rPr>
            </w:pPr>
          </w:p>
        </w:tc>
        <w:tc>
          <w:tcPr>
            <w:tcW w:w="1029" w:type="dxa"/>
            <w:tcBorders>
              <w:top w:val="nil"/>
              <w:left w:val="nil"/>
              <w:bottom w:val="nil"/>
              <w:right w:val="nil"/>
            </w:tcBorders>
            <w:noWrap/>
            <w:vAlign w:val="center"/>
          </w:tcPr>
          <w:p>
            <w:pPr>
              <w:widowControl/>
              <w:jc w:val="left"/>
              <w:rPr>
                <w:rFonts w:eastAsia="Times New Roman"/>
                <w:sz w:val="20"/>
                <w:szCs w:val="20"/>
              </w:rPr>
            </w:pPr>
          </w:p>
        </w:tc>
        <w:tc>
          <w:tcPr>
            <w:tcW w:w="710" w:type="dxa"/>
            <w:tcBorders>
              <w:top w:val="nil"/>
              <w:left w:val="nil"/>
              <w:bottom w:val="nil"/>
              <w:right w:val="nil"/>
            </w:tcBorders>
            <w:noWrap/>
            <w:vAlign w:val="center"/>
          </w:tcPr>
          <w:p>
            <w:pPr>
              <w:widowControl/>
              <w:jc w:val="left"/>
              <w:rPr>
                <w:rFonts w:eastAsia="Times New Roman"/>
                <w:sz w:val="20"/>
                <w:szCs w:val="20"/>
              </w:rPr>
            </w:pPr>
          </w:p>
        </w:tc>
        <w:tc>
          <w:tcPr>
            <w:tcW w:w="786" w:type="dxa"/>
            <w:tcBorders>
              <w:top w:val="nil"/>
              <w:left w:val="nil"/>
              <w:bottom w:val="nil"/>
              <w:right w:val="nil"/>
            </w:tcBorders>
            <w:noWrap/>
            <w:vAlign w:val="center"/>
          </w:tcPr>
          <w:p>
            <w:pPr>
              <w:widowControl/>
              <w:jc w:val="left"/>
              <w:rPr>
                <w:rFonts w:eastAsia="Times New Roman"/>
                <w:sz w:val="20"/>
                <w:szCs w:val="20"/>
              </w:rPr>
            </w:pPr>
          </w:p>
        </w:tc>
        <w:tc>
          <w:tcPr>
            <w:tcW w:w="675" w:type="dxa"/>
            <w:tcBorders>
              <w:top w:val="nil"/>
              <w:left w:val="nil"/>
              <w:bottom w:val="nil"/>
              <w:right w:val="nil"/>
            </w:tcBorders>
            <w:noWrap/>
            <w:vAlign w:val="center"/>
          </w:tcPr>
          <w:p>
            <w:pPr>
              <w:widowControl/>
              <w:jc w:val="left"/>
              <w:rPr>
                <w:rFonts w:eastAsia="Times New Roman"/>
                <w:sz w:val="20"/>
                <w:szCs w:val="20"/>
              </w:rPr>
            </w:pPr>
          </w:p>
        </w:tc>
        <w:tc>
          <w:tcPr>
            <w:tcW w:w="720" w:type="dxa"/>
            <w:tcBorders>
              <w:top w:val="nil"/>
              <w:left w:val="nil"/>
              <w:bottom w:val="nil"/>
              <w:right w:val="nil"/>
            </w:tcBorders>
            <w:noWrap/>
            <w:vAlign w:val="center"/>
          </w:tcPr>
          <w:p>
            <w:pPr>
              <w:widowControl/>
              <w:jc w:val="left"/>
              <w:rPr>
                <w:rFonts w:eastAsia="Times New Roman"/>
                <w:sz w:val="20"/>
                <w:szCs w:val="20"/>
              </w:rPr>
            </w:pPr>
          </w:p>
        </w:tc>
        <w:tc>
          <w:tcPr>
            <w:tcW w:w="203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部门公开表2</w:t>
            </w:r>
          </w:p>
        </w:tc>
      </w:tr>
      <w:tr>
        <w:tblPrEx>
          <w:tblCellMar>
            <w:top w:w="0" w:type="dxa"/>
            <w:left w:w="108" w:type="dxa"/>
            <w:bottom w:w="0" w:type="dxa"/>
            <w:right w:w="108" w:type="dxa"/>
          </w:tblCellMar>
        </w:tblPrEx>
        <w:trPr>
          <w:trHeight w:val="521" w:hRule="atLeast"/>
          <w:jc w:val="center"/>
        </w:trPr>
        <w:tc>
          <w:tcPr>
            <w:tcW w:w="10896" w:type="dxa"/>
            <w:gridSpan w:val="12"/>
            <w:tcBorders>
              <w:top w:val="nil"/>
              <w:left w:val="nil"/>
              <w:bottom w:val="nil"/>
              <w:right w:val="nil"/>
            </w:tcBorders>
            <w:noWrap/>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部门收入总表</w:t>
            </w:r>
          </w:p>
        </w:tc>
      </w:tr>
      <w:tr>
        <w:tblPrEx>
          <w:tblCellMar>
            <w:top w:w="0" w:type="dxa"/>
            <w:left w:w="108" w:type="dxa"/>
            <w:bottom w:w="0" w:type="dxa"/>
            <w:right w:w="108" w:type="dxa"/>
          </w:tblCellMar>
        </w:tblPrEx>
        <w:trPr>
          <w:trHeight w:val="391" w:hRule="atLeast"/>
          <w:jc w:val="center"/>
        </w:trPr>
        <w:tc>
          <w:tcPr>
            <w:tcW w:w="1231" w:type="dxa"/>
            <w:tcBorders>
              <w:top w:val="nil"/>
              <w:left w:val="nil"/>
              <w:bottom w:val="single" w:color="000000" w:sz="4" w:space="0"/>
              <w:right w:val="nil"/>
            </w:tcBorders>
            <w:noWrap/>
            <w:vAlign w:val="center"/>
          </w:tcPr>
          <w:p>
            <w:pPr>
              <w:widowControl/>
              <w:jc w:val="center"/>
              <w:rPr>
                <w:rFonts w:ascii="黑体" w:hAnsi="黑体" w:eastAsia="黑体" w:cs="宋体"/>
                <w:color w:val="000000"/>
                <w:sz w:val="36"/>
                <w:szCs w:val="36"/>
              </w:rPr>
            </w:pPr>
          </w:p>
        </w:tc>
        <w:tc>
          <w:tcPr>
            <w:tcW w:w="1231"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231"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029"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10"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8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75"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20"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203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tblPrEx>
          <w:tblCellMar>
            <w:top w:w="0" w:type="dxa"/>
            <w:left w:w="108" w:type="dxa"/>
            <w:bottom w:w="0" w:type="dxa"/>
            <w:right w:w="108" w:type="dxa"/>
          </w:tblCellMar>
        </w:tblPrEx>
        <w:trPr>
          <w:trHeight w:val="376" w:hRule="atLeast"/>
          <w:jc w:val="center"/>
        </w:trPr>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23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上年结转</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一般公共预算拨款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政府性基金预算拨款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国有资本经营预算拨款</w:t>
            </w:r>
          </w:p>
        </w:tc>
        <w:tc>
          <w:tcPr>
            <w:tcW w:w="17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事业收入</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事业单位经营收入</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上级补助收入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附属单位上缴收入</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其他收入</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使用非财政拨款结余</w:t>
            </w:r>
          </w:p>
        </w:tc>
      </w:tr>
      <w:tr>
        <w:tblPrEx>
          <w:tblCellMar>
            <w:top w:w="0" w:type="dxa"/>
            <w:left w:w="108" w:type="dxa"/>
            <w:bottom w:w="0" w:type="dxa"/>
            <w:right w:w="108" w:type="dxa"/>
          </w:tblCellMar>
        </w:tblPrEx>
        <w:trPr>
          <w:trHeight w:val="1315" w:hRule="atLeast"/>
          <w:jc w:val="center"/>
        </w:trPr>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金额</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after="240" w:line="260" w:lineRule="exact"/>
              <w:jc w:val="center"/>
              <w:rPr>
                <w:rFonts w:ascii="宋体" w:hAnsi="宋体" w:cs="宋体"/>
                <w:color w:val="000000"/>
                <w:sz w:val="20"/>
                <w:szCs w:val="20"/>
              </w:rPr>
            </w:pPr>
            <w:r>
              <w:rPr>
                <w:rFonts w:hint="eastAsia" w:ascii="宋体" w:hAnsi="宋体" w:cs="宋体"/>
                <w:color w:val="000000"/>
                <w:w w:val="95"/>
                <w:sz w:val="20"/>
                <w:szCs w:val="20"/>
              </w:rPr>
              <w:t>其中:</w:t>
            </w:r>
            <w:r>
              <w:rPr>
                <w:rFonts w:hint="eastAsia" w:ascii="宋体" w:hAnsi="宋体" w:cs="宋体"/>
                <w:color w:val="000000"/>
                <w:sz w:val="20"/>
                <w:szCs w:val="20"/>
              </w:rPr>
              <w:t>教育收费</w:t>
            </w: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656"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17440.99</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4085.60</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10710.50</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Times New Roman"/>
                <w:sz w:val="20"/>
                <w:szCs w:val="20"/>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Times New Roman"/>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2644.89</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default" w:ascii="宋体" w:hAnsi="宋体" w:eastAsia="宋体" w:cs="宋体"/>
                <w:color w:val="000000"/>
                <w:sz w:val="20"/>
                <w:szCs w:val="20"/>
                <w:lang w:val="en-US" w:eastAsia="zh-CN"/>
              </w:rPr>
            </w:pPr>
          </w:p>
        </w:tc>
      </w:tr>
    </w:tbl>
    <w:p/>
    <w:p/>
    <w:p/>
    <w:p/>
    <w:p/>
    <w:p/>
    <w:p/>
    <w:p/>
    <w:p/>
    <w:p/>
    <w:p/>
    <w:p/>
    <w:p/>
    <w:p/>
    <w:p/>
    <w:p/>
    <w:p/>
    <w:p/>
    <w:p/>
    <w:p/>
    <w:p/>
    <w:p/>
    <w:p/>
    <w:p/>
    <w:p/>
    <w:p/>
    <w:p/>
    <w:p/>
    <w:p/>
    <w:p/>
    <w:p/>
    <w:p/>
    <w:p/>
    <w:p/>
    <w:p/>
    <w:p/>
    <w:tbl>
      <w:tblPr>
        <w:tblStyle w:val="16"/>
        <w:tblW w:w="10573" w:type="dxa"/>
        <w:jc w:val="center"/>
        <w:tblLayout w:type="fixed"/>
        <w:tblCellMar>
          <w:top w:w="0" w:type="dxa"/>
          <w:left w:w="108" w:type="dxa"/>
          <w:bottom w:w="0" w:type="dxa"/>
          <w:right w:w="108" w:type="dxa"/>
        </w:tblCellMar>
      </w:tblPr>
      <w:tblGrid>
        <w:gridCol w:w="846"/>
        <w:gridCol w:w="3144"/>
        <w:gridCol w:w="1091"/>
        <w:gridCol w:w="1098"/>
        <w:gridCol w:w="1134"/>
        <w:gridCol w:w="992"/>
        <w:gridCol w:w="1134"/>
        <w:gridCol w:w="1134"/>
      </w:tblGrid>
      <w:tr>
        <w:tblPrEx>
          <w:tblCellMar>
            <w:top w:w="0" w:type="dxa"/>
            <w:left w:w="108" w:type="dxa"/>
            <w:bottom w:w="0" w:type="dxa"/>
            <w:right w:w="108" w:type="dxa"/>
          </w:tblCellMar>
        </w:tblPrEx>
        <w:trPr>
          <w:trHeight w:val="250" w:hRule="atLeast"/>
          <w:jc w:val="center"/>
        </w:trPr>
        <w:tc>
          <w:tcPr>
            <w:tcW w:w="10573" w:type="dxa"/>
            <w:gridSpan w:val="8"/>
            <w:tcBorders>
              <w:top w:val="nil"/>
              <w:left w:val="nil"/>
              <w:bottom w:val="nil"/>
              <w:right w:val="nil"/>
            </w:tcBorders>
            <w:shd w:val="clear" w:color="auto" w:fill="auto"/>
            <w:noWrap/>
            <w:vAlign w:val="bottom"/>
          </w:tcPr>
          <w:p>
            <w:pPr>
              <w:widowControl/>
              <w:jc w:val="right"/>
            </w:pPr>
            <w:bookmarkStart w:id="32" w:name="RANGE!A1:H43"/>
            <w:bookmarkEnd w:id="32"/>
            <w:r>
              <w:rPr>
                <w:sz w:val="20"/>
                <w:szCs w:val="20"/>
              </w:rPr>
              <w:t>部门公开表3</w:t>
            </w:r>
          </w:p>
        </w:tc>
      </w:tr>
      <w:tr>
        <w:trPr>
          <w:trHeight w:val="513" w:hRule="atLeast"/>
          <w:jc w:val="center"/>
        </w:trPr>
        <w:tc>
          <w:tcPr>
            <w:tcW w:w="10573" w:type="dxa"/>
            <w:gridSpan w:val="8"/>
            <w:tcBorders>
              <w:top w:val="nil"/>
              <w:left w:val="nil"/>
              <w:bottom w:val="nil"/>
              <w:right w:val="nil"/>
            </w:tcBorders>
            <w:shd w:val="clear" w:color="auto" w:fill="auto"/>
            <w:noWrap/>
            <w:vAlign w:val="center"/>
          </w:tcPr>
          <w:p>
            <w:pPr>
              <w:widowControl/>
              <w:ind w:left="-385" w:leftChars="-214" w:firstLine="384" w:firstLineChars="120"/>
              <w:jc w:val="center"/>
              <w:rPr>
                <w:rFonts w:eastAsia="黑体"/>
                <w:color w:val="000000"/>
                <w:sz w:val="32"/>
                <w:szCs w:val="32"/>
              </w:rPr>
            </w:pPr>
            <w:r>
              <w:rPr>
                <w:rFonts w:hint="eastAsia" w:eastAsia="黑体"/>
                <w:color w:val="000000"/>
                <w:sz w:val="32"/>
                <w:szCs w:val="32"/>
              </w:rPr>
              <w:t>部门</w:t>
            </w:r>
            <w:r>
              <w:rPr>
                <w:rFonts w:eastAsia="黑体"/>
                <w:color w:val="000000"/>
                <w:sz w:val="32"/>
                <w:szCs w:val="32"/>
              </w:rPr>
              <w:t>支出总表</w:t>
            </w:r>
          </w:p>
        </w:tc>
      </w:tr>
      <w:tr>
        <w:tblPrEx>
          <w:tblCellMar>
            <w:top w:w="0" w:type="dxa"/>
            <w:left w:w="108" w:type="dxa"/>
            <w:bottom w:w="0" w:type="dxa"/>
            <w:right w:w="108" w:type="dxa"/>
          </w:tblCellMar>
        </w:tblPrEx>
        <w:trPr>
          <w:trHeight w:val="167" w:hRule="atLeast"/>
          <w:jc w:val="center"/>
        </w:trPr>
        <w:tc>
          <w:tcPr>
            <w:tcW w:w="10573" w:type="dxa"/>
            <w:gridSpan w:val="8"/>
            <w:tcBorders>
              <w:top w:val="nil"/>
              <w:left w:val="nil"/>
              <w:bottom w:val="single" w:color="000000" w:sz="4" w:space="0"/>
              <w:right w:val="nil"/>
            </w:tcBorders>
            <w:shd w:val="clear" w:color="auto" w:fill="auto"/>
            <w:noWrap/>
            <w:vAlign w:val="center"/>
          </w:tcPr>
          <w:p>
            <w:pPr>
              <w:widowControl/>
              <w:jc w:val="right"/>
              <w:rPr>
                <w:color w:val="000000"/>
                <w:sz w:val="20"/>
                <w:szCs w:val="20"/>
              </w:rPr>
            </w:pPr>
            <w:r>
              <w:rPr>
                <w:color w:val="000000"/>
              </w:rPr>
              <w:t>单位：万元</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color w:val="000000"/>
                <w:lang w:eastAsia="zh-CN"/>
              </w:rPr>
            </w:pPr>
            <w:r>
              <w:rPr>
                <w:color w:val="000000"/>
              </w:rPr>
              <w:t>科目</w:t>
            </w:r>
          </w:p>
          <w:p>
            <w:pPr>
              <w:widowControl/>
              <w:spacing w:line="240" w:lineRule="exact"/>
              <w:jc w:val="center"/>
              <w:rPr>
                <w:color w:val="000000"/>
              </w:rPr>
            </w:pPr>
            <w:r>
              <w:rPr>
                <w:color w:val="000000"/>
              </w:rPr>
              <w:t>编码</w:t>
            </w:r>
          </w:p>
        </w:tc>
        <w:tc>
          <w:tcPr>
            <w:tcW w:w="314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科目名称</w:t>
            </w:r>
          </w:p>
        </w:tc>
        <w:tc>
          <w:tcPr>
            <w:tcW w:w="1091"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合计</w:t>
            </w:r>
          </w:p>
        </w:tc>
        <w:tc>
          <w:tcPr>
            <w:tcW w:w="1098"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基本支出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项目支出</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上缴上级支出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事业单位经营支出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rFonts w:hint="eastAsia" w:ascii="宋体" w:hAnsi="宋体" w:cs="宋体"/>
                <w:color w:val="000000"/>
              </w:rPr>
              <w:t>对附属单位补助支出</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一般公共服务支出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15028.07</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7478.68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7549.39</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统计信息事务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15028.07</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7478.68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7549.39</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7478.68</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7478.68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97"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一般行政管理事务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56.19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rPr>
            </w:pPr>
            <w:r>
              <w:rPr>
                <w:rFonts w:hint="eastAsia" w:eastAsia="华文宋体"/>
                <w:color w:val="000000"/>
                <w:lang w:val="en-US" w:eastAsia="zh-CN"/>
              </w:rPr>
              <w:t>56.19</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机关服务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专项统计业务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341.79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s="Times New Roman"/>
                <w:color w:val="000000"/>
                <w:sz w:val="18"/>
                <w:szCs w:val="18"/>
                <w:lang w:val="en-US" w:eastAsia="zh-CN" w:bidi="ar-SA"/>
              </w:rPr>
              <w:t>341.79</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统计管理</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100.00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s="Times New Roman"/>
                <w:color w:val="000000"/>
                <w:sz w:val="18"/>
                <w:szCs w:val="18"/>
                <w:lang w:val="en-US" w:eastAsia="zh-CN" w:bidi="ar-SA"/>
              </w:rPr>
            </w:pPr>
            <w:r>
              <w:rPr>
                <w:rFonts w:hint="eastAsia" w:eastAsia="华文宋体" w:cs="Times New Roman"/>
                <w:color w:val="000000"/>
                <w:sz w:val="18"/>
                <w:szCs w:val="18"/>
                <w:lang w:val="en-US" w:eastAsia="zh-CN" w:bidi="ar-SA"/>
              </w:rPr>
              <w:t>100.00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2010507</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专项普查活动</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统计抽样调查</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7051.41</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s="Times New Roman"/>
                <w:color w:val="000000"/>
                <w:sz w:val="18"/>
                <w:szCs w:val="18"/>
                <w:lang w:val="en-US" w:eastAsia="zh-CN" w:bidi="ar-SA"/>
              </w:rPr>
              <w:t>7051.41</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2010550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事业运行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其他统计信息事务支出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外交支出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20204</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国际组织</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国际组织会费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国际组织捐赠</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科学技术支出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应用研究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机构运行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社会公益研究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科技重大项目</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2060901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科技重大专项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社会保障和就业支出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1233.66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1233.66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行政事业单位养老支出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1233.66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1233.66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行政单位离退休</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离退休人员管理机构</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机关事业单位基本养老保险缴费支出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804.99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804.99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机关事业单位职业年金缴费支出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428.67</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428.67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卫生健康支出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477.51</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477.51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21011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行政事业单位医疗</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477.51</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477.51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行政单位医疗</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471.87</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471.87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公务员医疗补助</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其他行政事业单位医疗支出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lang w:val="en-US" w:eastAsia="zh-CN"/>
              </w:rPr>
            </w:pPr>
            <w:r>
              <w:rPr>
                <w:rFonts w:hint="eastAsia"/>
                <w:color w:val="000000"/>
                <w:lang w:val="en-US" w:eastAsia="zh-CN"/>
              </w:rPr>
              <w:t>5.64</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宋体" w:cs="Times New Roman"/>
                <w:color w:val="000000"/>
                <w:sz w:val="18"/>
                <w:szCs w:val="18"/>
                <w:lang w:val="en-US" w:eastAsia="zh-CN" w:bidi="ar-SA"/>
              </w:rPr>
            </w:pPr>
            <w:r>
              <w:rPr>
                <w:rFonts w:hint="eastAsia"/>
                <w:color w:val="000000"/>
                <w:lang w:val="en-US" w:eastAsia="zh-CN"/>
              </w:rPr>
              <w:t>5.64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住房保障支出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701.75</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701.75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住房改革支出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701.75</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b/>
                <w:bCs/>
                <w:sz w:val="18"/>
                <w:szCs w:val="18"/>
                <w:lang w:val="en-US" w:eastAsia="zh-CN" w:bidi="ar-SA"/>
              </w:rPr>
            </w:pPr>
            <w:r>
              <w:rPr>
                <w:rFonts w:hint="eastAsia" w:eastAsia="华文宋体"/>
                <w:b/>
                <w:bCs/>
                <w:lang w:val="en-US" w:eastAsia="zh-CN"/>
              </w:rPr>
              <w:t>701.75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住房公积金</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677.99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677.99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提租补贴</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购房补贴</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color w:val="000000"/>
                <w:lang w:val="en-US" w:eastAsia="zh-CN"/>
              </w:rPr>
            </w:pPr>
            <w:r>
              <w:rPr>
                <w:rFonts w:hint="eastAsia" w:eastAsia="华文宋体"/>
                <w:color w:val="000000"/>
                <w:lang w:val="en-US" w:eastAsia="zh-CN"/>
              </w:rPr>
              <w:t>23.76</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Times New Roman" w:hAnsi="Times New Roman" w:eastAsia="华文宋体" w:cs="Times New Roman"/>
                <w:color w:val="000000"/>
                <w:sz w:val="18"/>
                <w:szCs w:val="18"/>
                <w:lang w:val="en-US" w:eastAsia="zh-CN" w:bidi="ar-SA"/>
              </w:rPr>
            </w:pPr>
            <w:r>
              <w:rPr>
                <w:rFonts w:hint="eastAsia" w:eastAsia="华文宋体"/>
                <w:color w:val="000000"/>
                <w:lang w:val="en-US" w:eastAsia="zh-CN"/>
              </w:rPr>
              <w:t>23.76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　</w:t>
            </w:r>
          </w:p>
        </w:tc>
        <w:tc>
          <w:tcPr>
            <w:tcW w:w="3144" w:type="dxa"/>
            <w:tcBorders>
              <w:top w:val="nil"/>
              <w:left w:val="nil"/>
              <w:bottom w:val="single" w:color="000000" w:sz="4" w:space="0"/>
              <w:right w:val="single" w:color="000000" w:sz="4" w:space="0"/>
            </w:tcBorders>
            <w:shd w:val="clear" w:color="auto" w:fill="auto"/>
            <w:vAlign w:val="center"/>
          </w:tcPr>
          <w:p>
            <w:pPr>
              <w:widowControl/>
              <w:jc w:val="center"/>
              <w:rPr>
                <w:b/>
                <w:bCs/>
              </w:rPr>
            </w:pPr>
            <w:r>
              <w:rPr>
                <w:b/>
                <w:bCs/>
              </w:rPr>
              <w:t>合    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17440.99</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9891.60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华文宋体"/>
                <w:b/>
                <w:bCs/>
                <w:lang w:val="en-US" w:eastAsia="zh-CN"/>
              </w:rPr>
            </w:pPr>
            <w:r>
              <w:rPr>
                <w:rFonts w:hint="eastAsia" w:eastAsia="华文宋体"/>
                <w:b/>
                <w:bCs/>
                <w:lang w:val="en-US" w:eastAsia="zh-CN"/>
              </w:rPr>
              <w:t>7549.39</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bl>
    <w:p/>
    <w:p>
      <w:pPr>
        <w:spacing w:before="156" w:beforeLines="50" w:after="156" w:afterLines="50" w:line="520" w:lineRule="exact"/>
        <w:rPr>
          <w:rFonts w:eastAsia="仿宋_GB2312"/>
          <w:b/>
          <w:color w:val="000000"/>
          <w:sz w:val="30"/>
          <w:szCs w:val="30"/>
        </w:rPr>
      </w:pPr>
    </w:p>
    <w:tbl>
      <w:tblPr>
        <w:tblStyle w:val="16"/>
        <w:tblW w:w="9925" w:type="dxa"/>
        <w:tblInd w:w="-709" w:type="dxa"/>
        <w:tblLayout w:type="autofit"/>
        <w:tblCellMar>
          <w:top w:w="0" w:type="dxa"/>
          <w:left w:w="108" w:type="dxa"/>
          <w:bottom w:w="0" w:type="dxa"/>
          <w:right w:w="108" w:type="dxa"/>
        </w:tblCellMar>
      </w:tblPr>
      <w:tblGrid>
        <w:gridCol w:w="3140"/>
        <w:gridCol w:w="1964"/>
        <w:gridCol w:w="2835"/>
        <w:gridCol w:w="1986"/>
      </w:tblGrid>
      <w:tr>
        <w:tblPrEx>
          <w:tblCellMar>
            <w:top w:w="0" w:type="dxa"/>
            <w:left w:w="108" w:type="dxa"/>
            <w:bottom w:w="0" w:type="dxa"/>
            <w:right w:w="108" w:type="dxa"/>
          </w:tblCellMar>
        </w:tblPrEx>
        <w:trPr>
          <w:trHeight w:val="300" w:hRule="atLeast"/>
        </w:trPr>
        <w:tc>
          <w:tcPr>
            <w:tcW w:w="3140" w:type="dxa"/>
            <w:tcBorders>
              <w:top w:val="nil"/>
              <w:left w:val="nil"/>
              <w:bottom w:val="nil"/>
              <w:right w:val="nil"/>
            </w:tcBorders>
            <w:shd w:val="clear" w:color="auto" w:fill="auto"/>
            <w:noWrap/>
            <w:vAlign w:val="bottom"/>
          </w:tcPr>
          <w:p>
            <w:pPr>
              <w:widowControl/>
              <w:jc w:val="left"/>
              <w:rPr>
                <w:sz w:val="20"/>
                <w:szCs w:val="20"/>
              </w:rPr>
            </w:pPr>
          </w:p>
        </w:tc>
        <w:tc>
          <w:tcPr>
            <w:tcW w:w="1964"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2835"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986" w:type="dxa"/>
            <w:tcBorders>
              <w:top w:val="nil"/>
              <w:left w:val="nil"/>
              <w:bottom w:val="nil"/>
              <w:right w:val="nil"/>
            </w:tcBorders>
            <w:shd w:val="clear" w:color="auto" w:fill="auto"/>
            <w:noWrap/>
            <w:vAlign w:val="center"/>
          </w:tcPr>
          <w:p>
            <w:pPr>
              <w:widowControl/>
              <w:jc w:val="right"/>
              <w:rPr>
                <w:color w:val="000000"/>
              </w:rPr>
            </w:pPr>
            <w:r>
              <w:rPr>
                <w:color w:val="000000"/>
                <w:sz w:val="20"/>
                <w:szCs w:val="20"/>
              </w:rPr>
              <w:t>部门公开表4</w:t>
            </w:r>
          </w:p>
        </w:tc>
      </w:tr>
      <w:tr>
        <w:trPr>
          <w:trHeight w:val="607" w:hRule="atLeast"/>
        </w:trPr>
        <w:tc>
          <w:tcPr>
            <w:tcW w:w="9925" w:type="dxa"/>
            <w:gridSpan w:val="4"/>
            <w:tcBorders>
              <w:top w:val="nil"/>
              <w:left w:val="nil"/>
              <w:bottom w:val="nil"/>
              <w:right w:val="nil"/>
            </w:tcBorders>
            <w:shd w:val="clear" w:color="auto" w:fill="auto"/>
            <w:noWrap/>
            <w:vAlign w:val="center"/>
          </w:tcPr>
          <w:p>
            <w:pPr>
              <w:widowControl/>
              <w:jc w:val="center"/>
              <w:rPr>
                <w:rFonts w:eastAsia="黑体"/>
                <w:color w:val="000000"/>
                <w:sz w:val="32"/>
                <w:szCs w:val="32"/>
              </w:rPr>
            </w:pPr>
            <w:r>
              <w:rPr>
                <w:rFonts w:eastAsia="黑体"/>
                <w:color w:val="000000"/>
                <w:sz w:val="32"/>
                <w:szCs w:val="32"/>
              </w:rPr>
              <w:t>财政拨款收支总表</w:t>
            </w:r>
          </w:p>
        </w:tc>
      </w:tr>
      <w:tr>
        <w:tblPrEx>
          <w:tblCellMar>
            <w:top w:w="0" w:type="dxa"/>
            <w:left w:w="108" w:type="dxa"/>
            <w:bottom w:w="0" w:type="dxa"/>
            <w:right w:w="108" w:type="dxa"/>
          </w:tblCellMar>
        </w:tblPrEx>
        <w:trPr>
          <w:trHeight w:val="330" w:hRule="atLeast"/>
        </w:trPr>
        <w:tc>
          <w:tcPr>
            <w:tcW w:w="9925" w:type="dxa"/>
            <w:gridSpan w:val="4"/>
            <w:tcBorders>
              <w:top w:val="nil"/>
              <w:left w:val="nil"/>
              <w:bottom w:val="single" w:color="000000" w:sz="4" w:space="0"/>
              <w:right w:val="nil"/>
            </w:tcBorders>
            <w:shd w:val="clear" w:color="auto" w:fill="auto"/>
            <w:noWrap/>
            <w:vAlign w:val="center"/>
          </w:tcPr>
          <w:p>
            <w:pPr>
              <w:widowControl/>
              <w:jc w:val="right"/>
              <w:rPr>
                <w:color w:val="000000"/>
                <w:sz w:val="20"/>
                <w:szCs w:val="20"/>
              </w:rPr>
            </w:pPr>
            <w:r>
              <w:rPr>
                <w:color w:val="000000"/>
                <w:sz w:val="20"/>
                <w:szCs w:val="20"/>
              </w:rPr>
              <w:t>单位：万元</w:t>
            </w:r>
          </w:p>
        </w:tc>
      </w:tr>
      <w:tr>
        <w:trPr>
          <w:trHeight w:val="465"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p>
        </w:tc>
        <w:tc>
          <w:tcPr>
            <w:tcW w:w="48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项目</w:t>
            </w:r>
          </w:p>
        </w:tc>
        <w:tc>
          <w:tcPr>
            <w:tcW w:w="1964"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预算数</w:t>
            </w:r>
          </w:p>
        </w:tc>
        <w:tc>
          <w:tcPr>
            <w:tcW w:w="2835"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项目</w:t>
            </w:r>
          </w:p>
        </w:tc>
        <w:tc>
          <w:tcPr>
            <w:tcW w:w="1986" w:type="dxa"/>
            <w:tcBorders>
              <w:top w:val="nil"/>
              <w:left w:val="nil"/>
              <w:bottom w:val="single" w:color="000000" w:sz="4" w:space="0"/>
              <w:right w:val="single" w:color="000000" w:sz="4" w:space="0"/>
            </w:tcBorders>
            <w:shd w:val="clear" w:color="auto" w:fill="auto"/>
            <w:vAlign w:val="center"/>
          </w:tcPr>
          <w:p>
            <w:pPr>
              <w:widowControl/>
              <w:jc w:val="center"/>
              <w:rPr>
                <w:color w:val="000000"/>
                <w:sz w:val="20"/>
                <w:szCs w:val="20"/>
              </w:rPr>
            </w:pPr>
            <w:r>
              <w:rPr>
                <w:rFonts w:hint="eastAsia"/>
                <w:color w:val="000000"/>
                <w:sz w:val="20"/>
                <w:szCs w:val="20"/>
              </w:rPr>
              <w:t>预算数</w:t>
            </w: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一、本年收入</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10710.50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一、本年支出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11777.08</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10710.50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（一）一般公共服务支出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9364.16</w:t>
            </w: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（二）外交支出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（三）科学技术支出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（四）社会保障和就业支出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1233.66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二、上年结转</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1066.58</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（五）卫生健康支出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477.51</w:t>
            </w: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1066.58</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（六）住房保障支出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701.75</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二、结转下年</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sz w:val="20"/>
                <w:szCs w:val="20"/>
              </w:rPr>
            </w:pPr>
          </w:p>
        </w:tc>
      </w:tr>
      <w:tr>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11777.08</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eastAsia="宋体"/>
                <w:color w:val="000000"/>
                <w:sz w:val="20"/>
                <w:szCs w:val="20"/>
                <w:lang w:val="en-US" w:eastAsia="zh-CN"/>
              </w:rPr>
            </w:pPr>
            <w:r>
              <w:rPr>
                <w:rFonts w:hint="eastAsia"/>
                <w:color w:val="000000"/>
                <w:sz w:val="20"/>
                <w:szCs w:val="20"/>
                <w:lang w:val="en-US" w:eastAsia="zh-CN"/>
              </w:rPr>
              <w:t>11777.08</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widowControl/>
        <w:jc w:val="left"/>
        <w:rPr>
          <w:rFonts w:eastAsia="Times New Roman"/>
          <w:sz w:val="20"/>
          <w:szCs w:val="20"/>
        </w:rPr>
      </w:pPr>
    </w:p>
    <w:tbl>
      <w:tblPr>
        <w:tblStyle w:val="17"/>
        <w:tblpPr w:leftFromText="180" w:rightFromText="180" w:vertAnchor="text" w:horzAnchor="page" w:tblpXSpec="center" w:tblpY="92"/>
        <w:tblOverlap w:val="never"/>
        <w:tblW w:w="10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542" w:type="dxa"/>
            <w:tcBorders>
              <w:top w:val="nil"/>
              <w:left w:val="nil"/>
              <w:bottom w:val="nil"/>
              <w:right w:val="nil"/>
            </w:tcBorders>
            <w:shd w:val="clear" w:color="auto" w:fill="auto"/>
          </w:tcPr>
          <w:p>
            <w:pPr>
              <w:widowControl/>
              <w:jc w:val="right"/>
              <w:rPr>
                <w:rFonts w:ascii="宋体" w:hAnsi="宋体" w:cs="宋体"/>
                <w:color w:val="000000"/>
                <w:sz w:val="20"/>
                <w:szCs w:val="20"/>
              </w:rPr>
            </w:pPr>
            <w:r>
              <w:rPr>
                <w:rFonts w:hint="eastAsia" w:ascii="宋体" w:hAnsi="宋体" w:cs="宋体"/>
                <w:color w:val="000000"/>
                <w:sz w:val="20"/>
                <w:szCs w:val="20"/>
                <w:lang w:bidi="ar"/>
              </w:rPr>
              <w:t>部门公开表5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42" w:type="dxa"/>
            <w:tcBorders>
              <w:top w:val="nil"/>
              <w:left w:val="nil"/>
              <w:bottom w:val="nil"/>
              <w:right w:val="nil"/>
            </w:tcBorders>
            <w:shd w:val="clear" w:color="auto" w:fill="auto"/>
          </w:tcPr>
          <w:p>
            <w:pPr>
              <w:widowControl/>
              <w:jc w:val="center"/>
              <w:rPr>
                <w:rFonts w:ascii="宋体" w:hAnsi="宋体" w:cs="宋体"/>
                <w:color w:val="000000"/>
                <w:sz w:val="20"/>
                <w:szCs w:val="20"/>
              </w:rPr>
            </w:pPr>
            <w:r>
              <w:rPr>
                <w:rFonts w:hint="eastAsia" w:ascii="黑体" w:hAnsi="宋体" w:eastAsia="黑体" w:cs="宋体"/>
                <w:color w:val="000000"/>
                <w:sz w:val="32"/>
                <w:szCs w:val="32"/>
                <w:highlight w:val="none"/>
                <w:lang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542" w:type="dxa"/>
            <w:tcBorders>
              <w:top w:val="nil"/>
              <w:left w:val="nil"/>
              <w:bottom w:val="nil"/>
              <w:right w:val="nil"/>
            </w:tcBorders>
            <w:shd w:val="clear" w:color="auto" w:fill="auto"/>
          </w:tcPr>
          <w:p>
            <w:pPr>
              <w:widowControl/>
              <w:spacing w:after="62" w:afterLines="20"/>
              <w:jc w:val="right"/>
              <w:rPr>
                <w:rFonts w:ascii="宋体" w:hAnsi="宋体" w:cs="宋体"/>
                <w:color w:val="000000"/>
                <w:sz w:val="20"/>
                <w:szCs w:val="20"/>
              </w:rPr>
            </w:pPr>
            <w:r>
              <w:rPr>
                <w:rFonts w:hint="eastAsia" w:ascii="宋体" w:hAnsi="宋体" w:cs="宋体"/>
                <w:color w:val="000000"/>
                <w:sz w:val="20"/>
                <w:szCs w:val="20"/>
                <w:lang w:bidi="ar"/>
              </w:rPr>
              <w:t xml:space="preserve"> 单位：万元</w:t>
            </w:r>
          </w:p>
        </w:tc>
      </w:tr>
    </w:tbl>
    <w:tbl>
      <w:tblPr>
        <w:tblStyle w:val="16"/>
        <w:tblW w:w="10622" w:type="dxa"/>
        <w:jc w:val="center"/>
        <w:tblLayout w:type="fixed"/>
        <w:tblCellMar>
          <w:top w:w="0" w:type="dxa"/>
          <w:left w:w="108" w:type="dxa"/>
          <w:bottom w:w="0" w:type="dxa"/>
          <w:right w:w="108" w:type="dxa"/>
        </w:tblCellMar>
      </w:tblPr>
      <w:tblGrid>
        <w:gridCol w:w="858"/>
        <w:gridCol w:w="1236"/>
        <w:gridCol w:w="900"/>
        <w:gridCol w:w="930"/>
        <w:gridCol w:w="840"/>
        <w:gridCol w:w="817"/>
        <w:gridCol w:w="8"/>
        <w:gridCol w:w="810"/>
        <w:gridCol w:w="870"/>
        <w:gridCol w:w="960"/>
        <w:gridCol w:w="735"/>
        <w:gridCol w:w="930"/>
        <w:gridCol w:w="728"/>
      </w:tblGrid>
      <w:tr>
        <w:tblPrEx>
          <w:tblCellMar>
            <w:top w:w="0" w:type="dxa"/>
            <w:left w:w="108" w:type="dxa"/>
            <w:bottom w:w="0" w:type="dxa"/>
            <w:right w:w="108" w:type="dxa"/>
          </w:tblCellMar>
        </w:tblPrEx>
        <w:trPr>
          <w:trHeight w:val="773" w:hRule="atLeast"/>
          <w:tblHeader/>
          <w:jc w:val="center"/>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lang w:bidi="ar"/>
              </w:rPr>
            </w:pPr>
            <w:r>
              <w:rPr>
                <w:rFonts w:hint="eastAsia" w:ascii="宋体" w:hAnsi="宋体" w:cs="宋体"/>
                <w:color w:val="000000"/>
                <w:sz w:val="15"/>
                <w:szCs w:val="15"/>
                <w:lang w:bidi="ar"/>
              </w:rPr>
              <w:t>科目</w:t>
            </w:r>
          </w:p>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代码</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科目名称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2023</w:t>
            </w:r>
            <w:r>
              <w:rPr>
                <w:rFonts w:hint="eastAsia" w:ascii="宋体" w:hAnsi="宋体" w:cs="宋体"/>
                <w:color w:val="000000"/>
                <w:sz w:val="15"/>
                <w:szCs w:val="15"/>
                <w:lang w:bidi="ar"/>
              </w:rPr>
              <w:t>年执行数</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2024</w:t>
            </w:r>
            <w:r>
              <w:rPr>
                <w:rFonts w:hint="eastAsia" w:ascii="宋体" w:hAnsi="宋体" w:cs="宋体"/>
                <w:color w:val="000000"/>
                <w:sz w:val="15"/>
                <w:szCs w:val="15"/>
                <w:lang w:bidi="ar"/>
              </w:rPr>
              <w:t>年预算数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2024</w:t>
            </w:r>
            <w:r>
              <w:rPr>
                <w:rFonts w:hint="eastAsia" w:ascii="宋体" w:hAnsi="宋体" w:cs="宋体"/>
                <w:color w:val="000000"/>
                <w:sz w:val="15"/>
                <w:szCs w:val="15"/>
                <w:lang w:bidi="ar"/>
              </w:rPr>
              <w:t>年预算数比</w:t>
            </w:r>
            <w:r>
              <w:rPr>
                <w:rFonts w:hint="eastAsia" w:ascii="宋体" w:hAnsi="宋体" w:cs="宋体"/>
                <w:color w:val="000000"/>
                <w:sz w:val="15"/>
                <w:szCs w:val="15"/>
                <w:lang w:eastAsia="zh-CN" w:bidi="ar"/>
              </w:rPr>
              <w:t>2023</w:t>
            </w:r>
            <w:r>
              <w:rPr>
                <w:rFonts w:hint="eastAsia" w:ascii="宋体" w:hAnsi="宋体" w:cs="宋体"/>
                <w:color w:val="000000"/>
                <w:sz w:val="15"/>
                <w:szCs w:val="15"/>
                <w:lang w:bidi="ar"/>
              </w:rPr>
              <w:t>年执行数</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2024</w:t>
            </w:r>
            <w:r>
              <w:rPr>
                <w:rFonts w:hint="eastAsia" w:ascii="宋体" w:hAnsi="宋体" w:cs="宋体"/>
                <w:color w:val="000000"/>
                <w:sz w:val="15"/>
                <w:szCs w:val="15"/>
                <w:lang w:bidi="ar"/>
              </w:rPr>
              <w:t>年预算数比</w:t>
            </w:r>
            <w:r>
              <w:rPr>
                <w:rFonts w:hint="eastAsia" w:ascii="宋体" w:hAnsi="宋体" w:cs="宋体"/>
                <w:color w:val="000000"/>
                <w:sz w:val="15"/>
                <w:szCs w:val="15"/>
                <w:lang w:eastAsia="zh-CN" w:bidi="ar"/>
              </w:rPr>
              <w:t>2023</w:t>
            </w:r>
            <w:r>
              <w:rPr>
                <w:rFonts w:hint="eastAsia" w:ascii="宋体" w:hAnsi="宋体" w:cs="宋体"/>
                <w:color w:val="000000"/>
                <w:sz w:val="15"/>
                <w:szCs w:val="15"/>
                <w:lang w:bidi="ar"/>
              </w:rPr>
              <w:t>年执行数（扣除中央基建投资）</w:t>
            </w:r>
          </w:p>
        </w:tc>
      </w:tr>
      <w:tr>
        <w:tblPrEx>
          <w:tblCellMar>
            <w:top w:w="0" w:type="dxa"/>
            <w:left w:w="108" w:type="dxa"/>
            <w:bottom w:w="0" w:type="dxa"/>
            <w:right w:w="108" w:type="dxa"/>
          </w:tblCellMar>
        </w:tblPrEx>
        <w:trPr>
          <w:trHeight w:val="419"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执行数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扣除中央基建投资后执行数</w:t>
            </w:r>
          </w:p>
        </w:tc>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年初预算数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w:t>
            </w:r>
            <w:r>
              <w:rPr>
                <w:rFonts w:hint="eastAsia" w:ascii="宋体" w:hAnsi="宋体" w:cs="宋体"/>
                <w:color w:val="000000"/>
                <w:sz w:val="15"/>
                <w:szCs w:val="15"/>
                <w:lang w:eastAsia="zh-CN" w:bidi="ar"/>
              </w:rPr>
              <w:t>预算</w:t>
            </w:r>
            <w:r>
              <w:rPr>
                <w:rFonts w:hint="eastAsia" w:ascii="宋体" w:hAnsi="宋体" w:cs="宋体"/>
                <w:color w:val="000000"/>
                <w:sz w:val="15"/>
                <w:szCs w:val="15"/>
                <w:lang w:bidi="ar"/>
              </w:rPr>
              <w:t>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r>
      <w:tr>
        <w:tblPrEx>
          <w:tblCellMar>
            <w:top w:w="0" w:type="dxa"/>
            <w:left w:w="108" w:type="dxa"/>
            <w:bottom w:w="0" w:type="dxa"/>
            <w:right w:w="108" w:type="dxa"/>
          </w:tblCellMar>
        </w:tblPrEx>
        <w:trPr>
          <w:trHeight w:val="411"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小计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基本支出</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 w:val="15"/>
                <w:szCs w:val="15"/>
              </w:rPr>
            </w:pPr>
            <w:r>
              <w:rPr>
                <w:rFonts w:hint="eastAsia" w:ascii="宋体" w:hAnsi="宋体" w:eastAsia="宋体" w:cs="宋体"/>
                <w:color w:val="000000"/>
                <w:sz w:val="15"/>
                <w:szCs w:val="15"/>
                <w:lang w:bidi="ar"/>
              </w:rPr>
              <w:t>项目支出</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r>
      <w:tr>
        <w:trPr>
          <w:trHeight w:val="411" w:hRule="atLeast"/>
          <w:jc w:val="center"/>
        </w:trPr>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w:t>
            </w:r>
          </w:p>
        </w:tc>
        <w:tc>
          <w:tcPr>
            <w:tcW w:w="12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一般公共服务支出</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8804.62</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8502.07</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8536.81</w:t>
            </w:r>
          </w:p>
        </w:tc>
        <w:tc>
          <w:tcPr>
            <w:tcW w:w="8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6657.71</w:t>
            </w:r>
          </w:p>
        </w:tc>
        <w:tc>
          <w:tcPr>
            <w:tcW w:w="81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1879.10</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8536.81</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-267.81</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-3.04</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34.74</w:t>
            </w:r>
          </w:p>
        </w:tc>
        <w:tc>
          <w:tcPr>
            <w:tcW w:w="7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0.41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统计信息事务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8804.62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8502.07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8536.81</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6657.71</w:t>
            </w: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1879.10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8536.81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-267.81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-3.04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34.74</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0.41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6679.49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6679.49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6657.71</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6657.71</w:t>
            </w: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6657.71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-21.78</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-0.33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-21.78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-0.33</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一般行政管理事务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415.87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113.32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56.00</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56.00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56.00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-359.87</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-86.53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-57.32</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-50.58</w:t>
            </w: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ascii="宋体" w:hAnsi="宋体" w:cs="宋体"/>
                <w:color w:val="000000"/>
              </w:rPr>
              <w:t>2</w:t>
            </w:r>
            <w:r>
              <w:rPr>
                <w:rFonts w:hint="eastAsia" w:ascii="宋体" w:hAnsi="宋体" w:cs="宋体"/>
                <w:color w:val="000000"/>
              </w:rPr>
              <w:t>010503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机关服务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专项统计业务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310.20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310.20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341.00</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341.00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341.00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30.80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9.93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30.8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9.93</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54.00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100.00</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100.00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100.00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46.00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85.19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46.00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85.19</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2010507</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专项普查活动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2010508</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统计抽样调查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1345.06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1345.06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1382.10</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1382.10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1382.10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37.04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2.75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37.04</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2.75</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2010550</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事业运行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2010599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其他统计信息事务支出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外交支出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20204</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国际组织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2020401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国际组织会费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2020402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国际组织捐赠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科学技术支出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应用研究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2060301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机构运行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2060302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社会公益研究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20609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科技重大项目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2060901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科技重大专项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社会保障和就业支出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1553.05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1553.05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1027.14</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1027.14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1027.14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-525.91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-33.86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-525.91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-33.86</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b/>
                <w:bCs/>
                <w:color w:val="000000"/>
              </w:rPr>
            </w:pPr>
            <w:r>
              <w:rPr>
                <w:rFonts w:hint="eastAsia" w:ascii="宋体" w:hAnsi="宋体" w:cs="宋体"/>
                <w:b/>
                <w:color w:val="000000"/>
              </w:rPr>
              <w:t>　</w:t>
            </w:r>
            <w:r>
              <w:rPr>
                <w:rFonts w:hint="eastAsia" w:ascii="宋体" w:hAnsi="宋体" w:cs="宋体"/>
                <w:b/>
                <w:bCs/>
                <w:color w:val="000000"/>
              </w:rPr>
              <w:t>行政事业单位养老支出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1553.05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1553.05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1027.14</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1027.14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1027.14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-525.91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-33.86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-525.91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-33.86</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行政单位离退休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离退休人员管理机构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宋体" w:hAnsi="宋体" w:eastAsia="宋体" w:cs="宋体"/>
                <w:color w:val="000000"/>
                <w:lang w:val="en-US" w:eastAsia="zh-CN"/>
              </w:rPr>
            </w:pPr>
            <w:r>
              <w:rPr>
                <w:rFonts w:hint="eastAsia" w:ascii="宋体" w:hAnsi="宋体" w:cs="宋体"/>
                <w:color w:val="000000"/>
              </w:rPr>
              <w:t>　　机关事业单位基本养老保险缴费支出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1100.16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1100.16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652.27</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652.27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652.27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-447.89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-40.71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-447.89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-40.71</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2080506</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机关事业单位职业年金缴费支出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452.89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452.89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374.87</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374.87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374.87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-78.02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-17.23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-78.02</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-17.23</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卫生健康支出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360.70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360.70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462.79</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462.79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462.79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102.09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28.30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102.09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28.30</w:t>
            </w: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21011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行政事业单位医疗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360.70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360.70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462.79</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462.79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462.79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102.09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28.30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102.09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28.30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行政单位医疗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354.12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354.12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457.51</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457.51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457.51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103.39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29.20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103.39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29.20</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公务员医疗补助</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w:t>
            </w:r>
            <w:r>
              <w:rPr>
                <w:rFonts w:ascii="宋体" w:hAnsi="宋体" w:cs="宋体"/>
                <w:color w:val="000000"/>
              </w:rPr>
              <w:t>99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rPr>
            </w:pPr>
            <w:r>
              <w:rPr>
                <w:rFonts w:hint="eastAsia" w:ascii="宋体" w:hAnsi="宋体" w:cs="宋体"/>
                <w:color w:val="000000"/>
              </w:rPr>
              <w:t>　　其他行政事业单位医疗支出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6.58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6.58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5.28</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5.28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5.28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-1.30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-19.76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-1.30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-19.76</w:t>
            </w: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住房保障支出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614.77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614.77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683.76</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683.76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683.76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68.99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11.22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68.99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11.22</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住房改革支出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614.77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614.77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683.76</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683.76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sz w:val="18"/>
                <w:szCs w:val="18"/>
                <w:lang w:val="en-US" w:eastAsia="zh-CN" w:bidi="ar-SA"/>
              </w:rPr>
            </w:pPr>
            <w:r>
              <w:rPr>
                <w:rFonts w:hint="eastAsia" w:ascii="宋体" w:hAnsi="宋体" w:cs="宋体"/>
                <w:b/>
                <w:bCs/>
                <w:color w:val="000000"/>
                <w:lang w:val="en-US" w:eastAsia="zh-CN"/>
              </w:rPr>
              <w:t>683.76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68.99</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11.22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68.99</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11.22</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2210201</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住房公积金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611.77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611.77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660.00</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660.00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660.00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48.23</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7.88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48.23</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7.88</w:t>
            </w:r>
          </w:p>
        </w:tc>
      </w:tr>
      <w:tr>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2210202</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提租补贴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sz w:val="18"/>
                <w:szCs w:val="18"/>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lang w:val="en-US" w:eastAsia="zh-CN"/>
              </w:rPr>
            </w:pPr>
          </w:p>
        </w:tc>
      </w:tr>
      <w:tr>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2210203</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购房补贴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3.00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cs="宋体"/>
                <w:color w:val="000000"/>
                <w:lang w:val="en-US" w:eastAsia="zh-CN"/>
              </w:rPr>
              <w:t>23.76</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23.76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sz w:val="18"/>
                <w:szCs w:val="18"/>
                <w:lang w:val="en-US" w:eastAsia="zh-CN" w:bidi="ar-SA"/>
              </w:rPr>
            </w:pPr>
            <w:r>
              <w:rPr>
                <w:rFonts w:hint="eastAsia" w:ascii="宋体" w:hAnsi="宋体" w:cs="宋体"/>
                <w:color w:val="000000"/>
                <w:lang w:val="en-US" w:eastAsia="zh-CN"/>
              </w:rPr>
              <w:t>23.76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20.76</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692.00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20.76</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692.00</w:t>
            </w:r>
          </w:p>
        </w:tc>
      </w:tr>
      <w:tr>
        <w:tblPrEx>
          <w:tblCellMar>
            <w:top w:w="0" w:type="dxa"/>
            <w:left w:w="108" w:type="dxa"/>
            <w:bottom w:w="0" w:type="dxa"/>
            <w:right w:w="108" w:type="dxa"/>
          </w:tblCellMar>
        </w:tblPrEx>
        <w:trPr>
          <w:trHeight w:val="408"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rPr>
            </w:pPr>
            <w:r>
              <w:rPr>
                <w:rFonts w:hint="eastAsia" w:ascii="宋体" w:hAnsi="宋体" w:cs="宋体"/>
                <w:b/>
                <w:bCs/>
                <w:color w:val="000000"/>
              </w:rPr>
              <w:t>合  计</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11333.13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11030.58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10710.5</w:t>
            </w:r>
          </w:p>
        </w:tc>
        <w:tc>
          <w:tcPr>
            <w:tcW w:w="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8831.40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1879.10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cs="宋体"/>
                <w:b/>
                <w:bCs/>
                <w:color w:val="000000"/>
                <w:lang w:val="en-US" w:eastAsia="zh-CN"/>
              </w:rPr>
              <w:t>10710.5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-622.63</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-5.49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-320.08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-2.90</w:t>
            </w:r>
          </w:p>
        </w:tc>
      </w:tr>
    </w:tbl>
    <w:p>
      <w:pPr>
        <w:widowControl/>
        <w:jc w:val="left"/>
        <w:rPr>
          <w:rFonts w:eastAsia="Times New Roman"/>
          <w:sz w:val="20"/>
          <w:szCs w:val="20"/>
        </w:rPr>
      </w:pPr>
    </w:p>
    <w:p>
      <w:pPr>
        <w:widowControl/>
        <w:spacing w:line="240" w:lineRule="exact"/>
        <w:jc w:val="left"/>
        <w:rPr>
          <w:rFonts w:eastAsia="Times New Roman"/>
          <w:sz w:val="20"/>
          <w:szCs w:val="20"/>
        </w:rPr>
      </w:pPr>
    </w:p>
    <w:p>
      <w:pPr>
        <w:widowControl/>
        <w:spacing w:line="240" w:lineRule="exact"/>
        <w:jc w:val="left"/>
        <w:rPr>
          <w:rFonts w:eastAsia="Times New Roman"/>
          <w:sz w:val="20"/>
          <w:szCs w:val="20"/>
        </w:rPr>
      </w:pPr>
    </w:p>
    <w:p>
      <w:pPr>
        <w:widowControl/>
        <w:jc w:val="right"/>
        <w:rPr>
          <w:rFonts w:ascii="宋体" w:hAnsi="宋体" w:cs="宋体"/>
          <w:color w:val="000000"/>
          <w:sz w:val="20"/>
          <w:szCs w:val="20"/>
        </w:rPr>
      </w:pPr>
      <w:r>
        <w:rPr>
          <w:rFonts w:hint="eastAsia" w:ascii="宋体" w:hAnsi="宋体" w:cs="宋体"/>
          <w:color w:val="000000"/>
          <w:sz w:val="20"/>
          <w:szCs w:val="20"/>
          <w:lang w:bidi="ar"/>
        </w:rPr>
        <w:t>部门公开表6</w:t>
      </w:r>
    </w:p>
    <w:p>
      <w:pPr>
        <w:widowControl/>
        <w:jc w:val="center"/>
        <w:rPr>
          <w:rFonts w:eastAsia="Times New Roman"/>
          <w:sz w:val="20"/>
          <w:szCs w:val="20"/>
          <w:highlight w:val="none"/>
        </w:rPr>
      </w:pPr>
      <w:r>
        <w:rPr>
          <w:rFonts w:hint="eastAsia" w:ascii="黑体" w:hAnsi="宋体" w:eastAsia="黑体" w:cs="宋体"/>
          <w:color w:val="000000"/>
          <w:sz w:val="32"/>
          <w:szCs w:val="32"/>
          <w:highlight w:val="none"/>
          <w:lang w:bidi="ar"/>
        </w:rPr>
        <w:t>一般公共预算基本支出表</w:t>
      </w:r>
    </w:p>
    <w:p>
      <w:pPr>
        <w:widowControl/>
        <w:spacing w:after="62" w:afterLines="20"/>
        <w:jc w:val="right"/>
      </w:pPr>
      <w:r>
        <w:rPr>
          <w:rFonts w:hint="eastAsia" w:ascii="宋体" w:hAnsi="宋体" w:cs="宋体"/>
          <w:color w:val="000000"/>
          <w:sz w:val="20"/>
          <w:szCs w:val="20"/>
          <w:lang w:bidi="ar"/>
        </w:rPr>
        <w:t>单位：万元</w:t>
      </w:r>
    </w:p>
    <w:tbl>
      <w:tblPr>
        <w:tblStyle w:val="16"/>
        <w:tblW w:w="9375" w:type="dxa"/>
        <w:jc w:val="center"/>
        <w:tblLayout w:type="autofit"/>
        <w:tblCellMar>
          <w:top w:w="0" w:type="dxa"/>
          <w:left w:w="108" w:type="dxa"/>
          <w:bottom w:w="0" w:type="dxa"/>
          <w:right w:w="108" w:type="dxa"/>
        </w:tblCellMar>
      </w:tblPr>
      <w:tblGrid>
        <w:gridCol w:w="1127"/>
        <w:gridCol w:w="3551"/>
        <w:gridCol w:w="1560"/>
        <w:gridCol w:w="1702"/>
        <w:gridCol w:w="1435"/>
      </w:tblGrid>
      <w:tr>
        <w:tblPrEx>
          <w:tblCellMar>
            <w:top w:w="0" w:type="dxa"/>
            <w:left w:w="108" w:type="dxa"/>
            <w:bottom w:w="0" w:type="dxa"/>
            <w:right w:w="108" w:type="dxa"/>
          </w:tblCellMar>
        </w:tblPrEx>
        <w:trPr>
          <w:trHeight w:val="360" w:hRule="atLeast"/>
          <w:tblHeader/>
          <w:jc w:val="center"/>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部门预算支出经济分类科目</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eastAsia="zh-CN" w:bidi="ar"/>
              </w:rPr>
              <w:t>2024</w:t>
            </w:r>
            <w:r>
              <w:rPr>
                <w:rFonts w:hint="eastAsia" w:ascii="宋体" w:hAnsi="宋体" w:cs="宋体"/>
                <w:color w:val="000000"/>
                <w:sz w:val="20"/>
                <w:szCs w:val="20"/>
                <w:lang w:bidi="ar"/>
              </w:rPr>
              <w:t>年基本支出</w:t>
            </w:r>
          </w:p>
        </w:tc>
      </w:tr>
      <w:tr>
        <w:tblPrEx>
          <w:tblCellMar>
            <w:top w:w="0" w:type="dxa"/>
            <w:left w:w="108" w:type="dxa"/>
            <w:bottom w:w="0" w:type="dxa"/>
            <w:right w:w="108" w:type="dxa"/>
          </w:tblCellMar>
        </w:tblPrEx>
        <w:trPr>
          <w:trHeight w:val="360" w:hRule="atLeast"/>
          <w:tblHeader/>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科目代码</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科目名称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合计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人员经费</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lang w:bidi="ar"/>
              </w:rPr>
              <w:t>公用经费</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6525.54</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sz w:val="20"/>
                <w:szCs w:val="20"/>
                <w:lang w:val="en-US" w:eastAsia="zh-CN" w:bidi="ar-SA"/>
              </w:rPr>
            </w:pPr>
            <w:r>
              <w:rPr>
                <w:rFonts w:hint="eastAsia" w:ascii="宋体" w:hAnsi="宋体" w:cs="宋体"/>
                <w:b/>
                <w:bCs/>
                <w:color w:val="000000"/>
                <w:sz w:val="20"/>
                <w:szCs w:val="20"/>
                <w:lang w:val="en-US" w:eastAsia="zh-CN" w:bidi="ar"/>
              </w:rPr>
              <w:t>6525.54</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基本工资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2302.70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2302.70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津贴补贴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1723.37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1723.37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200.53</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200.53</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伙食补助费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绩效工资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652.27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652.27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职业年金缴费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374.87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374.87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职工基本医疗保险缴费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457.51</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457.51</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公务员医疗补助缴费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其他社会保障缴费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30.60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30.60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住房公积金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660.00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660.00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115.47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115.47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right" w:pos="1806"/>
              </w:tabs>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8.22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right" w:pos="1806"/>
              </w:tabs>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8.22</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1854.35</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bidi="ar-SA"/>
              </w:rPr>
            </w:pPr>
            <w:r>
              <w:rPr>
                <w:rFonts w:hint="eastAsia" w:ascii="宋体" w:hAnsi="宋体" w:cs="宋体"/>
                <w:b/>
                <w:bCs/>
                <w:color w:val="000000"/>
                <w:sz w:val="20"/>
                <w:szCs w:val="20"/>
                <w:lang w:val="en-US" w:eastAsia="zh-CN" w:bidi="ar"/>
              </w:rPr>
              <w:t>1854.35</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227.56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227.56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印刷费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50.67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50.67</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咨询费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6.00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手续费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1.08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1.08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11.30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11.30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34.33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34.33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邮电费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26.92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26.92</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取暖费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32.89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32.89</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物业管理费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120.67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120.67</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差旅费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122.68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122.68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维修（护）费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68.98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68.98</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租赁费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82.34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82.34</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会议费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15.73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15.73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培训费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75.36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75.36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30217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公务接待费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3.61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3.61</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劳务费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20.70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20.70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委托业务费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60.35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60.35</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工会经费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110.86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110.86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30229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福利费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176.30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176.30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30231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公务用车运行维护费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88.64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88.64</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30239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其他交通费用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424.26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424.26</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30299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93.12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93.12</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338.86</w:t>
            </w:r>
            <w:r>
              <w:rPr>
                <w:rFonts w:hint="eastAsia" w:ascii="宋体" w:hAnsi="宋体" w:cs="宋体"/>
                <w:b/>
                <w:bCs/>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sz w:val="20"/>
                <w:szCs w:val="20"/>
                <w:lang w:val="en-US" w:eastAsia="zh-CN" w:bidi="ar-SA"/>
              </w:rPr>
            </w:pPr>
            <w:r>
              <w:rPr>
                <w:rFonts w:hint="eastAsia" w:ascii="宋体" w:hAnsi="宋体" w:cs="宋体"/>
                <w:b/>
                <w:bCs/>
                <w:color w:val="000000"/>
                <w:sz w:val="20"/>
                <w:szCs w:val="20"/>
                <w:lang w:val="en-US" w:eastAsia="zh-CN" w:bidi="ar"/>
              </w:rPr>
              <w:t>338.86</w:t>
            </w:r>
            <w:r>
              <w:rPr>
                <w:rFonts w:hint="eastAsia" w:ascii="宋体" w:hAnsi="宋体" w:cs="宋体"/>
                <w:b/>
                <w:bCs/>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离休费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退休费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307.03</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307.03</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抚恤金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25.55</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25.55</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3"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生活补助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1.27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1.27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奖励金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3.95</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3.95</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30399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1.06</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
              </w:rPr>
              <w:t>1.06</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sz w:val="20"/>
                <w:szCs w:val="20"/>
              </w:rPr>
            </w:pPr>
            <w:r>
              <w:rPr>
                <w:rFonts w:hint="eastAsia" w:ascii="宋体" w:hAnsi="宋体" w:cs="宋体"/>
                <w:b/>
                <w:bCs/>
                <w:color w:val="000000"/>
                <w:sz w:val="20"/>
                <w:szCs w:val="20"/>
                <w:lang w:bidi="ar"/>
              </w:rPr>
              <w:t>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112.65</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bidi="ar-SA"/>
              </w:rPr>
            </w:pPr>
            <w:r>
              <w:rPr>
                <w:rFonts w:hint="eastAsia" w:ascii="宋体" w:hAnsi="宋体" w:cs="宋体"/>
                <w:b/>
                <w:bCs/>
                <w:color w:val="000000"/>
                <w:sz w:val="20"/>
                <w:szCs w:val="20"/>
                <w:lang w:val="en-US" w:eastAsia="zh-CN" w:bidi="ar"/>
              </w:rPr>
              <w:t>112.65</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69.93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bidi="ar-SA"/>
              </w:rPr>
              <w:t>69.93</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专用设备购置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大型修缮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sz w:val="20"/>
                <w:szCs w:val="20"/>
                <w:lang w:val="en-US" w:eastAsia="zh-CN" w:bidi="ar-SA"/>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信息网络及软件购置更新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0.72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0.72</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42.00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color w:val="000000"/>
                <w:sz w:val="20"/>
                <w:szCs w:val="20"/>
                <w:lang w:val="en-US" w:eastAsia="zh-CN" w:bidi="ar-SA"/>
              </w:rPr>
            </w:pPr>
            <w:r>
              <w:rPr>
                <w:rFonts w:hint="eastAsia" w:ascii="宋体" w:hAnsi="宋体" w:cs="宋体"/>
                <w:color w:val="000000"/>
                <w:sz w:val="20"/>
                <w:szCs w:val="20"/>
                <w:lang w:val="en-US" w:eastAsia="zh-CN"/>
              </w:rPr>
              <w:t>42.00</w:t>
            </w: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31022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无形资产购置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31099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sz w:val="20"/>
                <w:szCs w:val="20"/>
              </w:rPr>
            </w:pP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sz w:val="20"/>
                <w:szCs w:val="20"/>
              </w:rPr>
            </w:pPr>
            <w:r>
              <w:rPr>
                <w:rFonts w:hint="eastAsia" w:ascii="宋体" w:hAnsi="宋体" w:cs="宋体"/>
                <w:b/>
                <w:bCs/>
                <w:color w:val="000000"/>
                <w:sz w:val="20"/>
                <w:szCs w:val="20"/>
                <w:lang w:bidi="ar"/>
              </w:rPr>
              <w:t>合    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8831.40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sz w:val="20"/>
                <w:szCs w:val="20"/>
              </w:rPr>
            </w:pPr>
            <w:r>
              <w:rPr>
                <w:rFonts w:hint="eastAsia" w:ascii="宋体" w:hAnsi="宋体" w:cs="宋体"/>
                <w:b/>
                <w:bCs/>
                <w:color w:val="000000"/>
                <w:sz w:val="20"/>
                <w:szCs w:val="20"/>
                <w:lang w:val="en-US" w:eastAsia="zh-CN" w:bidi="ar"/>
              </w:rPr>
              <w:t>6864.40</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1967.00</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tbl>
      <w:tblPr>
        <w:tblStyle w:val="16"/>
        <w:tblW w:w="9131" w:type="dxa"/>
        <w:jc w:val="center"/>
        <w:tblLayout w:type="fixed"/>
        <w:tblCellMar>
          <w:top w:w="0" w:type="dxa"/>
          <w:left w:w="108" w:type="dxa"/>
          <w:bottom w:w="0" w:type="dxa"/>
          <w:right w:w="108" w:type="dxa"/>
        </w:tblCellMar>
      </w:tblPr>
      <w:tblGrid>
        <w:gridCol w:w="1521"/>
        <w:gridCol w:w="1521"/>
        <w:gridCol w:w="1521"/>
        <w:gridCol w:w="1521"/>
        <w:gridCol w:w="1521"/>
        <w:gridCol w:w="1526"/>
      </w:tblGrid>
      <w:tr>
        <w:tblPrEx>
          <w:tblCellMar>
            <w:top w:w="0" w:type="dxa"/>
            <w:left w:w="108" w:type="dxa"/>
            <w:bottom w:w="0" w:type="dxa"/>
            <w:right w:w="108" w:type="dxa"/>
          </w:tblCellMar>
        </w:tblPrEx>
        <w:trPr>
          <w:trHeight w:val="475" w:hRule="atLeast"/>
          <w:jc w:val="center"/>
        </w:trPr>
        <w:tc>
          <w:tcPr>
            <w:tcW w:w="1521" w:type="dxa"/>
            <w:tcBorders>
              <w:top w:val="nil"/>
              <w:left w:val="nil"/>
              <w:bottom w:val="nil"/>
              <w:right w:val="nil"/>
            </w:tcBorders>
            <w:noWrap/>
            <w:vAlign w:val="center"/>
          </w:tcPr>
          <w:p>
            <w:pPr>
              <w:widowControl/>
              <w:jc w:val="righ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3047"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部门公开表7</w:t>
            </w:r>
          </w:p>
        </w:tc>
      </w:tr>
      <w:tr>
        <w:tblPrEx>
          <w:tblCellMar>
            <w:top w:w="0" w:type="dxa"/>
            <w:left w:w="108" w:type="dxa"/>
            <w:bottom w:w="0" w:type="dxa"/>
            <w:right w:w="108" w:type="dxa"/>
          </w:tblCellMar>
        </w:tblPrEx>
        <w:trPr>
          <w:trHeight w:val="475" w:hRule="atLeast"/>
          <w:jc w:val="center"/>
        </w:trPr>
        <w:tc>
          <w:tcPr>
            <w:tcW w:w="9131" w:type="dxa"/>
            <w:gridSpan w:val="6"/>
            <w:tcBorders>
              <w:top w:val="nil"/>
              <w:left w:val="nil"/>
              <w:bottom w:val="nil"/>
              <w:right w:val="nil"/>
            </w:tcBorders>
            <w:noWrap/>
            <w:vAlign w:val="center"/>
          </w:tcPr>
          <w:p>
            <w:pPr>
              <w:widowControl/>
              <w:jc w:val="center"/>
              <w:rPr>
                <w:rFonts w:hint="eastAsia" w:ascii="宋体" w:hAnsi="宋体" w:cs="宋体"/>
                <w:color w:val="000000"/>
                <w:sz w:val="20"/>
                <w:szCs w:val="20"/>
              </w:rPr>
            </w:pPr>
            <w:r>
              <w:rPr>
                <w:rFonts w:hint="eastAsia" w:ascii="黑体" w:hAnsi="黑体" w:eastAsia="黑体" w:cs="宋体"/>
                <w:color w:val="000000"/>
                <w:sz w:val="32"/>
                <w:szCs w:val="32"/>
              </w:rPr>
              <w:t>财政拨款预算“三公”经费支出表</w:t>
            </w:r>
          </w:p>
        </w:tc>
      </w:tr>
      <w:tr>
        <w:tblPrEx>
          <w:tblCellMar>
            <w:top w:w="0" w:type="dxa"/>
            <w:left w:w="108" w:type="dxa"/>
            <w:bottom w:w="0" w:type="dxa"/>
            <w:right w:w="108" w:type="dxa"/>
          </w:tblCellMar>
        </w:tblPrEx>
        <w:trPr>
          <w:trHeight w:val="340" w:hRule="exact"/>
          <w:jc w:val="center"/>
        </w:trPr>
        <w:tc>
          <w:tcPr>
            <w:tcW w:w="1521" w:type="dxa"/>
            <w:tcBorders>
              <w:top w:val="nil"/>
              <w:left w:val="nil"/>
              <w:bottom w:val="nil"/>
              <w:right w:val="nil"/>
            </w:tcBorders>
            <w:noWrap/>
            <w:vAlign w:val="center"/>
          </w:tcPr>
          <w:p>
            <w:pPr>
              <w:widowControl/>
              <w:jc w:val="righ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1521" w:type="dxa"/>
            <w:tcBorders>
              <w:top w:val="nil"/>
              <w:left w:val="nil"/>
              <w:bottom w:val="nil"/>
              <w:right w:val="nil"/>
            </w:tcBorders>
            <w:noWrap/>
            <w:vAlign w:val="center"/>
          </w:tcPr>
          <w:p>
            <w:pPr>
              <w:widowControl/>
              <w:jc w:val="left"/>
              <w:rPr>
                <w:rFonts w:eastAsia="Times New Roman"/>
                <w:sz w:val="20"/>
                <w:szCs w:val="20"/>
              </w:rPr>
            </w:pPr>
          </w:p>
        </w:tc>
        <w:tc>
          <w:tcPr>
            <w:tcW w:w="3047"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tblPrEx>
          <w:tblCellMar>
            <w:top w:w="0" w:type="dxa"/>
            <w:left w:w="108" w:type="dxa"/>
            <w:bottom w:w="0" w:type="dxa"/>
            <w:right w:w="108" w:type="dxa"/>
          </w:tblCellMar>
        </w:tblPrEx>
        <w:trPr>
          <w:trHeight w:val="518" w:hRule="atLeast"/>
          <w:jc w:val="center"/>
        </w:trPr>
        <w:tc>
          <w:tcPr>
            <w:tcW w:w="15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因公</w:t>
            </w:r>
          </w:p>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出国（境）费</w:t>
            </w:r>
          </w:p>
        </w:tc>
        <w:tc>
          <w:tcPr>
            <w:tcW w:w="45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公务用车购置及运行费</w:t>
            </w:r>
          </w:p>
        </w:tc>
        <w:tc>
          <w:tcPr>
            <w:tcW w:w="1526" w:type="dxa"/>
            <w:vMerge w:val="restart"/>
            <w:tcBorders>
              <w:top w:val="single" w:color="000000" w:sz="4" w:space="0"/>
              <w:left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公务接待费</w:t>
            </w:r>
          </w:p>
        </w:tc>
      </w:tr>
      <w:tr>
        <w:tblPrEx>
          <w:tblCellMar>
            <w:top w:w="0" w:type="dxa"/>
            <w:left w:w="108" w:type="dxa"/>
            <w:bottom w:w="0" w:type="dxa"/>
            <w:right w:w="108" w:type="dxa"/>
          </w:tblCellMar>
        </w:tblPrEx>
        <w:trPr>
          <w:trHeight w:val="773" w:hRule="atLeast"/>
          <w:jc w:val="center"/>
        </w:trPr>
        <w:tc>
          <w:tcPr>
            <w:tcW w:w="15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小计</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公务用车运行费</w:t>
            </w:r>
          </w:p>
        </w:tc>
        <w:tc>
          <w:tcPr>
            <w:tcW w:w="152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763" w:hRule="atLeast"/>
          <w:jc w:val="center"/>
        </w:trPr>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134.25</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130.64</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42.00</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88.64</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3.61</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sectPr>
          <w:footerReference r:id="rId6" w:type="first"/>
          <w:footerReference r:id="rId5" w:type="default"/>
          <w:pgSz w:w="11906" w:h="16838"/>
          <w:pgMar w:top="567" w:right="1588" w:bottom="993" w:left="1588" w:header="851" w:footer="397" w:gutter="0"/>
          <w:pgNumType w:fmt="numberInDash"/>
          <w:cols w:space="720" w:num="1"/>
          <w:titlePg/>
          <w:docGrid w:type="lines" w:linePitch="312" w:charSpace="0"/>
        </w:sectPr>
      </w:pPr>
    </w:p>
    <w:p>
      <w:pPr>
        <w:spacing w:before="120" w:beforeLines="50" w:after="120" w:afterLines="50" w:line="520" w:lineRule="exact"/>
        <w:rPr>
          <w:rFonts w:eastAsia="仿宋_GB2312"/>
          <w:b/>
          <w:color w:val="000000"/>
          <w:sz w:val="30"/>
          <w:szCs w:val="30"/>
        </w:rPr>
      </w:pPr>
    </w:p>
    <w:p>
      <w:pPr>
        <w:spacing w:before="120" w:beforeLines="50" w:after="240" w:afterLines="100" w:line="520" w:lineRule="exact"/>
        <w:jc w:val="center"/>
        <w:outlineLvl w:val="0"/>
        <w:rPr>
          <w:rFonts w:eastAsia="方正小标宋_GBK"/>
          <w:color w:val="000000"/>
          <w:sz w:val="32"/>
          <w:szCs w:val="32"/>
        </w:rPr>
      </w:pPr>
      <w:r>
        <w:rPr>
          <w:rFonts w:eastAsia="方正小标宋_GBK"/>
          <w:color w:val="000000"/>
          <w:sz w:val="32"/>
          <w:szCs w:val="32"/>
        </w:rPr>
        <w:t>第三部分 国家统计局</w:t>
      </w:r>
      <w:r>
        <w:rPr>
          <w:rFonts w:hint="eastAsia" w:eastAsia="方正小标宋_GBK"/>
          <w:color w:val="000000"/>
          <w:sz w:val="32"/>
          <w:szCs w:val="32"/>
          <w:lang w:eastAsia="zh-CN"/>
        </w:rPr>
        <w:t>吉林调查总队2024</w:t>
      </w:r>
      <w:r>
        <w:rPr>
          <w:rFonts w:eastAsia="方正小标宋_GBK"/>
          <w:color w:val="000000"/>
          <w:sz w:val="32"/>
          <w:szCs w:val="32"/>
        </w:rPr>
        <w:t>年预算情况说明</w:t>
      </w:r>
      <w:bookmarkEnd w:id="23"/>
      <w:bookmarkEnd w:id="24"/>
      <w:bookmarkEnd w:id="25"/>
      <w:bookmarkEnd w:id="26"/>
      <w:bookmarkEnd w:id="27"/>
    </w:p>
    <w:p>
      <w:pPr>
        <w:pStyle w:val="2"/>
        <w:spacing w:before="240" w:after="120"/>
        <w:ind w:firstLine="560"/>
        <w:rPr>
          <w:rFonts w:ascii="Times New Roman" w:cs="Times New Roman"/>
        </w:rPr>
      </w:pPr>
      <w:r>
        <w:rPr>
          <w:rFonts w:ascii="Times New Roman" w:cs="Times New Roman"/>
        </w:rPr>
        <w:t>一、关于国家统计局</w:t>
      </w:r>
      <w:r>
        <w:rPr>
          <w:rFonts w:hint="eastAsia" w:ascii="Times New Roman" w:cs="Times New Roman"/>
          <w:lang w:eastAsia="zh-CN"/>
        </w:rPr>
        <w:t>吉林调查总队2024</w:t>
      </w:r>
      <w:r>
        <w:rPr>
          <w:rFonts w:ascii="Times New Roman" w:cs="Times New Roman"/>
        </w:rPr>
        <w:t>年收支总表的说明</w:t>
      </w:r>
    </w:p>
    <w:p>
      <w:pPr>
        <w:pStyle w:val="4"/>
        <w:ind w:firstLine="560"/>
        <w:rPr>
          <w:rFonts w:ascii="Times New Roman"/>
        </w:rPr>
      </w:pPr>
      <w:r>
        <w:rPr>
          <w:rFonts w:ascii="Times New Roman"/>
        </w:rPr>
        <w:t>按照综合预算的原则，国家统计局</w:t>
      </w:r>
      <w:r>
        <w:rPr>
          <w:rFonts w:hint="eastAsia" w:ascii="Times New Roman"/>
          <w:lang w:eastAsia="zh-CN"/>
        </w:rPr>
        <w:t>吉林调查总队</w:t>
      </w:r>
      <w:r>
        <w:rPr>
          <w:rFonts w:ascii="Times New Roman"/>
        </w:rPr>
        <w:t>所有收入和支出均纳入部门预算管理。</w:t>
      </w:r>
      <w:r>
        <w:rPr>
          <w:rFonts w:hint="eastAsia" w:ascii="Times New Roman"/>
        </w:rPr>
        <w:t>收入包括：一般公共预算拨款收入、其他收入、上年结转；支出包括：一般公共服务支出、社会保障和就业支出、卫生健康支出、住房保障支出等。国家统计局</w:t>
      </w:r>
      <w:r>
        <w:rPr>
          <w:rFonts w:hint="eastAsia" w:ascii="Times New Roman"/>
          <w:lang w:eastAsia="zh-CN"/>
        </w:rPr>
        <w:t>吉林调查总队2024</w:t>
      </w:r>
      <w:r>
        <w:rPr>
          <w:rFonts w:hint="eastAsia" w:ascii="Times New Roman"/>
        </w:rPr>
        <w:t>年收支总预算</w:t>
      </w:r>
      <w:r>
        <w:rPr>
          <w:rFonts w:hint="eastAsia" w:ascii="Times New Roman"/>
          <w:lang w:val="en-US" w:eastAsia="zh-CN"/>
        </w:rPr>
        <w:t>17440.99</w:t>
      </w:r>
      <w:r>
        <w:rPr>
          <w:rFonts w:ascii="Times New Roman"/>
        </w:rPr>
        <w:t>万元。</w:t>
      </w:r>
    </w:p>
    <w:p>
      <w:pPr>
        <w:pStyle w:val="2"/>
        <w:spacing w:before="240" w:after="120"/>
        <w:ind w:firstLine="560"/>
        <w:rPr>
          <w:rFonts w:ascii="Times New Roman" w:cs="Times New Roman"/>
        </w:rPr>
      </w:pPr>
      <w:r>
        <w:rPr>
          <w:rFonts w:ascii="Times New Roman" w:cs="Times New Roman"/>
        </w:rPr>
        <w:t>二、关于国家统计局</w:t>
      </w:r>
      <w:r>
        <w:rPr>
          <w:rFonts w:hint="eastAsia" w:ascii="Times New Roman" w:cs="Times New Roman"/>
          <w:lang w:eastAsia="zh-CN"/>
        </w:rPr>
        <w:t>吉林调查总队2024</w:t>
      </w:r>
      <w:r>
        <w:rPr>
          <w:rFonts w:ascii="Times New Roman" w:cs="Times New Roman"/>
        </w:rPr>
        <w:t>年收入总表的说明</w:t>
      </w:r>
    </w:p>
    <w:p>
      <w:pPr>
        <w:pStyle w:val="4"/>
        <w:ind w:firstLine="560"/>
        <w:rPr>
          <w:rFonts w:ascii="Times New Roman"/>
        </w:rPr>
      </w:pPr>
      <w:r>
        <w:rPr>
          <w:rFonts w:ascii="Times New Roman"/>
        </w:rPr>
        <w:t>国家统计局</w:t>
      </w:r>
      <w:r>
        <w:rPr>
          <w:rFonts w:hint="eastAsia" w:ascii="Times New Roman"/>
          <w:lang w:eastAsia="zh-CN"/>
        </w:rPr>
        <w:t>吉林调查总队2024</w:t>
      </w:r>
      <w:r>
        <w:rPr>
          <w:rFonts w:ascii="Times New Roman"/>
        </w:rPr>
        <w:t>年收入预算</w:t>
      </w:r>
      <w:bookmarkStart w:id="33" w:name="_Hlk67044763"/>
      <w:r>
        <w:rPr>
          <w:rFonts w:hint="eastAsia" w:ascii="Times New Roman"/>
          <w:lang w:val="en-US" w:eastAsia="zh-CN"/>
        </w:rPr>
        <w:t>17440.99</w:t>
      </w:r>
      <w:r>
        <w:rPr>
          <w:rFonts w:ascii="Times New Roman"/>
        </w:rPr>
        <w:t>万元</w:t>
      </w:r>
      <w:bookmarkEnd w:id="33"/>
      <w:r>
        <w:rPr>
          <w:rFonts w:ascii="Times New Roman"/>
        </w:rPr>
        <w:t>，其中：上年结转</w:t>
      </w:r>
      <w:r>
        <w:rPr>
          <w:rFonts w:hint="eastAsia" w:ascii="Times New Roman"/>
          <w:lang w:val="en-US" w:eastAsia="zh-CN"/>
        </w:rPr>
        <w:t>4085.60</w:t>
      </w:r>
      <w:r>
        <w:rPr>
          <w:rFonts w:ascii="Times New Roman"/>
        </w:rPr>
        <w:t>万元，占</w:t>
      </w:r>
      <w:r>
        <w:rPr>
          <w:rFonts w:hint="eastAsia" w:ascii="Times New Roman"/>
          <w:lang w:val="en-US" w:eastAsia="zh-CN"/>
        </w:rPr>
        <w:t>23.43</w:t>
      </w:r>
      <w:r>
        <w:rPr>
          <w:rFonts w:ascii="Times New Roman"/>
        </w:rPr>
        <w:t>%；一般公共预算拨款收入</w:t>
      </w:r>
      <w:r>
        <w:rPr>
          <w:rFonts w:hint="eastAsia" w:ascii="Times New Roman"/>
          <w:lang w:val="en-US" w:eastAsia="zh-CN"/>
        </w:rPr>
        <w:t>10710.50</w:t>
      </w:r>
      <w:r>
        <w:rPr>
          <w:rFonts w:ascii="Times New Roman"/>
        </w:rPr>
        <w:t>万元，占</w:t>
      </w:r>
      <w:r>
        <w:rPr>
          <w:rFonts w:hint="eastAsia" w:ascii="Times New Roman"/>
          <w:lang w:val="en-US" w:eastAsia="zh-CN"/>
        </w:rPr>
        <w:t>61.41</w:t>
      </w:r>
      <w:r>
        <w:rPr>
          <w:rFonts w:ascii="Times New Roman"/>
        </w:rPr>
        <w:t>%；其他收入</w:t>
      </w:r>
      <w:r>
        <w:rPr>
          <w:rFonts w:hint="eastAsia" w:ascii="Times New Roman"/>
          <w:lang w:val="en-US" w:eastAsia="zh-CN"/>
        </w:rPr>
        <w:t>2644.89</w:t>
      </w:r>
      <w:r>
        <w:rPr>
          <w:rFonts w:ascii="Times New Roman"/>
        </w:rPr>
        <w:t>万元，占</w:t>
      </w:r>
      <w:r>
        <w:rPr>
          <w:rFonts w:hint="eastAsia" w:ascii="Times New Roman"/>
          <w:lang w:val="en-US" w:eastAsia="zh-CN"/>
        </w:rPr>
        <w:t>15.16</w:t>
      </w:r>
      <w:r>
        <w:rPr>
          <w:rFonts w:ascii="Times New Roman"/>
        </w:rPr>
        <w:t>%。</w:t>
      </w:r>
      <w:r>
        <w:rPr>
          <w:rFonts w:hint="eastAsia" w:ascii="Times New Roman"/>
          <w:lang w:eastAsia="zh-CN"/>
        </w:rPr>
        <w:t>（</w:t>
      </w:r>
      <w:r>
        <w:rPr>
          <w:rFonts w:hint="eastAsia" w:ascii="Times New Roman"/>
          <w:lang w:val="en-US" w:eastAsia="zh-CN"/>
        </w:rPr>
        <w:t>如图1</w:t>
      </w:r>
      <w:r>
        <w:rPr>
          <w:rFonts w:hint="eastAsia" w:ascii="Times New Roman"/>
          <w:lang w:eastAsia="zh-CN"/>
        </w:rPr>
        <w:t>）</w:t>
      </w:r>
    </w:p>
    <w:p>
      <w:pPr>
        <w:pStyle w:val="4"/>
        <w:ind w:firstLine="560"/>
        <w:rPr>
          <w:rFonts w:ascii="Times New Roman" w:hAnsi="Times New Roman" w:eastAsia="黑体" w:cs="Times New Roman"/>
          <w:color w:val="000000"/>
          <w:sz w:val="28"/>
          <w:szCs w:val="28"/>
          <w:lang w:val="en-US" w:eastAsia="zh-CN" w:bidi="ar-SA"/>
        </w:rPr>
      </w:pPr>
      <w:r>
        <w:rPr>
          <w:rFonts w:hint="eastAsia" w:ascii="Times New Roman" w:hAnsi="Times New Roman" w:eastAsia="黑体" w:cs="Times New Roman"/>
          <w:color w:val="000000"/>
          <w:sz w:val="28"/>
          <w:szCs w:val="28"/>
          <w:lang w:val="en-US" w:eastAsia="zh-CN" w:bidi="ar-SA"/>
        </w:rPr>
        <w:drawing>
          <wp:anchor distT="0" distB="0" distL="114300" distR="114300" simplePos="0" relativeHeight="251660288" behindDoc="0" locked="0" layoutInCell="1" allowOverlap="1">
            <wp:simplePos x="0" y="0"/>
            <wp:positionH relativeFrom="column">
              <wp:posOffset>474345</wp:posOffset>
            </wp:positionH>
            <wp:positionV relativeFrom="paragraph">
              <wp:posOffset>161290</wp:posOffset>
            </wp:positionV>
            <wp:extent cx="4679315" cy="3981450"/>
            <wp:effectExtent l="4445" t="4445" r="12065" b="33655"/>
            <wp:wrapTopAndBottom/>
            <wp:docPr id="1" name="图表 1"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4"/>
        <w:ind w:firstLine="560"/>
        <w:rPr>
          <w:rFonts w:ascii="Times New Roman" w:hAnsi="Times New Roman" w:eastAsia="黑体" w:cs="Times New Roman"/>
          <w:color w:val="000000"/>
          <w:sz w:val="28"/>
          <w:szCs w:val="28"/>
          <w:lang w:val="en-US" w:eastAsia="zh-CN" w:bidi="ar-SA"/>
        </w:rPr>
      </w:pPr>
      <w:bookmarkStart w:id="34" w:name="_Toc510537173"/>
      <w:r>
        <w:rPr>
          <w:rFonts w:ascii="Times New Roman" w:hAnsi="Times New Roman" w:eastAsia="黑体" w:cs="Times New Roman"/>
          <w:color w:val="000000"/>
          <w:sz w:val="28"/>
          <w:szCs w:val="28"/>
          <w:lang w:val="en-US" w:eastAsia="zh-CN" w:bidi="ar-SA"/>
        </w:rPr>
        <w:t>三、关于国家统计局</w:t>
      </w:r>
      <w:r>
        <w:rPr>
          <w:rFonts w:hint="eastAsia" w:ascii="Times New Roman" w:hAnsi="Times New Roman" w:eastAsia="黑体" w:cs="Times New Roman"/>
          <w:color w:val="000000"/>
          <w:sz w:val="28"/>
          <w:szCs w:val="28"/>
          <w:lang w:val="en-US" w:eastAsia="zh-CN" w:bidi="ar-SA"/>
        </w:rPr>
        <w:t>吉林调查总队</w:t>
      </w:r>
      <w:r>
        <w:rPr>
          <w:rFonts w:hint="eastAsia" w:ascii="Times New Roman" w:eastAsia="黑体" w:cs="Times New Roman"/>
          <w:color w:val="000000"/>
          <w:sz w:val="28"/>
          <w:szCs w:val="28"/>
          <w:lang w:val="en-US" w:eastAsia="zh-CN" w:bidi="ar-SA"/>
        </w:rPr>
        <w:t>2024</w:t>
      </w:r>
      <w:r>
        <w:rPr>
          <w:rFonts w:ascii="Times New Roman" w:hAnsi="Times New Roman" w:eastAsia="黑体" w:cs="Times New Roman"/>
          <w:color w:val="000000"/>
          <w:sz w:val="28"/>
          <w:szCs w:val="28"/>
          <w:lang w:val="en-US" w:eastAsia="zh-CN" w:bidi="ar-SA"/>
        </w:rPr>
        <w:t>年支出总表的说明</w:t>
      </w:r>
    </w:p>
    <w:p>
      <w:pPr>
        <w:pStyle w:val="4"/>
        <w:ind w:firstLine="560"/>
        <w:rPr>
          <w:rFonts w:hint="eastAsia" w:ascii="Times New Roman" w:eastAsia="仿宋_GB2312"/>
          <w:lang w:eastAsia="zh-CN"/>
        </w:rPr>
      </w:pPr>
      <w:r>
        <w:rPr>
          <w:rFonts w:ascii="Times New Roman"/>
          <w:color w:val="000000"/>
        </w:rPr>
        <w:t>国家统</w:t>
      </w:r>
      <w:r>
        <w:rPr>
          <w:rFonts w:ascii="Times New Roman"/>
        </w:rPr>
        <w:t>计局</w:t>
      </w:r>
      <w:r>
        <w:rPr>
          <w:rFonts w:hint="eastAsia" w:ascii="Times New Roman"/>
          <w:lang w:eastAsia="zh-CN"/>
        </w:rPr>
        <w:t>吉林调查总队2024</w:t>
      </w:r>
      <w:r>
        <w:rPr>
          <w:rFonts w:ascii="Times New Roman"/>
        </w:rPr>
        <w:t>年支出预算</w:t>
      </w:r>
      <w:r>
        <w:rPr>
          <w:rFonts w:hint="eastAsia" w:ascii="Times New Roman"/>
          <w:lang w:val="en-US" w:eastAsia="zh-CN"/>
        </w:rPr>
        <w:t>17440.99</w:t>
      </w:r>
      <w:r>
        <w:rPr>
          <w:rFonts w:ascii="Times New Roman"/>
        </w:rPr>
        <w:t>万元，其中：基本支出</w:t>
      </w:r>
      <w:r>
        <w:rPr>
          <w:rFonts w:hint="eastAsia" w:ascii="Times New Roman"/>
          <w:lang w:val="en-US" w:eastAsia="zh-CN"/>
        </w:rPr>
        <w:t>9891.60</w:t>
      </w:r>
      <w:r>
        <w:rPr>
          <w:rFonts w:ascii="Times New Roman"/>
        </w:rPr>
        <w:t>万元，占</w:t>
      </w:r>
      <w:r>
        <w:rPr>
          <w:rFonts w:hint="eastAsia" w:ascii="Times New Roman"/>
          <w:lang w:val="en-US" w:eastAsia="zh-CN"/>
        </w:rPr>
        <w:t>56.71</w:t>
      </w:r>
      <w:r>
        <w:rPr>
          <w:rFonts w:ascii="Times New Roman"/>
        </w:rPr>
        <w:t>%；项目支出</w:t>
      </w:r>
      <w:r>
        <w:rPr>
          <w:rFonts w:hint="eastAsia" w:ascii="Times New Roman"/>
          <w:lang w:val="en-US" w:eastAsia="zh-CN"/>
        </w:rPr>
        <w:t>7549.39</w:t>
      </w:r>
      <w:r>
        <w:rPr>
          <w:rFonts w:ascii="Times New Roman"/>
        </w:rPr>
        <w:t>万元，占</w:t>
      </w:r>
      <w:r>
        <w:rPr>
          <w:rFonts w:hint="eastAsia" w:ascii="Times New Roman"/>
          <w:lang w:val="en-US" w:eastAsia="zh-CN"/>
        </w:rPr>
        <w:t>43.29</w:t>
      </w:r>
      <w:r>
        <w:rPr>
          <w:rFonts w:ascii="Times New Roman"/>
        </w:rPr>
        <w:t>%。</w:t>
      </w:r>
      <w:r>
        <w:rPr>
          <w:rFonts w:hint="eastAsia" w:ascii="Times New Roman"/>
          <w:lang w:eastAsia="zh-CN"/>
        </w:rPr>
        <w:t>（</w:t>
      </w:r>
      <w:r>
        <w:rPr>
          <w:rFonts w:hint="eastAsia" w:ascii="Times New Roman"/>
          <w:lang w:val="en-US" w:eastAsia="zh-CN"/>
        </w:rPr>
        <w:t>如图2</w:t>
      </w:r>
      <w:r>
        <w:rPr>
          <w:rFonts w:hint="eastAsia" w:ascii="Times New Roman"/>
          <w:lang w:eastAsia="zh-CN"/>
        </w:rPr>
        <w:t>）</w:t>
      </w:r>
    </w:p>
    <w:p>
      <w:pPr>
        <w:pStyle w:val="4"/>
        <w:ind w:firstLine="560"/>
        <w:rPr>
          <w:rFonts w:hint="eastAsia" w:ascii="黑体" w:hAnsi="黑体" w:eastAsia="黑体" w:cs="黑体"/>
        </w:rPr>
      </w:pPr>
      <w:r>
        <w:rPr>
          <w:rFonts w:hint="eastAsia" w:ascii="黑体" w:hAnsi="黑体" w:eastAsia="黑体" w:cs="黑体"/>
          <w:lang w:eastAsia="zh-CN"/>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257175</wp:posOffset>
            </wp:positionV>
            <wp:extent cx="4805045" cy="3734435"/>
            <wp:effectExtent l="4445" t="5080" r="10160" b="32385"/>
            <wp:wrapTopAndBottom/>
            <wp:docPr id="2" name="图表 2"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4"/>
        <w:ind w:firstLine="560"/>
        <w:rPr>
          <w:rFonts w:ascii="Times New Roman" w:cs="Times New Roman"/>
        </w:rPr>
      </w:pPr>
      <w:r>
        <w:rPr>
          <w:rFonts w:hint="eastAsia" w:ascii="黑体" w:hAnsi="黑体" w:eastAsia="黑体" w:cs="黑体"/>
        </w:rPr>
        <w:t>四、关于国家统计局</w:t>
      </w:r>
      <w:r>
        <w:rPr>
          <w:rFonts w:hint="eastAsia" w:ascii="黑体" w:hAnsi="黑体" w:eastAsia="黑体" w:cs="黑体"/>
          <w:lang w:eastAsia="zh-CN"/>
        </w:rPr>
        <w:t>吉林调查总队2024</w:t>
      </w:r>
      <w:r>
        <w:rPr>
          <w:rFonts w:hint="eastAsia" w:ascii="黑体" w:hAnsi="黑体" w:eastAsia="黑体" w:cs="黑体"/>
        </w:rPr>
        <w:t>年财政拨款收支总表的说明</w:t>
      </w:r>
    </w:p>
    <w:p>
      <w:pPr>
        <w:pStyle w:val="4"/>
        <w:ind w:firstLine="560"/>
        <w:rPr>
          <w:rFonts w:hint="eastAsia" w:ascii="Times New Roman" w:eastAsia="仿宋_GB2312"/>
          <w:lang w:eastAsia="zh-CN"/>
        </w:rPr>
      </w:pPr>
      <w:r>
        <w:rPr>
          <w:rFonts w:ascii="Times New Roman"/>
        </w:rPr>
        <w:t>国家统计局</w:t>
      </w:r>
      <w:r>
        <w:rPr>
          <w:rFonts w:hint="eastAsia" w:ascii="Times New Roman"/>
          <w:lang w:eastAsia="zh-CN"/>
        </w:rPr>
        <w:t>吉林调查总队2024</w:t>
      </w:r>
      <w:r>
        <w:rPr>
          <w:rFonts w:ascii="Times New Roman"/>
        </w:rPr>
        <w:t>年财政拨款收支总预算</w:t>
      </w:r>
      <w:r>
        <w:rPr>
          <w:rFonts w:hint="eastAsia" w:ascii="Times New Roman"/>
          <w:lang w:val="en-US" w:eastAsia="zh-CN"/>
        </w:rPr>
        <w:t>11777.08</w:t>
      </w:r>
      <w:r>
        <w:rPr>
          <w:rFonts w:ascii="Times New Roman"/>
        </w:rPr>
        <w:t>万元。</w:t>
      </w:r>
      <w:r>
        <w:rPr>
          <w:rFonts w:hint="eastAsia" w:ascii="Times New Roman"/>
        </w:rPr>
        <w:t>收入全部为一般公共预算拨款（无政府性基金预算拨款和国有资本经营预算拨款），包括：一般公共预算当年拨款收入</w:t>
      </w:r>
      <w:r>
        <w:rPr>
          <w:rFonts w:hint="eastAsia" w:ascii="Times New Roman"/>
          <w:lang w:val="en-US" w:eastAsia="zh-CN"/>
        </w:rPr>
        <w:t>10710.50</w:t>
      </w:r>
      <w:r>
        <w:rPr>
          <w:rFonts w:hint="eastAsia" w:ascii="Times New Roman"/>
        </w:rPr>
        <w:t>万元、上年结转</w:t>
      </w:r>
      <w:r>
        <w:rPr>
          <w:rFonts w:hint="eastAsia" w:ascii="Times New Roman"/>
          <w:lang w:val="en-US" w:eastAsia="zh-CN"/>
        </w:rPr>
        <w:t>1066.58</w:t>
      </w:r>
      <w:r>
        <w:rPr>
          <w:rFonts w:hint="eastAsia" w:ascii="Times New Roman"/>
        </w:rPr>
        <w:t>万元；支出包括：一般公共服务支出</w:t>
      </w:r>
      <w:r>
        <w:rPr>
          <w:rFonts w:hint="eastAsia" w:ascii="Times New Roman"/>
          <w:lang w:val="en-US" w:eastAsia="zh-CN"/>
        </w:rPr>
        <w:t>9364.16</w:t>
      </w:r>
      <w:r>
        <w:rPr>
          <w:rFonts w:hint="eastAsia" w:ascii="Times New Roman"/>
        </w:rPr>
        <w:t>万元、社会保障和就业支出</w:t>
      </w:r>
      <w:r>
        <w:rPr>
          <w:rFonts w:hint="eastAsia" w:ascii="Times New Roman"/>
          <w:lang w:val="en-US" w:eastAsia="zh-CN"/>
        </w:rPr>
        <w:t>1233.66</w:t>
      </w:r>
      <w:r>
        <w:rPr>
          <w:rFonts w:hint="eastAsia" w:ascii="Times New Roman"/>
        </w:rPr>
        <w:t>万元、卫生健康支出</w:t>
      </w:r>
      <w:r>
        <w:rPr>
          <w:rFonts w:hint="eastAsia" w:ascii="Times New Roman"/>
          <w:lang w:val="en-US" w:eastAsia="zh-CN"/>
        </w:rPr>
        <w:t>477.51</w:t>
      </w:r>
      <w:r>
        <w:rPr>
          <w:rFonts w:hint="eastAsia" w:ascii="Times New Roman"/>
        </w:rPr>
        <w:t>万元、住房保障支出</w:t>
      </w:r>
      <w:r>
        <w:rPr>
          <w:rFonts w:hint="eastAsia" w:ascii="Times New Roman"/>
          <w:lang w:val="en-US" w:eastAsia="zh-CN"/>
        </w:rPr>
        <w:t>701.75</w:t>
      </w:r>
      <w:r>
        <w:rPr>
          <w:rFonts w:hint="eastAsia" w:ascii="Times New Roman"/>
        </w:rPr>
        <w:t>万元</w:t>
      </w:r>
      <w:r>
        <w:rPr>
          <w:rFonts w:ascii="Times New Roman"/>
        </w:rPr>
        <w:t>。</w:t>
      </w:r>
      <w:r>
        <w:rPr>
          <w:rFonts w:hint="eastAsia" w:ascii="Times New Roman"/>
          <w:lang w:eastAsia="zh-CN"/>
        </w:rPr>
        <w:t>（</w:t>
      </w:r>
      <w:r>
        <w:rPr>
          <w:rFonts w:hint="eastAsia" w:ascii="Times New Roman"/>
          <w:lang w:val="en-US" w:eastAsia="zh-CN"/>
        </w:rPr>
        <w:t>如图3</w:t>
      </w:r>
      <w:r>
        <w:rPr>
          <w:rFonts w:hint="eastAsia" w:ascii="Times New Roman"/>
          <w:lang w:eastAsia="zh-CN"/>
        </w:rPr>
        <w:t>）</w:t>
      </w:r>
    </w:p>
    <w:p>
      <w:pPr>
        <w:pStyle w:val="4"/>
        <w:ind w:firstLine="560"/>
        <w:rPr>
          <w:rFonts w:ascii="Times New Roman"/>
          <w:b/>
          <w:bCs/>
        </w:rPr>
      </w:pPr>
    </w:p>
    <w:p>
      <w:pPr>
        <w:pStyle w:val="2"/>
        <w:spacing w:before="240" w:after="120"/>
        <w:ind w:firstLine="560"/>
        <w:rPr>
          <w:rFonts w:ascii="Times New Roman" w:cs="Times New Roman"/>
        </w:rPr>
      </w:pPr>
    </w:p>
    <w:p>
      <w:pPr>
        <w:pStyle w:val="2"/>
        <w:spacing w:before="240" w:after="120"/>
        <w:ind w:firstLine="560"/>
        <w:rPr>
          <w:rFonts w:ascii="Times New Roman" w:cs="Times New Roman"/>
        </w:rPr>
      </w:pPr>
      <w:r>
        <w:rPr>
          <w:sz w:val="28"/>
        </w:rPr>
        <mc:AlternateContent>
          <mc:Choice Requires="wps">
            <w:drawing>
              <wp:anchor distT="0" distB="0" distL="114300" distR="114300" simplePos="0" relativeHeight="251663360" behindDoc="0" locked="0" layoutInCell="1" allowOverlap="1">
                <wp:simplePos x="0" y="0"/>
                <wp:positionH relativeFrom="column">
                  <wp:posOffset>901065</wp:posOffset>
                </wp:positionH>
                <wp:positionV relativeFrom="paragraph">
                  <wp:posOffset>182880</wp:posOffset>
                </wp:positionV>
                <wp:extent cx="4057650" cy="495300"/>
                <wp:effectExtent l="0" t="0" r="0" b="0"/>
                <wp:wrapNone/>
                <wp:docPr id="4" name="文本框 4"/>
                <wp:cNvGraphicFramePr/>
                <a:graphic xmlns:a="http://schemas.openxmlformats.org/drawingml/2006/main">
                  <a:graphicData uri="http://schemas.microsoft.com/office/word/2010/wordprocessingShape">
                    <wps:wsp>
                      <wps:cNvSpPr txBox="true"/>
                      <wps:spPr>
                        <a:xfrm>
                          <a:off x="2252345" y="1154430"/>
                          <a:ext cx="405765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2024年财政拨款收支总预算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0.95pt;margin-top:14.4pt;height:39pt;width:319.5pt;z-index:251663360;mso-width-relative:page;mso-height-relative:page;" fillcolor="#FFFFFF [3201]" filled="t" stroked="f" coordsize="21600,21600" o:gfxdata="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b4cSrdQA&#10;AAAKAQAADwAAAAAAAAABACAAAAA4AAAAZHJzL2Rvd25yZXYueG1sUEsBAhQAFAAAAAgAh07iQNwc&#10;MxxGAgAAXwQAAA4AAAAAAAAAAQAgAAAAOQEAAGRycy9lMm9Eb2MueG1sUEsFBgAAAAAGAAYAWQEA&#10;APEFAAAAAA==&#10;">
                <v:fill on="t" focussize="0,0"/>
                <v:stroke on="f" weight="0.5pt"/>
                <v:imagedata o:title=""/>
                <o:lock v:ext="edit" aspectratio="f"/>
                <v:textbox>
                  <w:txbxContent>
                    <w:p>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2024年财政拨款收支总预算</w:t>
                      </w:r>
                    </w:p>
                  </w:txbxContent>
                </v:textbox>
              </v:shape>
            </w:pict>
          </mc:Fallback>
        </mc:AlternateContent>
      </w:r>
      <w:r>
        <w:rPr>
          <w:rFonts w:hint="eastAsia" w:ascii="Times New Roman" w:eastAsia="黑体" w:cs="Times New Roman"/>
          <w:lang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42545</wp:posOffset>
            </wp:positionV>
            <wp:extent cx="5450840" cy="5474970"/>
            <wp:effectExtent l="4445" t="4445" r="12065"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cs="Times New Roman"/>
        </w:rPr>
        <w:t>五、关于国家统计局</w:t>
      </w:r>
      <w:r>
        <w:rPr>
          <w:rFonts w:hint="eastAsia" w:ascii="Times New Roman" w:cs="Times New Roman"/>
          <w:lang w:eastAsia="zh-CN"/>
        </w:rPr>
        <w:t>吉林调查总队2024</w:t>
      </w:r>
      <w:r>
        <w:rPr>
          <w:rFonts w:ascii="Times New Roman" w:cs="Times New Roman"/>
        </w:rPr>
        <w:t>年一般公共预算支出表的说明</w:t>
      </w:r>
    </w:p>
    <w:p>
      <w:pPr>
        <w:pStyle w:val="3"/>
        <w:ind w:firstLine="560"/>
        <w:rPr>
          <w:rFonts w:ascii="楷体_GB2312" w:hAnsi="楷体_GB2312" w:eastAsia="楷体_GB2312" w:cs="楷体_GB2312"/>
          <w:b w:val="0"/>
        </w:rPr>
      </w:pPr>
      <w:r>
        <w:rPr>
          <w:rFonts w:hint="eastAsia" w:ascii="楷体_GB2312" w:hAnsi="楷体_GB2312" w:eastAsia="楷体_GB2312" w:cs="楷体_GB2312"/>
          <w:b w:val="0"/>
        </w:rPr>
        <w:t>（一）一般公共预算当年拨款规模变化情况。</w:t>
      </w:r>
    </w:p>
    <w:p>
      <w:pPr>
        <w:pStyle w:val="4"/>
        <w:ind w:firstLine="560"/>
        <w:rPr>
          <w:rFonts w:ascii="Times New Roman"/>
        </w:rPr>
      </w:pPr>
      <w:r>
        <w:rPr>
          <w:rFonts w:ascii="Times New Roman"/>
        </w:rPr>
        <w:t>国家统计局</w:t>
      </w:r>
      <w:r>
        <w:rPr>
          <w:rFonts w:hint="eastAsia" w:ascii="Times New Roman"/>
          <w:lang w:eastAsia="zh-CN"/>
        </w:rPr>
        <w:t>吉林调查总队2024</w:t>
      </w:r>
      <w:r>
        <w:rPr>
          <w:rFonts w:ascii="Times New Roman"/>
        </w:rPr>
        <w:t>年一般公共预算当年拨款</w:t>
      </w:r>
      <w:r>
        <w:rPr>
          <w:rFonts w:hint="eastAsia" w:ascii="Times New Roman"/>
          <w:lang w:val="en-US" w:eastAsia="zh-CN"/>
        </w:rPr>
        <w:t>10710.50</w:t>
      </w:r>
      <w:r>
        <w:rPr>
          <w:rFonts w:ascii="Times New Roman"/>
        </w:rPr>
        <w:t>万元</w:t>
      </w:r>
      <w:r>
        <w:rPr>
          <w:rFonts w:hint="eastAsia" w:ascii="Times New Roman"/>
        </w:rPr>
        <w:t>，</w:t>
      </w:r>
      <w:r>
        <w:rPr>
          <w:rFonts w:hint="eastAsia" w:ascii="Times New Roman"/>
          <w:highlight w:val="none"/>
        </w:rPr>
        <w:t>比</w:t>
      </w:r>
      <w:r>
        <w:rPr>
          <w:rFonts w:hint="eastAsia" w:ascii="Times New Roman"/>
          <w:highlight w:val="none"/>
          <w:lang w:eastAsia="zh-CN"/>
        </w:rPr>
        <w:t>2023</w:t>
      </w:r>
      <w:r>
        <w:rPr>
          <w:rFonts w:hint="eastAsia" w:ascii="Times New Roman"/>
          <w:highlight w:val="none"/>
        </w:rPr>
        <w:t>年执行数减少</w:t>
      </w:r>
      <w:r>
        <w:rPr>
          <w:rFonts w:hint="eastAsia" w:ascii="Times New Roman"/>
          <w:highlight w:val="none"/>
          <w:lang w:val="en-US" w:eastAsia="zh-CN"/>
        </w:rPr>
        <w:t>622.63</w:t>
      </w:r>
      <w:r>
        <w:rPr>
          <w:rFonts w:hint="eastAsia" w:ascii="Times New Roman"/>
          <w:highlight w:val="none"/>
        </w:rPr>
        <w:t>万元，</w:t>
      </w:r>
      <w:r>
        <w:rPr>
          <w:rFonts w:ascii="Times New Roman"/>
        </w:rPr>
        <w:t>主要原因</w:t>
      </w:r>
      <w:r>
        <w:rPr>
          <w:rFonts w:hint="eastAsia" w:ascii="Times New Roman"/>
        </w:rPr>
        <w:t>是落实过紧日子要求，厉行节约办一切事业。</w:t>
      </w:r>
    </w:p>
    <w:p>
      <w:pPr>
        <w:pStyle w:val="3"/>
        <w:ind w:firstLine="560"/>
        <w:rPr>
          <w:rFonts w:ascii="楷体_GB2312" w:hAnsi="楷体_GB2312" w:eastAsia="楷体_GB2312" w:cs="楷体_GB2312"/>
          <w:b w:val="0"/>
        </w:rPr>
      </w:pPr>
      <w:r>
        <w:rPr>
          <w:rFonts w:hint="eastAsia" w:ascii="楷体_GB2312" w:hAnsi="楷体_GB2312" w:eastAsia="楷体_GB2312" w:cs="楷体_GB2312"/>
          <w:b w:val="0"/>
        </w:rPr>
        <w:t xml:space="preserve">（二）一般公共预算当年拨款结构情况。 </w:t>
      </w:r>
    </w:p>
    <w:p>
      <w:pPr>
        <w:pStyle w:val="4"/>
        <w:ind w:firstLine="560"/>
        <w:rPr>
          <w:rFonts w:ascii="Times New Roman"/>
        </w:rPr>
      </w:pPr>
      <w:r>
        <w:rPr>
          <w:rFonts w:ascii="Times New Roman"/>
          <w:b/>
        </w:rPr>
        <w:t>一般公共服务支出</w:t>
      </w:r>
      <w:r>
        <w:rPr>
          <w:rFonts w:hint="eastAsia" w:ascii="Times New Roman"/>
          <w:lang w:val="en-US" w:eastAsia="zh-CN"/>
        </w:rPr>
        <w:t>8536.81</w:t>
      </w:r>
      <w:r>
        <w:rPr>
          <w:rFonts w:ascii="Times New Roman"/>
        </w:rPr>
        <w:t>万元，占</w:t>
      </w:r>
      <w:r>
        <w:rPr>
          <w:rFonts w:hint="eastAsia" w:ascii="Times New Roman"/>
          <w:lang w:val="en-US" w:eastAsia="zh-CN"/>
        </w:rPr>
        <w:t>79.71</w:t>
      </w:r>
      <w:r>
        <w:rPr>
          <w:rFonts w:ascii="Times New Roman"/>
        </w:rPr>
        <w:t>%；</w:t>
      </w:r>
      <w:r>
        <w:rPr>
          <w:rFonts w:ascii="Times New Roman"/>
          <w:b/>
        </w:rPr>
        <w:t>社会保障和就业支出</w:t>
      </w:r>
      <w:r>
        <w:rPr>
          <w:rFonts w:hint="eastAsia" w:ascii="Times New Roman"/>
          <w:lang w:val="en-US" w:eastAsia="zh-CN"/>
        </w:rPr>
        <w:t>1027.14</w:t>
      </w:r>
      <w:r>
        <w:rPr>
          <w:rFonts w:ascii="Times New Roman"/>
        </w:rPr>
        <w:t>万元，占</w:t>
      </w:r>
      <w:r>
        <w:rPr>
          <w:rFonts w:hint="eastAsia" w:ascii="Times New Roman"/>
          <w:lang w:val="en-US" w:eastAsia="zh-CN"/>
        </w:rPr>
        <w:t>9.59</w:t>
      </w:r>
      <w:r>
        <w:rPr>
          <w:rFonts w:ascii="Times New Roman"/>
        </w:rPr>
        <w:t>%；</w:t>
      </w:r>
      <w:r>
        <w:rPr>
          <w:rFonts w:ascii="Times New Roman"/>
          <w:b/>
        </w:rPr>
        <w:t>卫生健康支出</w:t>
      </w:r>
      <w:r>
        <w:rPr>
          <w:rFonts w:hint="eastAsia" w:ascii="Times New Roman"/>
          <w:lang w:val="en-US" w:eastAsia="zh-CN"/>
        </w:rPr>
        <w:t>462.79</w:t>
      </w:r>
      <w:r>
        <w:rPr>
          <w:rFonts w:ascii="Times New Roman"/>
        </w:rPr>
        <w:t>万元，占</w:t>
      </w:r>
      <w:r>
        <w:rPr>
          <w:rFonts w:hint="eastAsia" w:ascii="Times New Roman"/>
          <w:lang w:val="en-US" w:eastAsia="zh-CN"/>
        </w:rPr>
        <w:t>4.32</w:t>
      </w:r>
      <w:r>
        <w:rPr>
          <w:rFonts w:ascii="Times New Roman"/>
        </w:rPr>
        <w:t>%；</w:t>
      </w:r>
      <w:r>
        <w:rPr>
          <w:rFonts w:ascii="Times New Roman"/>
          <w:b/>
        </w:rPr>
        <w:t>住房保障支出</w:t>
      </w:r>
      <w:r>
        <w:rPr>
          <w:rFonts w:hint="eastAsia" w:ascii="Times New Roman"/>
          <w:lang w:val="en-US" w:eastAsia="zh-CN"/>
        </w:rPr>
        <w:t>683.76</w:t>
      </w:r>
      <w:r>
        <w:rPr>
          <w:rFonts w:ascii="Times New Roman"/>
        </w:rPr>
        <w:t>万元，占</w:t>
      </w:r>
      <w:r>
        <w:rPr>
          <w:rFonts w:hint="eastAsia" w:ascii="Times New Roman"/>
          <w:lang w:val="en-US" w:eastAsia="zh-CN"/>
        </w:rPr>
        <w:t>6.38</w:t>
      </w:r>
      <w:r>
        <w:rPr>
          <w:rFonts w:ascii="Times New Roman"/>
        </w:rPr>
        <w:t>%。</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（三）一般公共预算当年财政拨款具体使用情况。</w:t>
      </w:r>
    </w:p>
    <w:p>
      <w:pPr>
        <w:spacing w:line="520" w:lineRule="exact"/>
        <w:ind w:firstLine="570"/>
        <w:rPr>
          <w:rFonts w:eastAsia="仿宋_GB2312"/>
          <w:sz w:val="28"/>
          <w:szCs w:val="28"/>
          <w:highlight w:val="yellow"/>
        </w:rPr>
      </w:pPr>
      <w:r>
        <w:rPr>
          <w:rFonts w:eastAsia="仿宋_GB2312"/>
          <w:b/>
          <w:sz w:val="28"/>
          <w:szCs w:val="28"/>
        </w:rPr>
        <w:t>1.一般公共服务支出（类）统计信息事务（款）行政运行（项），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6657.71</w:t>
      </w:r>
      <w:r>
        <w:rPr>
          <w:rFonts w:eastAsia="仿宋_GB2312"/>
          <w:sz w:val="28"/>
          <w:szCs w:val="28"/>
        </w:rPr>
        <w:t>万元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年执行数减少</w:t>
      </w:r>
      <w:r>
        <w:rPr>
          <w:rFonts w:hint="eastAsia" w:eastAsia="仿宋_GB2312"/>
          <w:sz w:val="28"/>
          <w:szCs w:val="28"/>
          <w:highlight w:val="none"/>
          <w:lang w:val="en-US" w:eastAsia="zh-CN"/>
        </w:rPr>
        <w:t>21.78</w:t>
      </w:r>
      <w:r>
        <w:rPr>
          <w:rFonts w:hint="eastAsia" w:eastAsia="仿宋_GB2312"/>
          <w:sz w:val="28"/>
          <w:szCs w:val="28"/>
          <w:highlight w:val="none"/>
        </w:rPr>
        <w:t>万元，降低</w:t>
      </w:r>
      <w:r>
        <w:rPr>
          <w:rFonts w:hint="eastAsia" w:eastAsia="仿宋_GB2312"/>
          <w:sz w:val="28"/>
          <w:szCs w:val="28"/>
          <w:highlight w:val="none"/>
          <w:lang w:val="en-US" w:eastAsia="zh-CN"/>
        </w:rPr>
        <w:t>0.33</w:t>
      </w:r>
      <w:r>
        <w:rPr>
          <w:rFonts w:hint="eastAsia" w:eastAsia="仿宋_GB2312"/>
          <w:sz w:val="28"/>
          <w:szCs w:val="28"/>
          <w:highlight w:val="none"/>
        </w:rPr>
        <w:t>%，主要是</w:t>
      </w:r>
      <w:r>
        <w:rPr>
          <w:rFonts w:hint="eastAsia" w:eastAsia="仿宋_GB2312"/>
          <w:sz w:val="28"/>
          <w:szCs w:val="28"/>
          <w:highlight w:val="none"/>
          <w:lang w:val="en-US" w:eastAsia="zh-CN"/>
        </w:rPr>
        <w:t>人员经费减少</w:t>
      </w:r>
      <w:r>
        <w:rPr>
          <w:rFonts w:hint="eastAsia" w:eastAsia="仿宋_GB2312"/>
          <w:sz w:val="28"/>
          <w:szCs w:val="28"/>
          <w:highlight w:val="none"/>
        </w:rPr>
        <w:t>。</w:t>
      </w:r>
    </w:p>
    <w:p>
      <w:pPr>
        <w:spacing w:line="520" w:lineRule="exact"/>
        <w:ind w:firstLine="570"/>
        <w:rPr>
          <w:rFonts w:eastAsia="仿宋_GB2312"/>
          <w:sz w:val="28"/>
          <w:szCs w:val="28"/>
          <w:highlight w:val="none"/>
        </w:rPr>
      </w:pPr>
      <w:r>
        <w:rPr>
          <w:rFonts w:eastAsia="仿宋_GB2312"/>
          <w:b/>
          <w:sz w:val="28"/>
          <w:szCs w:val="28"/>
        </w:rPr>
        <w:t>2.一般公共服务支出（类）统计信息事务（款）一般行政管理事务（项），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56.00</w:t>
      </w:r>
      <w:r>
        <w:rPr>
          <w:rFonts w:eastAsia="仿宋_GB2312"/>
          <w:sz w:val="28"/>
          <w:szCs w:val="28"/>
        </w:rPr>
        <w:t>万元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年执行数减少</w:t>
      </w:r>
      <w:r>
        <w:rPr>
          <w:rFonts w:hint="eastAsia" w:eastAsia="仿宋_GB2312"/>
          <w:sz w:val="28"/>
          <w:szCs w:val="28"/>
          <w:highlight w:val="none"/>
          <w:lang w:val="en-US" w:eastAsia="zh-CN"/>
        </w:rPr>
        <w:t>359.87</w:t>
      </w:r>
      <w:r>
        <w:rPr>
          <w:rFonts w:hint="eastAsia" w:eastAsia="仿宋_GB2312"/>
          <w:sz w:val="28"/>
          <w:szCs w:val="28"/>
          <w:highlight w:val="none"/>
        </w:rPr>
        <w:t>万元，降低</w:t>
      </w:r>
      <w:r>
        <w:rPr>
          <w:rFonts w:hint="eastAsia" w:eastAsia="仿宋_GB2312"/>
          <w:sz w:val="28"/>
          <w:szCs w:val="28"/>
          <w:highlight w:val="none"/>
          <w:lang w:val="en-US" w:eastAsia="zh-CN"/>
        </w:rPr>
        <w:t>86.53</w:t>
      </w:r>
      <w:r>
        <w:rPr>
          <w:rFonts w:hint="eastAsia" w:eastAsia="仿宋_GB2312"/>
          <w:sz w:val="28"/>
          <w:szCs w:val="28"/>
          <w:highlight w:val="none"/>
        </w:rPr>
        <w:t>%，主要是</w:t>
      </w:r>
      <w:r>
        <w:rPr>
          <w:rFonts w:hint="eastAsia" w:eastAsia="仿宋_GB2312"/>
          <w:sz w:val="28"/>
          <w:szCs w:val="28"/>
          <w:highlight w:val="none"/>
          <w:lang w:eastAsia="zh-CN"/>
        </w:rPr>
        <w:t>中央基建项目未批复</w:t>
      </w:r>
      <w:r>
        <w:rPr>
          <w:rFonts w:hint="eastAsia" w:eastAsia="仿宋_GB2312"/>
          <w:sz w:val="28"/>
          <w:szCs w:val="28"/>
          <w:highlight w:val="none"/>
        </w:rPr>
        <w:t>。</w:t>
      </w:r>
    </w:p>
    <w:p>
      <w:pPr>
        <w:spacing w:line="520" w:lineRule="exact"/>
        <w:ind w:firstLine="570"/>
        <w:rPr>
          <w:rFonts w:eastAsia="仿宋_GB2312"/>
          <w:sz w:val="28"/>
          <w:szCs w:val="28"/>
          <w:highlight w:val="none"/>
        </w:rPr>
      </w:pPr>
      <w:r>
        <w:rPr>
          <w:rFonts w:eastAsia="仿宋_GB2312"/>
          <w:b/>
          <w:sz w:val="28"/>
          <w:szCs w:val="28"/>
        </w:rPr>
        <w:t>3.一般公共服务支出（类）统计信息事务（款）专项统计业务（项），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341.00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30.80</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9.93</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专项统计调查任务增加</w:t>
      </w:r>
      <w:r>
        <w:rPr>
          <w:rFonts w:hint="eastAsia" w:eastAsia="仿宋_GB2312"/>
          <w:sz w:val="28"/>
          <w:szCs w:val="28"/>
          <w:highlight w:val="none"/>
        </w:rPr>
        <w:t>。</w:t>
      </w:r>
    </w:p>
    <w:p>
      <w:pPr>
        <w:spacing w:line="520" w:lineRule="exact"/>
        <w:ind w:firstLine="570"/>
        <w:rPr>
          <w:rFonts w:eastAsia="仿宋_GB2312"/>
          <w:sz w:val="28"/>
          <w:szCs w:val="28"/>
          <w:highlight w:val="yellow"/>
        </w:rPr>
      </w:pPr>
      <w:r>
        <w:rPr>
          <w:rFonts w:hint="eastAsia" w:eastAsia="仿宋_GB2312"/>
          <w:b/>
          <w:sz w:val="28"/>
          <w:szCs w:val="28"/>
          <w:lang w:val="en-US" w:eastAsia="zh-CN"/>
        </w:rPr>
        <w:t>4</w:t>
      </w:r>
      <w:r>
        <w:rPr>
          <w:rFonts w:eastAsia="仿宋_GB2312"/>
          <w:b/>
          <w:sz w:val="28"/>
          <w:szCs w:val="28"/>
        </w:rPr>
        <w:t>.一般公共服务支出（类）统计信息事务（款）统计管理（项），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100.00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46</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85.19</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统计信息网络运行维护需求增加</w:t>
      </w:r>
      <w:r>
        <w:rPr>
          <w:rFonts w:hint="eastAsia" w:eastAsia="仿宋_GB2312"/>
          <w:sz w:val="28"/>
          <w:szCs w:val="28"/>
          <w:highlight w:val="none"/>
        </w:rPr>
        <w:t>。</w:t>
      </w:r>
    </w:p>
    <w:p>
      <w:pPr>
        <w:spacing w:line="520" w:lineRule="exact"/>
        <w:ind w:firstLine="562" w:firstLineChars="200"/>
        <w:rPr>
          <w:rFonts w:eastAsia="仿宋_GB2312"/>
          <w:sz w:val="28"/>
          <w:szCs w:val="28"/>
          <w:highlight w:val="none"/>
        </w:rPr>
      </w:pPr>
      <w:r>
        <w:rPr>
          <w:rFonts w:hint="eastAsia" w:eastAsia="仿宋_GB2312"/>
          <w:b/>
          <w:sz w:val="28"/>
          <w:szCs w:val="28"/>
          <w:lang w:val="en-US" w:eastAsia="zh-CN"/>
        </w:rPr>
        <w:t>5</w:t>
      </w:r>
      <w:r>
        <w:rPr>
          <w:rFonts w:eastAsia="仿宋_GB2312"/>
          <w:b/>
          <w:sz w:val="28"/>
          <w:szCs w:val="28"/>
        </w:rPr>
        <w:t>.一般公共服务支出（类）统计信息事务（款）统计抽样调查（项），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1382.10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37.04</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2.75</w:t>
      </w:r>
      <w:r>
        <w:rPr>
          <w:rFonts w:hint="eastAsia" w:eastAsia="仿宋_GB2312"/>
          <w:sz w:val="28"/>
          <w:szCs w:val="28"/>
          <w:highlight w:val="none"/>
        </w:rPr>
        <w:t>%，主要是</w:t>
      </w:r>
      <w:r>
        <w:rPr>
          <w:rFonts w:hint="eastAsia" w:eastAsia="仿宋_GB2312"/>
          <w:sz w:val="28"/>
          <w:szCs w:val="28"/>
          <w:highlight w:val="none"/>
          <w:lang w:eastAsia="zh-CN"/>
        </w:rPr>
        <w:t>优先保障重点支出</w:t>
      </w:r>
      <w:r>
        <w:rPr>
          <w:rFonts w:hint="eastAsia" w:eastAsia="仿宋_GB2312"/>
          <w:sz w:val="28"/>
          <w:szCs w:val="28"/>
          <w:highlight w:val="none"/>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6</w:t>
      </w:r>
      <w:r>
        <w:rPr>
          <w:rFonts w:eastAsia="仿宋_GB2312"/>
          <w:b/>
          <w:sz w:val="28"/>
          <w:szCs w:val="28"/>
        </w:rPr>
        <w:t>.社会保障和就业支出（类）行政事业单位养老支出（款）机关事业单位基本养老保险缴费支出（项），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652.27</w:t>
      </w:r>
      <w:r>
        <w:rPr>
          <w:rFonts w:eastAsia="仿宋_GB2312"/>
          <w:sz w:val="28"/>
          <w:szCs w:val="28"/>
        </w:rPr>
        <w:t>万元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年执行数减少</w:t>
      </w:r>
      <w:r>
        <w:rPr>
          <w:rFonts w:hint="eastAsia" w:eastAsia="仿宋_GB2312"/>
          <w:sz w:val="28"/>
          <w:szCs w:val="28"/>
          <w:highlight w:val="none"/>
          <w:lang w:val="en-US" w:eastAsia="zh-CN"/>
        </w:rPr>
        <w:t>447.89</w:t>
      </w:r>
      <w:r>
        <w:rPr>
          <w:rFonts w:hint="eastAsia" w:eastAsia="仿宋_GB2312"/>
          <w:sz w:val="28"/>
          <w:szCs w:val="28"/>
          <w:highlight w:val="none"/>
        </w:rPr>
        <w:t>万元，降低</w:t>
      </w:r>
      <w:r>
        <w:rPr>
          <w:rFonts w:hint="eastAsia" w:eastAsia="仿宋_GB2312"/>
          <w:sz w:val="28"/>
          <w:szCs w:val="28"/>
          <w:highlight w:val="none"/>
          <w:lang w:val="en-US" w:eastAsia="zh-CN"/>
        </w:rPr>
        <w:t>40.71</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2023年使用了结转资金安排相关经费</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spacing w:line="520" w:lineRule="exact"/>
        <w:ind w:firstLine="570"/>
        <w:textAlignment w:val="auto"/>
        <w:rPr>
          <w:rFonts w:eastAsia="仿宋_GB2312"/>
          <w:sz w:val="28"/>
          <w:szCs w:val="28"/>
          <w:highlight w:val="none"/>
        </w:rPr>
      </w:pPr>
      <w:r>
        <w:rPr>
          <w:rFonts w:hint="eastAsia" w:eastAsia="仿宋_GB2312"/>
          <w:b/>
          <w:sz w:val="28"/>
          <w:szCs w:val="28"/>
          <w:lang w:val="en-US" w:eastAsia="zh-CN"/>
        </w:rPr>
        <w:t>7</w:t>
      </w:r>
      <w:r>
        <w:rPr>
          <w:rFonts w:eastAsia="仿宋_GB2312"/>
          <w:b/>
          <w:sz w:val="28"/>
          <w:szCs w:val="28"/>
        </w:rPr>
        <w:t>.社会保障和就业支出（类）行政事业单位养老支出（款）机关事业单位职业年金缴费支出（项），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374.87</w:t>
      </w:r>
      <w:r>
        <w:rPr>
          <w:rFonts w:eastAsia="仿宋_GB2312"/>
          <w:sz w:val="28"/>
          <w:szCs w:val="28"/>
          <w:highlight w:val="none"/>
        </w:rPr>
        <w:t>万元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年执行数减少</w:t>
      </w:r>
      <w:r>
        <w:rPr>
          <w:rFonts w:hint="eastAsia" w:eastAsia="仿宋_GB2312"/>
          <w:sz w:val="28"/>
          <w:szCs w:val="28"/>
          <w:highlight w:val="none"/>
          <w:lang w:val="en-US" w:eastAsia="zh-CN"/>
        </w:rPr>
        <w:t>78.02</w:t>
      </w:r>
      <w:r>
        <w:rPr>
          <w:rFonts w:hint="eastAsia" w:eastAsia="仿宋_GB2312"/>
          <w:sz w:val="28"/>
          <w:szCs w:val="28"/>
          <w:highlight w:val="none"/>
        </w:rPr>
        <w:t>万元，降低</w:t>
      </w:r>
      <w:r>
        <w:rPr>
          <w:rFonts w:hint="eastAsia" w:eastAsia="仿宋_GB2312"/>
          <w:sz w:val="28"/>
          <w:szCs w:val="28"/>
          <w:highlight w:val="none"/>
          <w:lang w:val="en-US" w:eastAsia="zh-CN"/>
        </w:rPr>
        <w:t>17.23</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2023年使用了结转资金安排相关经费</w:t>
      </w:r>
      <w:r>
        <w:rPr>
          <w:rFonts w:hint="eastAsia" w:ascii="仿宋_GB2312" w:hAnsi="仿宋_GB2312" w:eastAsia="仿宋_GB2312" w:cs="仿宋_GB2312"/>
          <w:sz w:val="28"/>
          <w:szCs w:val="28"/>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8</w:t>
      </w:r>
      <w:r>
        <w:rPr>
          <w:rFonts w:eastAsia="仿宋_GB2312"/>
          <w:b/>
          <w:sz w:val="28"/>
          <w:szCs w:val="28"/>
        </w:rPr>
        <w:t>.卫生健康支出（类）行政事业单位医疗（款）行政单位医疗（项），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457.51</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103.39</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29.20</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在职人员行政医疗需求增加</w:t>
      </w:r>
      <w:r>
        <w:rPr>
          <w:rFonts w:hint="eastAsia" w:ascii="仿宋_GB2312" w:hAnsi="仿宋_GB2312" w:eastAsia="仿宋_GB2312" w:cs="仿宋_GB2312"/>
          <w:sz w:val="28"/>
          <w:szCs w:val="28"/>
        </w:rPr>
        <w:t>。</w:t>
      </w:r>
    </w:p>
    <w:p>
      <w:pPr>
        <w:spacing w:line="560" w:lineRule="exact"/>
        <w:ind w:firstLine="570"/>
        <w:rPr>
          <w:rFonts w:eastAsia="仿宋_GB2312"/>
          <w:b/>
          <w:sz w:val="28"/>
          <w:szCs w:val="28"/>
          <w:highlight w:val="none"/>
        </w:rPr>
      </w:pPr>
      <w:r>
        <w:rPr>
          <w:rFonts w:hint="eastAsia" w:eastAsia="仿宋_GB2312"/>
          <w:b/>
          <w:sz w:val="28"/>
          <w:szCs w:val="28"/>
          <w:lang w:val="en-US" w:eastAsia="zh-CN"/>
        </w:rPr>
        <w:t>9</w:t>
      </w:r>
      <w:r>
        <w:rPr>
          <w:rFonts w:eastAsia="仿宋_GB2312"/>
          <w:b/>
          <w:sz w:val="28"/>
          <w:szCs w:val="28"/>
        </w:rPr>
        <w:t>.卫生健康支出（类）行政事业单位医疗（款）</w:t>
      </w:r>
      <w:r>
        <w:rPr>
          <w:rFonts w:hint="eastAsia" w:eastAsia="仿宋_GB2312"/>
          <w:b/>
          <w:sz w:val="28"/>
          <w:szCs w:val="28"/>
        </w:rPr>
        <w:t>其他行政事业单位医疗支出（</w:t>
      </w:r>
      <w:r>
        <w:rPr>
          <w:rFonts w:eastAsia="仿宋_GB2312"/>
          <w:b/>
          <w:sz w:val="28"/>
          <w:szCs w:val="28"/>
        </w:rPr>
        <w:t>项），</w:t>
      </w:r>
      <w:r>
        <w:rPr>
          <w:rFonts w:hint="eastAsia" w:eastAsia="仿宋_GB2312"/>
          <w:sz w:val="28"/>
          <w:szCs w:val="28"/>
          <w:lang w:eastAsia="zh-CN"/>
        </w:rPr>
        <w:t>2024</w:t>
      </w:r>
      <w:r>
        <w:rPr>
          <w:rFonts w:eastAsia="仿宋_GB2312"/>
          <w:sz w:val="28"/>
          <w:szCs w:val="28"/>
        </w:rPr>
        <w:t>年预算数为</w:t>
      </w:r>
      <w:r>
        <w:rPr>
          <w:rFonts w:hint="eastAsia" w:eastAsia="仿宋_GB2312"/>
          <w:sz w:val="28"/>
          <w:szCs w:val="28"/>
          <w:lang w:val="en-US" w:eastAsia="zh-CN"/>
        </w:rPr>
        <w:t>5.28</w:t>
      </w:r>
      <w:r>
        <w:rPr>
          <w:rFonts w:eastAsia="仿宋_GB2312"/>
          <w:sz w:val="28"/>
          <w:szCs w:val="28"/>
        </w:rPr>
        <w:t>万</w:t>
      </w:r>
      <w:r>
        <w:rPr>
          <w:rFonts w:eastAsia="仿宋_GB2312"/>
          <w:sz w:val="28"/>
          <w:szCs w:val="28"/>
          <w:highlight w:val="none"/>
        </w:rPr>
        <w:t>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w:t>
      </w:r>
      <w:r>
        <w:rPr>
          <w:rFonts w:hint="eastAsia" w:eastAsia="仿宋_GB2312"/>
          <w:sz w:val="28"/>
          <w:szCs w:val="28"/>
          <w:highlight w:val="none"/>
          <w:lang w:eastAsia="zh-CN"/>
        </w:rPr>
        <w:t>减少</w:t>
      </w:r>
      <w:r>
        <w:rPr>
          <w:rFonts w:hint="eastAsia" w:eastAsia="仿宋_GB2312"/>
          <w:sz w:val="28"/>
          <w:szCs w:val="28"/>
          <w:highlight w:val="none"/>
          <w:lang w:val="en-US" w:eastAsia="zh-CN"/>
        </w:rPr>
        <w:t>1.30</w:t>
      </w:r>
      <w:r>
        <w:rPr>
          <w:rFonts w:hint="eastAsia" w:eastAsia="仿宋_GB2312"/>
          <w:sz w:val="28"/>
          <w:szCs w:val="28"/>
          <w:highlight w:val="none"/>
        </w:rPr>
        <w:t>万元，</w:t>
      </w:r>
      <w:r>
        <w:rPr>
          <w:rFonts w:hint="eastAsia" w:eastAsia="仿宋_GB2312"/>
          <w:sz w:val="28"/>
          <w:szCs w:val="28"/>
          <w:highlight w:val="none"/>
          <w:lang w:eastAsia="zh-CN"/>
        </w:rPr>
        <w:t>降低</w:t>
      </w:r>
      <w:r>
        <w:rPr>
          <w:rFonts w:hint="eastAsia" w:eastAsia="仿宋_GB2312"/>
          <w:sz w:val="28"/>
          <w:szCs w:val="28"/>
          <w:highlight w:val="none"/>
          <w:lang w:val="en-US" w:eastAsia="zh-CN"/>
        </w:rPr>
        <w:t>19.76%，</w:t>
      </w:r>
      <w:r>
        <w:rPr>
          <w:rFonts w:hint="eastAsia" w:eastAsia="仿宋_GB2312"/>
          <w:sz w:val="28"/>
          <w:szCs w:val="28"/>
          <w:highlight w:val="none"/>
        </w:rPr>
        <w:t>主要是</w:t>
      </w:r>
      <w:r>
        <w:rPr>
          <w:rFonts w:hint="eastAsia" w:eastAsia="仿宋_GB2312"/>
          <w:sz w:val="28"/>
          <w:szCs w:val="28"/>
          <w:highlight w:val="none"/>
          <w:lang w:val="en-US" w:eastAsia="zh-CN"/>
        </w:rPr>
        <w:t>2024年</w:t>
      </w:r>
      <w:r>
        <w:rPr>
          <w:rFonts w:hint="eastAsia" w:ascii="仿宋_GB2312" w:hAnsi="仿宋_GB2312" w:eastAsia="仿宋_GB2312" w:cs="仿宋_GB2312"/>
          <w:sz w:val="28"/>
          <w:szCs w:val="28"/>
          <w:lang w:val="en-US" w:eastAsia="zh-CN"/>
        </w:rPr>
        <w:t>在职人员工伤保险需求减少</w:t>
      </w:r>
      <w:r>
        <w:rPr>
          <w:rFonts w:hint="eastAsia" w:eastAsia="仿宋_GB2312"/>
          <w:sz w:val="28"/>
          <w:szCs w:val="28"/>
          <w:highlight w:val="none"/>
        </w:rPr>
        <w:t>。</w:t>
      </w:r>
    </w:p>
    <w:p>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highlight w:val="none"/>
          <w:lang w:val="en-US" w:eastAsia="zh-CN"/>
        </w:rPr>
        <w:t>10</w:t>
      </w:r>
      <w:r>
        <w:rPr>
          <w:rFonts w:eastAsia="仿宋_GB2312"/>
          <w:b/>
          <w:sz w:val="28"/>
          <w:szCs w:val="28"/>
          <w:highlight w:val="none"/>
        </w:rPr>
        <w:t>.住房保障支出（类）住房改革支出（款）住房公积金（项），</w:t>
      </w:r>
      <w:r>
        <w:rPr>
          <w:rFonts w:hint="eastAsia" w:eastAsia="仿宋_GB2312"/>
          <w:sz w:val="28"/>
          <w:szCs w:val="28"/>
          <w:highlight w:val="none"/>
          <w:lang w:eastAsia="zh-CN"/>
        </w:rPr>
        <w:t>2024</w:t>
      </w:r>
      <w:r>
        <w:rPr>
          <w:rFonts w:eastAsia="仿宋_GB2312"/>
          <w:sz w:val="28"/>
          <w:szCs w:val="28"/>
          <w:highlight w:val="none"/>
        </w:rPr>
        <w:t>年预算数为</w:t>
      </w:r>
      <w:r>
        <w:rPr>
          <w:rFonts w:hint="eastAsia" w:eastAsia="仿宋_GB2312"/>
          <w:sz w:val="28"/>
          <w:szCs w:val="28"/>
          <w:highlight w:val="none"/>
          <w:lang w:val="en-US" w:eastAsia="zh-CN"/>
        </w:rPr>
        <w:t>660.00</w:t>
      </w:r>
      <w:r>
        <w:rPr>
          <w:rFonts w:eastAsia="仿宋_GB2312"/>
          <w:sz w:val="28"/>
          <w:szCs w:val="28"/>
          <w:highlight w:val="none"/>
        </w:rPr>
        <w:t>万元</w:t>
      </w:r>
      <w:r>
        <w:rPr>
          <w:rFonts w:hint="eastAsia" w:eastAsia="仿宋_GB2312"/>
          <w:sz w:val="28"/>
          <w:szCs w:val="28"/>
          <w:highlight w:val="none"/>
        </w:rPr>
        <w:t>，比</w:t>
      </w:r>
      <w:r>
        <w:rPr>
          <w:rFonts w:hint="eastAsia" w:eastAsia="仿宋_GB2312"/>
          <w:sz w:val="28"/>
          <w:szCs w:val="28"/>
          <w:highlight w:val="none"/>
          <w:lang w:eastAsia="zh-CN"/>
        </w:rPr>
        <w:t>2023</w:t>
      </w:r>
      <w:r>
        <w:rPr>
          <w:rFonts w:hint="eastAsia" w:eastAsia="仿宋_GB2312"/>
          <w:sz w:val="28"/>
          <w:szCs w:val="28"/>
          <w:highlight w:val="none"/>
        </w:rPr>
        <w:t>年执行数增加</w:t>
      </w:r>
      <w:r>
        <w:rPr>
          <w:rFonts w:hint="eastAsia" w:eastAsia="仿宋_GB2312"/>
          <w:sz w:val="28"/>
          <w:szCs w:val="28"/>
          <w:highlight w:val="none"/>
          <w:lang w:val="en-US" w:eastAsia="zh-CN"/>
        </w:rPr>
        <w:t>48.23</w:t>
      </w:r>
      <w:r>
        <w:rPr>
          <w:rFonts w:hint="eastAsia" w:eastAsia="仿宋_GB2312"/>
          <w:sz w:val="28"/>
          <w:szCs w:val="28"/>
          <w:highlight w:val="none"/>
        </w:rPr>
        <w:t>万元，增长</w:t>
      </w:r>
      <w:r>
        <w:rPr>
          <w:rFonts w:hint="eastAsia" w:eastAsia="仿宋_GB2312"/>
          <w:sz w:val="28"/>
          <w:szCs w:val="28"/>
          <w:highlight w:val="none"/>
          <w:lang w:val="en-US" w:eastAsia="zh-CN"/>
        </w:rPr>
        <w:t>7.88</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在职人员住房公积金需求增加</w:t>
      </w:r>
      <w:r>
        <w:rPr>
          <w:rFonts w:hint="eastAsia" w:ascii="仿宋_GB2312" w:hAnsi="仿宋_GB2312" w:eastAsia="仿宋_GB2312" w:cs="仿宋_GB2312"/>
          <w:sz w:val="28"/>
          <w:szCs w:val="28"/>
        </w:rPr>
        <w:t>。</w:t>
      </w:r>
    </w:p>
    <w:p>
      <w:pPr>
        <w:spacing w:line="520" w:lineRule="exact"/>
        <w:ind w:firstLine="570"/>
        <w:rPr>
          <w:rFonts w:eastAsia="仿宋_GB2312"/>
          <w:bCs/>
          <w:sz w:val="28"/>
          <w:szCs w:val="28"/>
          <w:highlight w:val="none"/>
        </w:rPr>
      </w:pPr>
      <w:r>
        <w:rPr>
          <w:rFonts w:hint="eastAsia" w:eastAsia="仿宋_GB2312"/>
          <w:b/>
          <w:sz w:val="28"/>
          <w:szCs w:val="28"/>
          <w:highlight w:val="none"/>
          <w:lang w:val="en-US" w:eastAsia="zh-CN"/>
        </w:rPr>
        <w:t>11</w:t>
      </w:r>
      <w:r>
        <w:rPr>
          <w:rFonts w:eastAsia="仿宋_GB2312"/>
          <w:b/>
          <w:sz w:val="28"/>
          <w:szCs w:val="28"/>
          <w:highlight w:val="none"/>
        </w:rPr>
        <w:t>.住房保障支出（类）住房改革支出（款）购房补贴（项），</w:t>
      </w:r>
      <w:r>
        <w:rPr>
          <w:rFonts w:hint="eastAsia" w:eastAsia="仿宋_GB2312"/>
          <w:bCs/>
          <w:sz w:val="28"/>
          <w:szCs w:val="28"/>
          <w:highlight w:val="none"/>
          <w:lang w:eastAsia="zh-CN"/>
        </w:rPr>
        <w:t>2024</w:t>
      </w:r>
      <w:r>
        <w:rPr>
          <w:rFonts w:eastAsia="仿宋_GB2312"/>
          <w:bCs/>
          <w:sz w:val="28"/>
          <w:szCs w:val="28"/>
          <w:highlight w:val="none"/>
        </w:rPr>
        <w:t>年预算数为</w:t>
      </w:r>
      <w:r>
        <w:rPr>
          <w:rFonts w:hint="eastAsia" w:eastAsia="仿宋_GB2312"/>
          <w:bCs/>
          <w:sz w:val="28"/>
          <w:szCs w:val="28"/>
          <w:highlight w:val="none"/>
          <w:lang w:val="en-US" w:eastAsia="zh-CN"/>
        </w:rPr>
        <w:t>23.76</w:t>
      </w:r>
      <w:r>
        <w:rPr>
          <w:rFonts w:eastAsia="仿宋_GB2312"/>
          <w:bCs/>
          <w:sz w:val="28"/>
          <w:szCs w:val="28"/>
          <w:highlight w:val="none"/>
        </w:rPr>
        <w:t>万元</w:t>
      </w:r>
      <w:r>
        <w:rPr>
          <w:rFonts w:hint="eastAsia" w:eastAsia="仿宋_GB2312"/>
          <w:bCs/>
          <w:sz w:val="28"/>
          <w:szCs w:val="28"/>
          <w:highlight w:val="none"/>
        </w:rPr>
        <w:t>，比</w:t>
      </w:r>
      <w:r>
        <w:rPr>
          <w:rFonts w:hint="eastAsia" w:eastAsia="仿宋_GB2312"/>
          <w:bCs/>
          <w:sz w:val="28"/>
          <w:szCs w:val="28"/>
          <w:highlight w:val="none"/>
          <w:lang w:eastAsia="zh-CN"/>
        </w:rPr>
        <w:t>2023</w:t>
      </w:r>
      <w:r>
        <w:rPr>
          <w:rFonts w:hint="eastAsia" w:eastAsia="仿宋_GB2312"/>
          <w:bCs/>
          <w:sz w:val="28"/>
          <w:szCs w:val="28"/>
          <w:highlight w:val="none"/>
        </w:rPr>
        <w:t>年执行数</w:t>
      </w:r>
      <w:r>
        <w:rPr>
          <w:rFonts w:hint="eastAsia" w:eastAsia="仿宋_GB2312"/>
          <w:bCs/>
          <w:sz w:val="28"/>
          <w:szCs w:val="28"/>
          <w:highlight w:val="none"/>
          <w:lang w:eastAsia="zh-CN"/>
        </w:rPr>
        <w:t>增加</w:t>
      </w:r>
      <w:r>
        <w:rPr>
          <w:rFonts w:hint="eastAsia" w:eastAsia="仿宋_GB2312"/>
          <w:bCs/>
          <w:sz w:val="28"/>
          <w:szCs w:val="28"/>
          <w:highlight w:val="none"/>
          <w:lang w:val="en-US" w:eastAsia="zh-CN"/>
        </w:rPr>
        <w:t>20.76</w:t>
      </w:r>
      <w:r>
        <w:rPr>
          <w:rFonts w:hint="eastAsia" w:eastAsia="仿宋_GB2312"/>
          <w:bCs/>
          <w:sz w:val="28"/>
          <w:szCs w:val="28"/>
          <w:highlight w:val="none"/>
        </w:rPr>
        <w:t>万元，</w:t>
      </w:r>
      <w:r>
        <w:rPr>
          <w:rFonts w:hint="eastAsia" w:eastAsia="仿宋_GB2312"/>
          <w:bCs/>
          <w:sz w:val="28"/>
          <w:szCs w:val="28"/>
          <w:highlight w:val="none"/>
          <w:lang w:eastAsia="zh-CN"/>
        </w:rPr>
        <w:t>增长</w:t>
      </w:r>
      <w:r>
        <w:rPr>
          <w:rFonts w:hint="eastAsia" w:eastAsia="仿宋_GB2312"/>
          <w:bCs/>
          <w:sz w:val="28"/>
          <w:szCs w:val="28"/>
          <w:highlight w:val="none"/>
          <w:lang w:val="en-US" w:eastAsia="zh-CN"/>
        </w:rPr>
        <w:t>692.00</w:t>
      </w:r>
      <w:r>
        <w:rPr>
          <w:rFonts w:hint="eastAsia" w:eastAsia="仿宋_GB2312"/>
          <w:bCs/>
          <w:sz w:val="28"/>
          <w:szCs w:val="28"/>
          <w:highlight w:val="none"/>
        </w:rPr>
        <w:t>%，主要是</w:t>
      </w:r>
      <w:r>
        <w:rPr>
          <w:rFonts w:hint="eastAsia" w:ascii="仿宋_GB2312" w:hAnsi="仿宋_GB2312" w:eastAsia="仿宋_GB2312" w:cs="仿宋_GB2312"/>
          <w:bCs/>
          <w:sz w:val="28"/>
          <w:szCs w:val="28"/>
          <w:lang w:val="en-US" w:eastAsia="zh-CN"/>
        </w:rPr>
        <w:t>购房补贴需求增加</w:t>
      </w:r>
      <w:r>
        <w:rPr>
          <w:rFonts w:hint="eastAsia" w:ascii="仿宋_GB2312" w:hAnsi="仿宋_GB2312" w:eastAsia="仿宋_GB2312" w:cs="仿宋_GB2312"/>
          <w:bCs/>
          <w:sz w:val="28"/>
          <w:szCs w:val="28"/>
        </w:rPr>
        <w:t>。</w:t>
      </w:r>
    </w:p>
    <w:p>
      <w:pPr>
        <w:pStyle w:val="3"/>
        <w:ind w:firstLine="560"/>
        <w:rPr>
          <w:rFonts w:ascii="黑体" w:hAnsi="黑体" w:eastAsia="黑体" w:cs="Times New Roman"/>
          <w:b w:val="0"/>
        </w:rPr>
      </w:pPr>
      <w:r>
        <w:rPr>
          <w:rFonts w:ascii="黑体" w:hAnsi="黑体" w:eastAsia="黑体" w:cs="Times New Roman"/>
          <w:b w:val="0"/>
        </w:rPr>
        <w:t>六、关于国家统计局</w:t>
      </w:r>
      <w:r>
        <w:rPr>
          <w:rFonts w:hint="eastAsia" w:ascii="黑体" w:hAnsi="黑体" w:eastAsia="黑体" w:cs="Times New Roman"/>
          <w:b w:val="0"/>
          <w:lang w:eastAsia="zh-CN"/>
        </w:rPr>
        <w:t>吉林调查总队2024</w:t>
      </w:r>
      <w:r>
        <w:rPr>
          <w:rFonts w:ascii="黑体" w:hAnsi="黑体" w:eastAsia="黑体" w:cs="Times New Roman"/>
          <w:b w:val="0"/>
        </w:rPr>
        <w:t>年一般公共预算基本支出表的说明</w:t>
      </w:r>
    </w:p>
    <w:p>
      <w:pPr>
        <w:pStyle w:val="4"/>
        <w:ind w:firstLine="560"/>
        <w:rPr>
          <w:rFonts w:ascii="Times New Roman"/>
          <w:highlight w:val="none"/>
        </w:rPr>
      </w:pPr>
      <w:r>
        <w:rPr>
          <w:rFonts w:ascii="Times New Roman"/>
        </w:rPr>
        <w:t>国家统计局</w:t>
      </w:r>
      <w:r>
        <w:rPr>
          <w:rFonts w:hint="eastAsia" w:ascii="Times New Roman"/>
          <w:lang w:eastAsia="zh-CN"/>
        </w:rPr>
        <w:t>吉林调查总队2024</w:t>
      </w:r>
      <w:r>
        <w:rPr>
          <w:rFonts w:ascii="Times New Roman"/>
        </w:rPr>
        <w:t>年一般公共预算基本支出</w:t>
      </w:r>
      <w:r>
        <w:rPr>
          <w:rFonts w:hint="eastAsia" w:ascii="Times New Roman"/>
          <w:highlight w:val="none"/>
          <w:lang w:val="en-US" w:eastAsia="zh-CN"/>
        </w:rPr>
        <w:t>8831.40</w:t>
      </w:r>
      <w:r>
        <w:rPr>
          <w:rFonts w:ascii="Times New Roman"/>
          <w:highlight w:val="none"/>
        </w:rPr>
        <w:t>万元，其中：</w:t>
      </w:r>
    </w:p>
    <w:p>
      <w:pPr>
        <w:pStyle w:val="4"/>
        <w:ind w:firstLine="560"/>
        <w:rPr>
          <w:rFonts w:ascii="Times New Roman"/>
        </w:rPr>
      </w:pPr>
      <w:r>
        <w:rPr>
          <w:rFonts w:ascii="Times New Roman"/>
          <w:highlight w:val="none"/>
        </w:rPr>
        <w:t>人员经费</w:t>
      </w:r>
      <w:r>
        <w:rPr>
          <w:rFonts w:hint="eastAsia" w:ascii="Times New Roman"/>
          <w:highlight w:val="none"/>
          <w:lang w:val="en-US" w:eastAsia="zh-CN"/>
        </w:rPr>
        <w:t>6864.40</w:t>
      </w:r>
      <w:r>
        <w:rPr>
          <w:rFonts w:ascii="Times New Roman"/>
          <w:highlight w:val="none"/>
        </w:rPr>
        <w:t>万元，</w:t>
      </w:r>
      <w:r>
        <w:rPr>
          <w:rFonts w:ascii="Times New Roman"/>
        </w:rPr>
        <w:t>主要包括：</w:t>
      </w:r>
      <w:r>
        <w:rPr>
          <w:rFonts w:hint="eastAsia" w:ascii="Times New Roman"/>
        </w:rPr>
        <w:t>基本工资、津贴补贴、奖金、机关事业单位基本养老保险缴费、职业年金缴费、职工基本医疗保险缴费、其他社会保障缴费、住房公积金、医疗费、其他工资福利支出、退休费、抚恤金、生活补助、奖励金、其他对个人和家庭的补助支出等。</w:t>
      </w:r>
    </w:p>
    <w:p>
      <w:pPr>
        <w:pStyle w:val="4"/>
        <w:ind w:firstLine="560"/>
        <w:rPr>
          <w:rFonts w:ascii="Times New Roman"/>
        </w:rPr>
      </w:pPr>
      <w:r>
        <w:rPr>
          <w:rFonts w:ascii="Times New Roman"/>
          <w:highlight w:val="none"/>
        </w:rPr>
        <w:t>公用经费</w:t>
      </w:r>
      <w:r>
        <w:rPr>
          <w:rFonts w:hint="eastAsia" w:ascii="Times New Roman"/>
          <w:highlight w:val="none"/>
          <w:lang w:val="en-US" w:eastAsia="zh-CN"/>
        </w:rPr>
        <w:t>1967.00</w:t>
      </w:r>
      <w:r>
        <w:rPr>
          <w:rFonts w:ascii="Times New Roman"/>
          <w:highlight w:val="none"/>
        </w:rPr>
        <w:t>万元，主</w:t>
      </w:r>
      <w:r>
        <w:rPr>
          <w:rFonts w:ascii="Times New Roman"/>
        </w:rPr>
        <w:t>要包括：</w:t>
      </w:r>
      <w:r>
        <w:rPr>
          <w:rFonts w:hint="eastAsia" w:ascii="Times New Roman"/>
        </w:rPr>
        <w:t>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信息网络及软件购置更新、公务用车购置等。</w:t>
      </w:r>
    </w:p>
    <w:p>
      <w:pPr>
        <w:pStyle w:val="2"/>
        <w:spacing w:before="240" w:after="120"/>
        <w:ind w:firstLine="560"/>
        <w:rPr>
          <w:rFonts w:ascii="Times New Roman" w:cs="Times New Roman"/>
          <w:color w:val="auto"/>
        </w:rPr>
      </w:pPr>
      <w:r>
        <w:rPr>
          <w:rFonts w:ascii="Times New Roman" w:cs="Times New Roman"/>
          <w:color w:val="auto"/>
        </w:rPr>
        <w:t>七、关于国家统计局</w:t>
      </w:r>
      <w:r>
        <w:rPr>
          <w:rFonts w:hint="eastAsia" w:ascii="Times New Roman"/>
          <w:lang w:eastAsia="zh-CN"/>
        </w:rPr>
        <w:t>吉林调查总队</w:t>
      </w:r>
      <w:r>
        <w:rPr>
          <w:rFonts w:hint="eastAsia" w:ascii="Times New Roman" w:cs="Times New Roman"/>
          <w:color w:val="auto"/>
          <w:lang w:eastAsia="zh-CN"/>
        </w:rPr>
        <w:t>2024</w:t>
      </w:r>
      <w:r>
        <w:rPr>
          <w:rFonts w:ascii="Times New Roman" w:cs="Times New Roman"/>
          <w:color w:val="auto"/>
        </w:rPr>
        <w:t>年</w:t>
      </w:r>
      <w:r>
        <w:rPr>
          <w:rFonts w:hint="eastAsia" w:ascii="Times New Roman" w:cs="Times New Roman"/>
          <w:color w:val="auto"/>
        </w:rPr>
        <w:t>“</w:t>
      </w:r>
      <w:r>
        <w:rPr>
          <w:rFonts w:ascii="Times New Roman" w:cs="Times New Roman"/>
          <w:color w:val="auto"/>
        </w:rPr>
        <w:t>三公</w:t>
      </w:r>
      <w:r>
        <w:rPr>
          <w:rFonts w:hint="eastAsia" w:ascii="Times New Roman" w:cs="Times New Roman"/>
          <w:color w:val="auto"/>
        </w:rPr>
        <w:t>”</w:t>
      </w:r>
      <w:r>
        <w:rPr>
          <w:rFonts w:ascii="Times New Roman" w:cs="Times New Roman"/>
          <w:color w:val="auto"/>
        </w:rPr>
        <w:t>经费支出表的说明</w:t>
      </w:r>
    </w:p>
    <w:p>
      <w:pPr>
        <w:pStyle w:val="4"/>
        <w:ind w:firstLine="560"/>
        <w:rPr>
          <w:rFonts w:ascii="Times New Roman"/>
          <w:highlight w:val="none"/>
        </w:rPr>
      </w:pPr>
      <w:r>
        <w:rPr>
          <w:rFonts w:ascii="Times New Roman"/>
        </w:rPr>
        <w:t>国家统计局</w:t>
      </w:r>
      <w:r>
        <w:rPr>
          <w:rFonts w:hint="eastAsia" w:ascii="Times New Roman"/>
          <w:lang w:eastAsia="zh-CN"/>
        </w:rPr>
        <w:t>吉林调查总队2024</w:t>
      </w:r>
      <w:r>
        <w:rPr>
          <w:rFonts w:ascii="Times New Roman"/>
        </w:rPr>
        <w:t>年</w:t>
      </w:r>
      <w:r>
        <w:rPr>
          <w:rFonts w:hint="eastAsia" w:ascii="Times New Roman"/>
        </w:rPr>
        <w:t>财政拨款“</w:t>
      </w:r>
      <w:r>
        <w:rPr>
          <w:rFonts w:ascii="Times New Roman"/>
        </w:rPr>
        <w:t>三公</w:t>
      </w:r>
      <w:r>
        <w:rPr>
          <w:rFonts w:hint="eastAsia" w:ascii="Times New Roman"/>
        </w:rPr>
        <w:t>”</w:t>
      </w:r>
      <w:r>
        <w:rPr>
          <w:rFonts w:ascii="Times New Roman"/>
        </w:rPr>
        <w:t>经费预算数为</w:t>
      </w:r>
      <w:r>
        <w:rPr>
          <w:rFonts w:hint="eastAsia" w:ascii="Times New Roman"/>
          <w:lang w:val="en-US" w:eastAsia="zh-CN"/>
        </w:rPr>
        <w:t>134.25</w:t>
      </w:r>
      <w:r>
        <w:rPr>
          <w:rFonts w:ascii="Times New Roman"/>
        </w:rPr>
        <w:t>万元，其中：因公出国（境）费</w:t>
      </w:r>
      <w:r>
        <w:rPr>
          <w:rFonts w:hint="eastAsia" w:ascii="Times New Roman"/>
          <w:lang w:val="en-US" w:eastAsia="zh-CN"/>
        </w:rPr>
        <w:t>0.00</w:t>
      </w:r>
      <w:r>
        <w:rPr>
          <w:rFonts w:ascii="Times New Roman"/>
        </w:rPr>
        <w:t>万元</w:t>
      </w:r>
      <w:r>
        <w:rPr>
          <w:rFonts w:hint="eastAsia" w:ascii="Times New Roman"/>
          <w:lang w:eastAsia="zh-CN"/>
        </w:rPr>
        <w:t>；</w:t>
      </w:r>
      <w:r>
        <w:rPr>
          <w:rFonts w:ascii="Times New Roman"/>
        </w:rPr>
        <w:t>公务用车购置及运行费</w:t>
      </w:r>
      <w:r>
        <w:rPr>
          <w:rFonts w:hint="eastAsia" w:ascii="Times New Roman"/>
          <w:lang w:val="en-US" w:eastAsia="zh-CN"/>
        </w:rPr>
        <w:t>130.64</w:t>
      </w:r>
      <w:r>
        <w:rPr>
          <w:rFonts w:ascii="Times New Roman"/>
        </w:rPr>
        <w:t>万元</w:t>
      </w:r>
      <w:r>
        <w:rPr>
          <w:rFonts w:hint="eastAsia" w:ascii="Times New Roman"/>
          <w:lang w:eastAsia="zh-CN"/>
        </w:rPr>
        <w:t>，包括公务用车购置费</w:t>
      </w:r>
      <w:r>
        <w:rPr>
          <w:rFonts w:hint="eastAsia" w:ascii="Times New Roman"/>
          <w:lang w:val="en-US" w:eastAsia="zh-CN"/>
        </w:rPr>
        <w:t>42.00万元，公务用车运行费88.64万元</w:t>
      </w:r>
      <w:r>
        <w:rPr>
          <w:rFonts w:hint="eastAsia" w:ascii="Times New Roman"/>
          <w:lang w:eastAsia="zh-CN"/>
        </w:rPr>
        <w:t>；</w:t>
      </w:r>
      <w:r>
        <w:rPr>
          <w:rFonts w:ascii="Times New Roman"/>
        </w:rPr>
        <w:t>公务接待费</w:t>
      </w:r>
      <w:r>
        <w:rPr>
          <w:rFonts w:hint="eastAsia" w:ascii="Times New Roman"/>
          <w:lang w:val="en-US" w:eastAsia="zh-CN"/>
        </w:rPr>
        <w:t>3.61</w:t>
      </w:r>
      <w:r>
        <w:rPr>
          <w:rFonts w:ascii="Times New Roman"/>
        </w:rPr>
        <w:t>万元</w:t>
      </w:r>
      <w:r>
        <w:rPr>
          <w:rFonts w:hint="eastAsia" w:ascii="Times New Roman"/>
          <w:highlight w:val="none"/>
        </w:rPr>
        <w:t>。</w:t>
      </w:r>
    </w:p>
    <w:p>
      <w:pPr>
        <w:adjustRightInd w:val="0"/>
        <w:snapToGrid w:val="0"/>
        <w:spacing w:before="120" w:beforeLines="50" w:after="120" w:afterLines="50" w:line="520" w:lineRule="exact"/>
        <w:ind w:firstLine="560" w:firstLineChars="200"/>
        <w:rPr>
          <w:rFonts w:eastAsia="黑体"/>
          <w:color w:val="000000"/>
          <w:sz w:val="28"/>
          <w:szCs w:val="28"/>
        </w:rPr>
      </w:pPr>
      <w:bookmarkStart w:id="35" w:name="_Toc510537181"/>
      <w:r>
        <w:rPr>
          <w:rFonts w:hint="eastAsia" w:eastAsia="黑体"/>
          <w:color w:val="000000"/>
          <w:sz w:val="28"/>
          <w:szCs w:val="28"/>
        </w:rPr>
        <w:t>八</w:t>
      </w:r>
      <w:r>
        <w:rPr>
          <w:rFonts w:eastAsia="黑体"/>
          <w:color w:val="000000"/>
          <w:sz w:val="28"/>
          <w:szCs w:val="28"/>
        </w:rPr>
        <w:t>、重要事项情况说明</w:t>
      </w:r>
      <w:bookmarkEnd w:id="35"/>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（一）机关运行经费。</w:t>
      </w:r>
    </w:p>
    <w:p>
      <w:pPr>
        <w:spacing w:line="520" w:lineRule="exact"/>
        <w:ind w:firstLine="560" w:firstLineChars="200"/>
        <w:rPr>
          <w:rFonts w:eastAsia="仿宋_GB2312"/>
          <w:color w:val="000000"/>
          <w:sz w:val="28"/>
          <w:szCs w:val="28"/>
          <w:highlight w:val="none"/>
        </w:rPr>
      </w:pPr>
      <w:r>
        <w:rPr>
          <w:rFonts w:hint="eastAsia" w:eastAsia="仿宋_GB2312"/>
          <w:sz w:val="28"/>
          <w:szCs w:val="28"/>
          <w:highlight w:val="none"/>
          <w:lang w:eastAsia="zh-CN"/>
        </w:rPr>
        <w:t>2024</w:t>
      </w:r>
      <w:r>
        <w:rPr>
          <w:rFonts w:eastAsia="仿宋_GB2312"/>
          <w:sz w:val="28"/>
          <w:szCs w:val="28"/>
          <w:highlight w:val="none"/>
        </w:rPr>
        <w:t>年</w:t>
      </w:r>
      <w:r>
        <w:rPr>
          <w:rFonts w:hint="eastAsia" w:eastAsia="仿宋_GB2312"/>
          <w:sz w:val="28"/>
          <w:szCs w:val="28"/>
          <w:highlight w:val="none"/>
        </w:rPr>
        <w:t>机关运行经费财政拨款预算</w:t>
      </w:r>
      <w:r>
        <w:rPr>
          <w:rFonts w:hint="eastAsia" w:eastAsia="仿宋_GB2312"/>
          <w:sz w:val="28"/>
          <w:szCs w:val="28"/>
          <w:highlight w:val="none"/>
          <w:lang w:val="en-US" w:eastAsia="zh-CN"/>
        </w:rPr>
        <w:t>1139.72</w:t>
      </w:r>
      <w:r>
        <w:rPr>
          <w:rFonts w:hint="eastAsia" w:eastAsia="仿宋_GB2312"/>
          <w:sz w:val="28"/>
          <w:szCs w:val="28"/>
          <w:highlight w:val="none"/>
        </w:rPr>
        <w:t>万元。</w:t>
      </w:r>
      <w:r>
        <w:rPr>
          <w:rFonts w:eastAsia="仿宋_GB2312"/>
          <w:color w:val="000000"/>
          <w:sz w:val="28"/>
          <w:szCs w:val="28"/>
          <w:highlight w:val="none"/>
        </w:rPr>
        <w:t>为保障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2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（二）政府采购情况。</w:t>
      </w:r>
    </w:p>
    <w:p>
      <w:pPr>
        <w:pStyle w:val="4"/>
        <w:ind w:firstLine="560"/>
        <w:rPr>
          <w:rFonts w:ascii="Times New Roman"/>
          <w:highlight w:val="none"/>
        </w:rPr>
      </w:pPr>
      <w:r>
        <w:rPr>
          <w:rFonts w:hint="eastAsia" w:ascii="Times New Roman"/>
          <w:szCs w:val="28"/>
          <w:highlight w:val="none"/>
          <w:lang w:eastAsia="zh-CN"/>
        </w:rPr>
        <w:t>2024</w:t>
      </w:r>
      <w:r>
        <w:rPr>
          <w:rFonts w:ascii="Times New Roman"/>
          <w:szCs w:val="28"/>
          <w:highlight w:val="none"/>
        </w:rPr>
        <w:t>年政府采购预算总额</w:t>
      </w:r>
      <w:r>
        <w:rPr>
          <w:rFonts w:hint="eastAsia" w:ascii="Times New Roman"/>
          <w:szCs w:val="28"/>
          <w:highlight w:val="none"/>
          <w:lang w:val="en-US" w:eastAsia="zh-CN"/>
        </w:rPr>
        <w:t>155.30</w:t>
      </w:r>
      <w:r>
        <w:rPr>
          <w:rFonts w:ascii="Times New Roman"/>
          <w:szCs w:val="28"/>
          <w:highlight w:val="none"/>
        </w:rPr>
        <w:t>万元，其中：</w:t>
      </w:r>
      <w:r>
        <w:rPr>
          <w:rFonts w:hint="eastAsia" w:ascii="Times New Roman"/>
          <w:highlight w:val="none"/>
        </w:rPr>
        <w:t>政府采购货物预算</w:t>
      </w:r>
      <w:r>
        <w:rPr>
          <w:rFonts w:hint="eastAsia" w:ascii="Times New Roman"/>
          <w:szCs w:val="28"/>
          <w:highlight w:val="none"/>
          <w:lang w:val="en-US" w:eastAsia="zh-CN"/>
        </w:rPr>
        <w:t>155.30</w:t>
      </w:r>
      <w:r>
        <w:rPr>
          <w:rFonts w:hint="eastAsia" w:ascii="Times New Roman"/>
          <w:highlight w:val="none"/>
        </w:rPr>
        <w:t>万元、政府采购工程预算</w:t>
      </w:r>
      <w:r>
        <w:rPr>
          <w:rFonts w:hint="eastAsia" w:ascii="Times New Roman"/>
          <w:szCs w:val="28"/>
          <w:highlight w:val="none"/>
          <w:lang w:val="en-US" w:eastAsia="zh-CN"/>
        </w:rPr>
        <w:t>0</w:t>
      </w:r>
      <w:r>
        <w:rPr>
          <w:rFonts w:hint="eastAsia" w:ascii="Times New Roman"/>
          <w:highlight w:val="none"/>
        </w:rPr>
        <w:t>万元、政府采购服务预算</w:t>
      </w:r>
      <w:r>
        <w:rPr>
          <w:rFonts w:hint="eastAsia" w:ascii="Times New Roman"/>
          <w:szCs w:val="28"/>
          <w:highlight w:val="none"/>
          <w:lang w:val="en-US" w:eastAsia="zh-CN"/>
        </w:rPr>
        <w:t>0</w:t>
      </w:r>
      <w:r>
        <w:rPr>
          <w:rFonts w:hint="eastAsia" w:ascii="Times New Roman"/>
          <w:highlight w:val="none"/>
        </w:rPr>
        <w:t>万元。</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（三）国有资产占用使用情况。</w:t>
      </w:r>
    </w:p>
    <w:p>
      <w:pPr>
        <w:spacing w:line="520" w:lineRule="exact"/>
        <w:ind w:firstLine="560" w:firstLineChars="200"/>
        <w:rPr>
          <w:rFonts w:eastAsia="仿宋_GB2312"/>
          <w:sz w:val="28"/>
          <w:szCs w:val="28"/>
        </w:rPr>
      </w:pPr>
      <w:r>
        <w:rPr>
          <w:rFonts w:eastAsia="仿宋_GB2312"/>
          <w:sz w:val="28"/>
          <w:szCs w:val="28"/>
        </w:rPr>
        <w:t>截至</w:t>
      </w:r>
      <w:r>
        <w:rPr>
          <w:rFonts w:hint="eastAsia" w:eastAsia="仿宋_GB2312"/>
          <w:sz w:val="28"/>
          <w:szCs w:val="28"/>
          <w:lang w:eastAsia="zh-CN"/>
        </w:rPr>
        <w:t>2023</w:t>
      </w:r>
      <w:r>
        <w:rPr>
          <w:rFonts w:eastAsia="仿宋_GB2312"/>
          <w:sz w:val="28"/>
          <w:szCs w:val="28"/>
        </w:rPr>
        <w:t>年</w:t>
      </w:r>
      <w:r>
        <w:rPr>
          <w:rFonts w:hint="eastAsia" w:eastAsia="仿宋_GB2312"/>
          <w:sz w:val="28"/>
          <w:szCs w:val="28"/>
        </w:rPr>
        <w:t>8月底</w:t>
      </w:r>
      <w:r>
        <w:rPr>
          <w:rFonts w:eastAsia="仿宋_GB2312"/>
          <w:sz w:val="28"/>
          <w:szCs w:val="28"/>
        </w:rPr>
        <w:t>，</w:t>
      </w:r>
      <w:r>
        <w:rPr>
          <w:rFonts w:hint="eastAsia" w:eastAsia="仿宋_GB2312"/>
          <w:sz w:val="28"/>
          <w:szCs w:val="28"/>
          <w:lang w:eastAsia="zh-CN"/>
        </w:rPr>
        <w:t>吉林调查总队</w:t>
      </w:r>
      <w:r>
        <w:rPr>
          <w:rFonts w:eastAsia="仿宋_GB2312"/>
          <w:sz w:val="28"/>
          <w:szCs w:val="28"/>
        </w:rPr>
        <w:t>共有车辆</w:t>
      </w:r>
      <w:r>
        <w:rPr>
          <w:rFonts w:hint="eastAsia" w:eastAsia="仿宋_GB2312"/>
          <w:sz w:val="28"/>
          <w:szCs w:val="28"/>
          <w:lang w:val="en-US" w:eastAsia="zh-CN"/>
        </w:rPr>
        <w:t>45</w:t>
      </w:r>
      <w:r>
        <w:rPr>
          <w:rFonts w:eastAsia="仿宋_GB2312"/>
          <w:sz w:val="28"/>
          <w:szCs w:val="28"/>
        </w:rPr>
        <w:t>辆，其中</w:t>
      </w:r>
      <w:r>
        <w:rPr>
          <w:rFonts w:hint="eastAsia" w:eastAsia="仿宋_GB2312"/>
          <w:sz w:val="28"/>
          <w:szCs w:val="28"/>
        </w:rPr>
        <w:t>：</w:t>
      </w:r>
      <w:r>
        <w:rPr>
          <w:rFonts w:eastAsia="仿宋_GB2312"/>
          <w:sz w:val="28"/>
          <w:szCs w:val="28"/>
        </w:rPr>
        <w:t>机要通信用车</w:t>
      </w:r>
      <w:r>
        <w:rPr>
          <w:rFonts w:hint="eastAsia" w:eastAsia="仿宋_GB2312"/>
          <w:sz w:val="28"/>
          <w:szCs w:val="28"/>
          <w:lang w:val="en-US" w:eastAsia="zh-CN"/>
        </w:rPr>
        <w:t>5</w:t>
      </w:r>
      <w:r>
        <w:rPr>
          <w:rFonts w:eastAsia="仿宋_GB2312"/>
          <w:sz w:val="28"/>
          <w:szCs w:val="28"/>
        </w:rPr>
        <w:t>辆，特种专业技术用车</w:t>
      </w:r>
      <w:r>
        <w:rPr>
          <w:rFonts w:hint="eastAsia" w:eastAsia="仿宋_GB2312"/>
          <w:sz w:val="28"/>
          <w:szCs w:val="28"/>
          <w:lang w:val="en-US" w:eastAsia="zh-CN"/>
        </w:rPr>
        <w:t>1</w:t>
      </w:r>
      <w:r>
        <w:rPr>
          <w:rFonts w:eastAsia="仿宋_GB2312"/>
          <w:sz w:val="28"/>
          <w:szCs w:val="28"/>
        </w:rPr>
        <w:t>辆、应急保障用车</w:t>
      </w:r>
      <w:r>
        <w:rPr>
          <w:rFonts w:hint="eastAsia" w:eastAsia="仿宋_GB2312"/>
          <w:sz w:val="28"/>
          <w:szCs w:val="28"/>
          <w:lang w:val="en-US" w:eastAsia="zh-CN"/>
        </w:rPr>
        <w:t>9</w:t>
      </w:r>
      <w:r>
        <w:rPr>
          <w:rFonts w:eastAsia="仿宋_GB2312"/>
          <w:sz w:val="28"/>
          <w:szCs w:val="28"/>
        </w:rPr>
        <w:t>辆，其他用车</w:t>
      </w:r>
      <w:r>
        <w:rPr>
          <w:rFonts w:hint="eastAsia" w:eastAsia="仿宋_GB2312"/>
          <w:sz w:val="28"/>
          <w:szCs w:val="28"/>
          <w:lang w:val="en-US" w:eastAsia="zh-CN"/>
        </w:rPr>
        <w:t>30</w:t>
      </w:r>
      <w:r>
        <w:rPr>
          <w:rFonts w:eastAsia="仿宋_GB2312"/>
          <w:sz w:val="28"/>
          <w:szCs w:val="28"/>
        </w:rPr>
        <w:t>辆；</w:t>
      </w:r>
      <w:r>
        <w:rPr>
          <w:rFonts w:hint="eastAsia" w:eastAsia="仿宋_GB2312"/>
          <w:sz w:val="28"/>
          <w:szCs w:val="28"/>
        </w:rPr>
        <w:t>单位价值100万元以上设备</w:t>
      </w:r>
      <w:r>
        <w:rPr>
          <w:rFonts w:hint="eastAsia" w:eastAsia="仿宋_GB2312"/>
          <w:sz w:val="28"/>
          <w:szCs w:val="28"/>
          <w:lang w:val="en-US" w:eastAsia="zh-CN"/>
        </w:rPr>
        <w:t>0</w:t>
      </w:r>
      <w:r>
        <w:rPr>
          <w:rFonts w:eastAsia="仿宋_GB2312"/>
          <w:sz w:val="28"/>
          <w:szCs w:val="28"/>
        </w:rPr>
        <w:t>台（套）。</w:t>
      </w:r>
      <w:r>
        <w:rPr>
          <w:rFonts w:hint="eastAsia" w:eastAsia="仿宋_GB2312"/>
          <w:sz w:val="28"/>
          <w:szCs w:val="28"/>
          <w:lang w:eastAsia="zh-CN"/>
        </w:rPr>
        <w:t>2024</w:t>
      </w:r>
      <w:r>
        <w:rPr>
          <w:rFonts w:eastAsia="仿宋_GB2312"/>
          <w:sz w:val="28"/>
          <w:szCs w:val="28"/>
        </w:rPr>
        <w:t>年部门预算安排购置车辆</w:t>
      </w:r>
      <w:r>
        <w:rPr>
          <w:rFonts w:hint="eastAsia" w:eastAsia="仿宋_GB2312"/>
          <w:sz w:val="28"/>
          <w:szCs w:val="28"/>
          <w:lang w:val="en-US" w:eastAsia="zh-CN"/>
        </w:rPr>
        <w:t>3</w:t>
      </w:r>
      <w:r>
        <w:rPr>
          <w:rFonts w:eastAsia="仿宋_GB2312"/>
          <w:sz w:val="28"/>
          <w:szCs w:val="28"/>
        </w:rPr>
        <w:t>辆，其中</w:t>
      </w:r>
      <w:r>
        <w:rPr>
          <w:rFonts w:hint="eastAsia" w:eastAsia="仿宋_GB2312"/>
          <w:sz w:val="28"/>
          <w:szCs w:val="28"/>
        </w:rPr>
        <w:t>：</w:t>
      </w:r>
      <w:r>
        <w:rPr>
          <w:rFonts w:eastAsia="仿宋_GB2312"/>
          <w:sz w:val="28"/>
          <w:szCs w:val="28"/>
        </w:rPr>
        <w:t>应急保障用车</w:t>
      </w:r>
      <w:r>
        <w:rPr>
          <w:rFonts w:hint="eastAsia" w:eastAsia="仿宋_GB2312"/>
          <w:sz w:val="28"/>
          <w:szCs w:val="28"/>
          <w:lang w:val="en-US" w:eastAsia="zh-CN"/>
        </w:rPr>
        <w:t>2</w:t>
      </w:r>
      <w:r>
        <w:rPr>
          <w:rFonts w:eastAsia="仿宋_GB2312"/>
          <w:sz w:val="28"/>
          <w:szCs w:val="28"/>
        </w:rPr>
        <w:t>辆，其他用车</w:t>
      </w:r>
      <w:r>
        <w:rPr>
          <w:rFonts w:hint="eastAsia" w:eastAsia="仿宋_GB2312"/>
          <w:sz w:val="28"/>
          <w:szCs w:val="28"/>
          <w:lang w:val="en-US" w:eastAsia="zh-CN"/>
        </w:rPr>
        <w:t>1</w:t>
      </w:r>
      <w:r>
        <w:rPr>
          <w:rFonts w:eastAsia="仿宋_GB2312"/>
          <w:sz w:val="28"/>
          <w:szCs w:val="28"/>
        </w:rPr>
        <w:t>辆。</w:t>
      </w:r>
    </w:p>
    <w:p>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（四）预算绩效情况。</w:t>
      </w:r>
    </w:p>
    <w:bookmarkEnd w:id="34"/>
    <w:p>
      <w:pPr>
        <w:spacing w:line="520" w:lineRule="exact"/>
        <w:ind w:firstLine="560" w:firstLineChars="200"/>
        <w:rPr>
          <w:rFonts w:hint="eastAsia" w:eastAsia="仿宋_GB2312"/>
          <w:sz w:val="28"/>
          <w:szCs w:val="28"/>
        </w:rPr>
      </w:pPr>
      <w:r>
        <w:rPr>
          <w:rFonts w:hint="eastAsia" w:eastAsia="仿宋_GB2312"/>
          <w:sz w:val="28"/>
          <w:szCs w:val="28"/>
          <w:lang w:eastAsia="zh-CN"/>
        </w:rPr>
        <w:t>2024</w:t>
      </w:r>
      <w:r>
        <w:rPr>
          <w:rFonts w:hint="eastAsia" w:eastAsia="仿宋_GB2312"/>
          <w:sz w:val="28"/>
          <w:szCs w:val="28"/>
        </w:rPr>
        <w:t>年所有项目均实行绩效目标管理，涉及</w:t>
      </w:r>
      <w:r>
        <w:rPr>
          <w:rFonts w:hint="eastAsia" w:eastAsia="仿宋_GB2312"/>
          <w:sz w:val="28"/>
          <w:szCs w:val="28"/>
          <w:lang w:val="en-US" w:eastAsia="zh-CN"/>
        </w:rPr>
        <w:t>金额1879.10</w:t>
      </w:r>
      <w:r>
        <w:rPr>
          <w:rFonts w:hint="eastAsia" w:eastAsia="仿宋_GB2312"/>
          <w:sz w:val="28"/>
          <w:szCs w:val="28"/>
        </w:rPr>
        <w:t>万元，全部为一般公共预算拨款。</w:t>
      </w: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p>
    <w:p>
      <w:pPr>
        <w:spacing w:line="520" w:lineRule="exact"/>
        <w:jc w:val="center"/>
        <w:rPr>
          <w:rFonts w:hint="eastAsia" w:eastAsia="方正小标宋_GBK"/>
          <w:sz w:val="28"/>
          <w:szCs w:val="28"/>
          <w:lang w:val="en-US" w:eastAsia="zh-CN"/>
        </w:rPr>
      </w:pPr>
      <w:r>
        <w:rPr>
          <w:rFonts w:eastAsia="方正小标宋_GBK"/>
          <w:color w:val="000000"/>
          <w:sz w:val="32"/>
          <w:szCs w:val="32"/>
        </w:rPr>
        <w:t>第</w:t>
      </w:r>
      <w:r>
        <w:rPr>
          <w:rFonts w:hint="eastAsia" w:eastAsia="方正小标宋_GBK"/>
          <w:color w:val="000000"/>
          <w:sz w:val="32"/>
          <w:szCs w:val="32"/>
          <w:lang w:eastAsia="zh-CN"/>
        </w:rPr>
        <w:t>四</w:t>
      </w:r>
      <w:r>
        <w:rPr>
          <w:rFonts w:eastAsia="方正小标宋_GBK"/>
          <w:color w:val="000000"/>
          <w:sz w:val="32"/>
          <w:szCs w:val="32"/>
        </w:rPr>
        <w:t>部分</w:t>
      </w:r>
      <w:r>
        <w:rPr>
          <w:rFonts w:hint="eastAsia" w:eastAsia="方正小标宋_GBK"/>
          <w:color w:val="000000"/>
          <w:sz w:val="32"/>
          <w:szCs w:val="32"/>
          <w:lang w:val="en-US" w:eastAsia="zh-CN"/>
        </w:rPr>
        <w:t xml:space="preserve"> 附件</w:t>
      </w:r>
    </w:p>
    <w:tbl>
      <w:tblPr>
        <w:tblStyle w:val="1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053"/>
        <w:gridCol w:w="2056"/>
        <w:gridCol w:w="571"/>
        <w:gridCol w:w="1965"/>
        <w:gridCol w:w="1861"/>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86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2024</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6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国家统计局吉林调查总</w:t>
            </w:r>
            <w:r>
              <w:rPr>
                <w:rFonts w:hint="eastAsia" w:ascii="宋体" w:hAnsi="宋体" w:cs="宋体"/>
                <w:i w:val="0"/>
                <w:color w:val="000000"/>
                <w:kern w:val="0"/>
                <w:sz w:val="22"/>
                <w:szCs w:val="22"/>
                <w:u w:val="none"/>
                <w:lang w:val="en-US" w:eastAsia="zh-CN" w:bidi="ar"/>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311.00</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311.00</w:t>
            </w:r>
            <w:r>
              <w:rPr>
                <w:rFonts w:hint="eastAsia" w:ascii="宋体" w:hAnsi="宋体" w:eastAsia="宋体" w:cs="宋体"/>
                <w:i w:val="0"/>
                <w:color w:val="000000"/>
                <w:kern w:val="0"/>
                <w:sz w:val="22"/>
                <w:szCs w:val="22"/>
                <w:u w:val="none"/>
                <w:lang w:val="en-US" w:eastAsia="zh-CN" w:bidi="ar"/>
              </w:rPr>
              <w:t xml:space="preserve">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做好对调查员的选调和培训工作；组织实施好现场入户调查工作；完成调查表的数据录入、审核 、汇总工作；强化对数据质量的评估工作；做好调查数据结果的提供和分析研究工作。</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目标1：改革和完善吉林省劳动力</w:t>
            </w:r>
            <w:r>
              <w:rPr>
                <w:rFonts w:hint="eastAsia" w:ascii="宋体" w:hAnsi="宋体" w:cs="宋体"/>
                <w:i w:val="0"/>
                <w:color w:val="000000"/>
                <w:kern w:val="0"/>
                <w:sz w:val="22"/>
                <w:szCs w:val="22"/>
                <w:u w:val="none"/>
                <w:lang w:val="en-US" w:eastAsia="zh-CN" w:bidi="ar"/>
              </w:rPr>
              <w:t>调查</w:t>
            </w:r>
            <w:r>
              <w:rPr>
                <w:rFonts w:hint="eastAsia" w:ascii="宋体" w:hAnsi="宋体" w:eastAsia="宋体" w:cs="宋体"/>
                <w:i w:val="0"/>
                <w:color w:val="000000"/>
                <w:kern w:val="0"/>
                <w:sz w:val="22"/>
                <w:szCs w:val="22"/>
                <w:u w:val="none"/>
                <w:lang w:val="en-US" w:eastAsia="zh-CN" w:bidi="ar"/>
              </w:rPr>
              <w:t>方法制度体系</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目标2：调查并发布以调查失业率为核心的就业数据</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目标3：分析研判吉林省就业形势，以及产生就业问题的主要原因</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目标4：围绕就业形势形成政策咨询建议，为党政决策提供数据支持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劳动力调查全年样本量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13.8万户/年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分析研究按期完成并报告及时率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原始数据按期采集率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数据产品按期生产并报告及时率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政策建议是否对党政决策有积极影响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为社会各界提供统计咨询服务人次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≥10人次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被采纳利用率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bl>
    <w:p>
      <w:pPr>
        <w:tabs>
          <w:tab w:val="left" w:pos="2280"/>
        </w:tabs>
        <w:spacing w:line="520" w:lineRule="exact"/>
        <w:rPr>
          <w:rFonts w:eastAsia="仿宋_GB2312"/>
          <w:sz w:val="28"/>
          <w:szCs w:val="28"/>
        </w:rPr>
      </w:pPr>
    </w:p>
    <w:tbl>
      <w:tblPr>
        <w:tblStyle w:val="1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21"/>
        <w:gridCol w:w="1030"/>
        <w:gridCol w:w="22"/>
        <w:gridCol w:w="2030"/>
        <w:gridCol w:w="24"/>
        <w:gridCol w:w="703"/>
        <w:gridCol w:w="24"/>
        <w:gridCol w:w="1747"/>
        <w:gridCol w:w="45"/>
        <w:gridCol w:w="1844"/>
        <w:gridCol w:w="29"/>
        <w:gridCol w:w="884"/>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8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880" w:type="dxa"/>
            <w:gridSpan w:val="1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2024</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80" w:type="dxa"/>
            <w:gridSpan w:val="14"/>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农牧生产大县调查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145.00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145.00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9"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为坚持农业农村优先发展，切实抓好农业特别是粮食生产，推动藏粮于地、藏粮于技落实落地，开展实施农业供给侧结构性改革，合理调整“粮经饲”结构，着力增加优质绿色农产品供给。生产并发布吉林省粮食生产情况，即夏粮、早稻、秋粮等监测数据产品</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并适时向公众公布抽样调查推算结果，以充分发挥县级粮食抽样调查的作用，为党中央国务院制定粮食生产调控政策提供坚实准确的依据。</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w:t>
            </w:r>
            <w:r>
              <w:rPr>
                <w:rFonts w:hint="eastAsia" w:ascii="宋体" w:hAnsi="宋体" w:cs="宋体"/>
                <w:i w:val="0"/>
                <w:color w:val="000000"/>
                <w:kern w:val="0"/>
                <w:sz w:val="22"/>
                <w:szCs w:val="22"/>
                <w:u w:val="none"/>
                <w:lang w:val="en-US" w:eastAsia="zh-CN" w:bidi="ar"/>
              </w:rPr>
              <w:t>2</w:t>
            </w:r>
            <w:bookmarkStart w:id="36" w:name="_GoBack"/>
            <w:bookmarkEnd w:id="36"/>
            <w:r>
              <w:rPr>
                <w:rFonts w:hint="eastAsia" w:ascii="宋体" w:hAnsi="宋体" w:eastAsia="宋体" w:cs="宋体"/>
                <w:i w:val="0"/>
                <w:color w:val="000000"/>
                <w:kern w:val="0"/>
                <w:sz w:val="22"/>
                <w:szCs w:val="22"/>
                <w:u w:val="none"/>
                <w:lang w:val="en-US" w:eastAsia="zh-CN" w:bidi="ar"/>
              </w:rPr>
              <w:t>：组织领导和协调主要畜禽监测调查工作，构建（完善）畜禽监测调查方法制度指标体系。组织开展并完成吉林省生猪大县调查的方案设计、数据采集和调查工作，为党和政府提供畜牧业生产政策提供决策依据。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1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生猪调查户数量</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粮食生产大县个数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≥5篇</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是否为社会各界提供统计咨询服务</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66" w:hRule="atLeast"/>
        </w:trPr>
        <w:tc>
          <w:tcPr>
            <w:tcW w:w="884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6" w:hRule="atLeast"/>
        </w:trPr>
        <w:tc>
          <w:tcPr>
            <w:tcW w:w="8840" w:type="dxa"/>
            <w:gridSpan w:val="1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2024</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19" w:hRule="atLeast"/>
        </w:trPr>
        <w:tc>
          <w:tcPr>
            <w:tcW w:w="8840" w:type="dxa"/>
            <w:gridSpan w:val="13"/>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农民工统计监测调查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82.00</w:t>
            </w:r>
            <w:r>
              <w:rPr>
                <w:rFonts w:hint="eastAsia" w:ascii="宋体" w:hAnsi="宋体" w:eastAsia="宋体" w:cs="宋体"/>
                <w:i w:val="0"/>
                <w:color w:val="000000"/>
                <w:kern w:val="0"/>
                <w:sz w:val="22"/>
                <w:szCs w:val="22"/>
                <w:u w:val="none"/>
                <w:lang w:val="en-US" w:eastAsia="zh-CN" w:bidi="ar"/>
              </w:rPr>
              <w:t xml:space="preserve"> </w:t>
            </w:r>
          </w:p>
        </w:tc>
        <w:tc>
          <w:tcPr>
            <w:tcW w:w="9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82.00</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2481"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目标1：通过定期收集农民工相关信息，准确反映农民工数量、流向、结构、就业、收支、生活、社保及创业等情况。</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目标2：生产并发布以农民工规模和分布为核心的监测数据产品。</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目标3：为制定科学的农民工政策、加强和改善农民工工作提供科学依据。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75"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9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25"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tbl>
      <w:tblPr>
        <w:tblStyle w:val="16"/>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58"/>
        <w:gridCol w:w="2065"/>
        <w:gridCol w:w="733"/>
        <w:gridCol w:w="1802"/>
        <w:gridCol w:w="1883"/>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7" w:hRule="atLeast"/>
        </w:trPr>
        <w:tc>
          <w:tcPr>
            <w:tcW w:w="89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atLeast"/>
        </w:trPr>
        <w:tc>
          <w:tcPr>
            <w:tcW w:w="890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2024</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4" w:hRule="atLeast"/>
        </w:trPr>
        <w:tc>
          <w:tcPr>
            <w:tcW w:w="890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549.70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549.70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目标1：全面、准确、及时反映吉林省城乡居民收入、消费及其他生活状况，客观监测居民收入分配格局和不同收入层次居民的生活质量，掌握居民福祉变化情况。</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发布居民可支配收入、消费性支出、农村贫困人口、贫困发生率、基尼系数、恩格尔系数等重要民生数据，为监测全面建成小康社会、城乡居民收入翻番、精准扶贫精准脱贫等国家重大战略实施提供统计基础。</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目标3：为更好地满足研究制定城乡统筹政策和民生政策的需要提供数据支持。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城乡住户调查全年样本量</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3"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tbl>
      <w:tblPr>
        <w:tblStyle w:val="16"/>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35"/>
        <w:gridCol w:w="2021"/>
        <w:gridCol w:w="717"/>
        <w:gridCol w:w="1690"/>
        <w:gridCol w:w="1916"/>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8720"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2024</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20" w:type="dxa"/>
            <w:gridSpan w:val="7"/>
            <w:tcBorders>
              <w:top w:val="nil"/>
              <w:left w:val="nil"/>
              <w:bottom w:val="nil"/>
              <w:right w:val="nil"/>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脱贫县农村住户监测调查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33"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目标1：为全面、准确、及时反映脱贫县农村居民收支状况、变化趋势和帮扶成效，客观衡量居民福祉与全国平均水平的差距，掌握脱贫县的宏观经济背景和社会发展状况。</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目标2：为科学制定巩固拓展脱贫攻坚成果、接续推进乡村振兴相关政策提供参考依据。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tabs>
          <w:tab w:val="left" w:pos="2280"/>
        </w:tabs>
        <w:spacing w:line="520" w:lineRule="exact"/>
        <w:rPr>
          <w:rFonts w:eastAsia="仿宋_GB2312"/>
          <w:sz w:val="28"/>
          <w:szCs w:val="28"/>
        </w:rPr>
      </w:pPr>
    </w:p>
    <w:p>
      <w:pPr>
        <w:tabs>
          <w:tab w:val="left" w:pos="2280"/>
        </w:tabs>
        <w:spacing w:line="520" w:lineRule="exact"/>
        <w:rPr>
          <w:rFonts w:eastAsia="仿宋_GB2312"/>
          <w:sz w:val="28"/>
          <w:szCs w:val="28"/>
        </w:rPr>
      </w:pPr>
    </w:p>
    <w:sectPr>
      <w:pgSz w:w="11906" w:h="16838"/>
      <w:pgMar w:top="1440" w:right="1588" w:bottom="1440" w:left="1588"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altName w:val="方正书宋_GBK"/>
    <w:panose1 w:val="02010600040101010101"/>
    <w:charset w:val="86"/>
    <w:family w:val="auto"/>
    <w:pitch w:val="default"/>
    <w:sig w:usb0="00000000" w:usb1="00000000" w:usb2="00000000" w:usb3="00000000" w:csb0="0004009F" w:csb1="DFD70000"/>
  </w:font>
  <w:font w:name="等线">
    <w:altName w:val="汉仪中圆B5"/>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- 7 -</w:t>
    </w:r>
    <w:r>
      <w:rPr>
        <w:sz w:val="24"/>
        <w:szCs w:val="24"/>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mFkMTIzNmNjYjM5ODY4YjMxNzNlZWQ5MTBhNmMifQ=="/>
  </w:docVars>
  <w:rsids>
    <w:rsidRoot w:val="00FF5F40"/>
    <w:rsid w:val="0000034C"/>
    <w:rsid w:val="00001895"/>
    <w:rsid w:val="0000378C"/>
    <w:rsid w:val="00004976"/>
    <w:rsid w:val="00004F3E"/>
    <w:rsid w:val="00005891"/>
    <w:rsid w:val="00007651"/>
    <w:rsid w:val="00007A1E"/>
    <w:rsid w:val="00011E85"/>
    <w:rsid w:val="000127F4"/>
    <w:rsid w:val="00014664"/>
    <w:rsid w:val="00014F8A"/>
    <w:rsid w:val="000162E1"/>
    <w:rsid w:val="00016787"/>
    <w:rsid w:val="00016DF1"/>
    <w:rsid w:val="0002095C"/>
    <w:rsid w:val="00020C51"/>
    <w:rsid w:val="00021314"/>
    <w:rsid w:val="00022D2B"/>
    <w:rsid w:val="0002472F"/>
    <w:rsid w:val="00026BB6"/>
    <w:rsid w:val="00026D64"/>
    <w:rsid w:val="00027613"/>
    <w:rsid w:val="0003098E"/>
    <w:rsid w:val="00032BB6"/>
    <w:rsid w:val="0003443C"/>
    <w:rsid w:val="00034677"/>
    <w:rsid w:val="00036CB5"/>
    <w:rsid w:val="00036E87"/>
    <w:rsid w:val="000409E8"/>
    <w:rsid w:val="00040DE2"/>
    <w:rsid w:val="000429E9"/>
    <w:rsid w:val="00042BAE"/>
    <w:rsid w:val="00043017"/>
    <w:rsid w:val="000433EA"/>
    <w:rsid w:val="000435F3"/>
    <w:rsid w:val="00043AB1"/>
    <w:rsid w:val="00044EF5"/>
    <w:rsid w:val="000469AE"/>
    <w:rsid w:val="00046D71"/>
    <w:rsid w:val="00050594"/>
    <w:rsid w:val="000509D7"/>
    <w:rsid w:val="00051438"/>
    <w:rsid w:val="000514D0"/>
    <w:rsid w:val="00053313"/>
    <w:rsid w:val="0005351F"/>
    <w:rsid w:val="000539FD"/>
    <w:rsid w:val="00054F98"/>
    <w:rsid w:val="00055598"/>
    <w:rsid w:val="0005577D"/>
    <w:rsid w:val="00063A01"/>
    <w:rsid w:val="00064E41"/>
    <w:rsid w:val="00065B3E"/>
    <w:rsid w:val="000668A5"/>
    <w:rsid w:val="00066F73"/>
    <w:rsid w:val="000705D9"/>
    <w:rsid w:val="0007118F"/>
    <w:rsid w:val="00072B2C"/>
    <w:rsid w:val="00073A7B"/>
    <w:rsid w:val="0007412B"/>
    <w:rsid w:val="0007539F"/>
    <w:rsid w:val="000757ED"/>
    <w:rsid w:val="00075A0F"/>
    <w:rsid w:val="00076258"/>
    <w:rsid w:val="00081612"/>
    <w:rsid w:val="00082C5D"/>
    <w:rsid w:val="00082D8C"/>
    <w:rsid w:val="00083A52"/>
    <w:rsid w:val="00084058"/>
    <w:rsid w:val="00084C49"/>
    <w:rsid w:val="00085935"/>
    <w:rsid w:val="000875CD"/>
    <w:rsid w:val="000878D0"/>
    <w:rsid w:val="00090C65"/>
    <w:rsid w:val="000925AC"/>
    <w:rsid w:val="00095F77"/>
    <w:rsid w:val="000972BE"/>
    <w:rsid w:val="000A0352"/>
    <w:rsid w:val="000A160C"/>
    <w:rsid w:val="000A18B9"/>
    <w:rsid w:val="000A1ABF"/>
    <w:rsid w:val="000A1B36"/>
    <w:rsid w:val="000A27BD"/>
    <w:rsid w:val="000A2B96"/>
    <w:rsid w:val="000A3707"/>
    <w:rsid w:val="000A4414"/>
    <w:rsid w:val="000A4951"/>
    <w:rsid w:val="000A5071"/>
    <w:rsid w:val="000A5453"/>
    <w:rsid w:val="000B1C9F"/>
    <w:rsid w:val="000B35AF"/>
    <w:rsid w:val="000B3FDC"/>
    <w:rsid w:val="000B4772"/>
    <w:rsid w:val="000B6D63"/>
    <w:rsid w:val="000B7106"/>
    <w:rsid w:val="000C07A0"/>
    <w:rsid w:val="000C0B6F"/>
    <w:rsid w:val="000C3B8A"/>
    <w:rsid w:val="000C3BC4"/>
    <w:rsid w:val="000C4120"/>
    <w:rsid w:val="000C47A7"/>
    <w:rsid w:val="000C48DF"/>
    <w:rsid w:val="000C4978"/>
    <w:rsid w:val="000C6AB6"/>
    <w:rsid w:val="000C78EF"/>
    <w:rsid w:val="000D0D7C"/>
    <w:rsid w:val="000D0F43"/>
    <w:rsid w:val="000D2253"/>
    <w:rsid w:val="000D22F5"/>
    <w:rsid w:val="000D2324"/>
    <w:rsid w:val="000D3BD8"/>
    <w:rsid w:val="000D4840"/>
    <w:rsid w:val="000D6037"/>
    <w:rsid w:val="000D6BFC"/>
    <w:rsid w:val="000D7135"/>
    <w:rsid w:val="000D716C"/>
    <w:rsid w:val="000D72F6"/>
    <w:rsid w:val="000D7D23"/>
    <w:rsid w:val="000E0472"/>
    <w:rsid w:val="000E063C"/>
    <w:rsid w:val="000E1191"/>
    <w:rsid w:val="000E1D6F"/>
    <w:rsid w:val="000E270B"/>
    <w:rsid w:val="000E4A4E"/>
    <w:rsid w:val="000E69BA"/>
    <w:rsid w:val="000E7E7E"/>
    <w:rsid w:val="000F26DF"/>
    <w:rsid w:val="000F2CCC"/>
    <w:rsid w:val="000F2E35"/>
    <w:rsid w:val="000F4238"/>
    <w:rsid w:val="000F5775"/>
    <w:rsid w:val="000F6C88"/>
    <w:rsid w:val="00102B6D"/>
    <w:rsid w:val="0010455E"/>
    <w:rsid w:val="0010779B"/>
    <w:rsid w:val="00107C5B"/>
    <w:rsid w:val="001100B0"/>
    <w:rsid w:val="001170A3"/>
    <w:rsid w:val="00121B5A"/>
    <w:rsid w:val="00122D25"/>
    <w:rsid w:val="001239BD"/>
    <w:rsid w:val="00125E5C"/>
    <w:rsid w:val="00127D6D"/>
    <w:rsid w:val="00127E0A"/>
    <w:rsid w:val="00127EE4"/>
    <w:rsid w:val="00130006"/>
    <w:rsid w:val="001313DE"/>
    <w:rsid w:val="00131632"/>
    <w:rsid w:val="00131E5A"/>
    <w:rsid w:val="0013344E"/>
    <w:rsid w:val="00134144"/>
    <w:rsid w:val="001345BF"/>
    <w:rsid w:val="00134C00"/>
    <w:rsid w:val="0013576F"/>
    <w:rsid w:val="001371A4"/>
    <w:rsid w:val="00137F43"/>
    <w:rsid w:val="00141B14"/>
    <w:rsid w:val="00142806"/>
    <w:rsid w:val="00142F94"/>
    <w:rsid w:val="001439D3"/>
    <w:rsid w:val="001440F2"/>
    <w:rsid w:val="001454CC"/>
    <w:rsid w:val="00151BC0"/>
    <w:rsid w:val="0015381A"/>
    <w:rsid w:val="001555CD"/>
    <w:rsid w:val="00155977"/>
    <w:rsid w:val="00155E95"/>
    <w:rsid w:val="00155F0F"/>
    <w:rsid w:val="00156BB7"/>
    <w:rsid w:val="00162C12"/>
    <w:rsid w:val="00164965"/>
    <w:rsid w:val="001659A0"/>
    <w:rsid w:val="001704EA"/>
    <w:rsid w:val="00171975"/>
    <w:rsid w:val="00171D5B"/>
    <w:rsid w:val="00172ACA"/>
    <w:rsid w:val="001730E3"/>
    <w:rsid w:val="001732F2"/>
    <w:rsid w:val="00173458"/>
    <w:rsid w:val="0017409E"/>
    <w:rsid w:val="00174C98"/>
    <w:rsid w:val="00174FC2"/>
    <w:rsid w:val="0018065B"/>
    <w:rsid w:val="00180783"/>
    <w:rsid w:val="00181192"/>
    <w:rsid w:val="00183504"/>
    <w:rsid w:val="001836E7"/>
    <w:rsid w:val="001852E0"/>
    <w:rsid w:val="0018587D"/>
    <w:rsid w:val="00185CD0"/>
    <w:rsid w:val="00186016"/>
    <w:rsid w:val="00186139"/>
    <w:rsid w:val="00186AAB"/>
    <w:rsid w:val="00192991"/>
    <w:rsid w:val="00193157"/>
    <w:rsid w:val="001A23B0"/>
    <w:rsid w:val="001A247E"/>
    <w:rsid w:val="001A2E4F"/>
    <w:rsid w:val="001A3982"/>
    <w:rsid w:val="001B18E4"/>
    <w:rsid w:val="001B1C12"/>
    <w:rsid w:val="001B1ED5"/>
    <w:rsid w:val="001B3093"/>
    <w:rsid w:val="001B4461"/>
    <w:rsid w:val="001C1227"/>
    <w:rsid w:val="001C2CBC"/>
    <w:rsid w:val="001C495B"/>
    <w:rsid w:val="001D0A8C"/>
    <w:rsid w:val="001D1941"/>
    <w:rsid w:val="001D345F"/>
    <w:rsid w:val="001D3A95"/>
    <w:rsid w:val="001D4CC4"/>
    <w:rsid w:val="001D62AD"/>
    <w:rsid w:val="001E0DBF"/>
    <w:rsid w:val="001E11FA"/>
    <w:rsid w:val="001E6390"/>
    <w:rsid w:val="001E6CEF"/>
    <w:rsid w:val="001E6D60"/>
    <w:rsid w:val="001E7AB3"/>
    <w:rsid w:val="001F2356"/>
    <w:rsid w:val="001F40C1"/>
    <w:rsid w:val="00201BC2"/>
    <w:rsid w:val="0020251A"/>
    <w:rsid w:val="00202FF2"/>
    <w:rsid w:val="00203664"/>
    <w:rsid w:val="00205DCA"/>
    <w:rsid w:val="00210A9D"/>
    <w:rsid w:val="00213126"/>
    <w:rsid w:val="0021461D"/>
    <w:rsid w:val="00215214"/>
    <w:rsid w:val="00215AEA"/>
    <w:rsid w:val="00216E32"/>
    <w:rsid w:val="002210B8"/>
    <w:rsid w:val="00221F1D"/>
    <w:rsid w:val="00222A99"/>
    <w:rsid w:val="002236D4"/>
    <w:rsid w:val="00223CEE"/>
    <w:rsid w:val="0022615D"/>
    <w:rsid w:val="00226936"/>
    <w:rsid w:val="0023215A"/>
    <w:rsid w:val="00232392"/>
    <w:rsid w:val="00233A74"/>
    <w:rsid w:val="002349A5"/>
    <w:rsid w:val="00234AF1"/>
    <w:rsid w:val="00235E22"/>
    <w:rsid w:val="00235F29"/>
    <w:rsid w:val="002368B3"/>
    <w:rsid w:val="0023756C"/>
    <w:rsid w:val="00237D10"/>
    <w:rsid w:val="00237F58"/>
    <w:rsid w:val="00240AC7"/>
    <w:rsid w:val="00240B91"/>
    <w:rsid w:val="00240E9F"/>
    <w:rsid w:val="00242A0D"/>
    <w:rsid w:val="00243165"/>
    <w:rsid w:val="00243861"/>
    <w:rsid w:val="00246042"/>
    <w:rsid w:val="0024616E"/>
    <w:rsid w:val="00246503"/>
    <w:rsid w:val="00246ADA"/>
    <w:rsid w:val="00246B82"/>
    <w:rsid w:val="00246FB1"/>
    <w:rsid w:val="002500A9"/>
    <w:rsid w:val="0025030A"/>
    <w:rsid w:val="002535FC"/>
    <w:rsid w:val="002561D9"/>
    <w:rsid w:val="00257AB2"/>
    <w:rsid w:val="00260ACD"/>
    <w:rsid w:val="00260D40"/>
    <w:rsid w:val="00260FB1"/>
    <w:rsid w:val="0026282E"/>
    <w:rsid w:val="002629AD"/>
    <w:rsid w:val="00262B8E"/>
    <w:rsid w:val="00262F29"/>
    <w:rsid w:val="002634AB"/>
    <w:rsid w:val="002642AD"/>
    <w:rsid w:val="00264484"/>
    <w:rsid w:val="00264B37"/>
    <w:rsid w:val="002677B5"/>
    <w:rsid w:val="0027244A"/>
    <w:rsid w:val="0027276E"/>
    <w:rsid w:val="00272948"/>
    <w:rsid w:val="002734E1"/>
    <w:rsid w:val="00273EF8"/>
    <w:rsid w:val="002745AE"/>
    <w:rsid w:val="00274672"/>
    <w:rsid w:val="00274789"/>
    <w:rsid w:val="00274C34"/>
    <w:rsid w:val="00275A98"/>
    <w:rsid w:val="00277EDA"/>
    <w:rsid w:val="00282070"/>
    <w:rsid w:val="00283D94"/>
    <w:rsid w:val="00284728"/>
    <w:rsid w:val="00285252"/>
    <w:rsid w:val="0028632E"/>
    <w:rsid w:val="00286965"/>
    <w:rsid w:val="00291D61"/>
    <w:rsid w:val="0029273D"/>
    <w:rsid w:val="0029694C"/>
    <w:rsid w:val="002978B5"/>
    <w:rsid w:val="00297904"/>
    <w:rsid w:val="002A0A09"/>
    <w:rsid w:val="002A1110"/>
    <w:rsid w:val="002A1845"/>
    <w:rsid w:val="002A4879"/>
    <w:rsid w:val="002A4C07"/>
    <w:rsid w:val="002B027A"/>
    <w:rsid w:val="002B1955"/>
    <w:rsid w:val="002B2AA0"/>
    <w:rsid w:val="002B338A"/>
    <w:rsid w:val="002B338B"/>
    <w:rsid w:val="002B5016"/>
    <w:rsid w:val="002B5C42"/>
    <w:rsid w:val="002B7D68"/>
    <w:rsid w:val="002C0047"/>
    <w:rsid w:val="002C08E1"/>
    <w:rsid w:val="002C1B9C"/>
    <w:rsid w:val="002C240F"/>
    <w:rsid w:val="002C4EDB"/>
    <w:rsid w:val="002C7C27"/>
    <w:rsid w:val="002C7EEB"/>
    <w:rsid w:val="002D3FFE"/>
    <w:rsid w:val="002D4547"/>
    <w:rsid w:val="002D45BD"/>
    <w:rsid w:val="002D496C"/>
    <w:rsid w:val="002E3306"/>
    <w:rsid w:val="002E3333"/>
    <w:rsid w:val="002E6DE3"/>
    <w:rsid w:val="002F0C93"/>
    <w:rsid w:val="002F22FC"/>
    <w:rsid w:val="002F25C5"/>
    <w:rsid w:val="002F40FF"/>
    <w:rsid w:val="002F6076"/>
    <w:rsid w:val="002F6F8C"/>
    <w:rsid w:val="002F7409"/>
    <w:rsid w:val="00300E7C"/>
    <w:rsid w:val="00302899"/>
    <w:rsid w:val="00303287"/>
    <w:rsid w:val="00303779"/>
    <w:rsid w:val="003056E8"/>
    <w:rsid w:val="003063FA"/>
    <w:rsid w:val="00306FEA"/>
    <w:rsid w:val="00310008"/>
    <w:rsid w:val="003100B3"/>
    <w:rsid w:val="003115EE"/>
    <w:rsid w:val="00311C66"/>
    <w:rsid w:val="00311F51"/>
    <w:rsid w:val="0031329A"/>
    <w:rsid w:val="00313C85"/>
    <w:rsid w:val="003144C8"/>
    <w:rsid w:val="003147B7"/>
    <w:rsid w:val="00315DAF"/>
    <w:rsid w:val="00317199"/>
    <w:rsid w:val="00321854"/>
    <w:rsid w:val="003227CF"/>
    <w:rsid w:val="00323DC2"/>
    <w:rsid w:val="00324816"/>
    <w:rsid w:val="00326494"/>
    <w:rsid w:val="00326BC3"/>
    <w:rsid w:val="00326F5C"/>
    <w:rsid w:val="00327042"/>
    <w:rsid w:val="00330323"/>
    <w:rsid w:val="00331AFA"/>
    <w:rsid w:val="0033389B"/>
    <w:rsid w:val="00334414"/>
    <w:rsid w:val="00334EC3"/>
    <w:rsid w:val="00336443"/>
    <w:rsid w:val="003374A2"/>
    <w:rsid w:val="00341CE1"/>
    <w:rsid w:val="00342617"/>
    <w:rsid w:val="00343153"/>
    <w:rsid w:val="00345924"/>
    <w:rsid w:val="003523B6"/>
    <w:rsid w:val="0035291D"/>
    <w:rsid w:val="003529DD"/>
    <w:rsid w:val="003533C8"/>
    <w:rsid w:val="003543F5"/>
    <w:rsid w:val="00355160"/>
    <w:rsid w:val="00356E5E"/>
    <w:rsid w:val="0035760A"/>
    <w:rsid w:val="003577AE"/>
    <w:rsid w:val="003579C5"/>
    <w:rsid w:val="00360DC3"/>
    <w:rsid w:val="00364FFA"/>
    <w:rsid w:val="0036752E"/>
    <w:rsid w:val="00367CD6"/>
    <w:rsid w:val="00372294"/>
    <w:rsid w:val="003726D4"/>
    <w:rsid w:val="00373D26"/>
    <w:rsid w:val="00374460"/>
    <w:rsid w:val="003748D9"/>
    <w:rsid w:val="003753F3"/>
    <w:rsid w:val="003763FC"/>
    <w:rsid w:val="003766C6"/>
    <w:rsid w:val="0038088F"/>
    <w:rsid w:val="00381309"/>
    <w:rsid w:val="00382495"/>
    <w:rsid w:val="00382D2F"/>
    <w:rsid w:val="003830AF"/>
    <w:rsid w:val="00383BD1"/>
    <w:rsid w:val="003864C4"/>
    <w:rsid w:val="00386B7F"/>
    <w:rsid w:val="0039112C"/>
    <w:rsid w:val="003929B4"/>
    <w:rsid w:val="00392C00"/>
    <w:rsid w:val="0039360D"/>
    <w:rsid w:val="00393FFF"/>
    <w:rsid w:val="00394171"/>
    <w:rsid w:val="00394439"/>
    <w:rsid w:val="003945DC"/>
    <w:rsid w:val="00394A42"/>
    <w:rsid w:val="00394B35"/>
    <w:rsid w:val="00395689"/>
    <w:rsid w:val="00396CAF"/>
    <w:rsid w:val="00397E58"/>
    <w:rsid w:val="003A0DD8"/>
    <w:rsid w:val="003A2D70"/>
    <w:rsid w:val="003A2EBD"/>
    <w:rsid w:val="003A4B0A"/>
    <w:rsid w:val="003A4C2F"/>
    <w:rsid w:val="003A5D4F"/>
    <w:rsid w:val="003A7624"/>
    <w:rsid w:val="003B2DBD"/>
    <w:rsid w:val="003B357C"/>
    <w:rsid w:val="003B3E90"/>
    <w:rsid w:val="003B4D26"/>
    <w:rsid w:val="003B546B"/>
    <w:rsid w:val="003C368D"/>
    <w:rsid w:val="003C3D2F"/>
    <w:rsid w:val="003C3FA0"/>
    <w:rsid w:val="003C4B1B"/>
    <w:rsid w:val="003C662C"/>
    <w:rsid w:val="003D0D92"/>
    <w:rsid w:val="003D169D"/>
    <w:rsid w:val="003D4CDE"/>
    <w:rsid w:val="003D56D5"/>
    <w:rsid w:val="003D7393"/>
    <w:rsid w:val="003D7672"/>
    <w:rsid w:val="003D7E41"/>
    <w:rsid w:val="003E015B"/>
    <w:rsid w:val="003E0780"/>
    <w:rsid w:val="003E0B9F"/>
    <w:rsid w:val="003E1791"/>
    <w:rsid w:val="003E2117"/>
    <w:rsid w:val="003E3410"/>
    <w:rsid w:val="003E3BFE"/>
    <w:rsid w:val="003E451F"/>
    <w:rsid w:val="003E5446"/>
    <w:rsid w:val="003E5A45"/>
    <w:rsid w:val="003E6759"/>
    <w:rsid w:val="003E743B"/>
    <w:rsid w:val="003E747F"/>
    <w:rsid w:val="003F00B6"/>
    <w:rsid w:val="003F038E"/>
    <w:rsid w:val="003F07B7"/>
    <w:rsid w:val="003F0FFD"/>
    <w:rsid w:val="003F15E9"/>
    <w:rsid w:val="003F1C67"/>
    <w:rsid w:val="003F2972"/>
    <w:rsid w:val="003F4A8F"/>
    <w:rsid w:val="003F56DF"/>
    <w:rsid w:val="003F5BD1"/>
    <w:rsid w:val="0040081C"/>
    <w:rsid w:val="00401BC4"/>
    <w:rsid w:val="004025BA"/>
    <w:rsid w:val="004028AC"/>
    <w:rsid w:val="0040355C"/>
    <w:rsid w:val="004048AA"/>
    <w:rsid w:val="004079E5"/>
    <w:rsid w:val="00407A78"/>
    <w:rsid w:val="00410154"/>
    <w:rsid w:val="004103A0"/>
    <w:rsid w:val="00411C5F"/>
    <w:rsid w:val="0041281C"/>
    <w:rsid w:val="00414A5E"/>
    <w:rsid w:val="00414BF0"/>
    <w:rsid w:val="00417102"/>
    <w:rsid w:val="004172DA"/>
    <w:rsid w:val="004203BD"/>
    <w:rsid w:val="00420421"/>
    <w:rsid w:val="004206CF"/>
    <w:rsid w:val="00422706"/>
    <w:rsid w:val="00422BAA"/>
    <w:rsid w:val="00424DE6"/>
    <w:rsid w:val="0042535B"/>
    <w:rsid w:val="00425B3C"/>
    <w:rsid w:val="00425FED"/>
    <w:rsid w:val="00426E91"/>
    <w:rsid w:val="0042740F"/>
    <w:rsid w:val="004274E4"/>
    <w:rsid w:val="00430493"/>
    <w:rsid w:val="00430670"/>
    <w:rsid w:val="00430775"/>
    <w:rsid w:val="0043081D"/>
    <w:rsid w:val="00431BD2"/>
    <w:rsid w:val="00433013"/>
    <w:rsid w:val="0043375B"/>
    <w:rsid w:val="00433E0F"/>
    <w:rsid w:val="0043491D"/>
    <w:rsid w:val="00434AB0"/>
    <w:rsid w:val="00435B95"/>
    <w:rsid w:val="004373E9"/>
    <w:rsid w:val="00437FC0"/>
    <w:rsid w:val="00441AC9"/>
    <w:rsid w:val="0044378C"/>
    <w:rsid w:val="00445238"/>
    <w:rsid w:val="004478BE"/>
    <w:rsid w:val="00447FF4"/>
    <w:rsid w:val="004500D4"/>
    <w:rsid w:val="004514F3"/>
    <w:rsid w:val="00451563"/>
    <w:rsid w:val="004536D3"/>
    <w:rsid w:val="00454088"/>
    <w:rsid w:val="00455E32"/>
    <w:rsid w:val="0045692C"/>
    <w:rsid w:val="00457686"/>
    <w:rsid w:val="00461890"/>
    <w:rsid w:val="00464570"/>
    <w:rsid w:val="00464B0D"/>
    <w:rsid w:val="00465B60"/>
    <w:rsid w:val="004661FD"/>
    <w:rsid w:val="00466A39"/>
    <w:rsid w:val="0046745B"/>
    <w:rsid w:val="004675B9"/>
    <w:rsid w:val="00473234"/>
    <w:rsid w:val="00473D0E"/>
    <w:rsid w:val="00473D5C"/>
    <w:rsid w:val="00474A0E"/>
    <w:rsid w:val="0047626F"/>
    <w:rsid w:val="00476D25"/>
    <w:rsid w:val="004812EF"/>
    <w:rsid w:val="00482A42"/>
    <w:rsid w:val="0048339F"/>
    <w:rsid w:val="00484260"/>
    <w:rsid w:val="00484657"/>
    <w:rsid w:val="004860A7"/>
    <w:rsid w:val="00487CA2"/>
    <w:rsid w:val="0049072B"/>
    <w:rsid w:val="00490BF2"/>
    <w:rsid w:val="00490CAC"/>
    <w:rsid w:val="00491574"/>
    <w:rsid w:val="00493A95"/>
    <w:rsid w:val="00494325"/>
    <w:rsid w:val="004947B0"/>
    <w:rsid w:val="0049516D"/>
    <w:rsid w:val="004955A0"/>
    <w:rsid w:val="00495A08"/>
    <w:rsid w:val="00496C7C"/>
    <w:rsid w:val="00497E4A"/>
    <w:rsid w:val="004A1051"/>
    <w:rsid w:val="004A1A4F"/>
    <w:rsid w:val="004A1E46"/>
    <w:rsid w:val="004A2249"/>
    <w:rsid w:val="004A2A81"/>
    <w:rsid w:val="004A3FDD"/>
    <w:rsid w:val="004A4166"/>
    <w:rsid w:val="004A6484"/>
    <w:rsid w:val="004B1561"/>
    <w:rsid w:val="004B18BD"/>
    <w:rsid w:val="004B2218"/>
    <w:rsid w:val="004B2CDC"/>
    <w:rsid w:val="004B39FD"/>
    <w:rsid w:val="004B4733"/>
    <w:rsid w:val="004B55B1"/>
    <w:rsid w:val="004B56FD"/>
    <w:rsid w:val="004C08C1"/>
    <w:rsid w:val="004C1FC8"/>
    <w:rsid w:val="004C2883"/>
    <w:rsid w:val="004C29E0"/>
    <w:rsid w:val="004C3A9E"/>
    <w:rsid w:val="004C4A10"/>
    <w:rsid w:val="004C64C0"/>
    <w:rsid w:val="004D0459"/>
    <w:rsid w:val="004D0BBF"/>
    <w:rsid w:val="004D20E5"/>
    <w:rsid w:val="004D364C"/>
    <w:rsid w:val="004D5AD0"/>
    <w:rsid w:val="004E0BA0"/>
    <w:rsid w:val="004E1A5C"/>
    <w:rsid w:val="004E28E4"/>
    <w:rsid w:val="004E32AD"/>
    <w:rsid w:val="004E5696"/>
    <w:rsid w:val="004E5712"/>
    <w:rsid w:val="004E7109"/>
    <w:rsid w:val="004F0F8B"/>
    <w:rsid w:val="004F16F6"/>
    <w:rsid w:val="004F245A"/>
    <w:rsid w:val="004F53FA"/>
    <w:rsid w:val="00500807"/>
    <w:rsid w:val="00500EBE"/>
    <w:rsid w:val="00501793"/>
    <w:rsid w:val="005036F1"/>
    <w:rsid w:val="00503B18"/>
    <w:rsid w:val="00504173"/>
    <w:rsid w:val="00504D5E"/>
    <w:rsid w:val="00506FD8"/>
    <w:rsid w:val="00510A3A"/>
    <w:rsid w:val="00510FAB"/>
    <w:rsid w:val="0051149C"/>
    <w:rsid w:val="005117FA"/>
    <w:rsid w:val="00511FFE"/>
    <w:rsid w:val="00512A90"/>
    <w:rsid w:val="00512E9C"/>
    <w:rsid w:val="005132B4"/>
    <w:rsid w:val="005139DF"/>
    <w:rsid w:val="005144C3"/>
    <w:rsid w:val="00520310"/>
    <w:rsid w:val="00520693"/>
    <w:rsid w:val="00522D6A"/>
    <w:rsid w:val="00522E3A"/>
    <w:rsid w:val="005237AB"/>
    <w:rsid w:val="00525346"/>
    <w:rsid w:val="00525610"/>
    <w:rsid w:val="00526B24"/>
    <w:rsid w:val="00530B34"/>
    <w:rsid w:val="005325BF"/>
    <w:rsid w:val="00532991"/>
    <w:rsid w:val="00536B2A"/>
    <w:rsid w:val="005373A9"/>
    <w:rsid w:val="00537874"/>
    <w:rsid w:val="00542A08"/>
    <w:rsid w:val="00542F68"/>
    <w:rsid w:val="00543ADF"/>
    <w:rsid w:val="00543DF0"/>
    <w:rsid w:val="005512CA"/>
    <w:rsid w:val="0055145B"/>
    <w:rsid w:val="00551E92"/>
    <w:rsid w:val="005537F0"/>
    <w:rsid w:val="00554C85"/>
    <w:rsid w:val="005610B3"/>
    <w:rsid w:val="005632AC"/>
    <w:rsid w:val="00563388"/>
    <w:rsid w:val="00565279"/>
    <w:rsid w:val="00566897"/>
    <w:rsid w:val="005670CF"/>
    <w:rsid w:val="00570ED2"/>
    <w:rsid w:val="00571689"/>
    <w:rsid w:val="005726B9"/>
    <w:rsid w:val="005736A1"/>
    <w:rsid w:val="0057715F"/>
    <w:rsid w:val="00580261"/>
    <w:rsid w:val="00581227"/>
    <w:rsid w:val="005831A5"/>
    <w:rsid w:val="00583617"/>
    <w:rsid w:val="005837D2"/>
    <w:rsid w:val="00583F70"/>
    <w:rsid w:val="00584107"/>
    <w:rsid w:val="00584801"/>
    <w:rsid w:val="005851C7"/>
    <w:rsid w:val="00587416"/>
    <w:rsid w:val="00592CD4"/>
    <w:rsid w:val="0059350C"/>
    <w:rsid w:val="005945CB"/>
    <w:rsid w:val="005971FA"/>
    <w:rsid w:val="005A0310"/>
    <w:rsid w:val="005A2087"/>
    <w:rsid w:val="005A3C01"/>
    <w:rsid w:val="005A3D72"/>
    <w:rsid w:val="005A7077"/>
    <w:rsid w:val="005A79A9"/>
    <w:rsid w:val="005B0C0A"/>
    <w:rsid w:val="005B0CAA"/>
    <w:rsid w:val="005B20B3"/>
    <w:rsid w:val="005B297F"/>
    <w:rsid w:val="005B2AF9"/>
    <w:rsid w:val="005B3678"/>
    <w:rsid w:val="005B3F9B"/>
    <w:rsid w:val="005C0A86"/>
    <w:rsid w:val="005C0C38"/>
    <w:rsid w:val="005C245E"/>
    <w:rsid w:val="005C2F3E"/>
    <w:rsid w:val="005C577D"/>
    <w:rsid w:val="005C69CB"/>
    <w:rsid w:val="005C782F"/>
    <w:rsid w:val="005D3B0E"/>
    <w:rsid w:val="005D7410"/>
    <w:rsid w:val="005D75B3"/>
    <w:rsid w:val="005E4E76"/>
    <w:rsid w:val="005E5F9E"/>
    <w:rsid w:val="005E704C"/>
    <w:rsid w:val="005F0320"/>
    <w:rsid w:val="005F0B67"/>
    <w:rsid w:val="005F535D"/>
    <w:rsid w:val="005F5829"/>
    <w:rsid w:val="005F66CE"/>
    <w:rsid w:val="005F788E"/>
    <w:rsid w:val="00601045"/>
    <w:rsid w:val="00601255"/>
    <w:rsid w:val="00602225"/>
    <w:rsid w:val="0060290B"/>
    <w:rsid w:val="006031C5"/>
    <w:rsid w:val="00603B21"/>
    <w:rsid w:val="0060612F"/>
    <w:rsid w:val="006063EF"/>
    <w:rsid w:val="0061067F"/>
    <w:rsid w:val="00610F0F"/>
    <w:rsid w:val="006124F5"/>
    <w:rsid w:val="0061379B"/>
    <w:rsid w:val="00613D92"/>
    <w:rsid w:val="006154F8"/>
    <w:rsid w:val="0061596F"/>
    <w:rsid w:val="0061706F"/>
    <w:rsid w:val="0062069A"/>
    <w:rsid w:val="00620A95"/>
    <w:rsid w:val="006212FB"/>
    <w:rsid w:val="006226E0"/>
    <w:rsid w:val="006227B6"/>
    <w:rsid w:val="0062567D"/>
    <w:rsid w:val="00625AC8"/>
    <w:rsid w:val="00631FCF"/>
    <w:rsid w:val="00632B13"/>
    <w:rsid w:val="00635980"/>
    <w:rsid w:val="0064015D"/>
    <w:rsid w:val="006413D8"/>
    <w:rsid w:val="0064186E"/>
    <w:rsid w:val="006432C1"/>
    <w:rsid w:val="0064334A"/>
    <w:rsid w:val="00643CA0"/>
    <w:rsid w:val="006453D8"/>
    <w:rsid w:val="00646E85"/>
    <w:rsid w:val="0065009B"/>
    <w:rsid w:val="00651129"/>
    <w:rsid w:val="00651A5C"/>
    <w:rsid w:val="00652397"/>
    <w:rsid w:val="0065539C"/>
    <w:rsid w:val="00657DA8"/>
    <w:rsid w:val="00657FB2"/>
    <w:rsid w:val="006639A7"/>
    <w:rsid w:val="00663DC9"/>
    <w:rsid w:val="00665AD6"/>
    <w:rsid w:val="00665E5F"/>
    <w:rsid w:val="0066781C"/>
    <w:rsid w:val="006710AF"/>
    <w:rsid w:val="00672865"/>
    <w:rsid w:val="00672D2E"/>
    <w:rsid w:val="006742CB"/>
    <w:rsid w:val="0067697D"/>
    <w:rsid w:val="006775DB"/>
    <w:rsid w:val="00680766"/>
    <w:rsid w:val="006807BF"/>
    <w:rsid w:val="00681485"/>
    <w:rsid w:val="006821D1"/>
    <w:rsid w:val="0068282D"/>
    <w:rsid w:val="0068424E"/>
    <w:rsid w:val="00684B8F"/>
    <w:rsid w:val="00685657"/>
    <w:rsid w:val="00686990"/>
    <w:rsid w:val="00690816"/>
    <w:rsid w:val="00691C84"/>
    <w:rsid w:val="006923E7"/>
    <w:rsid w:val="00692D82"/>
    <w:rsid w:val="006940B5"/>
    <w:rsid w:val="00694C7C"/>
    <w:rsid w:val="0069610E"/>
    <w:rsid w:val="00696130"/>
    <w:rsid w:val="00696BE1"/>
    <w:rsid w:val="006978FF"/>
    <w:rsid w:val="006A0012"/>
    <w:rsid w:val="006A004D"/>
    <w:rsid w:val="006A13AA"/>
    <w:rsid w:val="006A216E"/>
    <w:rsid w:val="006A2212"/>
    <w:rsid w:val="006A2E66"/>
    <w:rsid w:val="006A3942"/>
    <w:rsid w:val="006A6E8D"/>
    <w:rsid w:val="006A7CDC"/>
    <w:rsid w:val="006B0838"/>
    <w:rsid w:val="006B0AA1"/>
    <w:rsid w:val="006B1927"/>
    <w:rsid w:val="006B2D52"/>
    <w:rsid w:val="006B3114"/>
    <w:rsid w:val="006B4814"/>
    <w:rsid w:val="006B4958"/>
    <w:rsid w:val="006B4C21"/>
    <w:rsid w:val="006B5A47"/>
    <w:rsid w:val="006B5F07"/>
    <w:rsid w:val="006B6611"/>
    <w:rsid w:val="006B7D0A"/>
    <w:rsid w:val="006C364C"/>
    <w:rsid w:val="006C47B3"/>
    <w:rsid w:val="006C5495"/>
    <w:rsid w:val="006C5DE0"/>
    <w:rsid w:val="006D0ABE"/>
    <w:rsid w:val="006D2817"/>
    <w:rsid w:val="006D4F90"/>
    <w:rsid w:val="006D6231"/>
    <w:rsid w:val="006D681E"/>
    <w:rsid w:val="006D6F47"/>
    <w:rsid w:val="006D7876"/>
    <w:rsid w:val="006D7B70"/>
    <w:rsid w:val="006D7D93"/>
    <w:rsid w:val="006E0F92"/>
    <w:rsid w:val="006E1742"/>
    <w:rsid w:val="006E30B7"/>
    <w:rsid w:val="006E3180"/>
    <w:rsid w:val="006E32F1"/>
    <w:rsid w:val="006E38F7"/>
    <w:rsid w:val="006E40CB"/>
    <w:rsid w:val="006E4246"/>
    <w:rsid w:val="006E4C83"/>
    <w:rsid w:val="006F1FD6"/>
    <w:rsid w:val="006F4EA0"/>
    <w:rsid w:val="006F5BB0"/>
    <w:rsid w:val="006F6687"/>
    <w:rsid w:val="006F7556"/>
    <w:rsid w:val="006F766A"/>
    <w:rsid w:val="00700C33"/>
    <w:rsid w:val="00701689"/>
    <w:rsid w:val="0070228B"/>
    <w:rsid w:val="00702306"/>
    <w:rsid w:val="00702A1F"/>
    <w:rsid w:val="00703A2B"/>
    <w:rsid w:val="00703C43"/>
    <w:rsid w:val="007073F1"/>
    <w:rsid w:val="00710D34"/>
    <w:rsid w:val="00711401"/>
    <w:rsid w:val="00712DBB"/>
    <w:rsid w:val="00712F0F"/>
    <w:rsid w:val="007136BF"/>
    <w:rsid w:val="007149A1"/>
    <w:rsid w:val="00717560"/>
    <w:rsid w:val="00720CAD"/>
    <w:rsid w:val="0072526C"/>
    <w:rsid w:val="00725798"/>
    <w:rsid w:val="00726AB5"/>
    <w:rsid w:val="00726CC2"/>
    <w:rsid w:val="007272A1"/>
    <w:rsid w:val="0072796D"/>
    <w:rsid w:val="00730356"/>
    <w:rsid w:val="00731502"/>
    <w:rsid w:val="00731AD2"/>
    <w:rsid w:val="00732004"/>
    <w:rsid w:val="00733D22"/>
    <w:rsid w:val="00733DAE"/>
    <w:rsid w:val="00734292"/>
    <w:rsid w:val="007344C4"/>
    <w:rsid w:val="007359E1"/>
    <w:rsid w:val="0073644B"/>
    <w:rsid w:val="007373D3"/>
    <w:rsid w:val="00744105"/>
    <w:rsid w:val="0074488D"/>
    <w:rsid w:val="00744B66"/>
    <w:rsid w:val="00745B61"/>
    <w:rsid w:val="00746887"/>
    <w:rsid w:val="00747B77"/>
    <w:rsid w:val="00754AB3"/>
    <w:rsid w:val="00755446"/>
    <w:rsid w:val="00755AFC"/>
    <w:rsid w:val="00756CF5"/>
    <w:rsid w:val="00757343"/>
    <w:rsid w:val="00757484"/>
    <w:rsid w:val="0076101F"/>
    <w:rsid w:val="007647FA"/>
    <w:rsid w:val="007649B6"/>
    <w:rsid w:val="0076584C"/>
    <w:rsid w:val="00767539"/>
    <w:rsid w:val="0076792A"/>
    <w:rsid w:val="007709D5"/>
    <w:rsid w:val="007711E4"/>
    <w:rsid w:val="0077146D"/>
    <w:rsid w:val="00771504"/>
    <w:rsid w:val="00772BF5"/>
    <w:rsid w:val="007730D2"/>
    <w:rsid w:val="0077379F"/>
    <w:rsid w:val="007741AA"/>
    <w:rsid w:val="007743ED"/>
    <w:rsid w:val="00774BD8"/>
    <w:rsid w:val="00774C40"/>
    <w:rsid w:val="00776178"/>
    <w:rsid w:val="00776469"/>
    <w:rsid w:val="0077761B"/>
    <w:rsid w:val="00777D19"/>
    <w:rsid w:val="00780CF1"/>
    <w:rsid w:val="00782098"/>
    <w:rsid w:val="00783C51"/>
    <w:rsid w:val="00785D2F"/>
    <w:rsid w:val="00791D19"/>
    <w:rsid w:val="007950EF"/>
    <w:rsid w:val="00796550"/>
    <w:rsid w:val="00797AF7"/>
    <w:rsid w:val="007A009B"/>
    <w:rsid w:val="007A160E"/>
    <w:rsid w:val="007A227E"/>
    <w:rsid w:val="007A29ED"/>
    <w:rsid w:val="007A4272"/>
    <w:rsid w:val="007A42CB"/>
    <w:rsid w:val="007A4DC4"/>
    <w:rsid w:val="007A7CD3"/>
    <w:rsid w:val="007B185C"/>
    <w:rsid w:val="007B1F37"/>
    <w:rsid w:val="007B2734"/>
    <w:rsid w:val="007B3C8F"/>
    <w:rsid w:val="007B4718"/>
    <w:rsid w:val="007B7E9D"/>
    <w:rsid w:val="007C1341"/>
    <w:rsid w:val="007C1DBE"/>
    <w:rsid w:val="007C57C7"/>
    <w:rsid w:val="007C5B0F"/>
    <w:rsid w:val="007C68C0"/>
    <w:rsid w:val="007D0238"/>
    <w:rsid w:val="007D1DF0"/>
    <w:rsid w:val="007D2C21"/>
    <w:rsid w:val="007D691C"/>
    <w:rsid w:val="007D7718"/>
    <w:rsid w:val="007E0F1F"/>
    <w:rsid w:val="007E2B12"/>
    <w:rsid w:val="007E4FD2"/>
    <w:rsid w:val="007E7799"/>
    <w:rsid w:val="007F06E6"/>
    <w:rsid w:val="007F2DA1"/>
    <w:rsid w:val="007F34CF"/>
    <w:rsid w:val="007F43C3"/>
    <w:rsid w:val="007F62A3"/>
    <w:rsid w:val="007F7E9A"/>
    <w:rsid w:val="00802384"/>
    <w:rsid w:val="0080346E"/>
    <w:rsid w:val="0080479B"/>
    <w:rsid w:val="00804A32"/>
    <w:rsid w:val="00804C89"/>
    <w:rsid w:val="00805EA8"/>
    <w:rsid w:val="00807BF8"/>
    <w:rsid w:val="00807F23"/>
    <w:rsid w:val="00811AB7"/>
    <w:rsid w:val="00813213"/>
    <w:rsid w:val="00815479"/>
    <w:rsid w:val="00815D8A"/>
    <w:rsid w:val="00816280"/>
    <w:rsid w:val="0082492C"/>
    <w:rsid w:val="0082528A"/>
    <w:rsid w:val="0083046A"/>
    <w:rsid w:val="00830871"/>
    <w:rsid w:val="00835CFC"/>
    <w:rsid w:val="00840CA7"/>
    <w:rsid w:val="0084483B"/>
    <w:rsid w:val="00846D9A"/>
    <w:rsid w:val="00847E3C"/>
    <w:rsid w:val="00850831"/>
    <w:rsid w:val="008516C5"/>
    <w:rsid w:val="008529F4"/>
    <w:rsid w:val="00853AF1"/>
    <w:rsid w:val="00856859"/>
    <w:rsid w:val="00857994"/>
    <w:rsid w:val="00860628"/>
    <w:rsid w:val="00860837"/>
    <w:rsid w:val="008627D0"/>
    <w:rsid w:val="00864559"/>
    <w:rsid w:val="00864967"/>
    <w:rsid w:val="008650DE"/>
    <w:rsid w:val="00870502"/>
    <w:rsid w:val="00870661"/>
    <w:rsid w:val="0087145A"/>
    <w:rsid w:val="008718E6"/>
    <w:rsid w:val="008735B6"/>
    <w:rsid w:val="00876164"/>
    <w:rsid w:val="00876E54"/>
    <w:rsid w:val="0087707C"/>
    <w:rsid w:val="00880480"/>
    <w:rsid w:val="008809C0"/>
    <w:rsid w:val="00880CD5"/>
    <w:rsid w:val="00881677"/>
    <w:rsid w:val="00882E1B"/>
    <w:rsid w:val="00882F4B"/>
    <w:rsid w:val="008834DE"/>
    <w:rsid w:val="008836CA"/>
    <w:rsid w:val="00883CE1"/>
    <w:rsid w:val="00884D4E"/>
    <w:rsid w:val="00885493"/>
    <w:rsid w:val="00886FD6"/>
    <w:rsid w:val="008870CB"/>
    <w:rsid w:val="008879CF"/>
    <w:rsid w:val="0089241D"/>
    <w:rsid w:val="00893299"/>
    <w:rsid w:val="008938F0"/>
    <w:rsid w:val="0089434F"/>
    <w:rsid w:val="00894495"/>
    <w:rsid w:val="00895AF8"/>
    <w:rsid w:val="008A066B"/>
    <w:rsid w:val="008A13E4"/>
    <w:rsid w:val="008A7CDD"/>
    <w:rsid w:val="008B4A52"/>
    <w:rsid w:val="008B4C16"/>
    <w:rsid w:val="008B5026"/>
    <w:rsid w:val="008B6F22"/>
    <w:rsid w:val="008B71C1"/>
    <w:rsid w:val="008B7B13"/>
    <w:rsid w:val="008C0336"/>
    <w:rsid w:val="008C0A9C"/>
    <w:rsid w:val="008C375B"/>
    <w:rsid w:val="008C5CE1"/>
    <w:rsid w:val="008C622D"/>
    <w:rsid w:val="008D0EAE"/>
    <w:rsid w:val="008D194C"/>
    <w:rsid w:val="008D1B47"/>
    <w:rsid w:val="008D2438"/>
    <w:rsid w:val="008D489B"/>
    <w:rsid w:val="008D4F0B"/>
    <w:rsid w:val="008D5A68"/>
    <w:rsid w:val="008D61BA"/>
    <w:rsid w:val="008D6C27"/>
    <w:rsid w:val="008E0693"/>
    <w:rsid w:val="008E0912"/>
    <w:rsid w:val="008E119D"/>
    <w:rsid w:val="008E2319"/>
    <w:rsid w:val="008E37CB"/>
    <w:rsid w:val="008E49D4"/>
    <w:rsid w:val="008E4D9D"/>
    <w:rsid w:val="008F0EE3"/>
    <w:rsid w:val="008F1E45"/>
    <w:rsid w:val="008F3D4F"/>
    <w:rsid w:val="008F49C9"/>
    <w:rsid w:val="00901309"/>
    <w:rsid w:val="0090290E"/>
    <w:rsid w:val="009042F5"/>
    <w:rsid w:val="00904E0B"/>
    <w:rsid w:val="00905A66"/>
    <w:rsid w:val="00905F66"/>
    <w:rsid w:val="00906D81"/>
    <w:rsid w:val="00910267"/>
    <w:rsid w:val="009115B7"/>
    <w:rsid w:val="0091226F"/>
    <w:rsid w:val="00912A7B"/>
    <w:rsid w:val="009131E8"/>
    <w:rsid w:val="00914AE4"/>
    <w:rsid w:val="009162B6"/>
    <w:rsid w:val="00916A48"/>
    <w:rsid w:val="00917147"/>
    <w:rsid w:val="00917A95"/>
    <w:rsid w:val="00920141"/>
    <w:rsid w:val="00921FA6"/>
    <w:rsid w:val="009225F9"/>
    <w:rsid w:val="009229FB"/>
    <w:rsid w:val="009315E7"/>
    <w:rsid w:val="00933122"/>
    <w:rsid w:val="00935F33"/>
    <w:rsid w:val="009363B1"/>
    <w:rsid w:val="00936B19"/>
    <w:rsid w:val="00936DF8"/>
    <w:rsid w:val="00937FF5"/>
    <w:rsid w:val="009401C4"/>
    <w:rsid w:val="009407A5"/>
    <w:rsid w:val="00940A2F"/>
    <w:rsid w:val="00940A9C"/>
    <w:rsid w:val="0094198A"/>
    <w:rsid w:val="0094335C"/>
    <w:rsid w:val="00943C27"/>
    <w:rsid w:val="00944355"/>
    <w:rsid w:val="00945068"/>
    <w:rsid w:val="00947488"/>
    <w:rsid w:val="009476FA"/>
    <w:rsid w:val="00951BE2"/>
    <w:rsid w:val="00952C9E"/>
    <w:rsid w:val="009544F6"/>
    <w:rsid w:val="00956B85"/>
    <w:rsid w:val="0095781A"/>
    <w:rsid w:val="00957A23"/>
    <w:rsid w:val="00960447"/>
    <w:rsid w:val="0096274A"/>
    <w:rsid w:val="0096333D"/>
    <w:rsid w:val="0096358C"/>
    <w:rsid w:val="00963EB5"/>
    <w:rsid w:val="009655A5"/>
    <w:rsid w:val="00967B00"/>
    <w:rsid w:val="00970B6B"/>
    <w:rsid w:val="00971582"/>
    <w:rsid w:val="00971D2A"/>
    <w:rsid w:val="009721AD"/>
    <w:rsid w:val="009724CC"/>
    <w:rsid w:val="00972944"/>
    <w:rsid w:val="00973D7D"/>
    <w:rsid w:val="00975280"/>
    <w:rsid w:val="00976693"/>
    <w:rsid w:val="009821EB"/>
    <w:rsid w:val="009828C5"/>
    <w:rsid w:val="00982A7D"/>
    <w:rsid w:val="00983182"/>
    <w:rsid w:val="00984A44"/>
    <w:rsid w:val="00986589"/>
    <w:rsid w:val="0098687E"/>
    <w:rsid w:val="00990562"/>
    <w:rsid w:val="009905F2"/>
    <w:rsid w:val="0099204D"/>
    <w:rsid w:val="009928B2"/>
    <w:rsid w:val="00992CB2"/>
    <w:rsid w:val="00995070"/>
    <w:rsid w:val="0099579C"/>
    <w:rsid w:val="00995F20"/>
    <w:rsid w:val="009965F0"/>
    <w:rsid w:val="009974B5"/>
    <w:rsid w:val="00997635"/>
    <w:rsid w:val="009A00C2"/>
    <w:rsid w:val="009A0FCC"/>
    <w:rsid w:val="009A168E"/>
    <w:rsid w:val="009A2371"/>
    <w:rsid w:val="009A58AC"/>
    <w:rsid w:val="009A5B8C"/>
    <w:rsid w:val="009B0136"/>
    <w:rsid w:val="009B34A0"/>
    <w:rsid w:val="009B3737"/>
    <w:rsid w:val="009B4E30"/>
    <w:rsid w:val="009B5CF3"/>
    <w:rsid w:val="009B67B8"/>
    <w:rsid w:val="009B6F91"/>
    <w:rsid w:val="009B6FE1"/>
    <w:rsid w:val="009B79A2"/>
    <w:rsid w:val="009C08AF"/>
    <w:rsid w:val="009C26C4"/>
    <w:rsid w:val="009C352B"/>
    <w:rsid w:val="009C3928"/>
    <w:rsid w:val="009C4E9C"/>
    <w:rsid w:val="009C5AAD"/>
    <w:rsid w:val="009C7687"/>
    <w:rsid w:val="009D0825"/>
    <w:rsid w:val="009D2E0D"/>
    <w:rsid w:val="009D4E7F"/>
    <w:rsid w:val="009D53A8"/>
    <w:rsid w:val="009E0FF2"/>
    <w:rsid w:val="009E16F4"/>
    <w:rsid w:val="009E33DC"/>
    <w:rsid w:val="009E3B9B"/>
    <w:rsid w:val="009E4711"/>
    <w:rsid w:val="009E4B25"/>
    <w:rsid w:val="009E6615"/>
    <w:rsid w:val="009E6705"/>
    <w:rsid w:val="009E6A08"/>
    <w:rsid w:val="009E7271"/>
    <w:rsid w:val="009E7277"/>
    <w:rsid w:val="009E7A63"/>
    <w:rsid w:val="009E7F3A"/>
    <w:rsid w:val="009F03FC"/>
    <w:rsid w:val="009F1211"/>
    <w:rsid w:val="009F27D2"/>
    <w:rsid w:val="009F2830"/>
    <w:rsid w:val="009F3DC9"/>
    <w:rsid w:val="009F4448"/>
    <w:rsid w:val="009F5C74"/>
    <w:rsid w:val="009F7B40"/>
    <w:rsid w:val="00A022A4"/>
    <w:rsid w:val="00A05097"/>
    <w:rsid w:val="00A06DA6"/>
    <w:rsid w:val="00A07FD7"/>
    <w:rsid w:val="00A11597"/>
    <w:rsid w:val="00A13FF4"/>
    <w:rsid w:val="00A176CF"/>
    <w:rsid w:val="00A176FF"/>
    <w:rsid w:val="00A17788"/>
    <w:rsid w:val="00A17B8B"/>
    <w:rsid w:val="00A20351"/>
    <w:rsid w:val="00A22734"/>
    <w:rsid w:val="00A229DB"/>
    <w:rsid w:val="00A24F83"/>
    <w:rsid w:val="00A25888"/>
    <w:rsid w:val="00A2595E"/>
    <w:rsid w:val="00A25C31"/>
    <w:rsid w:val="00A26860"/>
    <w:rsid w:val="00A335B0"/>
    <w:rsid w:val="00A3564B"/>
    <w:rsid w:val="00A365FD"/>
    <w:rsid w:val="00A40E6F"/>
    <w:rsid w:val="00A414B3"/>
    <w:rsid w:val="00A41502"/>
    <w:rsid w:val="00A420EB"/>
    <w:rsid w:val="00A4319D"/>
    <w:rsid w:val="00A432C9"/>
    <w:rsid w:val="00A4459A"/>
    <w:rsid w:val="00A448F0"/>
    <w:rsid w:val="00A47106"/>
    <w:rsid w:val="00A472F1"/>
    <w:rsid w:val="00A47D07"/>
    <w:rsid w:val="00A50A0B"/>
    <w:rsid w:val="00A51609"/>
    <w:rsid w:val="00A51EDF"/>
    <w:rsid w:val="00A52681"/>
    <w:rsid w:val="00A53F46"/>
    <w:rsid w:val="00A55B53"/>
    <w:rsid w:val="00A55F36"/>
    <w:rsid w:val="00A570C8"/>
    <w:rsid w:val="00A614CE"/>
    <w:rsid w:val="00A6220E"/>
    <w:rsid w:val="00A623BA"/>
    <w:rsid w:val="00A6381F"/>
    <w:rsid w:val="00A63ECF"/>
    <w:rsid w:val="00A6489A"/>
    <w:rsid w:val="00A64955"/>
    <w:rsid w:val="00A64EFB"/>
    <w:rsid w:val="00A65FC3"/>
    <w:rsid w:val="00A6774F"/>
    <w:rsid w:val="00A70F43"/>
    <w:rsid w:val="00A72BF2"/>
    <w:rsid w:val="00A74542"/>
    <w:rsid w:val="00A77084"/>
    <w:rsid w:val="00A77666"/>
    <w:rsid w:val="00A77E25"/>
    <w:rsid w:val="00A800B6"/>
    <w:rsid w:val="00A81E0E"/>
    <w:rsid w:val="00A834FB"/>
    <w:rsid w:val="00A84470"/>
    <w:rsid w:val="00A870F0"/>
    <w:rsid w:val="00A8777B"/>
    <w:rsid w:val="00A900DC"/>
    <w:rsid w:val="00A9136C"/>
    <w:rsid w:val="00A91485"/>
    <w:rsid w:val="00A928DA"/>
    <w:rsid w:val="00A92BE4"/>
    <w:rsid w:val="00A95235"/>
    <w:rsid w:val="00A95239"/>
    <w:rsid w:val="00A95B7D"/>
    <w:rsid w:val="00A962D0"/>
    <w:rsid w:val="00AA0AEC"/>
    <w:rsid w:val="00AA14E7"/>
    <w:rsid w:val="00AA2CBB"/>
    <w:rsid w:val="00AA5932"/>
    <w:rsid w:val="00AA6484"/>
    <w:rsid w:val="00AA6E9F"/>
    <w:rsid w:val="00AA752E"/>
    <w:rsid w:val="00AA7543"/>
    <w:rsid w:val="00AA7EC5"/>
    <w:rsid w:val="00AB0B81"/>
    <w:rsid w:val="00AB15FD"/>
    <w:rsid w:val="00AB4084"/>
    <w:rsid w:val="00AB49C1"/>
    <w:rsid w:val="00AB4CE9"/>
    <w:rsid w:val="00AB5293"/>
    <w:rsid w:val="00AB5746"/>
    <w:rsid w:val="00AB5873"/>
    <w:rsid w:val="00AB6B58"/>
    <w:rsid w:val="00AB6C1B"/>
    <w:rsid w:val="00AC0B9C"/>
    <w:rsid w:val="00AC0D18"/>
    <w:rsid w:val="00AC0F94"/>
    <w:rsid w:val="00AC2389"/>
    <w:rsid w:val="00AC31DC"/>
    <w:rsid w:val="00AC3EA9"/>
    <w:rsid w:val="00AC40CE"/>
    <w:rsid w:val="00AC4972"/>
    <w:rsid w:val="00AC4CD1"/>
    <w:rsid w:val="00AC4D34"/>
    <w:rsid w:val="00AC59DD"/>
    <w:rsid w:val="00AC6BFA"/>
    <w:rsid w:val="00AD0A02"/>
    <w:rsid w:val="00AD1479"/>
    <w:rsid w:val="00AD2CE9"/>
    <w:rsid w:val="00AD3382"/>
    <w:rsid w:val="00AE175D"/>
    <w:rsid w:val="00AE2121"/>
    <w:rsid w:val="00AE212D"/>
    <w:rsid w:val="00AE2438"/>
    <w:rsid w:val="00AE2BDF"/>
    <w:rsid w:val="00AE4895"/>
    <w:rsid w:val="00AE48DF"/>
    <w:rsid w:val="00AE6236"/>
    <w:rsid w:val="00AF01D0"/>
    <w:rsid w:val="00AF122C"/>
    <w:rsid w:val="00AF144A"/>
    <w:rsid w:val="00AF4385"/>
    <w:rsid w:val="00AF471D"/>
    <w:rsid w:val="00AF49AB"/>
    <w:rsid w:val="00AF52AE"/>
    <w:rsid w:val="00AF5FA0"/>
    <w:rsid w:val="00AF73C3"/>
    <w:rsid w:val="00B009A1"/>
    <w:rsid w:val="00B01611"/>
    <w:rsid w:val="00B02920"/>
    <w:rsid w:val="00B02B65"/>
    <w:rsid w:val="00B03E20"/>
    <w:rsid w:val="00B07CD7"/>
    <w:rsid w:val="00B10A4A"/>
    <w:rsid w:val="00B11764"/>
    <w:rsid w:val="00B138E4"/>
    <w:rsid w:val="00B1449E"/>
    <w:rsid w:val="00B147F5"/>
    <w:rsid w:val="00B14EA8"/>
    <w:rsid w:val="00B16BAD"/>
    <w:rsid w:val="00B22BCD"/>
    <w:rsid w:val="00B23DAD"/>
    <w:rsid w:val="00B252E3"/>
    <w:rsid w:val="00B2645F"/>
    <w:rsid w:val="00B26E8B"/>
    <w:rsid w:val="00B26F24"/>
    <w:rsid w:val="00B31759"/>
    <w:rsid w:val="00B3562C"/>
    <w:rsid w:val="00B36887"/>
    <w:rsid w:val="00B36BD8"/>
    <w:rsid w:val="00B37079"/>
    <w:rsid w:val="00B41A43"/>
    <w:rsid w:val="00B426FB"/>
    <w:rsid w:val="00B44BBB"/>
    <w:rsid w:val="00B46CD8"/>
    <w:rsid w:val="00B50576"/>
    <w:rsid w:val="00B56D38"/>
    <w:rsid w:val="00B61559"/>
    <w:rsid w:val="00B6188D"/>
    <w:rsid w:val="00B64022"/>
    <w:rsid w:val="00B6504D"/>
    <w:rsid w:val="00B70497"/>
    <w:rsid w:val="00B70BAD"/>
    <w:rsid w:val="00B724BA"/>
    <w:rsid w:val="00B727B0"/>
    <w:rsid w:val="00B73A38"/>
    <w:rsid w:val="00B74143"/>
    <w:rsid w:val="00B74B0E"/>
    <w:rsid w:val="00B750B2"/>
    <w:rsid w:val="00B758EC"/>
    <w:rsid w:val="00B76884"/>
    <w:rsid w:val="00B77AB1"/>
    <w:rsid w:val="00B80ABD"/>
    <w:rsid w:val="00B81902"/>
    <w:rsid w:val="00B819EC"/>
    <w:rsid w:val="00B8274D"/>
    <w:rsid w:val="00B847B9"/>
    <w:rsid w:val="00B84C73"/>
    <w:rsid w:val="00B857D5"/>
    <w:rsid w:val="00B87460"/>
    <w:rsid w:val="00B879A2"/>
    <w:rsid w:val="00B91C11"/>
    <w:rsid w:val="00B94C24"/>
    <w:rsid w:val="00B97B8C"/>
    <w:rsid w:val="00BA0C40"/>
    <w:rsid w:val="00BA18D0"/>
    <w:rsid w:val="00BA3230"/>
    <w:rsid w:val="00BA5487"/>
    <w:rsid w:val="00BA7056"/>
    <w:rsid w:val="00BA7602"/>
    <w:rsid w:val="00BA76DB"/>
    <w:rsid w:val="00BA78D8"/>
    <w:rsid w:val="00BA7F62"/>
    <w:rsid w:val="00BB017D"/>
    <w:rsid w:val="00BB3C0A"/>
    <w:rsid w:val="00BB46CA"/>
    <w:rsid w:val="00BB535A"/>
    <w:rsid w:val="00BB5931"/>
    <w:rsid w:val="00BB6146"/>
    <w:rsid w:val="00BB6763"/>
    <w:rsid w:val="00BC3D8D"/>
    <w:rsid w:val="00BC49CE"/>
    <w:rsid w:val="00BC49EE"/>
    <w:rsid w:val="00BC5CB4"/>
    <w:rsid w:val="00BC6518"/>
    <w:rsid w:val="00BC6960"/>
    <w:rsid w:val="00BD00F8"/>
    <w:rsid w:val="00BD0684"/>
    <w:rsid w:val="00BD0EAA"/>
    <w:rsid w:val="00BD0FEC"/>
    <w:rsid w:val="00BD29CD"/>
    <w:rsid w:val="00BD2F4E"/>
    <w:rsid w:val="00BD3005"/>
    <w:rsid w:val="00BD31AF"/>
    <w:rsid w:val="00BD4809"/>
    <w:rsid w:val="00BD7316"/>
    <w:rsid w:val="00BD7AA9"/>
    <w:rsid w:val="00BE0119"/>
    <w:rsid w:val="00BE0884"/>
    <w:rsid w:val="00BE0D88"/>
    <w:rsid w:val="00BE1D20"/>
    <w:rsid w:val="00BE2DF9"/>
    <w:rsid w:val="00BE45BB"/>
    <w:rsid w:val="00BE47F6"/>
    <w:rsid w:val="00BE631D"/>
    <w:rsid w:val="00BE6DDE"/>
    <w:rsid w:val="00BE76BF"/>
    <w:rsid w:val="00BE7D12"/>
    <w:rsid w:val="00BF12CA"/>
    <w:rsid w:val="00BF1C11"/>
    <w:rsid w:val="00BF2676"/>
    <w:rsid w:val="00BF2B34"/>
    <w:rsid w:val="00BF2D54"/>
    <w:rsid w:val="00BF69D6"/>
    <w:rsid w:val="00BF6ABA"/>
    <w:rsid w:val="00C00F9D"/>
    <w:rsid w:val="00C02944"/>
    <w:rsid w:val="00C03471"/>
    <w:rsid w:val="00C035E1"/>
    <w:rsid w:val="00C035F6"/>
    <w:rsid w:val="00C03685"/>
    <w:rsid w:val="00C0379D"/>
    <w:rsid w:val="00C05077"/>
    <w:rsid w:val="00C05DE9"/>
    <w:rsid w:val="00C05E0B"/>
    <w:rsid w:val="00C06515"/>
    <w:rsid w:val="00C07808"/>
    <w:rsid w:val="00C07CE6"/>
    <w:rsid w:val="00C108FD"/>
    <w:rsid w:val="00C125B1"/>
    <w:rsid w:val="00C14C78"/>
    <w:rsid w:val="00C15400"/>
    <w:rsid w:val="00C16BDD"/>
    <w:rsid w:val="00C17422"/>
    <w:rsid w:val="00C17C06"/>
    <w:rsid w:val="00C20744"/>
    <w:rsid w:val="00C210FF"/>
    <w:rsid w:val="00C216AF"/>
    <w:rsid w:val="00C21820"/>
    <w:rsid w:val="00C219A0"/>
    <w:rsid w:val="00C23EFC"/>
    <w:rsid w:val="00C24282"/>
    <w:rsid w:val="00C25B1C"/>
    <w:rsid w:val="00C25D24"/>
    <w:rsid w:val="00C2763D"/>
    <w:rsid w:val="00C3001C"/>
    <w:rsid w:val="00C30A94"/>
    <w:rsid w:val="00C30BF7"/>
    <w:rsid w:val="00C31296"/>
    <w:rsid w:val="00C3299D"/>
    <w:rsid w:val="00C32A6C"/>
    <w:rsid w:val="00C32A71"/>
    <w:rsid w:val="00C338B9"/>
    <w:rsid w:val="00C34413"/>
    <w:rsid w:val="00C3497E"/>
    <w:rsid w:val="00C369E8"/>
    <w:rsid w:val="00C401CD"/>
    <w:rsid w:val="00C40C86"/>
    <w:rsid w:val="00C423CD"/>
    <w:rsid w:val="00C427E7"/>
    <w:rsid w:val="00C45DCF"/>
    <w:rsid w:val="00C476A1"/>
    <w:rsid w:val="00C47985"/>
    <w:rsid w:val="00C47BC4"/>
    <w:rsid w:val="00C50934"/>
    <w:rsid w:val="00C50A84"/>
    <w:rsid w:val="00C51702"/>
    <w:rsid w:val="00C53A25"/>
    <w:rsid w:val="00C54829"/>
    <w:rsid w:val="00C55F08"/>
    <w:rsid w:val="00C560E3"/>
    <w:rsid w:val="00C56DE4"/>
    <w:rsid w:val="00C575C9"/>
    <w:rsid w:val="00C57707"/>
    <w:rsid w:val="00C57FA4"/>
    <w:rsid w:val="00C6038C"/>
    <w:rsid w:val="00C620B4"/>
    <w:rsid w:val="00C62A69"/>
    <w:rsid w:val="00C648DE"/>
    <w:rsid w:val="00C67321"/>
    <w:rsid w:val="00C70DCB"/>
    <w:rsid w:val="00C71B0F"/>
    <w:rsid w:val="00C72748"/>
    <w:rsid w:val="00C7318A"/>
    <w:rsid w:val="00C734DB"/>
    <w:rsid w:val="00C73A7D"/>
    <w:rsid w:val="00C74037"/>
    <w:rsid w:val="00C7438D"/>
    <w:rsid w:val="00C74B13"/>
    <w:rsid w:val="00C8098B"/>
    <w:rsid w:val="00C81FF1"/>
    <w:rsid w:val="00C82328"/>
    <w:rsid w:val="00C834FA"/>
    <w:rsid w:val="00C83B09"/>
    <w:rsid w:val="00C849B6"/>
    <w:rsid w:val="00C86355"/>
    <w:rsid w:val="00C868A5"/>
    <w:rsid w:val="00C869BB"/>
    <w:rsid w:val="00C86C49"/>
    <w:rsid w:val="00C903EA"/>
    <w:rsid w:val="00C91C20"/>
    <w:rsid w:val="00C93A6E"/>
    <w:rsid w:val="00C93DB1"/>
    <w:rsid w:val="00C946D2"/>
    <w:rsid w:val="00C97B33"/>
    <w:rsid w:val="00CA019F"/>
    <w:rsid w:val="00CA1BC6"/>
    <w:rsid w:val="00CA4303"/>
    <w:rsid w:val="00CA593E"/>
    <w:rsid w:val="00CA688B"/>
    <w:rsid w:val="00CA6E22"/>
    <w:rsid w:val="00CA71C9"/>
    <w:rsid w:val="00CA777E"/>
    <w:rsid w:val="00CB026D"/>
    <w:rsid w:val="00CB055E"/>
    <w:rsid w:val="00CB0596"/>
    <w:rsid w:val="00CB142B"/>
    <w:rsid w:val="00CB1BA4"/>
    <w:rsid w:val="00CB33A4"/>
    <w:rsid w:val="00CB3E97"/>
    <w:rsid w:val="00CB52FF"/>
    <w:rsid w:val="00CB53D0"/>
    <w:rsid w:val="00CB5F83"/>
    <w:rsid w:val="00CC02EB"/>
    <w:rsid w:val="00CC05BC"/>
    <w:rsid w:val="00CC123E"/>
    <w:rsid w:val="00CC2DD7"/>
    <w:rsid w:val="00CC355B"/>
    <w:rsid w:val="00CC385E"/>
    <w:rsid w:val="00CC3EC0"/>
    <w:rsid w:val="00CC5D72"/>
    <w:rsid w:val="00CC67DC"/>
    <w:rsid w:val="00CC6A1A"/>
    <w:rsid w:val="00CD0502"/>
    <w:rsid w:val="00CD1C34"/>
    <w:rsid w:val="00CD3B26"/>
    <w:rsid w:val="00CD464F"/>
    <w:rsid w:val="00CD4A39"/>
    <w:rsid w:val="00CD5168"/>
    <w:rsid w:val="00CE0C4F"/>
    <w:rsid w:val="00CE169C"/>
    <w:rsid w:val="00CE267A"/>
    <w:rsid w:val="00CE2906"/>
    <w:rsid w:val="00CE3B66"/>
    <w:rsid w:val="00CE4DAC"/>
    <w:rsid w:val="00CE559A"/>
    <w:rsid w:val="00CE6DAB"/>
    <w:rsid w:val="00CF1704"/>
    <w:rsid w:val="00CF1ABB"/>
    <w:rsid w:val="00CF1CB9"/>
    <w:rsid w:val="00CF209C"/>
    <w:rsid w:val="00CF23AD"/>
    <w:rsid w:val="00CF242B"/>
    <w:rsid w:val="00CF2D9B"/>
    <w:rsid w:val="00CF3807"/>
    <w:rsid w:val="00CF43AC"/>
    <w:rsid w:val="00CF4D73"/>
    <w:rsid w:val="00CF5B4B"/>
    <w:rsid w:val="00CF5D46"/>
    <w:rsid w:val="00CF6B1B"/>
    <w:rsid w:val="00CF7D5C"/>
    <w:rsid w:val="00CF7F02"/>
    <w:rsid w:val="00D00925"/>
    <w:rsid w:val="00D00CB4"/>
    <w:rsid w:val="00D018CC"/>
    <w:rsid w:val="00D0197B"/>
    <w:rsid w:val="00D0561C"/>
    <w:rsid w:val="00D05863"/>
    <w:rsid w:val="00D06F4C"/>
    <w:rsid w:val="00D10954"/>
    <w:rsid w:val="00D111EB"/>
    <w:rsid w:val="00D117DC"/>
    <w:rsid w:val="00D11D1A"/>
    <w:rsid w:val="00D11E43"/>
    <w:rsid w:val="00D12BE7"/>
    <w:rsid w:val="00D132E4"/>
    <w:rsid w:val="00D14912"/>
    <w:rsid w:val="00D14EF1"/>
    <w:rsid w:val="00D15083"/>
    <w:rsid w:val="00D17DBE"/>
    <w:rsid w:val="00D21ACC"/>
    <w:rsid w:val="00D21CE5"/>
    <w:rsid w:val="00D26090"/>
    <w:rsid w:val="00D2636A"/>
    <w:rsid w:val="00D26EF9"/>
    <w:rsid w:val="00D30124"/>
    <w:rsid w:val="00D318C3"/>
    <w:rsid w:val="00D34CFD"/>
    <w:rsid w:val="00D35F5C"/>
    <w:rsid w:val="00D409E5"/>
    <w:rsid w:val="00D4149C"/>
    <w:rsid w:val="00D42D71"/>
    <w:rsid w:val="00D45052"/>
    <w:rsid w:val="00D453DE"/>
    <w:rsid w:val="00D45DCC"/>
    <w:rsid w:val="00D47840"/>
    <w:rsid w:val="00D525F2"/>
    <w:rsid w:val="00D53CD6"/>
    <w:rsid w:val="00D54B83"/>
    <w:rsid w:val="00D5538C"/>
    <w:rsid w:val="00D55708"/>
    <w:rsid w:val="00D56C1C"/>
    <w:rsid w:val="00D56DDC"/>
    <w:rsid w:val="00D621B0"/>
    <w:rsid w:val="00D623BC"/>
    <w:rsid w:val="00D631A7"/>
    <w:rsid w:val="00D640A4"/>
    <w:rsid w:val="00D64533"/>
    <w:rsid w:val="00D670A4"/>
    <w:rsid w:val="00D67158"/>
    <w:rsid w:val="00D67270"/>
    <w:rsid w:val="00D72680"/>
    <w:rsid w:val="00D72C3D"/>
    <w:rsid w:val="00D744B6"/>
    <w:rsid w:val="00D74E16"/>
    <w:rsid w:val="00D74F8C"/>
    <w:rsid w:val="00D75DB0"/>
    <w:rsid w:val="00D769CB"/>
    <w:rsid w:val="00D7771B"/>
    <w:rsid w:val="00D829F9"/>
    <w:rsid w:val="00D82FB2"/>
    <w:rsid w:val="00D83CB4"/>
    <w:rsid w:val="00D83E82"/>
    <w:rsid w:val="00D8581A"/>
    <w:rsid w:val="00D8587C"/>
    <w:rsid w:val="00D85F03"/>
    <w:rsid w:val="00D86803"/>
    <w:rsid w:val="00D87C93"/>
    <w:rsid w:val="00D90268"/>
    <w:rsid w:val="00D91276"/>
    <w:rsid w:val="00D92356"/>
    <w:rsid w:val="00D926F9"/>
    <w:rsid w:val="00D933EF"/>
    <w:rsid w:val="00D967DB"/>
    <w:rsid w:val="00DA018E"/>
    <w:rsid w:val="00DA0704"/>
    <w:rsid w:val="00DA0E04"/>
    <w:rsid w:val="00DA2B9A"/>
    <w:rsid w:val="00DA65AB"/>
    <w:rsid w:val="00DB0C06"/>
    <w:rsid w:val="00DB126A"/>
    <w:rsid w:val="00DB1A52"/>
    <w:rsid w:val="00DB1CA4"/>
    <w:rsid w:val="00DB1FCF"/>
    <w:rsid w:val="00DB37FF"/>
    <w:rsid w:val="00DB395B"/>
    <w:rsid w:val="00DB4B57"/>
    <w:rsid w:val="00DB581C"/>
    <w:rsid w:val="00DB5E80"/>
    <w:rsid w:val="00DB5F7C"/>
    <w:rsid w:val="00DC23FE"/>
    <w:rsid w:val="00DC3D83"/>
    <w:rsid w:val="00DC4292"/>
    <w:rsid w:val="00DC4EA6"/>
    <w:rsid w:val="00DC538A"/>
    <w:rsid w:val="00DC7705"/>
    <w:rsid w:val="00DC77C8"/>
    <w:rsid w:val="00DD06BB"/>
    <w:rsid w:val="00DD311D"/>
    <w:rsid w:val="00DD33BA"/>
    <w:rsid w:val="00DD394E"/>
    <w:rsid w:val="00DE22A0"/>
    <w:rsid w:val="00DE2A40"/>
    <w:rsid w:val="00DE3CA5"/>
    <w:rsid w:val="00DE4881"/>
    <w:rsid w:val="00DE4A96"/>
    <w:rsid w:val="00DE5526"/>
    <w:rsid w:val="00DE67D7"/>
    <w:rsid w:val="00DE753B"/>
    <w:rsid w:val="00DE7B03"/>
    <w:rsid w:val="00DF1CA6"/>
    <w:rsid w:val="00DF233B"/>
    <w:rsid w:val="00DF269F"/>
    <w:rsid w:val="00DF2AC1"/>
    <w:rsid w:val="00DF3163"/>
    <w:rsid w:val="00DF4D00"/>
    <w:rsid w:val="00DF588D"/>
    <w:rsid w:val="00DF58A3"/>
    <w:rsid w:val="00DF5C28"/>
    <w:rsid w:val="00DF797B"/>
    <w:rsid w:val="00E00C2C"/>
    <w:rsid w:val="00E00C79"/>
    <w:rsid w:val="00E01562"/>
    <w:rsid w:val="00E029B0"/>
    <w:rsid w:val="00E03E4F"/>
    <w:rsid w:val="00E043D0"/>
    <w:rsid w:val="00E07252"/>
    <w:rsid w:val="00E1036B"/>
    <w:rsid w:val="00E12055"/>
    <w:rsid w:val="00E120E1"/>
    <w:rsid w:val="00E128F1"/>
    <w:rsid w:val="00E1320C"/>
    <w:rsid w:val="00E1391A"/>
    <w:rsid w:val="00E13948"/>
    <w:rsid w:val="00E140D2"/>
    <w:rsid w:val="00E15064"/>
    <w:rsid w:val="00E15644"/>
    <w:rsid w:val="00E161FD"/>
    <w:rsid w:val="00E1708B"/>
    <w:rsid w:val="00E17544"/>
    <w:rsid w:val="00E22353"/>
    <w:rsid w:val="00E22FBD"/>
    <w:rsid w:val="00E24E88"/>
    <w:rsid w:val="00E25F24"/>
    <w:rsid w:val="00E25F35"/>
    <w:rsid w:val="00E26363"/>
    <w:rsid w:val="00E26485"/>
    <w:rsid w:val="00E26C49"/>
    <w:rsid w:val="00E26EF4"/>
    <w:rsid w:val="00E275B9"/>
    <w:rsid w:val="00E3018F"/>
    <w:rsid w:val="00E3256E"/>
    <w:rsid w:val="00E341D1"/>
    <w:rsid w:val="00E353AA"/>
    <w:rsid w:val="00E35A32"/>
    <w:rsid w:val="00E40C57"/>
    <w:rsid w:val="00E40C9A"/>
    <w:rsid w:val="00E42D11"/>
    <w:rsid w:val="00E43F0A"/>
    <w:rsid w:val="00E44D29"/>
    <w:rsid w:val="00E450CA"/>
    <w:rsid w:val="00E45CB9"/>
    <w:rsid w:val="00E475A9"/>
    <w:rsid w:val="00E503D7"/>
    <w:rsid w:val="00E51836"/>
    <w:rsid w:val="00E52E8E"/>
    <w:rsid w:val="00E54441"/>
    <w:rsid w:val="00E55477"/>
    <w:rsid w:val="00E60E80"/>
    <w:rsid w:val="00E63075"/>
    <w:rsid w:val="00E64AEA"/>
    <w:rsid w:val="00E7108C"/>
    <w:rsid w:val="00E71194"/>
    <w:rsid w:val="00E73B51"/>
    <w:rsid w:val="00E7419C"/>
    <w:rsid w:val="00E748ED"/>
    <w:rsid w:val="00E749CF"/>
    <w:rsid w:val="00E7514E"/>
    <w:rsid w:val="00E81116"/>
    <w:rsid w:val="00E82346"/>
    <w:rsid w:val="00E825FE"/>
    <w:rsid w:val="00E83C81"/>
    <w:rsid w:val="00E84E78"/>
    <w:rsid w:val="00E861DE"/>
    <w:rsid w:val="00E902B2"/>
    <w:rsid w:val="00E90ABB"/>
    <w:rsid w:val="00E9233E"/>
    <w:rsid w:val="00E92FAE"/>
    <w:rsid w:val="00E94A0B"/>
    <w:rsid w:val="00E95483"/>
    <w:rsid w:val="00E968E4"/>
    <w:rsid w:val="00E96A41"/>
    <w:rsid w:val="00EA0E8A"/>
    <w:rsid w:val="00EA1B00"/>
    <w:rsid w:val="00EA266F"/>
    <w:rsid w:val="00EA306D"/>
    <w:rsid w:val="00EA3FE9"/>
    <w:rsid w:val="00EA573D"/>
    <w:rsid w:val="00EA6CB4"/>
    <w:rsid w:val="00EA7BAC"/>
    <w:rsid w:val="00EB12FC"/>
    <w:rsid w:val="00EB6065"/>
    <w:rsid w:val="00EC0953"/>
    <w:rsid w:val="00EC193D"/>
    <w:rsid w:val="00EC389C"/>
    <w:rsid w:val="00EC3C56"/>
    <w:rsid w:val="00EC4763"/>
    <w:rsid w:val="00EC5263"/>
    <w:rsid w:val="00EC5C66"/>
    <w:rsid w:val="00ED0772"/>
    <w:rsid w:val="00ED079F"/>
    <w:rsid w:val="00ED09C7"/>
    <w:rsid w:val="00ED0BDA"/>
    <w:rsid w:val="00ED1530"/>
    <w:rsid w:val="00ED21AB"/>
    <w:rsid w:val="00ED2B5D"/>
    <w:rsid w:val="00ED38A9"/>
    <w:rsid w:val="00ED47CB"/>
    <w:rsid w:val="00ED60B1"/>
    <w:rsid w:val="00ED62DE"/>
    <w:rsid w:val="00EE2E84"/>
    <w:rsid w:val="00EE32B7"/>
    <w:rsid w:val="00EE44BE"/>
    <w:rsid w:val="00EE531F"/>
    <w:rsid w:val="00EE602A"/>
    <w:rsid w:val="00EE7D63"/>
    <w:rsid w:val="00EF08BF"/>
    <w:rsid w:val="00EF0B3F"/>
    <w:rsid w:val="00EF173D"/>
    <w:rsid w:val="00EF209D"/>
    <w:rsid w:val="00EF25E2"/>
    <w:rsid w:val="00EF26B1"/>
    <w:rsid w:val="00EF2FF0"/>
    <w:rsid w:val="00EF32DD"/>
    <w:rsid w:val="00EF475A"/>
    <w:rsid w:val="00EF5565"/>
    <w:rsid w:val="00EF7E4E"/>
    <w:rsid w:val="00F01A6B"/>
    <w:rsid w:val="00F025FC"/>
    <w:rsid w:val="00F053D8"/>
    <w:rsid w:val="00F061D1"/>
    <w:rsid w:val="00F06A30"/>
    <w:rsid w:val="00F07276"/>
    <w:rsid w:val="00F07C21"/>
    <w:rsid w:val="00F11D58"/>
    <w:rsid w:val="00F13353"/>
    <w:rsid w:val="00F17506"/>
    <w:rsid w:val="00F20715"/>
    <w:rsid w:val="00F21C64"/>
    <w:rsid w:val="00F22894"/>
    <w:rsid w:val="00F2307D"/>
    <w:rsid w:val="00F236AD"/>
    <w:rsid w:val="00F245F5"/>
    <w:rsid w:val="00F253F8"/>
    <w:rsid w:val="00F2572F"/>
    <w:rsid w:val="00F25C55"/>
    <w:rsid w:val="00F26151"/>
    <w:rsid w:val="00F2646C"/>
    <w:rsid w:val="00F27656"/>
    <w:rsid w:val="00F308DC"/>
    <w:rsid w:val="00F32E86"/>
    <w:rsid w:val="00F330FB"/>
    <w:rsid w:val="00F337A8"/>
    <w:rsid w:val="00F33B9C"/>
    <w:rsid w:val="00F36F0D"/>
    <w:rsid w:val="00F40160"/>
    <w:rsid w:val="00F415DB"/>
    <w:rsid w:val="00F430F4"/>
    <w:rsid w:val="00F433A2"/>
    <w:rsid w:val="00F43ADC"/>
    <w:rsid w:val="00F43E70"/>
    <w:rsid w:val="00F44518"/>
    <w:rsid w:val="00F45093"/>
    <w:rsid w:val="00F45C26"/>
    <w:rsid w:val="00F47250"/>
    <w:rsid w:val="00F50EDF"/>
    <w:rsid w:val="00F51117"/>
    <w:rsid w:val="00F52AB3"/>
    <w:rsid w:val="00F54BEA"/>
    <w:rsid w:val="00F603BD"/>
    <w:rsid w:val="00F60B6A"/>
    <w:rsid w:val="00F624E3"/>
    <w:rsid w:val="00F63D93"/>
    <w:rsid w:val="00F6449A"/>
    <w:rsid w:val="00F67E13"/>
    <w:rsid w:val="00F72A60"/>
    <w:rsid w:val="00F731A6"/>
    <w:rsid w:val="00F74B54"/>
    <w:rsid w:val="00F77806"/>
    <w:rsid w:val="00F82F22"/>
    <w:rsid w:val="00F8325B"/>
    <w:rsid w:val="00F84A86"/>
    <w:rsid w:val="00F85F76"/>
    <w:rsid w:val="00F86914"/>
    <w:rsid w:val="00F878E9"/>
    <w:rsid w:val="00F91346"/>
    <w:rsid w:val="00F91B91"/>
    <w:rsid w:val="00F924D9"/>
    <w:rsid w:val="00F938A9"/>
    <w:rsid w:val="00F93C0C"/>
    <w:rsid w:val="00F943DA"/>
    <w:rsid w:val="00F9465B"/>
    <w:rsid w:val="00F95028"/>
    <w:rsid w:val="00F953B1"/>
    <w:rsid w:val="00F959BB"/>
    <w:rsid w:val="00F96211"/>
    <w:rsid w:val="00F97285"/>
    <w:rsid w:val="00FA0345"/>
    <w:rsid w:val="00FA420E"/>
    <w:rsid w:val="00FA5400"/>
    <w:rsid w:val="00FA75AB"/>
    <w:rsid w:val="00FB0844"/>
    <w:rsid w:val="00FB27B2"/>
    <w:rsid w:val="00FB2E6B"/>
    <w:rsid w:val="00FB361F"/>
    <w:rsid w:val="00FB404C"/>
    <w:rsid w:val="00FB41F4"/>
    <w:rsid w:val="00FB4DC6"/>
    <w:rsid w:val="00FB5632"/>
    <w:rsid w:val="00FB5958"/>
    <w:rsid w:val="00FB61D0"/>
    <w:rsid w:val="00FC13A2"/>
    <w:rsid w:val="00FC237E"/>
    <w:rsid w:val="00FC26C3"/>
    <w:rsid w:val="00FC2C71"/>
    <w:rsid w:val="00FC4FF2"/>
    <w:rsid w:val="00FC5832"/>
    <w:rsid w:val="00FC5B0C"/>
    <w:rsid w:val="00FC7F02"/>
    <w:rsid w:val="00FD108F"/>
    <w:rsid w:val="00FD40C9"/>
    <w:rsid w:val="00FD7EBE"/>
    <w:rsid w:val="00FE15C1"/>
    <w:rsid w:val="00FE33C1"/>
    <w:rsid w:val="00FE4B34"/>
    <w:rsid w:val="00FF0D42"/>
    <w:rsid w:val="00FF19F1"/>
    <w:rsid w:val="00FF1D53"/>
    <w:rsid w:val="00FF4177"/>
    <w:rsid w:val="00FF4910"/>
    <w:rsid w:val="00FF5F40"/>
    <w:rsid w:val="00FF73A8"/>
    <w:rsid w:val="00FF79DC"/>
    <w:rsid w:val="00FF7D69"/>
    <w:rsid w:val="012E75DC"/>
    <w:rsid w:val="01B40A22"/>
    <w:rsid w:val="027D0508"/>
    <w:rsid w:val="035C471D"/>
    <w:rsid w:val="03985542"/>
    <w:rsid w:val="04765E36"/>
    <w:rsid w:val="05070317"/>
    <w:rsid w:val="05EB2AAB"/>
    <w:rsid w:val="08FE5F58"/>
    <w:rsid w:val="0B981B67"/>
    <w:rsid w:val="0BFD20F0"/>
    <w:rsid w:val="0C8A5BAF"/>
    <w:rsid w:val="0E2804C4"/>
    <w:rsid w:val="0E3C6814"/>
    <w:rsid w:val="0E451DEF"/>
    <w:rsid w:val="0E6415D2"/>
    <w:rsid w:val="0F17111B"/>
    <w:rsid w:val="0F316FF6"/>
    <w:rsid w:val="10164744"/>
    <w:rsid w:val="101C1DE4"/>
    <w:rsid w:val="1030763E"/>
    <w:rsid w:val="12094591"/>
    <w:rsid w:val="121B7654"/>
    <w:rsid w:val="12240A7B"/>
    <w:rsid w:val="125714F0"/>
    <w:rsid w:val="12C014A3"/>
    <w:rsid w:val="13900EE6"/>
    <w:rsid w:val="14593607"/>
    <w:rsid w:val="156A5E36"/>
    <w:rsid w:val="15B5755B"/>
    <w:rsid w:val="16E054FE"/>
    <w:rsid w:val="1768483B"/>
    <w:rsid w:val="17BDB19B"/>
    <w:rsid w:val="17BF803D"/>
    <w:rsid w:val="199A2D84"/>
    <w:rsid w:val="19DDE436"/>
    <w:rsid w:val="1A736AA5"/>
    <w:rsid w:val="1C2804EF"/>
    <w:rsid w:val="1E1014BF"/>
    <w:rsid w:val="1EA6651A"/>
    <w:rsid w:val="1EDA07E2"/>
    <w:rsid w:val="2006717B"/>
    <w:rsid w:val="201B3E66"/>
    <w:rsid w:val="207B2B57"/>
    <w:rsid w:val="21D4251F"/>
    <w:rsid w:val="21FB338A"/>
    <w:rsid w:val="22095D3C"/>
    <w:rsid w:val="23237069"/>
    <w:rsid w:val="234C4337"/>
    <w:rsid w:val="24CE32F2"/>
    <w:rsid w:val="24E02ACF"/>
    <w:rsid w:val="24E231A5"/>
    <w:rsid w:val="24FB32EC"/>
    <w:rsid w:val="254C6FAD"/>
    <w:rsid w:val="254E1747"/>
    <w:rsid w:val="25A448BF"/>
    <w:rsid w:val="25CA3264"/>
    <w:rsid w:val="28622FF6"/>
    <w:rsid w:val="2BC479A3"/>
    <w:rsid w:val="2C1E1724"/>
    <w:rsid w:val="2C6A598D"/>
    <w:rsid w:val="2D09004F"/>
    <w:rsid w:val="2E336542"/>
    <w:rsid w:val="2F723377"/>
    <w:rsid w:val="300F6E18"/>
    <w:rsid w:val="3128523A"/>
    <w:rsid w:val="324F174E"/>
    <w:rsid w:val="32FC18D5"/>
    <w:rsid w:val="33656783"/>
    <w:rsid w:val="33D84872"/>
    <w:rsid w:val="351D1FD7"/>
    <w:rsid w:val="35AD6EB7"/>
    <w:rsid w:val="35B66A08"/>
    <w:rsid w:val="37C3501D"/>
    <w:rsid w:val="39EC1ABD"/>
    <w:rsid w:val="3B733F12"/>
    <w:rsid w:val="3BBDE426"/>
    <w:rsid w:val="3BCB62F5"/>
    <w:rsid w:val="3E53B9F8"/>
    <w:rsid w:val="3EDD6F8A"/>
    <w:rsid w:val="3F1A67DE"/>
    <w:rsid w:val="419657C6"/>
    <w:rsid w:val="41B131DD"/>
    <w:rsid w:val="42D625E5"/>
    <w:rsid w:val="446B7F31"/>
    <w:rsid w:val="45A05ABF"/>
    <w:rsid w:val="47EEF27F"/>
    <w:rsid w:val="492228AF"/>
    <w:rsid w:val="4B073AB3"/>
    <w:rsid w:val="4B8E7740"/>
    <w:rsid w:val="4B9D1597"/>
    <w:rsid w:val="4BE428AA"/>
    <w:rsid w:val="4BFAB589"/>
    <w:rsid w:val="4C4E4E5E"/>
    <w:rsid w:val="4C80319B"/>
    <w:rsid w:val="4CB35983"/>
    <w:rsid w:val="4E3C4E24"/>
    <w:rsid w:val="4E625285"/>
    <w:rsid w:val="4EFC102A"/>
    <w:rsid w:val="4F357B58"/>
    <w:rsid w:val="4F6EFB3A"/>
    <w:rsid w:val="4FEED770"/>
    <w:rsid w:val="50140E1B"/>
    <w:rsid w:val="5068568B"/>
    <w:rsid w:val="522B006F"/>
    <w:rsid w:val="532F3457"/>
    <w:rsid w:val="54497379"/>
    <w:rsid w:val="544A1CE7"/>
    <w:rsid w:val="545908E0"/>
    <w:rsid w:val="54AB2576"/>
    <w:rsid w:val="554E6880"/>
    <w:rsid w:val="56D93725"/>
    <w:rsid w:val="570044FC"/>
    <w:rsid w:val="57917F8F"/>
    <w:rsid w:val="57F3E562"/>
    <w:rsid w:val="57FB5D50"/>
    <w:rsid w:val="58023C74"/>
    <w:rsid w:val="58D4141C"/>
    <w:rsid w:val="5939268C"/>
    <w:rsid w:val="59CE02D1"/>
    <w:rsid w:val="5A1E7E28"/>
    <w:rsid w:val="5A3134A1"/>
    <w:rsid w:val="5A5E4ABD"/>
    <w:rsid w:val="5B557525"/>
    <w:rsid w:val="5B57D96B"/>
    <w:rsid w:val="5DA037A2"/>
    <w:rsid w:val="5DFD5139"/>
    <w:rsid w:val="5DFDC72B"/>
    <w:rsid w:val="5DFFFD2F"/>
    <w:rsid w:val="5EBE810C"/>
    <w:rsid w:val="5F67EFCB"/>
    <w:rsid w:val="5F864151"/>
    <w:rsid w:val="5FC44C79"/>
    <w:rsid w:val="5FF58F15"/>
    <w:rsid w:val="61783A0A"/>
    <w:rsid w:val="61CB0541"/>
    <w:rsid w:val="627D587D"/>
    <w:rsid w:val="63EB0A27"/>
    <w:rsid w:val="656E3B6A"/>
    <w:rsid w:val="666B35E7"/>
    <w:rsid w:val="67FF4435"/>
    <w:rsid w:val="695C6E30"/>
    <w:rsid w:val="6AB00D7F"/>
    <w:rsid w:val="6AFFF61D"/>
    <w:rsid w:val="6C237065"/>
    <w:rsid w:val="6D5D7E99"/>
    <w:rsid w:val="6DF4114F"/>
    <w:rsid w:val="6EC875C2"/>
    <w:rsid w:val="6F093AF1"/>
    <w:rsid w:val="6F9755A2"/>
    <w:rsid w:val="6FA83AAB"/>
    <w:rsid w:val="6FD629DB"/>
    <w:rsid w:val="6FE53B49"/>
    <w:rsid w:val="70AA6ABF"/>
    <w:rsid w:val="717F4F70"/>
    <w:rsid w:val="718C11E5"/>
    <w:rsid w:val="72A71804"/>
    <w:rsid w:val="72FB5956"/>
    <w:rsid w:val="73317534"/>
    <w:rsid w:val="73D7A2B0"/>
    <w:rsid w:val="73E250A5"/>
    <w:rsid w:val="74AA5A49"/>
    <w:rsid w:val="75006194"/>
    <w:rsid w:val="75FB5467"/>
    <w:rsid w:val="760D2A7F"/>
    <w:rsid w:val="76D375B8"/>
    <w:rsid w:val="76D87DA0"/>
    <w:rsid w:val="76F33D32"/>
    <w:rsid w:val="777F0ABE"/>
    <w:rsid w:val="77EFD438"/>
    <w:rsid w:val="77FADFB5"/>
    <w:rsid w:val="787F7678"/>
    <w:rsid w:val="78E1112B"/>
    <w:rsid w:val="79783E65"/>
    <w:rsid w:val="797D60A6"/>
    <w:rsid w:val="79D97847"/>
    <w:rsid w:val="79F7971A"/>
    <w:rsid w:val="7B4D7D7A"/>
    <w:rsid w:val="7B7C03FB"/>
    <w:rsid w:val="7BF74621"/>
    <w:rsid w:val="7DE006E9"/>
    <w:rsid w:val="7DEE985A"/>
    <w:rsid w:val="7DFE7F48"/>
    <w:rsid w:val="7EED5FA3"/>
    <w:rsid w:val="7EFF2594"/>
    <w:rsid w:val="7F47C275"/>
    <w:rsid w:val="7F7F3BF9"/>
    <w:rsid w:val="7FEF521E"/>
    <w:rsid w:val="7FF642DB"/>
    <w:rsid w:val="7FFC193A"/>
    <w:rsid w:val="7FFC82A1"/>
    <w:rsid w:val="7FFEF214"/>
    <w:rsid w:val="7FFF3D68"/>
    <w:rsid w:val="7FFF72B6"/>
    <w:rsid w:val="899DFA96"/>
    <w:rsid w:val="9723DE7D"/>
    <w:rsid w:val="9FBBAF34"/>
    <w:rsid w:val="9FF45A36"/>
    <w:rsid w:val="B5EF419E"/>
    <w:rsid w:val="BEA32C5D"/>
    <w:rsid w:val="BECFEE28"/>
    <w:rsid w:val="BEFE2C26"/>
    <w:rsid w:val="BF7CE5C1"/>
    <w:rsid w:val="BFD782A2"/>
    <w:rsid w:val="BFFC8BE0"/>
    <w:rsid w:val="CD5ECCF1"/>
    <w:rsid w:val="D15C4132"/>
    <w:rsid w:val="D6E9ED6B"/>
    <w:rsid w:val="D756EE43"/>
    <w:rsid w:val="D7B79859"/>
    <w:rsid w:val="D9F3F8AC"/>
    <w:rsid w:val="DD7E551A"/>
    <w:rsid w:val="DECE9FF4"/>
    <w:rsid w:val="DFF7A882"/>
    <w:rsid w:val="DFF9DEA2"/>
    <w:rsid w:val="E1FE2BBE"/>
    <w:rsid w:val="EB5F3FF4"/>
    <w:rsid w:val="EBFB5A73"/>
    <w:rsid w:val="EBFF310B"/>
    <w:rsid w:val="ECFBCD20"/>
    <w:rsid w:val="ED5B562B"/>
    <w:rsid w:val="ED6A8FE9"/>
    <w:rsid w:val="ED76F7DE"/>
    <w:rsid w:val="EDEDDE00"/>
    <w:rsid w:val="EE8BF7C3"/>
    <w:rsid w:val="F0AD8161"/>
    <w:rsid w:val="F2F7FC04"/>
    <w:rsid w:val="F4FC1DA3"/>
    <w:rsid w:val="F7375EC6"/>
    <w:rsid w:val="F751FA54"/>
    <w:rsid w:val="F7C75617"/>
    <w:rsid w:val="F7D78694"/>
    <w:rsid w:val="FB218E6C"/>
    <w:rsid w:val="FBBBC222"/>
    <w:rsid w:val="FBF7B9A8"/>
    <w:rsid w:val="FCEF16BF"/>
    <w:rsid w:val="FCF34568"/>
    <w:rsid w:val="FCF77341"/>
    <w:rsid w:val="FD5E8AF8"/>
    <w:rsid w:val="FD6F6D00"/>
    <w:rsid w:val="FDEF78A7"/>
    <w:rsid w:val="FE6E9FDD"/>
    <w:rsid w:val="FE7B5934"/>
    <w:rsid w:val="FE7F5E32"/>
    <w:rsid w:val="FEDE2F80"/>
    <w:rsid w:val="FEF761EE"/>
    <w:rsid w:val="FEFF173A"/>
    <w:rsid w:val="FF4BE0D4"/>
    <w:rsid w:val="FF6F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18"/>
      <w:szCs w:val="18"/>
      <w:lang w:val="en-US" w:eastAsia="zh-CN" w:bidi="ar-SA"/>
    </w:rPr>
  </w:style>
  <w:style w:type="paragraph" w:styleId="2">
    <w:name w:val="heading 1"/>
    <w:basedOn w:val="1"/>
    <w:next w:val="1"/>
    <w:link w:val="26"/>
    <w:qFormat/>
    <w:uiPriority w:val="0"/>
    <w:pPr>
      <w:adjustRightInd w:val="0"/>
      <w:snapToGrid w:val="0"/>
      <w:spacing w:before="100" w:beforeLines="100" w:after="50" w:afterLines="50"/>
      <w:ind w:firstLine="200" w:firstLineChars="200"/>
      <w:outlineLvl w:val="0"/>
    </w:pPr>
    <w:rPr>
      <w:rFonts w:ascii="黑体" w:eastAsia="黑体" w:cs="宋体"/>
      <w:color w:val="000000"/>
      <w:sz w:val="28"/>
      <w:szCs w:val="28"/>
    </w:rPr>
  </w:style>
  <w:style w:type="paragraph" w:styleId="3">
    <w:name w:val="heading 2"/>
    <w:basedOn w:val="1"/>
    <w:next w:val="4"/>
    <w:link w:val="38"/>
    <w:unhideWhenUsed/>
    <w:qFormat/>
    <w:uiPriority w:val="0"/>
    <w:pPr>
      <w:keepNext/>
      <w:keepLines/>
      <w:spacing w:line="520" w:lineRule="exact"/>
      <w:ind w:firstLine="200" w:firstLineChars="200"/>
      <w:outlineLvl w:val="1"/>
    </w:pPr>
    <w:rPr>
      <w:rFonts w:eastAsia="仿宋_GB2312" w:asciiTheme="majorHAnsi" w:hAnsiTheme="majorHAnsi" w:cstheme="majorBidi"/>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公开正文小四"/>
    <w:basedOn w:val="1"/>
    <w:link w:val="39"/>
    <w:qFormat/>
    <w:uiPriority w:val="0"/>
    <w:pPr>
      <w:spacing w:line="520" w:lineRule="exact"/>
      <w:ind w:firstLine="200" w:firstLineChars="200"/>
    </w:pPr>
    <w:rPr>
      <w:rFonts w:ascii="仿宋_GB2312" w:eastAsia="仿宋_GB2312"/>
      <w:sz w:val="28"/>
      <w:szCs w:val="24"/>
    </w:rPr>
  </w:style>
  <w:style w:type="paragraph" w:styleId="5">
    <w:name w:val="Document Map"/>
    <w:basedOn w:val="1"/>
    <w:link w:val="33"/>
    <w:qFormat/>
    <w:uiPriority w:val="0"/>
    <w:rPr>
      <w:rFonts w:ascii="宋体"/>
    </w:rPr>
  </w:style>
  <w:style w:type="paragraph" w:styleId="6">
    <w:name w:val="annotation text"/>
    <w:basedOn w:val="1"/>
    <w:link w:val="28"/>
    <w:qFormat/>
    <w:uiPriority w:val="0"/>
    <w:pPr>
      <w:jc w:val="left"/>
    </w:pPr>
    <w:rPr>
      <w:lang w:val="zh-CN"/>
    </w:rPr>
  </w:style>
  <w:style w:type="paragraph" w:styleId="7">
    <w:name w:val="Body Text Indent"/>
    <w:basedOn w:val="1"/>
    <w:link w:val="35"/>
    <w:qFormat/>
    <w:uiPriority w:val="0"/>
    <w:pPr>
      <w:spacing w:after="120"/>
      <w:ind w:left="420" w:leftChars="200"/>
    </w:pPr>
  </w:style>
  <w:style w:type="paragraph" w:styleId="8">
    <w:name w:val="Balloon Text"/>
    <w:basedOn w:val="1"/>
    <w:semiHidden/>
    <w:qFormat/>
    <w:uiPriority w:val="0"/>
  </w:style>
  <w:style w:type="paragraph" w:styleId="9">
    <w:name w:val="footer"/>
    <w:basedOn w:val="1"/>
    <w:link w:val="31"/>
    <w:qFormat/>
    <w:uiPriority w:val="99"/>
    <w:pPr>
      <w:tabs>
        <w:tab w:val="center" w:pos="4153"/>
        <w:tab w:val="right" w:pos="8306"/>
      </w:tabs>
      <w:snapToGrid w:val="0"/>
      <w:jc w:val="left"/>
    </w:pPr>
    <w:rPr>
      <w:lang w:val="zh-CN"/>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lang w:val="zh-CN"/>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sz w:val="24"/>
    </w:rPr>
  </w:style>
  <w:style w:type="paragraph" w:styleId="14">
    <w:name w:val="annotation subject"/>
    <w:basedOn w:val="6"/>
    <w:next w:val="6"/>
    <w:link w:val="29"/>
    <w:qFormat/>
    <w:uiPriority w:val="0"/>
    <w:rPr>
      <w:b/>
      <w:bCs/>
    </w:rPr>
  </w:style>
  <w:style w:type="paragraph" w:styleId="15">
    <w:name w:val="Body Text First Indent 2"/>
    <w:basedOn w:val="7"/>
    <w:link w:val="3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paragraph" w:customStyle="1" w:styleId="22">
    <w:name w:val="style1"/>
    <w:basedOn w:val="1"/>
    <w:qFormat/>
    <w:uiPriority w:val="0"/>
    <w:pPr>
      <w:widowControl/>
      <w:spacing w:before="100" w:beforeAutospacing="1" w:after="100" w:afterAutospacing="1"/>
      <w:jc w:val="left"/>
    </w:pPr>
    <w:rPr>
      <w:rFonts w:ascii="宋体" w:hAnsi="宋体" w:cs="宋体"/>
      <w:color w:val="333333"/>
    </w:rPr>
  </w:style>
  <w:style w:type="paragraph" w:customStyle="1" w:styleId="23">
    <w:name w:val="style1 style2"/>
    <w:basedOn w:val="1"/>
    <w:qFormat/>
    <w:uiPriority w:val="0"/>
    <w:pPr>
      <w:widowControl/>
      <w:spacing w:before="100" w:beforeAutospacing="1" w:after="100" w:afterAutospacing="1"/>
      <w:jc w:val="left"/>
    </w:pPr>
    <w:rPr>
      <w:rFonts w:ascii="宋体" w:hAnsi="宋体" w:cs="宋体"/>
      <w:sz w:val="24"/>
    </w:rPr>
  </w:style>
  <w:style w:type="paragraph" w:customStyle="1" w:styleId="24">
    <w:name w:val="Char1"/>
    <w:basedOn w:val="1"/>
    <w:qFormat/>
    <w:uiPriority w:val="0"/>
    <w:pPr>
      <w:widowControl/>
      <w:spacing w:after="160" w:line="240" w:lineRule="exact"/>
      <w:jc w:val="left"/>
    </w:pPr>
    <w:rPr>
      <w:rFonts w:ascii="Verdana" w:hAnsi="Verdana"/>
      <w:sz w:val="20"/>
      <w:szCs w:val="20"/>
      <w:lang w:eastAsia="en-US"/>
    </w:rPr>
  </w:style>
  <w:style w:type="paragraph" w:customStyle="1" w:styleId="25">
    <w:name w:val="局发文正文"/>
    <w:basedOn w:val="1"/>
    <w:qFormat/>
    <w:uiPriority w:val="0"/>
    <w:pPr>
      <w:adjustRightInd w:val="0"/>
      <w:spacing w:line="600" w:lineRule="exact"/>
      <w:ind w:firstLine="200" w:firstLineChars="200"/>
      <w:textAlignment w:val="baseline"/>
    </w:pPr>
    <w:rPr>
      <w:rFonts w:ascii="仿宋_GB2312" w:eastAsia="仿宋_GB2312"/>
      <w:caps/>
      <w:spacing w:val="6"/>
      <w:sz w:val="30"/>
      <w:szCs w:val="20"/>
    </w:rPr>
  </w:style>
  <w:style w:type="character" w:customStyle="1" w:styleId="26">
    <w:name w:val="标题 1 字符"/>
    <w:link w:val="2"/>
    <w:qFormat/>
    <w:uiPriority w:val="0"/>
    <w:rPr>
      <w:rFonts w:ascii="黑体" w:eastAsia="黑体" w:cs="宋体"/>
      <w:color w:val="000000"/>
      <w:sz w:val="28"/>
      <w:szCs w:val="28"/>
    </w:rPr>
  </w:style>
  <w:style w:type="paragraph" w:customStyle="1" w:styleId="27">
    <w:name w:val="TOC 标题1"/>
    <w:basedOn w:val="2"/>
    <w:next w:val="1"/>
    <w:qFormat/>
    <w:uiPriority w:val="39"/>
    <w:pPr>
      <w:widowControl/>
      <w:spacing w:before="240" w:after="0" w:line="259" w:lineRule="auto"/>
      <w:jc w:val="left"/>
      <w:outlineLvl w:val="9"/>
    </w:pPr>
    <w:rPr>
      <w:rFonts w:ascii="Calibri Light" w:hAnsi="Calibri Light" w:eastAsia="宋体"/>
      <w:b/>
      <w:bCs/>
      <w:color w:val="2E74B5"/>
      <w:sz w:val="32"/>
      <w:szCs w:val="32"/>
    </w:rPr>
  </w:style>
  <w:style w:type="character" w:customStyle="1" w:styleId="28">
    <w:name w:val="批注文字 字符"/>
    <w:link w:val="6"/>
    <w:qFormat/>
    <w:uiPriority w:val="0"/>
    <w:rPr>
      <w:sz w:val="18"/>
      <w:szCs w:val="18"/>
    </w:rPr>
  </w:style>
  <w:style w:type="character" w:customStyle="1" w:styleId="29">
    <w:name w:val="批注主题 字符"/>
    <w:link w:val="14"/>
    <w:qFormat/>
    <w:uiPriority w:val="0"/>
    <w:rPr>
      <w:b/>
      <w:bCs/>
      <w:sz w:val="18"/>
      <w:szCs w:val="18"/>
    </w:rPr>
  </w:style>
  <w:style w:type="character" w:customStyle="1" w:styleId="30">
    <w:name w:val="不明显强调1"/>
    <w:qFormat/>
    <w:uiPriority w:val="19"/>
    <w:rPr>
      <w:i/>
      <w:iCs/>
      <w:color w:val="404040"/>
    </w:rPr>
  </w:style>
  <w:style w:type="character" w:customStyle="1" w:styleId="31">
    <w:name w:val="页脚 字符"/>
    <w:link w:val="9"/>
    <w:qFormat/>
    <w:uiPriority w:val="99"/>
    <w:rPr>
      <w:sz w:val="18"/>
      <w:szCs w:val="18"/>
    </w:rPr>
  </w:style>
  <w:style w:type="character" w:customStyle="1" w:styleId="32">
    <w:name w:val="页眉 字符"/>
    <w:link w:val="10"/>
    <w:qFormat/>
    <w:uiPriority w:val="99"/>
    <w:rPr>
      <w:sz w:val="18"/>
      <w:szCs w:val="18"/>
    </w:rPr>
  </w:style>
  <w:style w:type="character" w:customStyle="1" w:styleId="33">
    <w:name w:val="文档结构图 字符"/>
    <w:link w:val="5"/>
    <w:qFormat/>
    <w:uiPriority w:val="0"/>
    <w:rPr>
      <w:rFonts w:ascii="宋体"/>
      <w:sz w:val="18"/>
      <w:szCs w:val="18"/>
    </w:rPr>
  </w:style>
  <w:style w:type="paragraph" w:customStyle="1" w:styleId="34">
    <w:name w:val="图标"/>
    <w:basedOn w:val="1"/>
    <w:next w:val="15"/>
    <w:link w:val="37"/>
    <w:qFormat/>
    <w:uiPriority w:val="0"/>
    <w:pPr>
      <w:jc w:val="center"/>
    </w:pPr>
    <w:rPr>
      <w:rFonts w:ascii="仿宋_GB2312" w:eastAsia="仿宋_GB2312" w:cs="宋体"/>
      <w:color w:val="000000"/>
      <w:sz w:val="28"/>
      <w:szCs w:val="28"/>
    </w:rPr>
  </w:style>
  <w:style w:type="character" w:customStyle="1" w:styleId="35">
    <w:name w:val="正文文本缩进 字符"/>
    <w:basedOn w:val="18"/>
    <w:link w:val="7"/>
    <w:qFormat/>
    <w:uiPriority w:val="0"/>
    <w:rPr>
      <w:sz w:val="18"/>
      <w:szCs w:val="18"/>
    </w:rPr>
  </w:style>
  <w:style w:type="character" w:customStyle="1" w:styleId="36">
    <w:name w:val="正文文本首行缩进 2 字符"/>
    <w:basedOn w:val="35"/>
    <w:link w:val="15"/>
    <w:qFormat/>
    <w:uiPriority w:val="0"/>
    <w:rPr>
      <w:sz w:val="18"/>
      <w:szCs w:val="18"/>
    </w:rPr>
  </w:style>
  <w:style w:type="character" w:customStyle="1" w:styleId="37">
    <w:name w:val="图标 字符"/>
    <w:basedOn w:val="18"/>
    <w:link w:val="34"/>
    <w:qFormat/>
    <w:uiPriority w:val="0"/>
    <w:rPr>
      <w:rFonts w:ascii="仿宋_GB2312" w:eastAsia="仿宋_GB2312" w:cs="宋体"/>
      <w:color w:val="000000"/>
      <w:sz w:val="28"/>
      <w:szCs w:val="28"/>
    </w:rPr>
  </w:style>
  <w:style w:type="character" w:customStyle="1" w:styleId="38">
    <w:name w:val="标题 2 字符"/>
    <w:basedOn w:val="18"/>
    <w:link w:val="3"/>
    <w:qFormat/>
    <w:uiPriority w:val="0"/>
    <w:rPr>
      <w:rFonts w:eastAsia="仿宋_GB2312" w:asciiTheme="majorHAnsi" w:hAnsiTheme="majorHAnsi" w:cstheme="majorBidi"/>
      <w:b/>
      <w:bCs/>
      <w:sz w:val="28"/>
      <w:szCs w:val="32"/>
    </w:rPr>
  </w:style>
  <w:style w:type="character" w:customStyle="1" w:styleId="39">
    <w:name w:val="公开正文小四 字符"/>
    <w:basedOn w:val="18"/>
    <w:link w:val="4"/>
    <w:qFormat/>
    <w:uiPriority w:val="0"/>
    <w:rPr>
      <w:rFonts w:ascii="仿宋_GB2312" w:eastAsia="仿宋_GB2312"/>
      <w:sz w:val="28"/>
      <w:szCs w:val="24"/>
    </w:rPr>
  </w:style>
  <w:style w:type="paragraph" w:customStyle="1" w:styleId="40">
    <w:name w:val="修订1"/>
    <w:hidden/>
    <w:semiHidden/>
    <w:qFormat/>
    <w:uiPriority w:val="99"/>
    <w:rPr>
      <w:rFonts w:ascii="Times New Roman" w:hAnsi="Times New Roman" w:eastAsia="宋体" w:cs="Times New Roman"/>
      <w:sz w:val="18"/>
      <w:szCs w:val="18"/>
      <w:lang w:val="en-US" w:eastAsia="zh-CN" w:bidi="ar-SA"/>
    </w:rPr>
  </w:style>
  <w:style w:type="paragraph" w:customStyle="1" w:styleId="41">
    <w:name w:val="修订2"/>
    <w:hidden/>
    <w:semiHidden/>
    <w:qFormat/>
    <w:uiPriority w:val="99"/>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solidFill>
                <a:latin typeface="+mn-lt"/>
                <a:ea typeface="+mn-ea"/>
                <a:cs typeface="+mn-cs"/>
              </a:defRPr>
            </a:pPr>
            <a:r>
              <a:rPr sz="2000">
                <a:latin typeface="方正小标宋_GBK" panose="02000000000000000000" pitchFamily="4" charset="-122"/>
                <a:ea typeface="方正小标宋_GBK" panose="02000000000000000000" pitchFamily="4" charset="-122"/>
                <a:cs typeface="方正小标宋_GBK" panose="02000000000000000000" pitchFamily="4" charset="-122"/>
              </a:rPr>
              <a:t>图1  2024年收入预算</a:t>
            </a:r>
            <a:endParaRPr sz="2000">
              <a:latin typeface="方正小标宋_GBK" panose="02000000000000000000" pitchFamily="4" charset="-122"/>
              <a:ea typeface="方正小标宋_GBK" panose="02000000000000000000" pitchFamily="4" charset="-122"/>
              <a:cs typeface="方正小标宋_GBK" panose="02000000000000000000" pitchFamily="4" charset="-122"/>
            </a:endParaRPr>
          </a:p>
        </c:rich>
      </c:tx>
      <c:layout/>
      <c:overlay val="false"/>
      <c:spPr>
        <a:noFill/>
        <a:ln>
          <a:noFill/>
        </a:ln>
        <a:effectLst/>
      </c:spPr>
    </c:title>
    <c:autoTitleDeleted val="false"/>
    <c:plotArea>
      <c:layout/>
      <c:pieChart>
        <c:varyColors val="true"/>
        <c:ser>
          <c:idx val="0"/>
          <c:order val="0"/>
          <c:tx>
            <c:strRef>
              <c:f>Sheet1!$B$1</c:f>
              <c:strCache>
                <c:ptCount val="1"/>
                <c:pt idx="0">
                  <c:v>图1 2024年收入预算（单位：万元）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numFmt formatCode="0.00%" sourceLinked="fals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inEnd"/>
              <c:showLegendKey val="false"/>
              <c:showVal val="true"/>
              <c:showCatName val="false"/>
              <c:showSerName val="false"/>
              <c:showPercent val="true"/>
              <c:showBubbleSize val="false"/>
              <c:extLst>
                <c:ext xmlns:c15="http://schemas.microsoft.com/office/drawing/2012/chart" uri="{CE6537A1-D6FC-4f65-9D91-7224C49458BB}"/>
              </c:extLst>
            </c:dLbl>
            <c:dLbl>
              <c:idx val="2"/>
              <c:layout/>
              <c:numFmt formatCode="0.00%" sourceLinked="fals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inEnd"/>
              <c:showLegendKey val="false"/>
              <c:showVal val="true"/>
              <c:showCatName val="false"/>
              <c:showSerName val="false"/>
              <c:showPercent val="true"/>
              <c:showBubbleSize val="false"/>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inEnd"/>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上年结转</c:v>
                </c:pt>
                <c:pt idx="1">
                  <c:v>一般公共预算拨款收入</c:v>
                </c:pt>
                <c:pt idx="2">
                  <c:v>其他收入</c:v>
                </c:pt>
              </c:strCache>
            </c:strRef>
          </c:cat>
          <c:val>
            <c:numRef>
              <c:f>Sheet1!$B$2:$B$4</c:f>
              <c:numCache>
                <c:formatCode>General</c:formatCode>
                <c:ptCount val="3"/>
                <c:pt idx="0">
                  <c:v>4085.6</c:v>
                </c:pt>
                <c:pt idx="1">
                  <c:v>10710.5</c:v>
                </c:pt>
                <c:pt idx="2">
                  <c:v>2644.89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solidFill>
                <a:latin typeface="+mn-lt"/>
                <a:ea typeface="+mn-ea"/>
                <a:cs typeface="+mn-cs"/>
              </a:defRPr>
            </a:pPr>
            <a:r>
              <a:rPr sz="2000">
                <a:latin typeface="方正小标宋_GBK" panose="02000000000000000000" pitchFamily="4" charset="-122"/>
                <a:ea typeface="方正小标宋_GBK" panose="02000000000000000000" pitchFamily="4" charset="-122"/>
                <a:cs typeface="方正小标宋_GBK" panose="02000000000000000000" pitchFamily="4" charset="-122"/>
              </a:rPr>
              <a:t>图2  2024年支出预算</a:t>
            </a:r>
            <a:endParaRPr sz="2000">
              <a:latin typeface="方正小标宋_GBK" panose="02000000000000000000" pitchFamily="4" charset="-122"/>
              <a:ea typeface="方正小标宋_GBK" panose="02000000000000000000" pitchFamily="4" charset="-122"/>
              <a:cs typeface="方正小标宋_GBK" panose="02000000000000000000" pitchFamily="4" charset="-122"/>
            </a:endParaRPr>
          </a:p>
        </c:rich>
      </c:tx>
      <c:layout/>
      <c:overlay val="false"/>
      <c:spPr>
        <a:noFill/>
        <a:ln>
          <a:noFill/>
        </a:ln>
        <a:effectLst/>
      </c:spPr>
    </c:title>
    <c:autoTitleDeleted val="false"/>
    <c:plotArea>
      <c:layout/>
      <c:pieChart>
        <c:varyColors val="true"/>
        <c:ser>
          <c:idx val="0"/>
          <c:order val="0"/>
          <c:tx>
            <c:strRef>
              <c:f>Sheet1!$B$1</c:f>
              <c:strCache>
                <c:ptCount val="1"/>
                <c:pt idx="0">
                  <c:v>支出预算（单位：万元）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dLblPos val="bestFit"/>
              <c:showLegendKey val="false"/>
              <c:showVal val="true"/>
              <c:showCatName val="false"/>
              <c:showSerName val="false"/>
              <c:showPercent val="true"/>
              <c:showBubbleSize val="false"/>
              <c:separator> </c:separator>
              <c:extLst>
                <c:ext xmlns:c15="http://schemas.microsoft.com/office/drawing/2012/chart" uri="{CE6537A1-D6FC-4f65-9D91-7224C49458BB}"/>
              </c:extLst>
            </c:dLbl>
            <c:dLbl>
              <c:idx val="1"/>
              <c:layout/>
              <c:dLblPos val="bestFit"/>
              <c:showLegendKey val="false"/>
              <c:showVal val="true"/>
              <c:showCatName val="false"/>
              <c:showSerName val="false"/>
              <c:showPercent val="true"/>
              <c:showBubbleSize val="false"/>
              <c:separator> </c:separator>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forceAA="false"/>
              <a:lstStyle/>
              <a:p>
                <a:pPr>
                  <a:defRPr lang="zh-CN" sz="1000" b="1"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9891.6</c:v>
                </c:pt>
                <c:pt idx="1">
                  <c:v>7549.39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09366262814539"/>
          <c:y val="0.149153328694038"/>
          <c:w val="0.868056849953402"/>
          <c:h val="0.708698677800974"/>
        </c:manualLayout>
      </c:layout>
      <c:barChart>
        <c:barDir val="col"/>
        <c:grouping val="stacked"/>
        <c:varyColors val="false"/>
        <c:ser>
          <c:idx val="0"/>
          <c:order val="0"/>
          <c:tx>
            <c:strRef>
              <c:f>Sheet1!$B$1</c:f>
              <c:strCache>
                <c:ptCount val="1"/>
                <c:pt idx="0">
                  <c:v>一般公共预算当年拨款收入</c:v>
                </c:pt>
              </c:strCache>
            </c:strRef>
          </c:tx>
          <c:spPr>
            <a:solidFill>
              <a:schemeClr val="accent2"/>
            </a:solidFill>
            <a:ln>
              <a:noFill/>
            </a:ln>
            <a:effectLst/>
          </c:spPr>
          <c:invertIfNegative val="false"/>
          <c:dLbls>
            <c:dLbl>
              <c:idx val="0"/>
              <c:layout>
                <c:manualLayout>
                  <c:x val="0.195"/>
                  <c:y val="-0.075"/>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Sheet1!$B$2:$B$3</c:f>
              <c:numCache>
                <c:formatCode>General</c:formatCode>
                <c:ptCount val="2"/>
                <c:pt idx="0">
                  <c:v>10710.5</c:v>
                </c:pt>
              </c:numCache>
            </c:numRef>
          </c:val>
        </c:ser>
        <c:ser>
          <c:idx val="1"/>
          <c:order val="1"/>
          <c:tx>
            <c:strRef>
              <c:f>Sheet1!$C$1</c:f>
              <c:strCache>
                <c:ptCount val="1"/>
                <c:pt idx="0">
                  <c:v>上年结转</c:v>
                </c:pt>
              </c:strCache>
            </c:strRef>
          </c:tx>
          <c:spPr>
            <a:solidFill>
              <a:schemeClr val="accent4"/>
            </a:solidFill>
            <a:ln>
              <a:noFill/>
            </a:ln>
            <a:effectLst/>
          </c:spPr>
          <c:invertIfNegative val="false"/>
          <c:dLbls>
            <c:dLbl>
              <c:idx val="0"/>
              <c:layout>
                <c:manualLayout>
                  <c:x val="-0.18"/>
                  <c:y val="-0.0149998194444445"/>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Sheet1!$C$2:$C$3</c:f>
              <c:numCache>
                <c:formatCode>General</c:formatCode>
                <c:ptCount val="2"/>
                <c:pt idx="0">
                  <c:v>1066.58</c:v>
                </c:pt>
              </c:numCache>
            </c:numRef>
          </c:val>
        </c:ser>
        <c:ser>
          <c:idx val="2"/>
          <c:order val="2"/>
          <c:tx>
            <c:strRef>
              <c:f>Sheet1!$D$1</c:f>
              <c:strCache>
                <c:ptCount val="1"/>
                <c:pt idx="0">
                  <c:v>一般公共服务支出</c:v>
                </c:pt>
              </c:strCache>
            </c:strRef>
          </c:tx>
          <c:spPr>
            <a:solidFill>
              <a:schemeClr val="accent6"/>
            </a:solidFill>
            <a:ln>
              <a:noFill/>
            </a:ln>
            <a:effectLst/>
          </c:spPr>
          <c:invertIfNegative val="false"/>
          <c:dLbls>
            <c:dLbl>
              <c:idx val="1"/>
              <c:layout>
                <c:manualLayout>
                  <c:x val="-0.1875"/>
                  <c:y val="0.0575"/>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Sheet1!$D$2:$D$3</c:f>
              <c:numCache>
                <c:formatCode>General</c:formatCode>
                <c:ptCount val="2"/>
                <c:pt idx="1">
                  <c:v>9364.16</c:v>
                </c:pt>
              </c:numCache>
            </c:numRef>
          </c:val>
        </c:ser>
        <c:ser>
          <c:idx val="3"/>
          <c:order val="3"/>
          <c:tx>
            <c:strRef>
              <c:f>Sheet1!$E$1</c:f>
              <c:strCache>
                <c:ptCount val="1"/>
                <c:pt idx="0">
                  <c:v>社会保障和就业支出</c:v>
                </c:pt>
              </c:strCache>
            </c:strRef>
          </c:tx>
          <c:spPr>
            <a:solidFill>
              <a:schemeClr val="accent2">
                <a:lumMod val="60000"/>
              </a:schemeClr>
            </a:solidFill>
            <a:ln>
              <a:noFill/>
            </a:ln>
            <a:effectLst/>
          </c:spPr>
          <c:invertIfNegative val="false"/>
          <c:dLbls>
            <c:dLbl>
              <c:idx val="1"/>
              <c:layout>
                <c:manualLayout>
                  <c:x val="-0.17626875"/>
                  <c:y val="0.0575"/>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Sheet1!$E$2:$E$3</c:f>
              <c:numCache>
                <c:formatCode>General</c:formatCode>
                <c:ptCount val="2"/>
                <c:pt idx="1">
                  <c:v>1233.66</c:v>
                </c:pt>
              </c:numCache>
            </c:numRef>
          </c:val>
        </c:ser>
        <c:ser>
          <c:idx val="4"/>
          <c:order val="4"/>
          <c:tx>
            <c:strRef>
              <c:f>Sheet1!$F$1</c:f>
              <c:strCache>
                <c:ptCount val="1"/>
                <c:pt idx="0">
                  <c:v>卫生健康支出</c:v>
                </c:pt>
              </c:strCache>
            </c:strRef>
          </c:tx>
          <c:spPr>
            <a:solidFill>
              <a:schemeClr val="accent4">
                <a:lumMod val="60000"/>
              </a:schemeClr>
            </a:solidFill>
            <a:ln>
              <a:noFill/>
            </a:ln>
            <a:effectLst/>
          </c:spPr>
          <c:invertIfNegative val="false"/>
          <c:dLbls>
            <c:dLbl>
              <c:idx val="1"/>
              <c:layout>
                <c:manualLayout>
                  <c:x val="0.16873125"/>
                  <c:y val="0.1775"/>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Sheet1!$F$2:$F$3</c:f>
              <c:numCache>
                <c:formatCode>General</c:formatCode>
                <c:ptCount val="2"/>
                <c:pt idx="1">
                  <c:v>477.51</c:v>
                </c:pt>
              </c:numCache>
            </c:numRef>
          </c:val>
        </c:ser>
        <c:ser>
          <c:idx val="5"/>
          <c:order val="5"/>
          <c:tx>
            <c:strRef>
              <c:f>Sheet1!$G$1</c:f>
              <c:strCache>
                <c:ptCount val="1"/>
                <c:pt idx="0">
                  <c:v>住房保障支出</c:v>
                </c:pt>
              </c:strCache>
            </c:strRef>
          </c:tx>
          <c:spPr>
            <a:solidFill>
              <a:schemeClr val="accent6">
                <a:lumMod val="60000"/>
              </a:schemeClr>
            </a:solidFill>
            <a:ln>
              <a:noFill/>
            </a:ln>
            <a:effectLst/>
          </c:spPr>
          <c:invertIfNegative val="false"/>
          <c:dLbls>
            <c:dLbl>
              <c:idx val="1"/>
              <c:layout>
                <c:manualLayout>
                  <c:x val="0.16873125"/>
                  <c:y val="0.0433989247222222"/>
                </c:manualLayout>
              </c:layout>
              <c:dLblPos val="ctr"/>
              <c:showLegendKey val="false"/>
              <c:showVal val="true"/>
              <c:showCatName val="false"/>
              <c:showSerName val="true"/>
              <c:showPercent val="false"/>
              <c:showBubbleSize val="false"/>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true"/>
            <c:showPercent val="false"/>
            <c:showBubbleSize val="false"/>
            <c:separator> </c:separator>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Sheet1!$G$2:$G$3</c:f>
              <c:numCache>
                <c:formatCode>General</c:formatCode>
                <c:ptCount val="2"/>
                <c:pt idx="1">
                  <c:v>701.75</c:v>
                </c:pt>
              </c:numCache>
            </c:numRef>
          </c:val>
        </c:ser>
        <c:dLbls>
          <c:showLegendKey val="false"/>
          <c:showVal val="false"/>
          <c:showCatName val="false"/>
          <c:showSerName val="false"/>
          <c:showPercent val="false"/>
          <c:showBubbleSize val="false"/>
        </c:dLbls>
        <c:gapWidth val="332"/>
        <c:overlap val="100"/>
        <c:axId val="740539052"/>
        <c:axId val="342608660"/>
      </c:barChart>
      <c:catAx>
        <c:axId val="74053905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2608660"/>
        <c:crosses val="autoZero"/>
        <c:auto val="true"/>
        <c:lblAlgn val="ctr"/>
        <c:lblOffset val="100"/>
        <c:noMultiLvlLbl val="false"/>
      </c:catAx>
      <c:valAx>
        <c:axId val="342608660"/>
        <c:scaling>
          <c:orientation val="minMax"/>
          <c:max val="120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53905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7497</Words>
  <Characters>10378</Characters>
  <Lines>69</Lines>
  <Paragraphs>19</Paragraphs>
  <TotalTime>49</TotalTime>
  <ScaleCrop>false</ScaleCrop>
  <LinksUpToDate>false</LinksUpToDate>
  <CharactersWithSpaces>11142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2021-03-20T18:50:00Z</dcterms:created>
  <dc:creator>慕慕</dc:creator>
  <cp:lastModifiedBy>费晓宇</cp:lastModifiedBy>
  <cp:lastPrinted>2024-04-10T16:31:00Z</cp:lastPrinted>
  <dcterms:modified xsi:type="dcterms:W3CDTF">2024-04-16T13:37:24Z</dcterms:modified>
  <dc:title>第二部分 国家统计局2012年部门预算表</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7DB30D9F998D4A50BDEE4C91668263DE_13</vt:lpwstr>
  </property>
</Properties>
</file>