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eastAsia="方正小标宋简体"/>
          <w:sz w:val="44"/>
          <w:szCs w:val="44"/>
        </w:rPr>
        <w:t>长春市统计局普查中心</w:t>
      </w:r>
    </w:p>
    <w:p>
      <w:pPr>
        <w:jc w:val="center"/>
        <w:rPr>
          <w:rFonts w:eastAsia="方正小标宋简体"/>
          <w:sz w:val="44"/>
          <w:szCs w:val="44"/>
        </w:rPr>
      </w:pPr>
      <w:r>
        <w:rPr>
          <w:rFonts w:eastAsia="方正小标宋简体"/>
          <w:sz w:val="44"/>
          <w:szCs w:val="44"/>
        </w:rPr>
        <w:t>20</w:t>
      </w:r>
      <w:r>
        <w:rPr>
          <w:rFonts w:eastAsia="方正小标宋简体" w:hint="eastAsia"/>
          <w:sz w:val="44"/>
          <w:szCs w:val="44"/>
        </w:rPr>
        <w:t>2</w:t>
      </w:r>
      <w:r>
        <w:rPr>
          <w:rFonts w:eastAsia="方正小标宋简体" w:hint="eastAsia"/>
          <w:sz w:val="44"/>
          <w:szCs w:val="44"/>
          <w:lang w:val="en-US" w:eastAsia="zh-CN"/>
        </w:rPr>
        <w:t>5</w:t>
      </w:r>
      <w:r>
        <w:rPr>
          <w:rFonts w:eastAsia="方正小标宋简体"/>
          <w:sz w:val="44"/>
          <w:szCs w:val="44"/>
        </w:rPr>
        <w:t>年单位预算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r>
        <w:rPr>
          <w:rFonts w:eastAsia="华文细黑"/>
        </w:rPr>
        <w:t>二〇二</w:t>
      </w:r>
      <w:r>
        <w:rPr>
          <w:rFonts w:eastAsia="华文细黑" w:hint="eastAsia"/>
          <w:lang w:eastAsia="zh-CN"/>
        </w:rPr>
        <w:t>五</w:t>
      </w:r>
      <w:r>
        <w:rPr>
          <w:rFonts w:eastAsia="华文细黑"/>
        </w:rPr>
        <w:t>年</w:t>
      </w:r>
      <w:r>
        <w:rPr>
          <w:rFonts w:eastAsia="华文细黑" w:hint="eastAsia"/>
          <w:lang w:val="en-US" w:eastAsia="zh-CN"/>
        </w:rPr>
        <w:t>二</w:t>
      </w:r>
      <w:r>
        <w:rPr>
          <w:rFonts w:eastAsia="华文细黑"/>
        </w:rPr>
        <w:t>月</w:t>
      </w:r>
      <w:r>
        <w:rPr>
          <w:rFonts w:eastAsia="华文细黑"/>
          <w:lang w:val="en-US" w:eastAsia="zh-CN"/>
        </w:rPr>
        <w:t>二十一</w:t>
      </w:r>
      <w:r>
        <w:rPr>
          <w:rFonts w:eastAsia="华文细黑"/>
        </w:rPr>
        <w:t>日</w:t>
      </w:r>
    </w:p>
    <w:p>
      <w:pPr>
        <w:ind w:left="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单位概况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rPr>
      </w:pPr>
      <w:r>
        <w:rPr>
          <w:rFonts w:hint="eastAsia"/>
          <w:lang w:eastAsia="zh-CN"/>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Chars="200" w:firstLine="640"/>
        <w:jc w:val="center"/>
        <w:rPr>
          <w:rFonts w:eastAsia="黑体"/>
        </w:rPr>
      </w:pPr>
      <w:r>
        <w:rPr>
          <w:rFonts w:eastAsia="黑体"/>
        </w:rPr>
        <w:t>第一部分 单位概况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ind w:firstLineChars="200" w:firstLine="640"/>
        <w:rPr>
          <w:rFonts w:ascii="仿宋_GB2312" w:hint="eastAsia"/>
          <w:color w:val="000000"/>
          <w:szCs w:val="32"/>
        </w:rPr>
      </w:pPr>
      <w:r>
        <w:rPr>
          <w:rFonts w:ascii="仿宋_GB2312" w:hint="eastAsia"/>
          <w:color w:val="000000"/>
          <w:szCs w:val="32"/>
        </w:rPr>
        <w:t>(一)按照行业行政主管部门部署，开展人口、经济等常规性普查及专项普查。</w:t>
      </w:r>
    </w:p>
    <w:p>
      <w:pPr>
        <w:ind w:firstLineChars="200" w:firstLine="640"/>
        <w:rPr>
          <w:rFonts w:ascii="仿宋_GB2312" w:hint="eastAsia"/>
          <w:color w:val="000000"/>
          <w:szCs w:val="32"/>
        </w:rPr>
      </w:pPr>
      <w:r>
        <w:rPr>
          <w:rFonts w:ascii="仿宋_GB2312" w:hint="eastAsia"/>
          <w:color w:val="000000"/>
          <w:szCs w:val="32"/>
        </w:rPr>
        <w:t>(二)负责全市基本单位名录库、统计地理信息系统的建设、运行和维护，为政府决策提供依据。</w:t>
      </w:r>
    </w:p>
    <w:p>
      <w:pPr>
        <w:ind w:firstLineChars="200" w:firstLine="640"/>
      </w:pPr>
      <w:r>
        <w:rPr>
          <w:rFonts w:eastAsia="楷体_GB2312"/>
        </w:rPr>
        <w:t>二、机构设置</w:t>
      </w:r>
    </w:p>
    <w:p>
      <w:pPr>
        <w:pStyle w:val="31"/>
        <w:ind w:firstLineChars="200" w:firstLine="640"/>
        <w:rPr>
          <w:rFonts w:ascii="仿宋_GB2312" w:eastAsia="仿宋_GB2312" w:hint="eastAsia"/>
          <w:color w:val="000000"/>
        </w:rPr>
      </w:pPr>
      <w:r>
        <w:rPr>
          <w:rFonts w:ascii="仿宋_GB2312" w:eastAsia="仿宋_GB2312" w:hint="eastAsia"/>
          <w:color w:val="000000"/>
        </w:rPr>
        <w:t>根据所承担的工作职责和人员编制，长春市统计局普查中心设2个内设机构和9个派出机构；派出机构为长春市统计局普查中心朝阳分中心、长春市统计局普查中心南关分中心、长春市统计局普查中心二道分中心、长春市统计局普查中心绿园分中心、长春市统计局普查中心宽城分中心、长春市统计局普查中心双阳分中心、长春市统计局普查中心农安分中心、长春市统计局普查中心德惠分中心、长春市统计局普查中心榆树分中心。内设机构职责根据本单位主要职责自行分解，内设机构名称报机构编制部门备案。本单位无下设预算单位。</w:t>
      </w:r>
    </w:p>
    <w:p>
      <w:pPr>
        <w:pStyle w:val="31"/>
        <w:ind w:firstLineChars="200" w:firstLine="640"/>
        <w:rPr>
          <w:rFonts w:eastAsia="仿宋_GB2312"/>
        </w:rPr>
      </w:pPr>
    </w:p>
    <w:p>
      <w:pPr>
        <w:pStyle w:val="31"/>
        <w:ind w:firstLineChars="200" w:firstLine="640"/>
        <w:rPr>
          <w:rFonts w:eastAsia="楷体"/>
        </w:rPr>
      </w:pPr>
    </w:p>
    <w:p>
      <w:pPr>
        <w:pStyle w:val="31"/>
        <w:ind w:firstLineChars="200" w:firstLine="640"/>
        <w:rPr>
          <w:rFonts w:eastAsia="楷体"/>
        </w:rPr>
      </w:pPr>
    </w:p>
    <w:p>
      <w:pPr>
        <w:pStyle w:val="31"/>
        <w:ind w:left="0"/>
        <w:rPr>
          <w:rFonts w:eastAsia="楷体"/>
        </w:rPr>
      </w:pPr>
    </w:p>
    <w:p>
      <w:pPr>
        <w:pStyle w:val="31"/>
        <w:ind w:left="0"/>
        <w:rPr>
          <w:rFonts w:eastAsia="楷体"/>
        </w:rPr>
      </w:pP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lang w:val="en-US" w:eastAsia="zh-CN"/>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本年</w:t>
            </w:r>
            <w:r>
              <w:rPr>
                <w:rFonts w:eastAsia="宋体" w:hint="eastAsia"/>
                <w:kern w:val="0"/>
                <w:sz w:val="20"/>
                <w:lang w:val="en-US" w:eastAsia="zh-CN"/>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lang w:eastAsia="zh-CN"/>
              </w:rPr>
              <w:t>本</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1531.82</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ascii="Arial" w:eastAsia="Arial" w:cs="Lucida Sans" w:hAnsi="Arial"/>
                <w:color w:val="000000"/>
                <w:sz w:val="16"/>
              </w:rPr>
              <w:t>1531.82</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ascii="Arial" w:eastAsia="Arial" w:cs="Lucida Sans" w:hAnsi="Arial"/>
                <w:color w:val="000000"/>
                <w:sz w:val="16"/>
              </w:rPr>
              <w:t>1158.11</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ascii="Arial" w:eastAsia="Arial" w:cs="Lucida Sans" w:hAnsi="Arial"/>
                <w:color w:val="000000"/>
                <w:sz w:val="16"/>
              </w:rPr>
              <w:t>1158.11</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一般公共预算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984" w:type="dxa"/>
            <w:gridSpan w:val="2"/>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autoSpaceDN w:val="0"/>
              <w:jc w:val="center"/>
              <w:textAlignment w:val="center"/>
              <w:rPr>
                <w:rFonts w:eastAsia="宋体"/>
                <w:color w:val="000000"/>
                <w:kern w:val="0"/>
                <w:sz w:val="20"/>
              </w:rPr>
            </w:pPr>
            <w:r>
              <w:rPr>
                <w:rFonts w:ascii="宋体" w:eastAsia="宋体" w:cs="宋体" w:hint="eastAsia"/>
                <w:color w:val="000000"/>
                <w:sz w:val="20"/>
                <w:lang w:bidi="ar-SA"/>
              </w:rPr>
              <w:t>二、社会保障和就业支出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164.37</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164.37</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政府性基金预算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84.63</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84.63</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124.71</w:t>
            </w:r>
          </w:p>
        </w:tc>
        <w:tc>
          <w:tcPr>
            <w:tcW w:w="1182" w:type="dxa"/>
            <w:gridSpan w:val="2"/>
            <w:tcBorders>
              <w:top w:val="nil"/>
              <w:left w:val="nil"/>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Arial" w:eastAsia="Arial" w:cs="Lucida Sans" w:hAnsi="Arial"/>
                <w:color w:val="000000"/>
                <w:sz w:val="16"/>
              </w:rPr>
              <w:t>124.71</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hint="eastAsia"/>
                <w:sz w:val="20"/>
              </w:rPr>
            </w:pPr>
            <w:r>
              <w:rPr>
                <w:rFonts w:eastAsia="宋体" w:hint="eastAsia"/>
                <w:sz w:val="20"/>
              </w:rPr>
              <w:t>二、财政专户管理</w:t>
            </w:r>
            <w:r>
              <w:rPr>
                <w:rFonts w:eastAsia="宋体" w:hint="eastAsia"/>
                <w:sz w:val="20"/>
                <w:lang w:val="en-US" w:eastAsia="zh-CN"/>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hint="eastAsia"/>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both"/>
              <w:rPr>
                <w:rFonts w:eastAsia="宋体" w:hint="eastAsia"/>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lang w:val="en-US" w:eastAsia="zh-CN"/>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984" w:type="dxa"/>
            <w:gridSpan w:val="2"/>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lang w:val="en-US" w:eastAsia="zh-CN"/>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r>
              <w:rPr>
                <w:rFonts w:ascii="Arial" w:eastAsia="Arial" w:cs="Lucida Sans" w:hAnsi="Arial"/>
                <w:color w:val="000000"/>
                <w:sz w:val="16"/>
              </w:rPr>
              <w:t>1531.82</w:t>
            </w:r>
          </w:p>
        </w:tc>
        <w:tc>
          <w:tcPr>
            <w:tcW w:w="1182" w:type="dxa"/>
            <w:gridSpan w:val="2"/>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lang w:val="en-US" w:eastAsia="zh-CN"/>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lang w:eastAsia="zh-CN"/>
              </w:rPr>
              <w:t>非财政拨款</w:t>
            </w:r>
            <w:r>
              <w:rPr>
                <w:rFonts w:eastAsia="宋体" w:hint="eastAsia"/>
                <w:sz w:val="20"/>
                <w:lang w:val="en-US" w:eastAsia="zh-CN"/>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984" w:type="dxa"/>
            <w:gridSpan w:val="2"/>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r>
              <w:rPr>
                <w:rFonts w:ascii="Arial" w:eastAsia="Arial" w:cs="Lucida Sans" w:hAnsi="Arial"/>
                <w:color w:val="000000"/>
                <w:sz w:val="16"/>
              </w:rPr>
              <w:t>1531.82</w:t>
            </w:r>
          </w:p>
        </w:tc>
        <w:tc>
          <w:tcPr>
            <w:tcW w:w="1182" w:type="dxa"/>
            <w:gridSpan w:val="2"/>
            <w:tcBorders>
              <w:top w:val="nil"/>
              <w:left w:val="nil"/>
              <w:bottom w:val="single" w:sz="4" w:space="0" w:color="auto"/>
              <w:right w:val="single" w:sz="4" w:space="0" w:color="auto"/>
            </w:tcBorders>
            <w:noWrap/>
            <w:vAlign w:val="center"/>
          </w:tcPr>
          <w:p>
            <w:r>
              <w:rPr>
                <w:rFonts w:ascii="Arial" w:eastAsia="Arial" w:cs="Lucida Sans" w:hAnsi="Arial"/>
                <w:color w:val="000000"/>
                <w:sz w:val="16"/>
              </w:rPr>
              <w:t>1531.82</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1047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57"/>
        <w:gridCol w:w="900"/>
        <w:gridCol w:w="900"/>
        <w:gridCol w:w="885"/>
        <w:gridCol w:w="433"/>
        <w:gridCol w:w="405"/>
        <w:gridCol w:w="420"/>
        <w:gridCol w:w="474"/>
        <w:gridCol w:w="474"/>
        <w:gridCol w:w="40"/>
        <w:gridCol w:w="434"/>
        <w:gridCol w:w="474"/>
        <w:gridCol w:w="474"/>
        <w:gridCol w:w="465"/>
        <w:gridCol w:w="510"/>
        <w:gridCol w:w="420"/>
        <w:gridCol w:w="74"/>
        <w:gridCol w:w="479"/>
        <w:gridCol w:w="479"/>
        <w:gridCol w:w="478"/>
      </w:tblGrid>
      <w:tr>
        <w:trPr>
          <w:trHeight w:val="335"/>
        </w:trPr>
        <w:tc>
          <w:tcPr>
            <w:tcW w:w="1257" w:type="dxa"/>
            <w:tcBorders>
              <w:bottom w:val="single" w:sz="4" w:space="0" w:color="000000"/>
            </w:tcBorders>
            <w:noWrap/>
          </w:tcPr>
          <w:p>
            <w:pPr>
              <w:autoSpaceDN w:val="0"/>
              <w:jc w:val="left"/>
              <w:textAlignment w:val="center"/>
              <w:rPr>
                <w:rFonts w:eastAsia="华文细黑"/>
                <w:color w:val="000000"/>
                <w:sz w:val="20"/>
              </w:rPr>
            </w:pPr>
          </w:p>
        </w:tc>
        <w:tc>
          <w:tcPr>
            <w:tcW w:w="4931" w:type="dxa"/>
            <w:gridSpan w:val="9"/>
            <w:tcBorders>
              <w:bottom w:val="single" w:sz="4" w:space="0" w:color="000000"/>
            </w:tcBorders>
            <w:noWrap/>
            <w:vAlign w:val="center"/>
          </w:tcPr>
          <w:p>
            <w:pPr>
              <w:autoSpaceDN w:val="0"/>
              <w:jc w:val="left"/>
              <w:textAlignment w:val="center"/>
              <w:rPr>
                <w:rFonts w:eastAsia="华文细黑"/>
                <w:color w:val="000000"/>
                <w:sz w:val="20"/>
              </w:rPr>
            </w:pPr>
          </w:p>
        </w:tc>
        <w:tc>
          <w:tcPr>
            <w:tcW w:w="1379" w:type="dxa"/>
            <w:gridSpan w:val="3"/>
            <w:noWrap/>
            <w:vAlign w:val="center"/>
          </w:tcPr>
          <w:p>
            <w:pPr>
              <w:autoSpaceDN w:val="0"/>
              <w:jc w:val="left"/>
              <w:textAlignment w:val="center"/>
              <w:rPr>
                <w:rFonts w:eastAsia="华文细黑"/>
                <w:color w:val="000000"/>
                <w:sz w:val="20"/>
              </w:rPr>
            </w:pPr>
          </w:p>
        </w:tc>
        <w:tc>
          <w:tcPr>
            <w:tcW w:w="465" w:type="dxa"/>
            <w:noWrap/>
            <w:vAlign w:val="center"/>
          </w:tcPr>
          <w:p>
            <w:pPr>
              <w:autoSpaceDN w:val="0"/>
              <w:jc w:val="left"/>
              <w:textAlignment w:val="center"/>
              <w:rPr>
                <w:rFonts w:eastAsia="华文细黑"/>
                <w:color w:val="000000"/>
                <w:sz w:val="20"/>
              </w:rPr>
            </w:pPr>
          </w:p>
        </w:tc>
        <w:tc>
          <w:tcPr>
            <w:tcW w:w="510" w:type="dxa"/>
            <w:noWrap/>
            <w:vAlign w:val="center"/>
          </w:tcPr>
          <w:p>
            <w:pPr>
              <w:autoSpaceDN w:val="0"/>
              <w:jc w:val="left"/>
              <w:textAlignment w:val="center"/>
              <w:rPr>
                <w:rFonts w:eastAsia="华文细黑"/>
                <w:color w:val="000000"/>
                <w:sz w:val="20"/>
              </w:rPr>
            </w:pPr>
          </w:p>
        </w:tc>
        <w:tc>
          <w:tcPr>
            <w:tcW w:w="420" w:type="dxa"/>
            <w:noWrap/>
            <w:vAlign w:val="bottom"/>
          </w:tcPr>
          <w:p>
            <w:pPr>
              <w:autoSpaceDN w:val="0"/>
              <w:jc w:val="right"/>
              <w:textAlignment w:val="bottom"/>
              <w:rPr>
                <w:rFonts w:eastAsia="宋体"/>
                <w:color w:val="000000"/>
                <w:sz w:val="20"/>
              </w:rPr>
            </w:pPr>
          </w:p>
        </w:tc>
        <w:tc>
          <w:tcPr>
            <w:tcW w:w="1510" w:type="dxa"/>
            <w:gridSpan w:val="4"/>
            <w:noWrap/>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trPr>
        <w:tc>
          <w:tcPr>
            <w:tcW w:w="1257" w:type="dxa"/>
            <w:vMerge w:val="restart"/>
            <w:tcBorders>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部门（单位）</w:t>
            </w:r>
          </w:p>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名称</w:t>
            </w:r>
          </w:p>
        </w:tc>
        <w:tc>
          <w:tcPr>
            <w:tcW w:w="900" w:type="dxa"/>
            <w:vMerge w:val="restart"/>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总计</w:t>
            </w:r>
          </w:p>
        </w:tc>
        <w:tc>
          <w:tcPr>
            <w:tcW w:w="5411" w:type="dxa"/>
            <w:gridSpan w:val="11"/>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本年</w:t>
            </w:r>
            <w:r>
              <w:rPr>
                <w:rFonts w:eastAsia="宋体"/>
                <w:color w:val="000000"/>
                <w:sz w:val="20"/>
                <w:shd w:val="clear" w:color="auto" w:fill="FFFFFF"/>
                <w:lang w:eastAsia="zh-CN"/>
              </w:rPr>
              <w:t>收入</w:t>
            </w:r>
          </w:p>
        </w:tc>
        <w:tc>
          <w:tcPr>
            <w:tcW w:w="2904" w:type="dxa"/>
            <w:gridSpan w:val="7"/>
            <w:tcBorders>
              <w:top w:val="single" w:sz="4" w:space="0" w:color="000000"/>
              <w:left w:val="single" w:sz="4" w:space="0" w:color="000000"/>
              <w:right w:val="single" w:sz="4" w:space="0" w:color="000000"/>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上年结转结余</w:t>
            </w:r>
          </w:p>
        </w:tc>
      </w:tr>
      <w:tr>
        <w:trPr>
          <w:trHeight w:val="517"/>
        </w:trPr>
        <w:tc>
          <w:tcPr>
            <w:tcW w:w="1258" w:type="dxa"/>
            <w:vMerge/>
            <w:tcBorders>
              <w:left w:val="single" w:sz="4" w:space="0" w:color="000000"/>
              <w:right w:val="single" w:sz="4" w:space="0" w:color="000000"/>
            </w:tcBorders>
            <w:noWrap/>
            <w:vAlign w:val="center"/>
          </w:tcPr>
          <w:p/>
        </w:tc>
        <w:tc>
          <w:tcPr>
            <w:tcW w:w="718" w:type="dxa"/>
            <w:vMerge/>
            <w:tcBorders>
              <w:left w:val="single" w:sz="4" w:space="0" w:color="000000"/>
              <w:right w:val="single" w:sz="4" w:space="0" w:color="000000"/>
            </w:tcBorders>
            <w:noWrap/>
            <w:vAlign w:val="center"/>
          </w:tcPr>
          <w:p/>
        </w:tc>
        <w:tc>
          <w:tcPr>
            <w:tcW w:w="900" w:type="dxa"/>
            <w:vMerge w:val="restart"/>
            <w:tcBorders>
              <w:top w:val="single" w:sz="4" w:space="0" w:color="000000"/>
              <w:left w:val="single" w:sz="4" w:space="0" w:color="000000"/>
              <w:right w:val="single" w:sz="4" w:space="0" w:color="auto"/>
            </w:tcBorders>
            <w:noWrap/>
            <w:vAlign w:val="center"/>
          </w:tcPr>
          <w:p>
            <w:pPr>
              <w:widowControl/>
              <w:jc w:val="center"/>
              <w:rPr>
                <w:rFonts w:eastAsia="宋体" w:hint="eastAsia"/>
                <w:color w:val="000000"/>
                <w:sz w:val="20"/>
                <w:shd w:val="clear" w:color="auto" w:fill="FFFFFF"/>
                <w:lang w:eastAsia="zh-CN"/>
              </w:rPr>
            </w:pPr>
            <w:r>
              <w:rPr>
                <w:rFonts w:eastAsia="宋体" w:hint="eastAsia"/>
                <w:color w:val="000000"/>
                <w:sz w:val="20"/>
                <w:shd w:val="clear" w:color="auto" w:fill="FFFFFF"/>
                <w:lang w:eastAsia="zh-CN"/>
              </w:rPr>
              <w:t>合计</w:t>
            </w:r>
          </w:p>
        </w:tc>
        <w:tc>
          <w:tcPr>
            <w:tcW w:w="1722" w:type="dxa"/>
            <w:gridSpan w:val="3"/>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财政拨款</w:t>
            </w:r>
          </w:p>
          <w:p>
            <w:pPr>
              <w:widowControl/>
              <w:jc w:val="center"/>
              <w:rPr>
                <w:rFonts w:eastAsia="宋体" w:hint="eastAsia"/>
                <w:color w:val="000000"/>
                <w:sz w:val="21"/>
                <w:szCs w:val="21"/>
                <w:shd w:val="clear" w:color="auto" w:fill="FFFFFF"/>
                <w:lang w:eastAsia="zh-CN"/>
              </w:rPr>
            </w:pPr>
            <w:r>
              <w:rPr>
                <w:rFonts w:eastAsia="宋体" w:hint="eastAsia"/>
                <w:color w:val="000000"/>
                <w:sz w:val="20"/>
                <w:szCs w:val="20"/>
                <w:shd w:val="clear" w:color="auto" w:fill="FFFFFF"/>
                <w:lang w:eastAsia="zh-CN"/>
              </w:rPr>
              <w:t>收入</w:t>
            </w:r>
          </w:p>
        </w:tc>
        <w:tc>
          <w:tcPr>
            <w:tcW w:w="420" w:type="dxa"/>
            <w:vMerge w:val="restart"/>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0"/>
                <w:shd w:val="clear" w:color="auto" w:fill="FFFFFF"/>
                <w:lang w:eastAsia="zh-CN"/>
              </w:rPr>
              <w:t>财政专户管理资金收</w:t>
            </w:r>
            <w:r>
              <w:rPr>
                <w:rFonts w:eastAsia="宋体" w:hint="eastAsia"/>
                <w:color w:val="000000"/>
                <w:sz w:val="21"/>
                <w:szCs w:val="21"/>
                <w:shd w:val="clear" w:color="auto" w:fill="FFFFFF"/>
                <w:lang w:eastAsia="zh-CN"/>
              </w:rPr>
              <w:t>入</w:t>
            </w:r>
          </w:p>
        </w:tc>
        <w:tc>
          <w:tcPr>
            <w:tcW w:w="2368" w:type="dxa"/>
            <w:gridSpan w:val="6"/>
            <w:tcBorders>
              <w:top w:val="single" w:sz="4" w:space="0" w:color="000000"/>
              <w:left w:val="single" w:sz="4" w:space="0" w:color="auto"/>
              <w:right w:val="single" w:sz="4" w:space="0" w:color="000000"/>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单位资金收入</w:t>
            </w:r>
          </w:p>
        </w:tc>
        <w:tc>
          <w:tcPr>
            <w:tcW w:w="465" w:type="dxa"/>
            <w:vMerge w:val="restart"/>
            <w:tcBorders>
              <w:top w:val="single" w:sz="4" w:space="0" w:color="000000"/>
              <w:left w:val="single" w:sz="4" w:space="0" w:color="000000"/>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合计</w:t>
            </w:r>
          </w:p>
        </w:tc>
        <w:tc>
          <w:tcPr>
            <w:tcW w:w="1483" w:type="dxa"/>
            <w:gridSpan w:val="4"/>
            <w:tcBorders>
              <w:top w:val="single" w:sz="4" w:space="0" w:color="000000"/>
              <w:left w:val="single" w:sz="4" w:space="0" w:color="auto"/>
              <w:right w:val="single" w:sz="4" w:space="0" w:color="auto"/>
            </w:tcBorders>
            <w:noWrap/>
            <w:vAlign w:val="center"/>
          </w:tcPr>
          <w:p>
            <w:pPr>
              <w:widowControl/>
              <w:jc w:val="center"/>
              <w:rPr>
                <w:rFonts w:eastAsia="宋体" w:hint="eastAsia"/>
                <w:color w:val="000000"/>
                <w:sz w:val="21"/>
                <w:szCs w:val="21"/>
                <w:shd w:val="clear" w:color="auto" w:fill="FFFFFF"/>
                <w:lang w:eastAsia="zh-CN"/>
              </w:rPr>
            </w:pPr>
            <w:r>
              <w:rPr>
                <w:rFonts w:eastAsia="宋体" w:hint="eastAsia"/>
                <w:color w:val="000000"/>
                <w:sz w:val="21"/>
                <w:szCs w:val="21"/>
                <w:shd w:val="clear" w:color="auto" w:fill="FFFFFF"/>
                <w:lang w:eastAsia="zh-CN"/>
              </w:rPr>
              <w:t>财政拨款结转</w:t>
            </w:r>
          </w:p>
        </w:tc>
        <w:tc>
          <w:tcPr>
            <w:tcW w:w="956" w:type="dxa"/>
            <w:gridSpan w:val="2"/>
            <w:tcBorders>
              <w:top w:val="single" w:sz="4" w:space="0" w:color="000000"/>
              <w:left w:val="single" w:sz="4" w:space="0" w:color="auto"/>
              <w:right w:val="single" w:sz="4" w:space="0" w:color="000000"/>
            </w:tcBorders>
            <w:noWrap/>
            <w:vAlign w:val="center"/>
          </w:tcPr>
          <w:p>
            <w:pPr>
              <w:widowControl/>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非财政拨款结转结余</w:t>
            </w:r>
          </w:p>
        </w:tc>
      </w:tr>
      <w:tr>
        <w:trPr>
          <w:trHeight w:val="6089"/>
        </w:trPr>
        <w:tc>
          <w:tcPr>
            <w:tcW w:w="1258" w:type="dxa"/>
            <w:vMerge/>
            <w:tcBorders>
              <w:left w:val="single" w:sz="4" w:space="0" w:color="000000"/>
              <w:bottom w:val="single" w:sz="4" w:space="0" w:color="000000"/>
              <w:right w:val="single" w:sz="4" w:space="0" w:color="000000"/>
            </w:tcBorders>
            <w:shd w:val="solid" w:color="FFFFFF" w:fill="auto"/>
            <w:noWrap/>
            <w:textDirection w:val="tbLrV"/>
            <w:vAlign w:val="center"/>
          </w:tcPr>
          <w:p/>
        </w:tc>
        <w:tc>
          <w:tcPr>
            <w:tcW w:w="718" w:type="dxa"/>
            <w:vMerge/>
            <w:tcBorders>
              <w:left w:val="single" w:sz="4" w:space="0" w:color="000000"/>
              <w:bottom w:val="single" w:sz="4" w:space="0" w:color="000000"/>
              <w:right w:val="single" w:sz="4" w:space="0" w:color="000000"/>
            </w:tcBorders>
            <w:shd w:val="solid" w:color="FFFFFF" w:fill="auto"/>
            <w:noWrap/>
            <w:textDirection w:val="tbLrV"/>
            <w:vAlign w:val="center"/>
          </w:tcPr>
          <w:p/>
        </w:tc>
        <w:tc>
          <w:tcPr>
            <w:tcW w:w="672"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885"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auto"/>
                <w:lang w:eastAsia="zh-CN"/>
              </w:rPr>
              <w:t>一般公共预算收入</w:t>
            </w:r>
          </w:p>
        </w:tc>
        <w:tc>
          <w:tcPr>
            <w:tcW w:w="433" w:type="dxa"/>
            <w:tcBorders>
              <w:top w:val="single" w:sz="4" w:space="0" w:color="000000"/>
              <w:left w:val="single" w:sz="4" w:space="0" w:color="000000"/>
              <w:bottom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政府性基金预算收入</w:t>
            </w:r>
          </w:p>
        </w:tc>
        <w:tc>
          <w:tcPr>
            <w:tcW w:w="40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国有资本经营预算收入</w:t>
            </w:r>
          </w:p>
        </w:tc>
        <w:tc>
          <w:tcPr>
            <w:tcW w:w="552" w:type="dxa"/>
            <w:vMerge/>
            <w:tcBorders>
              <w:left w:val="single" w:sz="4" w:space="0" w:color="auto"/>
              <w:bottom w:val="single" w:sz="4" w:space="0" w:color="000000"/>
              <w:right w:val="single" w:sz="4" w:space="0" w:color="auto"/>
            </w:tcBorders>
            <w:shd w:val="solid" w:color="FFFFFF" w:fill="auto"/>
            <w:noWrap/>
            <w:textDirection w:val="tbLrV"/>
            <w:vAlign w:val="center"/>
          </w:tc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事业收入</w:t>
            </w: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事业单位经营收入</w:t>
            </w:r>
          </w:p>
        </w:tc>
        <w:tc>
          <w:tcPr>
            <w:tcW w:w="474"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上级补助收入</w:t>
            </w: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附属单位上缴收入</w:t>
            </w: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其他收入</w:t>
            </w:r>
          </w:p>
        </w:tc>
        <w:tc>
          <w:tcPr>
            <w:tcW w:w="486"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51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一般公共预算拨款结转</w:t>
            </w:r>
          </w:p>
        </w:tc>
        <w:tc>
          <w:tcPr>
            <w:tcW w:w="494"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left"/>
              <w:rPr>
                <w:rFonts w:eastAsia="宋体" w:hint="eastAsia"/>
                <w:color w:val="000000"/>
                <w:sz w:val="20"/>
                <w:szCs w:val="20"/>
                <w:shd w:val="clear" w:color="auto" w:fill="FFFFFF"/>
                <w:lang w:eastAsia="zh-CN"/>
              </w:rPr>
            </w:pPr>
          </w:p>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政府性基金预算拨款</w:t>
            </w:r>
            <w:r>
              <w:rPr>
                <w:rFonts w:eastAsia="宋体"/>
                <w:color w:val="000000"/>
                <w:sz w:val="20"/>
                <w:szCs w:val="20"/>
                <w:shd w:val="clear" w:color="auto" w:fill="FFFFFF"/>
                <w:lang w:eastAsia="zh-CN"/>
              </w:rPr>
              <w:t>结转</w:t>
            </w:r>
          </w:p>
          <w:p>
            <w:pPr>
              <w:widowControl/>
              <w:ind w:left="113" w:right="113"/>
              <w:jc w:val="center"/>
              <w:rPr>
                <w:rFonts w:eastAsia="宋体" w:hint="eastAsia"/>
                <w:color w:val="000000"/>
                <w:sz w:val="20"/>
                <w:szCs w:val="20"/>
                <w:shd w:val="clear" w:color="auto" w:fill="FFFFFF"/>
                <w:lang w:eastAsia="zh-CN"/>
              </w:rPr>
            </w:pPr>
          </w:p>
        </w:tc>
        <w:tc>
          <w:tcPr>
            <w:tcW w:w="479"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国有资本经营预算拨款结转</w:t>
            </w:r>
          </w:p>
        </w:tc>
        <w:tc>
          <w:tcPr>
            <w:tcW w:w="479"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财政专户管理资金结转结余</w:t>
            </w:r>
          </w:p>
        </w:tc>
        <w:tc>
          <w:tcPr>
            <w:tcW w:w="476"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widowControl/>
              <w:ind w:left="113" w:right="113"/>
              <w:jc w:val="center"/>
              <w:rPr>
                <w:rFonts w:eastAsia="宋体" w:hint="eastAsia"/>
                <w:color w:val="000000"/>
                <w:sz w:val="20"/>
                <w:szCs w:val="20"/>
                <w:shd w:val="clear" w:color="auto" w:fill="FFFFFF"/>
                <w:lang w:eastAsia="zh-CN"/>
              </w:rPr>
            </w:pPr>
            <w:r>
              <w:rPr>
                <w:rFonts w:eastAsia="宋体" w:hint="eastAsia"/>
                <w:color w:val="000000"/>
                <w:sz w:val="20"/>
                <w:szCs w:val="20"/>
                <w:shd w:val="clear" w:color="auto" w:fill="FFFFFF"/>
                <w:lang w:eastAsia="zh-CN"/>
              </w:rPr>
              <w:t>单位资金结转结余</w:t>
            </w:r>
          </w:p>
        </w:tc>
      </w:tr>
      <w:tr>
        <w:trPr>
          <w:trHeight w:val="517"/>
        </w:trPr>
        <w:tc>
          <w:tcPr>
            <w:tcW w:w="1257"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r>
              <w:rPr>
                <w:rFonts w:eastAsia="宋体"/>
                <w:color w:val="000000"/>
                <w:sz w:val="20"/>
              </w:rPr>
              <w:t>长春市统计局普查中心</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r>
              <w:rPr>
                <w:rFonts w:ascii="Arial" w:eastAsia="Arial" w:cs="Lucida Sans" w:hAnsi="Arial"/>
                <w:color w:val="000000"/>
                <w:sz w:val="16"/>
              </w:rPr>
              <w:t>1531.82</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r>
              <w:rPr>
                <w:rFonts w:ascii="Arial" w:eastAsia="Arial" w:cs="Lucida Sans" w:hAnsi="Arial"/>
                <w:color w:val="000000"/>
                <w:sz w:val="16"/>
              </w:rPr>
              <w:t>1531.82</w:t>
            </w:r>
          </w:p>
        </w:tc>
        <w:tc>
          <w:tcPr>
            <w:tcW w:w="88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r>
              <w:rPr>
                <w:rFonts w:ascii="Arial" w:eastAsia="Arial" w:cs="Lucida Sans" w:hAnsi="Arial"/>
                <w:color w:val="000000"/>
                <w:sz w:val="16"/>
              </w:rPr>
              <w:t>1531.82</w:t>
            </w:r>
          </w:p>
        </w:tc>
        <w:tc>
          <w:tcPr>
            <w:tcW w:w="43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94"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257"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r>
              <w:rPr>
                <w:rFonts w:ascii="Arial" w:eastAsia="Arial" w:cs="Lucida Sans" w:hAnsi="Arial"/>
                <w:color w:val="000000"/>
                <w:sz w:val="16"/>
              </w:rPr>
              <w:t>1531.82</w:t>
            </w:r>
          </w:p>
        </w:tc>
        <w:tc>
          <w:tcPr>
            <w:tcW w:w="9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r>
              <w:rPr>
                <w:rFonts w:ascii="Arial" w:eastAsia="Arial" w:cs="Lucida Sans" w:hAnsi="Arial"/>
                <w:color w:val="000000"/>
                <w:sz w:val="16"/>
              </w:rPr>
              <w:t>1531.82</w:t>
            </w:r>
          </w:p>
        </w:tc>
        <w:tc>
          <w:tcPr>
            <w:tcW w:w="88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r>
              <w:rPr>
                <w:rFonts w:ascii="Arial" w:eastAsia="Arial" w:cs="Lucida Sans" w:hAnsi="Arial"/>
                <w:color w:val="000000"/>
                <w:sz w:val="16"/>
              </w:rPr>
              <w:t>1531.82</w:t>
            </w:r>
          </w:p>
        </w:tc>
        <w:tc>
          <w:tcPr>
            <w:tcW w:w="43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0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20"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6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51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94"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47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ind w:firstLineChars="200" w:firstLine="64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60"/>
        <w:gridCol w:w="445"/>
      </w:tblGrid>
      <w:tr>
        <w:trPr>
          <w:trHeight w:val="119"/>
        </w:trPr>
        <w:tc>
          <w:tcPr>
            <w:tcW w:w="10405" w:type="dxa"/>
            <w:gridSpan w:val="2"/>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bl>
            <w:tblPr>
              <w:jc w:val="left"/>
              <w:tblInd w:w="44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377"/>
              <w:gridCol w:w="1039"/>
              <w:gridCol w:w="1306"/>
              <w:gridCol w:w="1090"/>
              <w:gridCol w:w="1297"/>
              <w:gridCol w:w="1266"/>
              <w:gridCol w:w="30"/>
              <w:gridCol w:w="1297"/>
              <w:gridCol w:w="138"/>
            </w:tblGrid>
            <w:tr>
              <w:trPr>
                <w:trHeight w:val="636"/>
                <w:gridAfter w:val="1"/>
                <w:wAfter w:w="138" w:type="dxa"/>
              </w:trPr>
              <w:tc>
                <w:tcPr>
                  <w:tcW w:w="5812" w:type="dxa"/>
                  <w:gridSpan w:val="4"/>
                  <w:tcBorders>
                    <w:bottom w:val="single" w:sz="4" w:space="0" w:color="000000"/>
                  </w:tcBorders>
                  <w:noWrap/>
                  <w:vAlign w:val="center"/>
                </w:tcPr>
                <w:p>
                  <w:pPr>
                    <w:widowControl/>
                    <w:jc w:val="left"/>
                    <w:rPr>
                      <w:rFonts w:eastAsia="华文细黑"/>
                      <w:color w:val="000000"/>
                      <w:kern w:val="0"/>
                      <w:sz w:val="20"/>
                    </w:rPr>
                  </w:pPr>
                </w:p>
              </w:tc>
              <w:tc>
                <w:tcPr>
                  <w:tcW w:w="1297" w:type="dxa"/>
                  <w:tcBorders>
                    <w:bottom w:val="single" w:sz="4" w:space="0" w:color="000000"/>
                  </w:tcBorders>
                  <w:noWrap/>
                  <w:vAlign w:val="center"/>
                </w:tcPr>
                <w:p>
                  <w:pPr>
                    <w:widowControl/>
                    <w:jc w:val="right"/>
                    <w:rPr>
                      <w:rFonts w:eastAsia="华文细黑"/>
                      <w:color w:val="000000"/>
                      <w:kern w:val="0"/>
                      <w:sz w:val="20"/>
                    </w:rPr>
                  </w:pPr>
                </w:p>
              </w:tc>
              <w:tc>
                <w:tcPr>
                  <w:tcW w:w="1296" w:type="dxa"/>
                  <w:gridSpan w:val="2"/>
                  <w:tcBorders>
                    <w:bottom w:val="single" w:sz="4" w:space="0" w:color="000000"/>
                  </w:tcBorders>
                  <w:noWrap/>
                  <w:vAlign w:val="center"/>
                </w:tcPr>
                <w:p>
                  <w:pPr>
                    <w:widowControl/>
                    <w:jc w:val="right"/>
                    <w:rPr>
                      <w:rFonts w:eastAsia="华文细黑"/>
                      <w:color w:val="000000"/>
                      <w:kern w:val="0"/>
                      <w:sz w:val="20"/>
                    </w:rPr>
                  </w:pPr>
                </w:p>
              </w:tc>
              <w:tc>
                <w:tcPr>
                  <w:tcW w:w="1297" w:type="dxa"/>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1533"/>
              </w:trPr>
              <w:tc>
                <w:tcPr>
                  <w:tcW w:w="237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39"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lang w:eastAsia="zh-CN"/>
                    </w:rPr>
                    <w:t>合</w:t>
                  </w:r>
                  <w:r>
                    <w:rPr>
                      <w:rFonts w:eastAsia="华文细黑"/>
                      <w:color w:val="000000"/>
                      <w:kern w:val="0"/>
                      <w:sz w:val="20"/>
                    </w:rPr>
                    <w:t>计</w:t>
                  </w:r>
                </w:p>
              </w:tc>
              <w:tc>
                <w:tcPr>
                  <w:tcW w:w="130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事业单位</w:t>
                  </w:r>
                </w:p>
                <w:p>
                  <w:pPr>
                    <w:widowControl/>
                    <w:jc w:val="center"/>
                    <w:rPr>
                      <w:rFonts w:eastAsia="华文细黑" w:hint="eastAsia"/>
                      <w:color w:val="000000"/>
                      <w:kern w:val="0"/>
                      <w:sz w:val="20"/>
                    </w:rPr>
                  </w:pPr>
                  <w:r>
                    <w:rPr>
                      <w:rFonts w:eastAsia="华文细黑" w:hint="eastAsia"/>
                      <w:color w:val="000000"/>
                      <w:kern w:val="0"/>
                      <w:sz w:val="20"/>
                    </w:rPr>
                    <w:t>经营支出</w:t>
                  </w:r>
                </w:p>
              </w:tc>
              <w:tc>
                <w:tcPr>
                  <w:tcW w:w="126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701"/>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事业运行</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left="0"/>
                    <w:jc w:val="left"/>
                    <w:rPr>
                      <w:rFonts w:eastAsia="宋体"/>
                      <w:color w:val="000000"/>
                      <w:kern w:val="0"/>
                      <w:sz w:val="20"/>
                    </w:rPr>
                  </w:pPr>
                  <w:r>
                    <w:rPr>
                      <w:rFonts w:eastAsia="宋体"/>
                      <w:color w:val="000000"/>
                      <w:kern w:val="0"/>
                      <w:sz w:val="20"/>
                    </w:rPr>
                    <w:t>二、社会保障和就业支出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r>
                    <w:rPr>
                      <w:rFonts w:eastAsia="宋体"/>
                      <w:color w:val="000000"/>
                      <w:kern w:val="0"/>
                      <w:sz w:val="20"/>
                    </w:rPr>
                    <w:t xml:space="preserve">  行政事业单位养老支出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事业单位离退休</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机关事业单位基本养老保险缴费支出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145.31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145.31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事业单位医疗</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124.71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124.71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75"/>
              </w:trPr>
              <w:tc>
                <w:tcPr>
                  <w:tcW w:w="237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ascii="Arial" w:eastAsia="Arial" w:cs="Lucida Sans" w:hAnsi="Arial"/>
                      <w:color w:val="000000"/>
                      <w:sz w:val="16"/>
                    </w:rPr>
                    <w:t>1531.82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ascii="Arial" w:eastAsia="Arial" w:cs="Lucida Sans" w:hAnsi="Arial"/>
                      <w:color w:val="000000"/>
                      <w:sz w:val="16"/>
                    </w:rPr>
                    <w:t>1531.82</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65"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rPr>
          <w:trHeight w:val="11083"/>
          <w:gridAfter w:val="1"/>
          <w:wAfter w:w="445" w:type="dxa"/>
        </w:trPr>
        <w:tc>
          <w:tcPr>
            <w:tcW w:w="9960" w:type="dxa"/>
            <w:tcBorders>
              <w:top w:val="nil"/>
              <w:left w:val="nil"/>
              <w:bottom w:val="nil"/>
              <w:right w:val="nil"/>
            </w:tcBorders>
            <w:noWrap/>
            <w:vAlign w:val="bottom"/>
          </w:tcPr>
          <w:tbl>
            <w:tblPr>
              <w:tblpPr w:leftFromText="180" w:rightFromText="180" w:vertAnchor="page" w:horzAnchor="page" w:tblpX="114" w:tblpY="657"/>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rPr>
                <w:trHeight w:val="634"/>
              </w:trPr>
              <w:tc>
                <w:tcPr>
                  <w:tcW w:w="9640"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lang w:eastAsia="zh-CN"/>
                    </w:rPr>
                    <w:t>预算总</w:t>
                  </w:r>
                  <w:r>
                    <w:rPr>
                      <w:rFonts w:eastAsia="方正小标宋简体"/>
                      <w:kern w:val="0"/>
                      <w:sz w:val="44"/>
                      <w:szCs w:val="44"/>
                    </w:rPr>
                    <w:t>表</w:t>
                  </w:r>
                </w:p>
              </w:tc>
            </w:tr>
            <w:tr>
              <w:trPr>
                <w:trHeight w:val="502"/>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42"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val="en-US"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2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hint="eastAsia"/>
                      <w:kern w:val="0"/>
                      <w:sz w:val="20"/>
                      <w:lang w:eastAsia="zh-CN"/>
                    </w:rPr>
                  </w:pPr>
                  <w:r>
                    <w:rPr>
                      <w:rFonts w:eastAsia="宋体" w:hint="eastAsia"/>
                      <w:kern w:val="0"/>
                      <w:sz w:val="20"/>
                    </w:rPr>
                    <w:t>2</w:t>
                  </w:r>
                  <w:r>
                    <w:rPr>
                      <w:rFonts w:eastAsia="宋体"/>
                      <w:kern w:val="0"/>
                      <w:sz w:val="20"/>
                    </w:rPr>
                    <w:t>02</w:t>
                  </w:r>
                  <w:r>
                    <w:rPr>
                      <w:rFonts w:eastAsia="宋体" w:hint="eastAsia"/>
                      <w:kern w:val="0"/>
                      <w:sz w:val="20"/>
                      <w:lang w:val="en-US" w:eastAsia="zh-CN"/>
                    </w:rPr>
                    <w:t>5</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w:t>
                  </w:r>
                  <w:r>
                    <w:rPr>
                      <w:rFonts w:eastAsia="宋体" w:hint="eastAsia"/>
                      <w:kern w:val="0"/>
                      <w:sz w:val="20"/>
                      <w:lang w:eastAsia="zh-CN"/>
                    </w:rPr>
                    <w:t>数</w:t>
                  </w:r>
                </w:p>
              </w:tc>
              <w:tc>
                <w:tcPr>
                  <w:tcW w:w="114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w:t>
                  </w:r>
                  <w:r>
                    <w:rPr>
                      <w:rFonts w:eastAsia="宋体" w:hint="eastAsia"/>
                      <w:kern w:val="0"/>
                      <w:sz w:val="20"/>
                    </w:rPr>
                    <w:t>年预算</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hint="eastAsia"/>
                      <w:color w:val="000000"/>
                      <w:kern w:val="0"/>
                      <w:sz w:val="20"/>
                      <w:lang w:eastAsia="zh-CN"/>
                    </w:rPr>
                  </w:pPr>
                  <w:r>
                    <w:rPr>
                      <w:rFonts w:eastAsia="宋体" w:hint="eastAsia"/>
                      <w:color w:val="000000"/>
                      <w:kern w:val="0"/>
                      <w:sz w:val="20"/>
                      <w:lang w:eastAsia="zh-CN"/>
                    </w:rPr>
                    <w:t>一、本年支出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szCs w:val="22"/>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lang w:eastAsia="zh-CN"/>
                    </w:rPr>
                    <w:t>（一）</w:t>
                  </w:r>
                  <w:r>
                    <w:rPr>
                      <w:rFonts w:eastAsia="宋体"/>
                      <w:color w:val="000000"/>
                      <w:kern w:val="0"/>
                      <w:sz w:val="20"/>
                    </w:rPr>
                    <w:t>一般公共服务支出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1158.11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1158.11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w:t>
                  </w:r>
                  <w:r>
                    <w:rPr>
                      <w:rFonts w:eastAsia="宋体"/>
                      <w:color w:val="000000"/>
                      <w:kern w:val="0"/>
                      <w:sz w:val="20"/>
                    </w:rPr>
                    <w:t>社会保障和就业支出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164.37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164.37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w:t>
                  </w:r>
                  <w:r>
                    <w:rPr>
                      <w:rFonts w:eastAsia="宋体"/>
                      <w:color w:val="000000"/>
                      <w:kern w:val="0"/>
                      <w:sz w:val="20"/>
                    </w:rPr>
                    <w:t>卫生健康支出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84.63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84.63　</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四</w:t>
                  </w:r>
                  <w:r>
                    <w:rPr>
                      <w:rFonts w:eastAsia="宋体" w:hint="eastAsia"/>
                      <w:color w:val="000000"/>
                      <w:sz w:val="20"/>
                    </w:rPr>
                    <w:t>）</w:t>
                  </w:r>
                  <w:r>
                    <w:rPr>
                      <w:rFonts w:eastAsia="宋体"/>
                      <w:color w:val="000000"/>
                      <w:kern w:val="0"/>
                      <w:sz w:val="20"/>
                    </w:rPr>
                    <w:t>住房保障支出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124.71</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124.71</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5"/>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lang w:eastAsia="zh-CN"/>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noWrap/>
                </w:tcPr>
                <w:p>
                  <w:pPr>
                    <w:ind w:firstLineChars="100" w:firstLine="200"/>
                    <w:rPr>
                      <w:rFonts w:eastAsia="宋体"/>
                      <w:sz w:val="20"/>
                    </w:rPr>
                  </w:pPr>
                </w:p>
              </w:tc>
            </w:tr>
            <w:tr>
              <w:trPr>
                <w:trHeight w:val="500"/>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黑体"/>
                      <w:kern w:val="0"/>
                      <w:sz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w:t>
                  </w: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eastAsia="宋体"/>
                      <w:kern w:val="0"/>
                      <w:sz w:val="20"/>
                    </w:rPr>
                  </w:pPr>
                </w:p>
              </w:tc>
            </w:tr>
          </w:tbl>
          <w:p>
            <w:pPr>
              <w:widowControl/>
              <w:rPr>
                <w:rFonts w:eastAsia="方正小标宋简体"/>
                <w:kern w:val="0"/>
                <w:sz w:val="44"/>
                <w:szCs w:val="44"/>
              </w:rPr>
            </w:pPr>
          </w:p>
        </w:tc>
      </w:tr>
    </w:tbl>
    <w:p>
      <w:pPr>
        <w:ind w:firstLineChars="200" w:firstLine="64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5"/>
      </w:tblGrid>
      <w:tr>
        <w:trPr>
          <w:trHeight w:val="6081"/>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pPr w:leftFromText="180" w:rightFromText="180" w:vertAnchor="text" w:horzAnchor="page" w:tblpX="832" w:tblpY="12"/>
              <w:tblOverlap w:val="never"/>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52"/>
              <w:gridCol w:w="1134"/>
              <w:gridCol w:w="1134"/>
              <w:gridCol w:w="1134"/>
              <w:gridCol w:w="1134"/>
              <w:gridCol w:w="1701"/>
            </w:tblGrid>
            <w:tr>
              <w:trPr>
                <w:trHeight w:val="390"/>
              </w:trPr>
              <w:tc>
                <w:tcPr>
                  <w:tcW w:w="8789"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lang w:eastAsia="zh-CN"/>
                    </w:rPr>
                    <w:t>拨款</w:t>
                  </w:r>
                  <w:r>
                    <w:rPr>
                      <w:rFonts w:eastAsia="方正小标宋简体" w:hint="eastAsia"/>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rPr>
                <w:trHeight w:val="671"/>
              </w:trPr>
              <w:tc>
                <w:tcPr>
                  <w:tcW w:w="2552"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1005.74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152.37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1158.11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1158.11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1005.74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152.37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事业运行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1158.11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1158.11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1005.74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152.37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164.37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事业单位离退休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19.06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left="0" w:firstLineChars="300" w:firstLine="600"/>
                    <w:rPr>
                      <w:rFonts w:eastAsia="华文细黑"/>
                      <w:color w:val="000000"/>
                      <w:kern w:val="0"/>
                      <w:sz w:val="20"/>
                    </w:rPr>
                  </w:pPr>
                  <w:r>
                    <w:rPr>
                      <w:rFonts w:eastAsia="宋体"/>
                      <w:color w:val="000000"/>
                      <w:kern w:val="0"/>
                      <w:sz w:val="20"/>
                    </w:rPr>
                    <w:t>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145.31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145.31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145.31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84.63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right"/>
                  </w:pPr>
                  <w:r>
                    <w:rPr>
                      <w:rFonts w:eastAsia="宋体"/>
                      <w:color w:val="000000"/>
                      <w:kern w:val="0"/>
                      <w:sz w:val="20"/>
                    </w:rPr>
                    <w:t>124.71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1531.82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1531.82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1379.45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152.37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widowControl/>
              <w:rPr>
                <w:rFonts w:eastAsia="方正小标宋简体"/>
                <w:kern w:val="0"/>
                <w:sz w:val="44"/>
                <w:szCs w:val="44"/>
              </w:rPr>
            </w:pPr>
          </w:p>
          <w:p>
            <w:pPr>
              <w:widowControl/>
              <w:jc w:val="center"/>
              <w:rPr>
                <w:rFonts w:eastAsia="方正小标宋简体"/>
                <w:kern w:val="0"/>
                <w:sz w:val="44"/>
                <w:szCs w:val="44"/>
              </w:rPr>
            </w:pPr>
          </w:p>
        </w:tc>
      </w:tr>
    </w:tbl>
    <w:p>
      <w:pPr>
        <w:ind w:firstLineChars="200" w:firstLine="640"/>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left="0"/>
        <w:rPr>
          <w:rFonts w:eastAsia="楷体"/>
        </w:rPr>
      </w:pPr>
    </w:p>
    <w:p>
      <w:pPr>
        <w:jc w:val="center"/>
        <w:rPr>
          <w:rFonts w:eastAsia="方正小标宋简体"/>
          <w:kern w:val="0"/>
          <w:sz w:val="44"/>
          <w:szCs w:val="44"/>
        </w:rPr>
      </w:pPr>
    </w:p>
    <w:tbl>
      <w:tblPr>
        <w:tblpPr w:leftFromText="180" w:rightFromText="180" w:vertAnchor="text" w:horzAnchor="page" w:tblpX="1487" w:tblpY="-374"/>
        <w:tblOverlap w:val="never"/>
        <w:tblW w:w="89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615"/>
        </w:trPr>
        <w:tc>
          <w:tcPr>
            <w:tcW w:w="8931" w:type="dxa"/>
            <w:gridSpan w:val="4"/>
            <w:tcBorders>
              <w:top w:val="nil"/>
              <w:left w:val="nil"/>
              <w:bottom w:val="nil"/>
              <w:right w:val="nil"/>
            </w:tcBorders>
            <w:noWrap/>
            <w:vAlign w:val="bottom"/>
          </w:tcPr>
          <w:p>
            <w:pPr>
              <w:widowControl/>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tc>
      </w:tr>
      <w:tr>
        <w:trPr>
          <w:trHeight w:val="390"/>
        </w:trPr>
        <w:tc>
          <w:tcPr>
            <w:tcW w:w="3176" w:type="dxa"/>
            <w:tcBorders>
              <w:top w:val="nil"/>
              <w:left w:val="nil"/>
              <w:bottom w:val="single" w:sz="4" w:space="0" w:color="auto"/>
              <w:right w:val="nil"/>
            </w:tcBorders>
            <w:noWrap/>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sz="4" w:space="0" w:color="auto"/>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sz="4" w:space="0" w:color="auto"/>
              <w:right w:val="nil"/>
            </w:tcBorders>
            <w:noWrap/>
            <w:vAlign w:val="bottom"/>
          </w:tcPr>
          <w:p>
            <w:pPr>
              <w:widowControl/>
              <w:jc w:val="right"/>
              <w:rPr>
                <w:rFonts w:eastAsia="华文细黑"/>
                <w:kern w:val="0"/>
                <w:sz w:val="20"/>
              </w:rPr>
            </w:pPr>
            <w:r>
              <w:rPr>
                <w:rFonts w:eastAsia="华文细黑"/>
                <w:kern w:val="0"/>
                <w:sz w:val="20"/>
              </w:rPr>
              <w:t>　</w:t>
            </w:r>
            <w:r>
              <w:rPr>
                <w:rFonts w:eastAsia="华文细黑" w:hint="eastAsia"/>
                <w:kern w:val="0"/>
                <w:sz w:val="20"/>
              </w:rPr>
              <w:t>单位：万元</w:t>
            </w:r>
          </w:p>
        </w:tc>
      </w:tr>
      <w:tr>
        <w:trPr>
          <w:trHeight w:val="569"/>
        </w:trPr>
        <w:tc>
          <w:tcPr>
            <w:tcW w:w="3176"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lang w:eastAsia="zh-CN"/>
              </w:rPr>
              <w:t>部门预算支出</w:t>
            </w:r>
            <w:r>
              <w:rPr>
                <w:rFonts w:eastAsia="华文细黑"/>
                <w:kern w:val="0"/>
                <w:sz w:val="20"/>
              </w:rPr>
              <w:t>经济分类科目</w:t>
            </w:r>
          </w:p>
        </w:tc>
        <w:tc>
          <w:tcPr>
            <w:tcW w:w="2220"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614"/>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1354.93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1354.93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500.39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500.39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0.79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0.79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599"/>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229.10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229.10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599"/>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绩效工资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237.91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237.91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145.31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145.31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52.73</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52.73</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30.47</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30.47</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7.79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7.79</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124.71</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124.71</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医疗费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10.60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10.60</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15.13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15.13</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145.64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145.64</w:t>
            </w:r>
          </w:p>
        </w:tc>
      </w:tr>
      <w:tr>
        <w:trPr>
          <w:trHeight w:val="59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18.00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16.00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手续费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1.00</w:t>
            </w:r>
          </w:p>
        </w:tc>
      </w:tr>
      <w:tr>
        <w:trPr>
          <w:trHeight w:val="59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邮电费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4.00</w:t>
            </w:r>
          </w:p>
        </w:tc>
        <w:tc>
          <w:tcPr>
            <w:tcW w:w="1704"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4.00</w:t>
            </w:r>
          </w:p>
        </w:tc>
      </w:tr>
    </w:tbl>
    <w:p>
      <w:pPr>
        <w:jc w:val="cente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续表</w:t>
      </w:r>
    </w:p>
    <w:p>
      <w:pPr>
        <w:ind w:firstLineChars="250" w:firstLine="500"/>
      </w:pPr>
      <w:r>
        <w:rPr>
          <w:rFonts w:eastAsia="华文细黑"/>
          <w:kern w:val="0"/>
          <w:sz w:val="20"/>
        </w:rPr>
        <w:t xml:space="preserve">                                                                         </w:t>
      </w:r>
      <w:r>
        <w:rPr>
          <w:rFonts w:eastAsia="华文细黑" w:hint="eastAsia"/>
          <w:kern w:val="0"/>
          <w:sz w:val="20"/>
        </w:rPr>
        <w:t>单位：万元</w:t>
      </w:r>
    </w:p>
    <w:tbl>
      <w:tblPr>
        <w:jc w:val="center"/>
        <w:tblW w:w="893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484"/>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18.18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18.18</w:t>
            </w:r>
          </w:p>
        </w:tc>
      </w:tr>
      <w:tr>
        <w:trPr>
          <w:trHeight w:val="529"/>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会议费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1.55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1.55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培训费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4.99</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4.99</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公务接待费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1.67</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1.67</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14.25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14.25</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28.70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28.70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37.30</w:t>
            </w:r>
          </w:p>
        </w:tc>
        <w:tc>
          <w:tcPr>
            <w:tcW w:w="1704"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37.30</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24.52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24.52</w:t>
            </w:r>
          </w:p>
        </w:tc>
        <w:tc>
          <w:tcPr>
            <w:tcW w:w="1831" w:type="dxa"/>
            <w:tcBorders>
              <w:top w:val="single" w:sz="4" w:space="0" w:color="auto"/>
              <w:left w:val="single" w:sz="4" w:space="0" w:color="auto"/>
              <w:bottom w:val="single" w:sz="4" w:space="0" w:color="auto"/>
              <w:right w:val="single" w:sz="4" w:space="0" w:color="auto"/>
            </w:tcBorders>
            <w:noWrap/>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19.06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19.06</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5.46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5.46</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四、资本性支出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6.73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6.73</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办公设备购置</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6.73</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6.73</w:t>
            </w:r>
          </w:p>
        </w:tc>
      </w:tr>
      <w:tr>
        <w:trPr>
          <w:trHeight w:val="60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1531.82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1379.45</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sz w:val="20"/>
              </w:rPr>
            </w:pPr>
            <w:r>
              <w:rPr>
                <w:sz w:val="20"/>
              </w:rPr>
              <w:t>152.37</w:t>
            </w:r>
          </w:p>
        </w:tc>
      </w:tr>
    </w:tbl>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lang w:val="en-US" w:eastAsia="zh-CN"/>
              </w:rPr>
              <w:t>5</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1.67</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1.67</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jc w:val="both"/>
              <w:rPr>
                <w:rFonts w:eastAsia="仿宋_GB2312" w:hint="eastAsia"/>
                <w:color w:val="000000"/>
                <w:kern w:val="0"/>
                <w:sz w:val="28"/>
                <w:szCs w:val="28"/>
                <w:lang w:val="en-US" w:eastAsia="zh-CN"/>
              </w:rPr>
            </w:pPr>
          </w:p>
        </w:tc>
      </w:tr>
    </w:tbl>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kern w:val="0"/>
          <w:szCs w:val="32"/>
        </w:rPr>
      </w:pPr>
      <w:r>
        <w:rPr>
          <w:rFonts w:eastAsia="楷体"/>
          <w:kern w:val="0"/>
          <w:szCs w:val="32"/>
        </w:rPr>
        <w:t xml:space="preserve">    </w:t>
      </w:r>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ascii="仿宋_GB2312" w:hint="eastAsia"/>
          <w:kern w:val="0"/>
          <w:sz w:val="28"/>
          <w:szCs w:val="28"/>
        </w:rPr>
      </w:pPr>
      <w:r>
        <w:rPr>
          <w:rFonts w:ascii="仿宋_GB2312" w:hint="eastAsia"/>
          <w:kern w:val="0"/>
          <w:sz w:val="28"/>
          <w:szCs w:val="28"/>
        </w:rPr>
        <w:t>说明：本单位2025年度无政府性基金预算，故本表无数据。</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left="0"/>
        <w:rPr>
          <w:rFonts w:eastAsia="楷体"/>
          <w:kern w:val="0"/>
          <w:szCs w:val="32"/>
        </w:rPr>
      </w:pPr>
    </w:p>
    <w:p>
      <w:pPr>
        <w:spacing w:line="700" w:lineRule="exact"/>
        <w:ind w:left="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spacing w:line="700" w:lineRule="exact"/>
        <w:rPr>
          <w:rFonts w:ascii="仿宋_GB2312" w:hint="eastAsia"/>
          <w:kern w:val="0"/>
          <w:sz w:val="28"/>
          <w:szCs w:val="28"/>
        </w:rPr>
      </w:pPr>
      <w:r>
        <w:rPr>
          <w:rFonts w:ascii="仿宋_GB2312" w:hint="eastAsia"/>
          <w:kern w:val="0"/>
          <w:sz w:val="28"/>
          <w:szCs w:val="28"/>
        </w:rPr>
        <w:t>说明：本单位2025年度无</w:t>
      </w:r>
      <w:r>
        <w:rPr>
          <w:rFonts w:ascii="仿宋_GB2312"/>
          <w:kern w:val="0"/>
          <w:sz w:val="28"/>
          <w:szCs w:val="28"/>
        </w:rPr>
        <w:t>国有资本经营</w:t>
      </w:r>
      <w:r>
        <w:rPr>
          <w:rFonts w:ascii="仿宋_GB2312" w:hint="eastAsia"/>
          <w:kern w:val="0"/>
          <w:sz w:val="28"/>
          <w:szCs w:val="28"/>
        </w:rPr>
        <w:t>预算，故本表无数据。</w:t>
      </w:r>
    </w:p>
    <w:p>
      <w:pPr>
        <w:spacing w:line="700" w:lineRule="exact"/>
        <w:ind w:left="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2"/>
        <w:gridCol w:w="741"/>
        <w:gridCol w:w="224"/>
        <w:gridCol w:w="570"/>
        <w:gridCol w:w="629"/>
        <w:gridCol w:w="744"/>
        <w:gridCol w:w="575"/>
        <w:gridCol w:w="575"/>
        <w:gridCol w:w="575"/>
        <w:gridCol w:w="592"/>
        <w:gridCol w:w="593"/>
        <w:gridCol w:w="417"/>
        <w:gridCol w:w="417"/>
        <w:gridCol w:w="417"/>
        <w:gridCol w:w="417"/>
        <w:gridCol w:w="417"/>
      </w:tblGrid>
      <w:tr>
        <w:trPr>
          <w:trHeight w:val="1273"/>
        </w:trPr>
        <w:tc>
          <w:tcPr>
            <w:tcW w:w="8774"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872"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965"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57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629"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744"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910"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085"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单位：万元</w:t>
            </w:r>
          </w:p>
        </w:tc>
      </w:tr>
      <w:tr>
        <w:trPr>
          <w:trHeight w:val="836"/>
        </w:trPr>
        <w:tc>
          <w:tcPr>
            <w:tcW w:w="87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类型</w:t>
            </w:r>
          </w:p>
        </w:tc>
        <w:tc>
          <w:tcPr>
            <w:tcW w:w="1535"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项目名称</w:t>
            </w:r>
          </w:p>
        </w:tc>
        <w:tc>
          <w:tcPr>
            <w:tcW w:w="629"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部门（单位）名称</w:t>
            </w:r>
          </w:p>
        </w:tc>
        <w:tc>
          <w:tcPr>
            <w:tcW w:w="744"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合计</w:t>
            </w:r>
          </w:p>
        </w:tc>
        <w:tc>
          <w:tcPr>
            <w:tcW w:w="2910"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本年预算</w:t>
            </w:r>
          </w:p>
        </w:tc>
        <w:tc>
          <w:tcPr>
            <w:tcW w:w="2085"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上年结转结余</w:t>
            </w:r>
          </w:p>
        </w:tc>
      </w:tr>
      <w:tr>
        <w:trPr>
          <w:trHeight w:val="836"/>
        </w:trPr>
        <w:tc>
          <w:tcPr>
            <w:tcW w:w="873" w:type="dxa"/>
            <w:vMerge/>
            <w:tcBorders>
              <w:top w:val="single" w:sz="4" w:space="0" w:color="auto"/>
              <w:left w:val="single" w:sz="4" w:space="0" w:color="auto"/>
              <w:bottom w:val="single" w:sz="4" w:space="0" w:color="auto"/>
              <w:right w:val="single" w:sz="4" w:space="0" w:color="auto"/>
            </w:tcBorders>
            <w:noWrap/>
            <w:vAlign w:val="center"/>
          </w:tcPr>
          <w:p/>
        </w:tc>
        <w:tc>
          <w:tcPr>
            <w:tcW w:w="741"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一级项目</w:t>
            </w:r>
          </w:p>
        </w:tc>
        <w:tc>
          <w:tcPr>
            <w:tcW w:w="794" w:type="dxa"/>
            <w:gridSpan w:val="2"/>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二级</w:t>
            </w:r>
            <w:r>
              <w:rPr>
                <w:rFonts w:ascii="宋体" w:eastAsia="宋体" w:cs="宋体" w:hint="eastAsia"/>
                <w:color w:val="000000"/>
                <w:sz w:val="20"/>
                <w:szCs w:val="22"/>
                <w:lang w:val="en-US" w:eastAsia="zh-CN"/>
              </w:rPr>
              <w:t xml:space="preserve">  </w:t>
            </w:r>
            <w:r>
              <w:rPr>
                <w:rFonts w:ascii="宋体" w:eastAsia="宋体" w:cs="宋体" w:hint="eastAsia"/>
                <w:color w:val="000000"/>
                <w:sz w:val="20"/>
                <w:szCs w:val="22"/>
              </w:rPr>
              <w:t>项目</w:t>
            </w:r>
          </w:p>
        </w:tc>
        <w:tc>
          <w:tcPr>
            <w:tcW w:w="630"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05" w:type="dxa"/>
            <w:vMerge/>
            <w:tcBorders>
              <w:top w:val="single" w:sz="4" w:space="0" w:color="auto"/>
              <w:left w:val="single" w:sz="4" w:space="0" w:color="auto"/>
              <w:bottom w:val="single" w:sz="4" w:space="0" w:color="auto"/>
              <w:right w:val="single" w:sz="4" w:space="0" w:color="auto"/>
            </w:tcBorders>
            <w:noWrap/>
            <w:vAlign w:val="center"/>
          </w:tcPr>
          <w:p/>
        </w:tc>
        <w:tc>
          <w:tcPr>
            <w:tcW w:w="1725"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w:t>
            </w:r>
          </w:p>
        </w:tc>
        <w:tc>
          <w:tcPr>
            <w:tcW w:w="59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spacing w:line="240" w:lineRule="auto"/>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59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单位资金</w:t>
            </w:r>
          </w:p>
        </w:tc>
        <w:tc>
          <w:tcPr>
            <w:tcW w:w="1251"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财政拨款结转</w:t>
            </w:r>
          </w:p>
        </w:tc>
        <w:tc>
          <w:tcPr>
            <w:tcW w:w="834"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非财政拨款结转结余</w:t>
            </w:r>
          </w:p>
        </w:tc>
      </w:tr>
      <w:tr>
        <w:trPr>
          <w:trHeight w:val="2875"/>
        </w:trPr>
        <w:tc>
          <w:tcPr>
            <w:tcW w:w="873" w:type="dxa"/>
            <w:vMerge/>
            <w:tcBorders>
              <w:top w:val="single" w:sz="4" w:space="0" w:color="auto"/>
              <w:left w:val="single" w:sz="4" w:space="0" w:color="auto"/>
              <w:bottom w:val="single" w:sz="4" w:space="0" w:color="auto"/>
              <w:right w:val="single" w:sz="4" w:space="0" w:color="auto"/>
            </w:tcBorders>
            <w:noWrap/>
            <w:vAlign w:val="center"/>
          </w:tcPr>
          <w:p/>
        </w:tc>
        <w:tc>
          <w:tcPr>
            <w:tcW w:w="742" w:type="dxa"/>
            <w:vMerge/>
            <w:tcBorders>
              <w:top w:val="single" w:sz="4" w:space="0" w:color="auto"/>
              <w:left w:val="single" w:sz="4" w:space="0" w:color="auto"/>
              <w:bottom w:val="single" w:sz="4" w:space="0" w:color="auto"/>
              <w:right w:val="single" w:sz="4" w:space="0" w:color="auto"/>
            </w:tcBorders>
            <w:noWrap/>
            <w:vAlign w:val="center"/>
          </w:tcPr>
          <w:p/>
        </w:tc>
        <w:tc>
          <w:tcPr>
            <w:tcW w:w="794" w:type="dxa"/>
            <w:gridSpan w:val="2"/>
            <w:vMerge/>
            <w:tcBorders>
              <w:top w:val="single" w:sz="4" w:space="0" w:color="auto"/>
              <w:left w:val="single" w:sz="4" w:space="0" w:color="auto"/>
              <w:bottom w:val="single" w:sz="4" w:space="0" w:color="auto"/>
              <w:right w:val="single" w:sz="4" w:space="0" w:color="auto"/>
            </w:tcBorders>
            <w:noWrap/>
            <w:vAlign w:val="center"/>
          </w:tcPr>
          <w:p/>
        </w:tc>
        <w:tc>
          <w:tcPr>
            <w:tcW w:w="630" w:type="dxa"/>
            <w:vMerge/>
            <w:tcBorders>
              <w:top w:val="single" w:sz="4" w:space="0" w:color="auto"/>
              <w:left w:val="single" w:sz="4" w:space="0" w:color="auto"/>
              <w:bottom w:val="single" w:sz="4" w:space="0" w:color="auto"/>
              <w:right w:val="single" w:sz="4" w:space="0" w:color="auto"/>
            </w:tcBorders>
            <w:noWrap/>
            <w:vAlign w:val="center"/>
          </w:tcPr>
          <w:p/>
        </w:tc>
        <w:tc>
          <w:tcPr>
            <w:tcW w:w="505" w:type="dxa"/>
            <w:vMerge/>
            <w:tcBorders>
              <w:top w:val="single" w:sz="4" w:space="0" w:color="auto"/>
              <w:left w:val="single" w:sz="4" w:space="0" w:color="auto"/>
              <w:bottom w:val="single" w:sz="4" w:space="0" w:color="auto"/>
              <w:right w:val="single" w:sz="4" w:space="0" w:color="auto"/>
            </w:tcBorders>
            <w:noWrap/>
            <w:vAlign w:val="center"/>
          </w:tcPr>
          <w:p/>
        </w:tc>
        <w:tc>
          <w:tcPr>
            <w:tcW w:w="57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一般公共预算</w:t>
            </w:r>
          </w:p>
        </w:tc>
        <w:tc>
          <w:tcPr>
            <w:tcW w:w="57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基金</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预算</w:t>
            </w:r>
          </w:p>
        </w:tc>
        <w:tc>
          <w:tcPr>
            <w:tcW w:w="57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国有资本经营预算</w:t>
            </w:r>
          </w:p>
        </w:tc>
        <w:tc>
          <w:tcPr>
            <w:tcW w:w="592" w:type="dxa"/>
            <w:vMerge/>
            <w:tcBorders>
              <w:top w:val="single" w:sz="4" w:space="0" w:color="auto"/>
              <w:left w:val="single" w:sz="4" w:space="0" w:color="auto"/>
              <w:bottom w:val="single" w:sz="4" w:space="0" w:color="auto"/>
              <w:right w:val="single" w:sz="4" w:space="0" w:color="auto"/>
            </w:tcBorders>
            <w:noWrap/>
            <w:vAlign w:val="center"/>
          </w:tcPr>
          <w:p/>
        </w:tc>
        <w:tc>
          <w:tcPr>
            <w:tcW w:w="592" w:type="dxa"/>
            <w:vMerge/>
            <w:tcBorders>
              <w:top w:val="single" w:sz="4" w:space="0" w:color="auto"/>
              <w:left w:val="single" w:sz="4" w:space="0" w:color="auto"/>
              <w:bottom w:val="single" w:sz="4" w:space="0" w:color="auto"/>
              <w:right w:val="single" w:sz="4" w:space="0" w:color="auto"/>
            </w:tcBorders>
            <w:noWrap/>
            <w:vAlign w:val="center"/>
          </w:tcP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w:t>
              <w:br/>
              <w:t>公共</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br/>
              <w:t>基金</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国有资本经营</w:t>
              <w:br/>
              <w:t>预算</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41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单位资金</w:t>
            </w:r>
          </w:p>
        </w:tc>
      </w:tr>
      <w:tr>
        <w:trPr>
          <w:trHeight w:val="1046"/>
        </w:trPr>
        <w:tc>
          <w:tcPr>
            <w:tcW w:w="87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1"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9"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1046"/>
        </w:trPr>
        <w:tc>
          <w:tcPr>
            <w:tcW w:w="8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1046"/>
        </w:trPr>
        <w:tc>
          <w:tcPr>
            <w:tcW w:w="8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41" w:type="dxa"/>
            <w:tcBorders>
              <w:top w:val="single" w:sz="4" w:space="0" w:color="auto"/>
              <w:left w:val="single" w:sz="4" w:space="0" w:color="auto"/>
              <w:bottom w:val="single" w:sz="4" w:space="0" w:color="auto"/>
              <w:right w:val="single" w:sz="4" w:space="0" w:color="auto"/>
            </w:tcBorders>
            <w:noWrap/>
            <w:vAlign w:val="center"/>
          </w:tcPr>
          <w:p>
            <w:pPr>
              <w:autoSpaceDN w:val="0"/>
              <w:jc w:val="right"/>
              <w:textAlignment w:val="center"/>
              <w:rPr>
                <w:rFonts w:ascii="Calibri" w:eastAsia="华文细黑" w:hAnsi="Calibri"/>
                <w:color w:val="000000"/>
                <w:sz w:val="20"/>
                <w:szCs w:val="2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575" w:type="dxa"/>
            <w:tcBorders>
              <w:top w:val="single" w:sz="4" w:space="0" w:color="auto"/>
              <w:left w:val="single" w:sz="4" w:space="0" w:color="auto"/>
              <w:bottom w:val="single" w:sz="4" w:space="0" w:color="auto"/>
              <w:right w:val="single" w:sz="4" w:space="0" w:color="auto"/>
            </w:tcBorders>
            <w:noWrap/>
            <w:vAlign w:val="center"/>
          </w:tc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1046"/>
        </w:trPr>
        <w:tc>
          <w:tcPr>
            <w:tcW w:w="87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741" w:type="dxa"/>
            <w:tcBorders>
              <w:top w:val="single" w:sz="4" w:space="0" w:color="auto"/>
              <w:left w:val="single" w:sz="4" w:space="0" w:color="auto"/>
              <w:bottom w:val="single" w:sz="4" w:space="0" w:color="auto"/>
              <w:right w:val="single" w:sz="4" w:space="0" w:color="auto"/>
            </w:tcBorders>
            <w:noWrap/>
            <w:vAlign w:val="center"/>
          </w:tcPr>
          <w:p>
            <w:pPr>
              <w:autoSpaceDN w:val="0"/>
              <w:jc w:val="right"/>
              <w:textAlignment w:val="center"/>
              <w:rPr>
                <w:rFonts w:ascii="Calibri" w:eastAsia="华文细黑" w:hAnsi="Calibri"/>
                <w:color w:val="000000"/>
                <w:sz w:val="20"/>
                <w:szCs w:val="22"/>
              </w:rPr>
            </w:pPr>
          </w:p>
        </w:tc>
        <w:tc>
          <w:tcPr>
            <w:tcW w:w="794"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62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p>
        </w:tc>
        <w:tc>
          <w:tcPr>
            <w:tcW w:w="744" w:type="dxa"/>
            <w:tcBorders>
              <w:top w:val="single" w:sz="4" w:space="0" w:color="auto"/>
              <w:left w:val="single" w:sz="4" w:space="0" w:color="auto"/>
              <w:bottom w:val="single" w:sz="4" w:space="0" w:color="auto"/>
              <w:right w:val="single" w:sz="4" w:space="0" w:color="auto"/>
            </w:tcBorders>
            <w:noWrap/>
            <w:vAlign w:val="center"/>
          </w:tcPr>
          <w:p>
            <w:pPr>
              <w:autoSpaceDN w:val="0"/>
              <w:textAlignment w:val="center"/>
              <w:rPr>
                <w:rFonts w:ascii="Calibri" w:eastAsia="华文细黑" w:hAnsi="Calibri"/>
                <w:color w:val="000000"/>
                <w:sz w:val="20"/>
                <w:szCs w:val="22"/>
              </w:rPr>
            </w:pPr>
          </w:p>
        </w:tc>
        <w:tc>
          <w:tcPr>
            <w:tcW w:w="575" w:type="dxa"/>
            <w:tcBorders>
              <w:top w:val="single" w:sz="4" w:space="0" w:color="auto"/>
              <w:left w:val="single" w:sz="4" w:space="0" w:color="auto"/>
              <w:bottom w:val="single" w:sz="4" w:space="0" w:color="auto"/>
              <w:right w:val="single" w:sz="4" w:space="0" w:color="auto"/>
            </w:tcBorders>
            <w:noWrap/>
            <w:vAlign w:val="center"/>
          </w:tc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7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1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bl>
    <w:p>
      <w:pPr>
        <w:spacing w:line="240" w:lineRule="auto"/>
        <w:jc w:val="center"/>
        <w:rPr>
          <w:rFonts w:eastAsia="方正小标宋简体"/>
          <w:kern w:val="0"/>
          <w:sz w:val="44"/>
          <w:szCs w:val="44"/>
          <w:lang w:eastAsia="zh-CN"/>
        </w:rPr>
      </w:pPr>
    </w:p>
    <w:p>
      <w:pPr>
        <w:spacing w:line="240" w:lineRule="auto"/>
        <w:jc w:val="center"/>
        <w:rPr>
          <w:rFonts w:eastAsia="方正小标宋简体"/>
          <w:kern w:val="0"/>
          <w:sz w:val="44"/>
          <w:szCs w:val="44"/>
          <w:lang w:eastAsia="zh-CN"/>
        </w:r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方正小标宋简体"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eastAsia="华文细黑"/>
                <w:color w:val="000000"/>
                <w:kern w:val="0"/>
                <w:sz w:val="20"/>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color w:val="000000"/>
                <w:sz w:val="20"/>
                <w:szCs w:val="20"/>
                <w:lang w:val="en-US" w:eastAsia="zh-CN"/>
              </w:rPr>
            </w:pPr>
            <w:r>
              <w:rPr>
                <w:rFonts w:ascii="华文细黑" w:eastAsia="华文细黑" w:cs="华文细黑" w:hint="eastAsia"/>
                <w:color w:val="000000"/>
                <w:sz w:val="20"/>
                <w:szCs w:val="20"/>
                <w:lang w:eastAsia="zh-CN"/>
              </w:rPr>
              <w:t>部门</w:t>
            </w:r>
            <w:r>
              <w:rPr>
                <w:rFonts w:ascii="华文细黑" w:eastAsia="华文细黑" w:cs="华文细黑" w:hint="eastAsia"/>
                <w:color w:val="000000"/>
                <w:sz w:val="20"/>
                <w:szCs w:val="20"/>
                <w:lang w:val="en-US" w:eastAsia="zh-CN"/>
              </w:rPr>
              <w:t>/单位/</w:t>
            </w:r>
          </w:p>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eastAsia="zh-CN"/>
              </w:rPr>
              <w:t>委托事</w:t>
            </w:r>
            <w:r>
              <w:rPr>
                <w:rFonts w:ascii="华文细黑" w:eastAsia="华文细黑" w:cs="华文细黑" w:hint="eastAsia"/>
                <w:color w:val="000000"/>
                <w:sz w:val="20"/>
                <w:szCs w:val="20"/>
                <w:lang w:val="en-US" w:eastAsia="zh-CN"/>
              </w:rPr>
              <w:t xml:space="preserve">    </w:t>
            </w:r>
            <w:r>
              <w:rPr>
                <w:rFonts w:ascii="华文细黑" w:eastAsia="华文细黑" w:cs="华文细黑"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是否政府购买服务</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府采购</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华文细黑"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bl>
    <w:p>
      <w:pPr>
        <w:ind w:left="0"/>
        <w:rPr>
          <w:rFonts w:eastAsia="楷体"/>
        </w:rPr>
      </w:pPr>
    </w:p>
    <w:p>
      <w:pPr>
        <w:ind w:left="0"/>
        <w:rPr>
          <w:rFonts w:eastAsia="楷体"/>
        </w:rPr>
      </w:pPr>
    </w:p>
    <w:p>
      <w:pPr>
        <w:ind w:left="0"/>
        <w:rPr>
          <w:rFonts w:eastAsia="楷体"/>
        </w:rPr>
      </w:pPr>
    </w:p>
    <w:p>
      <w:pPr>
        <w:ind w:left="0"/>
        <w:rPr>
          <w:rFonts w:eastAsia="楷体"/>
        </w:rPr>
      </w:pPr>
    </w:p>
    <w:p>
      <w:pPr>
        <w:ind w:left="0"/>
        <w:rPr>
          <w:rFonts w:eastAsia="楷体"/>
        </w:rPr>
      </w:pPr>
    </w:p>
    <w:p>
      <w:pPr>
        <w:ind w:left="0"/>
        <w:jc w:val="center"/>
        <w:rPr>
          <w:rFonts w:ascii="Calibri" w:eastAsia="方正小标宋简体" w:hAnsi="Calibri"/>
          <w:kern w:val="0"/>
          <w:sz w:val="44"/>
          <w:szCs w:val="44"/>
        </w:rPr>
      </w:pPr>
      <w:r>
        <w:rPr>
          <w:rFonts w:ascii="Calibri" w:eastAsia="方正小标宋简体" w:hAnsi="Calibri" w:hint="eastAsia"/>
          <w:kern w:val="0"/>
          <w:sz w:val="44"/>
          <w:szCs w:val="44"/>
        </w:rPr>
        <w:t>项目支出绩效目标</w:t>
      </w:r>
      <w:r>
        <w:rPr>
          <w:rFonts w:ascii="Calibri" w:eastAsia="方正小标宋简体" w:hAnsi="Calibri"/>
          <w:kern w:val="0"/>
          <w:sz w:val="44"/>
          <w:szCs w:val="44"/>
        </w:rPr>
        <w:t>表</w:t>
      </w:r>
    </w:p>
    <w:p>
      <w:pPr>
        <w:ind w:left="0"/>
        <w:jc w:val="right"/>
        <w:rPr>
          <w:rFonts w:ascii="华文细黑" w:eastAsia="华文细黑" w:hint="eastAsia"/>
          <w:sz w:val="20"/>
        </w:rPr>
      </w:pPr>
      <w:r>
        <w:rPr>
          <w:rFonts w:ascii="华文细黑" w:eastAsia="华文细黑" w:hint="eastAsia"/>
          <w:kern w:val="0"/>
          <w:sz w:val="20"/>
        </w:rPr>
        <w:t>单位：万元</w:t>
      </w:r>
    </w:p>
    <w:tbl>
      <w:tblPr>
        <w:tblpPr w:leftFromText="180" w:rightFromText="180" w:vertAnchor="text" w:horzAnchor="page" w:tblpX="827" w:tblpY="13"/>
        <w:tblOverlap w:val="never"/>
        <w:tblW w:w="10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080"/>
        <w:gridCol w:w="1020"/>
        <w:gridCol w:w="945"/>
        <w:gridCol w:w="930"/>
        <w:gridCol w:w="720"/>
        <w:gridCol w:w="1590"/>
        <w:gridCol w:w="973"/>
        <w:gridCol w:w="973"/>
        <w:gridCol w:w="973"/>
        <w:gridCol w:w="973"/>
      </w:tblGrid>
      <w:tr>
        <w:trPr>
          <w:trHeight w:val="688"/>
        </w:trPr>
        <w:tc>
          <w:tcPr>
            <w:tcW w:w="108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adjustRightInd/>
              <w:snapToGrid/>
              <w:rPr>
                <w:rFonts w:ascii="华文细黑" w:eastAsia="华文细黑" w:cs="华文细黑" w:hint="eastAsia"/>
                <w:kern w:val="0"/>
                <w:sz w:val="20"/>
                <w:szCs w:val="20"/>
                <w:vertAlign w:val="baseline"/>
                <w:lang w:val="en-US" w:eastAsia="zh-CN"/>
              </w:rPr>
            </w:pPr>
            <w:r>
              <w:rPr>
                <w:rFonts w:ascii="华文细黑" w:eastAsia="华文细黑" w:cs="华文细黑"/>
                <w:kern w:val="0"/>
                <w:sz w:val="20"/>
                <w:szCs w:val="20"/>
                <w:vertAlign w:val="baseline"/>
                <w:lang w:val="en-US" w:eastAsia="zh-CN"/>
              </w:rPr>
              <w:t>单位名称</w:t>
            </w:r>
          </w:p>
        </w:tc>
        <w:tc>
          <w:tcPr>
            <w:tcW w:w="102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项目名称</w:t>
            </w:r>
          </w:p>
        </w:tc>
        <w:tc>
          <w:tcPr>
            <w:tcW w:w="94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年度资金总额（万元）</w:t>
            </w:r>
          </w:p>
        </w:tc>
        <w:tc>
          <w:tcPr>
            <w:tcW w:w="93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年度绩效目标</w:t>
            </w:r>
          </w:p>
        </w:tc>
        <w:tc>
          <w:tcPr>
            <w:tcW w:w="72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一级指标</w:t>
            </w:r>
          </w:p>
        </w:tc>
        <w:tc>
          <w:tcPr>
            <w:tcW w:w="159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二级指标</w:t>
            </w:r>
          </w:p>
        </w:tc>
        <w:tc>
          <w:tcPr>
            <w:tcW w:w="97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三级指标</w:t>
            </w:r>
          </w:p>
        </w:tc>
        <w:tc>
          <w:tcPr>
            <w:tcW w:w="97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指标解释</w:t>
            </w:r>
          </w:p>
        </w:tc>
        <w:tc>
          <w:tcPr>
            <w:tcW w:w="97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指标值</w:t>
            </w:r>
          </w:p>
        </w:tc>
        <w:tc>
          <w:tcPr>
            <w:tcW w:w="97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权重</w:t>
            </w:r>
          </w:p>
        </w:tc>
      </w:tr>
      <w:tr>
        <w:trPr>
          <w:trHeight w:val="1125"/>
        </w:trPr>
        <w:tc>
          <w:tcPr>
            <w:tcW w:w="108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93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华文细黑" w:eastAsia="华文细黑" w:cs="华文细黑"/>
                <w:kern w:val="0"/>
                <w:sz w:val="16"/>
                <w:szCs w:val="16"/>
              </w:rPr>
            </w:pPr>
          </w:p>
        </w:tc>
        <w:tc>
          <w:tcPr>
            <w:tcW w:w="720"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成本指标</w:t>
            </w:r>
          </w:p>
        </w:tc>
        <w:tc>
          <w:tcPr>
            <w:tcW w:w="159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经济成本指标</w:t>
            </w:r>
          </w:p>
        </w:tc>
        <w:tc>
          <w:tcPr>
            <w:tcW w:w="97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华文细黑" w:eastAsia="华文细黑" w:cs="华文细黑"/>
                <w:kern w:val="0"/>
                <w:sz w:val="16"/>
                <w:szCs w:val="16"/>
              </w:rPr>
            </w:pPr>
          </w:p>
        </w:tc>
      </w:tr>
      <w:tr>
        <w:trPr>
          <w:trHeight w:val="1125"/>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600" w:type="dxa"/>
            <w:vMerge/>
            <w:tcBorders>
              <w:top w:val="single" w:sz="4" w:space="0" w:color="000000"/>
              <w:left w:val="single" w:sz="4" w:space="0" w:color="000000"/>
              <w:bottom w:val="single" w:sz="4" w:space="0" w:color="auto"/>
              <w:right w:val="single" w:sz="4" w:space="0" w:color="000000"/>
            </w:tcBorders>
            <w:noWrap/>
            <w:vAlign w:val="center"/>
          </w:tcPr>
          <w:p/>
        </w:tc>
        <w:tc>
          <w:tcPr>
            <w:tcW w:w="1590"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社会成本指标</w:t>
            </w:r>
          </w:p>
        </w:tc>
        <w:tc>
          <w:tcPr>
            <w:tcW w:w="973"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000000"/>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1125"/>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600" w:type="dxa"/>
            <w:vMerge/>
            <w:tcBorders>
              <w:top w:val="single" w:sz="4" w:space="0" w:color="000000"/>
              <w:left w:val="single" w:sz="4" w:space="0" w:color="000000"/>
              <w:bottom w:val="single" w:sz="4" w:space="0" w:color="auto"/>
              <w:right w:val="single" w:sz="4" w:space="0" w:color="000000"/>
            </w:tcBorders>
            <w:noWrap/>
            <w:vAlign w:val="center"/>
          </w:tcP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生态环境成本指标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854"/>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产出指标</w:t>
            </w: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数量指标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854"/>
        </w:trPr>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1038" w:type="dxa"/>
            <w:vMerge/>
            <w:tcBorders>
              <w:top w:val="single" w:sz="4" w:space="0" w:color="auto"/>
              <w:left w:val="single" w:sz="4" w:space="0" w:color="auto"/>
              <w:bottom w:val="single" w:sz="4" w:space="0" w:color="auto"/>
              <w:right w:val="single" w:sz="4" w:space="0" w:color="auto"/>
            </w:tcBorders>
            <w:noWrap/>
            <w:vAlign w:val="center"/>
          </w:tcPr>
          <w:p/>
        </w:tc>
        <w:tc>
          <w:tcPr>
            <w:tcW w:w="600" w:type="dxa"/>
            <w:vMerge/>
            <w:tcBorders>
              <w:top w:val="single" w:sz="4" w:space="0" w:color="auto"/>
              <w:left w:val="single" w:sz="4" w:space="0" w:color="auto"/>
              <w:bottom w:val="single" w:sz="4" w:space="0" w:color="auto"/>
              <w:right w:val="single" w:sz="4" w:space="0" w:color="auto"/>
            </w:tcBorders>
            <w:noWrap/>
            <w:vAlign w:val="center"/>
          </w:tcP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质量指标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854"/>
        </w:trPr>
        <w:tc>
          <w:tcPr>
            <w:tcW w:w="705" w:type="dxa"/>
            <w:vMerge/>
            <w:tcBorders>
              <w:top w:val="single" w:sz="4" w:space="0" w:color="auto"/>
              <w:left w:val="single" w:sz="4" w:space="0" w:color="auto"/>
              <w:bottom w:val="single" w:sz="4" w:space="0" w:color="auto"/>
              <w:right w:val="single" w:sz="4" w:space="0" w:color="auto"/>
            </w:tcBorders>
            <w:noWrap/>
            <w:vAlign w:val="center"/>
          </w:tcPr>
          <w:p/>
        </w:tc>
        <w:tc>
          <w:tcPr>
            <w:tcW w:w="810" w:type="dxa"/>
            <w:vMerge/>
            <w:tcBorders>
              <w:top w:val="single" w:sz="4" w:space="0" w:color="auto"/>
              <w:left w:val="single" w:sz="4" w:space="0" w:color="auto"/>
              <w:bottom w:val="single" w:sz="4" w:space="0" w:color="auto"/>
              <w:right w:val="single" w:sz="4" w:space="0" w:color="auto"/>
            </w:tcBorders>
            <w:noWrap/>
            <w:vAlign w:val="center"/>
          </w:tcPr>
          <w:p/>
        </w:tc>
        <w:tc>
          <w:tcPr>
            <w:tcW w:w="900" w:type="dxa"/>
            <w:vMerge/>
            <w:tcBorders>
              <w:top w:val="single" w:sz="4" w:space="0" w:color="auto"/>
              <w:left w:val="single" w:sz="4" w:space="0" w:color="auto"/>
              <w:bottom w:val="single" w:sz="4" w:space="0" w:color="auto"/>
              <w:right w:val="single" w:sz="4" w:space="0" w:color="auto"/>
            </w:tcBorders>
            <w:noWrap/>
            <w:vAlign w:val="center"/>
          </w:tcPr>
          <w:p/>
        </w:tc>
        <w:tc>
          <w:tcPr>
            <w:tcW w:w="2467" w:type="dxa"/>
            <w:vMerge/>
            <w:tcBorders>
              <w:top w:val="single" w:sz="4" w:space="0" w:color="auto"/>
              <w:left w:val="single" w:sz="4" w:space="0" w:color="auto"/>
              <w:bottom w:val="single" w:sz="4" w:space="0" w:color="auto"/>
              <w:right w:val="single" w:sz="4" w:space="0" w:color="auto"/>
            </w:tcBorders>
            <w:noWrap/>
            <w:vAlign w:val="center"/>
          </w:tcPr>
          <w:p/>
        </w:tc>
        <w:tc>
          <w:tcPr>
            <w:tcW w:w="600" w:type="dxa"/>
            <w:vMerge/>
            <w:tcBorders>
              <w:top w:val="single" w:sz="4" w:space="0" w:color="auto"/>
              <w:left w:val="single" w:sz="4" w:space="0" w:color="auto"/>
              <w:bottom w:val="single" w:sz="4" w:space="0" w:color="auto"/>
              <w:right w:val="single" w:sz="4" w:space="0" w:color="auto"/>
            </w:tcBorders>
            <w:noWrap/>
            <w:vAlign w:val="center"/>
          </w:tcP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时效指标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764"/>
        </w:trPr>
        <w:tc>
          <w:tcPr>
            <w:tcW w:w="1080" w:type="dxa"/>
            <w:vMerge/>
            <w:tcBorders>
              <w:top w:val="single" w:sz="4" w:space="0" w:color="auto"/>
              <w:left w:val="single" w:sz="4" w:space="0" w:color="auto"/>
              <w:bottom w:val="single" w:sz="4" w:space="0" w:color="auto"/>
              <w:right w:val="single" w:sz="4" w:space="0" w:color="auto"/>
            </w:tcBorders>
            <w:noWrap/>
            <w:vAlign w:val="center"/>
          </w:tcPr>
          <w:p/>
        </w:tc>
        <w:tc>
          <w:tcPr>
            <w:tcW w:w="1020" w:type="dxa"/>
            <w:vMerge/>
            <w:tcBorders>
              <w:top w:val="single" w:sz="4" w:space="0" w:color="auto"/>
              <w:left w:val="single" w:sz="4" w:space="0" w:color="auto"/>
              <w:bottom w:val="single" w:sz="4" w:space="0" w:color="auto"/>
              <w:right w:val="single" w:sz="4" w:space="0" w:color="auto"/>
            </w:tcBorders>
            <w:noWrap/>
            <w:vAlign w:val="center"/>
          </w:tcPr>
          <w:p/>
        </w:tc>
        <w:tc>
          <w:tcPr>
            <w:tcW w:w="945" w:type="dxa"/>
            <w:vMerge/>
            <w:tcBorders>
              <w:top w:val="single" w:sz="4" w:space="0" w:color="auto"/>
              <w:left w:val="single" w:sz="4" w:space="0" w:color="auto"/>
              <w:bottom w:val="single" w:sz="4" w:space="0" w:color="auto"/>
              <w:right w:val="single" w:sz="4" w:space="0" w:color="auto"/>
            </w:tcBorders>
            <w:noWrap/>
            <w:vAlign w:val="center"/>
          </w:tcPr>
          <w:p/>
        </w:tc>
        <w:tc>
          <w:tcPr>
            <w:tcW w:w="930"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效益指标</w:t>
            </w: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经济效益指标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764"/>
        </w:trPr>
        <w:tc>
          <w:tcPr>
            <w:tcW w:w="1080" w:type="dxa"/>
            <w:vMerge/>
            <w:tcBorders>
              <w:top w:val="single" w:sz="4" w:space="0" w:color="auto"/>
              <w:left w:val="single" w:sz="4" w:space="0" w:color="auto"/>
              <w:bottom w:val="single" w:sz="4" w:space="0" w:color="auto"/>
              <w:right w:val="single" w:sz="4" w:space="0" w:color="auto"/>
            </w:tcBorders>
            <w:noWrap/>
            <w:vAlign w:val="center"/>
          </w:tcPr>
          <w:p/>
        </w:tc>
        <w:tc>
          <w:tcPr>
            <w:tcW w:w="1020" w:type="dxa"/>
            <w:vMerge/>
            <w:tcBorders>
              <w:top w:val="single" w:sz="4" w:space="0" w:color="auto"/>
              <w:left w:val="single" w:sz="4" w:space="0" w:color="auto"/>
              <w:bottom w:val="single" w:sz="4" w:space="0" w:color="auto"/>
              <w:right w:val="single" w:sz="4" w:space="0" w:color="auto"/>
            </w:tcBorders>
            <w:noWrap/>
            <w:vAlign w:val="center"/>
          </w:tcPr>
          <w:p/>
        </w:tc>
        <w:tc>
          <w:tcPr>
            <w:tcW w:w="945" w:type="dxa"/>
            <w:vMerge/>
            <w:tcBorders>
              <w:top w:val="single" w:sz="4" w:space="0" w:color="auto"/>
              <w:left w:val="single" w:sz="4" w:space="0" w:color="auto"/>
              <w:bottom w:val="single" w:sz="4" w:space="0" w:color="auto"/>
              <w:right w:val="single" w:sz="4" w:space="0" w:color="auto"/>
            </w:tcBorders>
            <w:noWrap/>
            <w:vAlign w:val="center"/>
          </w:tcPr>
          <w:p/>
        </w:tc>
        <w:tc>
          <w:tcPr>
            <w:tcW w:w="930"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社会效益指标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764"/>
        </w:trPr>
        <w:tc>
          <w:tcPr>
            <w:tcW w:w="1080" w:type="dxa"/>
            <w:vMerge/>
            <w:tcBorders>
              <w:top w:val="single" w:sz="4" w:space="0" w:color="auto"/>
              <w:left w:val="single" w:sz="4" w:space="0" w:color="auto"/>
              <w:bottom w:val="single" w:sz="4" w:space="0" w:color="auto"/>
              <w:right w:val="single" w:sz="4" w:space="0" w:color="auto"/>
            </w:tcBorders>
            <w:noWrap/>
            <w:vAlign w:val="center"/>
          </w:tcPr>
          <w:p/>
        </w:tc>
        <w:tc>
          <w:tcPr>
            <w:tcW w:w="1020" w:type="dxa"/>
            <w:vMerge/>
            <w:tcBorders>
              <w:top w:val="single" w:sz="4" w:space="0" w:color="auto"/>
              <w:left w:val="single" w:sz="4" w:space="0" w:color="auto"/>
              <w:bottom w:val="single" w:sz="4" w:space="0" w:color="auto"/>
              <w:right w:val="single" w:sz="4" w:space="0" w:color="auto"/>
            </w:tcBorders>
            <w:noWrap/>
            <w:vAlign w:val="center"/>
          </w:tcPr>
          <w:p/>
        </w:tc>
        <w:tc>
          <w:tcPr>
            <w:tcW w:w="945" w:type="dxa"/>
            <w:vMerge/>
            <w:tcBorders>
              <w:top w:val="single" w:sz="4" w:space="0" w:color="auto"/>
              <w:left w:val="single" w:sz="4" w:space="0" w:color="auto"/>
              <w:bottom w:val="single" w:sz="4" w:space="0" w:color="auto"/>
              <w:right w:val="single" w:sz="4" w:space="0" w:color="auto"/>
            </w:tcBorders>
            <w:noWrap/>
            <w:vAlign w:val="center"/>
          </w:tcPr>
          <w:p/>
        </w:tc>
        <w:tc>
          <w:tcPr>
            <w:tcW w:w="930"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生态效益指标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r>
        <w:trPr>
          <w:trHeight w:val="1077"/>
        </w:trPr>
        <w:tc>
          <w:tcPr>
            <w:tcW w:w="1080" w:type="dxa"/>
            <w:vMerge/>
            <w:tcBorders>
              <w:top w:val="single" w:sz="4" w:space="0" w:color="auto"/>
              <w:left w:val="single" w:sz="4" w:space="0" w:color="auto"/>
              <w:bottom w:val="single" w:sz="4" w:space="0" w:color="auto"/>
              <w:right w:val="single" w:sz="4" w:space="0" w:color="auto"/>
            </w:tcBorders>
            <w:noWrap/>
            <w:vAlign w:val="center"/>
          </w:tcPr>
          <w:p/>
        </w:tc>
        <w:tc>
          <w:tcPr>
            <w:tcW w:w="1020" w:type="dxa"/>
            <w:vMerge/>
            <w:tcBorders>
              <w:top w:val="single" w:sz="4" w:space="0" w:color="auto"/>
              <w:left w:val="single" w:sz="4" w:space="0" w:color="auto"/>
              <w:bottom w:val="single" w:sz="4" w:space="0" w:color="auto"/>
              <w:right w:val="single" w:sz="4" w:space="0" w:color="auto"/>
            </w:tcBorders>
            <w:noWrap/>
            <w:vAlign w:val="center"/>
          </w:tcPr>
          <w:p/>
        </w:tc>
        <w:tc>
          <w:tcPr>
            <w:tcW w:w="945" w:type="dxa"/>
            <w:vMerge/>
            <w:tcBorders>
              <w:top w:val="single" w:sz="4" w:space="0" w:color="auto"/>
              <w:left w:val="single" w:sz="4" w:space="0" w:color="auto"/>
              <w:bottom w:val="single" w:sz="4" w:space="0" w:color="auto"/>
              <w:right w:val="single" w:sz="4" w:space="0" w:color="auto"/>
            </w:tcBorders>
            <w:noWrap/>
            <w:vAlign w:val="center"/>
          </w:tcPr>
          <w:p/>
        </w:tc>
        <w:tc>
          <w:tcPr>
            <w:tcW w:w="9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满意度指标</w:t>
            </w:r>
          </w:p>
        </w:tc>
        <w:tc>
          <w:tcPr>
            <w:tcW w:w="1590"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服务对象满意度指标</w:t>
            </w: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c>
          <w:tcPr>
            <w:tcW w:w="973" w:type="dxa"/>
            <w:tcBorders>
              <w:top w:val="single" w:sz="4" w:space="0" w:color="auto"/>
              <w:left w:val="single" w:sz="4" w:space="0" w:color="auto"/>
              <w:bottom w:val="single" w:sz="4" w:space="0" w:color="auto"/>
              <w:right w:val="single" w:sz="4" w:space="0" w:color="auto"/>
            </w:tcBorders>
            <w:noWrap/>
            <w:vAlign w:val="center"/>
          </w:tcPr>
          <w:p>
            <w:pPr>
              <w:jc w:val="center"/>
              <w:rPr>
                <w:rFonts w:ascii="华文细黑" w:eastAsia="华文细黑" w:cs="华文细黑"/>
                <w:kern w:val="0"/>
                <w:sz w:val="16"/>
                <w:szCs w:val="16"/>
              </w:rPr>
            </w:pPr>
          </w:p>
        </w:tc>
      </w:tr>
    </w:tbl>
    <w:p>
      <w:pPr>
        <w:spacing w:line="700" w:lineRule="exact"/>
        <w:ind w:left="0"/>
        <w:rPr>
          <w:rFonts w:eastAsia="楷体" w:hint="eastAsia"/>
          <w:kern w:val="0"/>
          <w:szCs w:val="32"/>
        </w:rPr>
      </w:pPr>
    </w:p>
    <w:p>
      <w:pPr>
        <w:ind w:firstLineChars="200" w:firstLine="640"/>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5</w:t>
      </w:r>
      <w:r>
        <w:rPr>
          <w:rFonts w:eastAsia="黑体"/>
          <w:szCs w:val="32"/>
        </w:rPr>
        <w:t>年收支预算总体情况</w:t>
      </w:r>
    </w:p>
    <w:p>
      <w:pPr>
        <w:ind w:firstLineChars="200" w:firstLine="640"/>
        <w:rPr>
          <w:szCs w:val="32"/>
        </w:rPr>
      </w:pPr>
      <w:r>
        <w:rPr>
          <w:rFonts w:ascii="仿宋_GB2312" w:hint="eastAsia"/>
          <w:szCs w:val="32"/>
        </w:rPr>
        <w:t>按照综合预算的原则，所有收入和支出全部纳入</w:t>
      </w:r>
      <w:r>
        <w:rPr>
          <w:rFonts w:ascii="仿宋_GB2312"/>
          <w:szCs w:val="32"/>
        </w:rPr>
        <w:t>单位</w:t>
      </w:r>
      <w:r>
        <w:rPr>
          <w:rFonts w:ascii="仿宋_GB2312" w:hint="eastAsia"/>
          <w:szCs w:val="32"/>
        </w:rPr>
        <w:t>预算管理。收入包括：一般公共预算拨款收入；支出包括：一般公共服务支出、社会保障和就业支出、卫生健康支出、住房保障支出等。202</w:t>
      </w:r>
      <w:r>
        <w:rPr>
          <w:rFonts w:ascii="仿宋_GB2312" w:hint="eastAsia"/>
          <w:szCs w:val="32"/>
          <w:lang w:val="en-US" w:eastAsia="zh-CN"/>
        </w:rPr>
        <w:t>5</w:t>
      </w:r>
      <w:r>
        <w:rPr>
          <w:rFonts w:ascii="仿宋_GB2312" w:hint="eastAsia"/>
          <w:szCs w:val="32"/>
        </w:rPr>
        <w:t>年收支总预算</w:t>
      </w:r>
      <w:r>
        <w:rPr>
          <w:rFonts w:ascii="仿宋_GB2312"/>
          <w:szCs w:val="32"/>
        </w:rPr>
        <w:t>1531.82</w:t>
      </w:r>
      <w:r>
        <w:rPr>
          <w:rFonts w:ascii="仿宋_GB2312" w:hint="eastAsia"/>
          <w:szCs w:val="32"/>
        </w:rPr>
        <w:t>万元</w:t>
      </w:r>
      <w:r>
        <w:rPr>
          <w:rFonts w:ascii="仿宋_GB2312" w:hint="eastAsia"/>
          <w:szCs w:val="32"/>
          <w:lang w:eastAsia="zh-CN"/>
        </w:rPr>
        <w:t>，其中：本年预算</w:t>
      </w:r>
      <w:r>
        <w:rPr>
          <w:rFonts w:ascii="仿宋_GB2312"/>
          <w:szCs w:val="32"/>
        </w:rPr>
        <w:t>1531.82</w:t>
      </w:r>
      <w:r>
        <w:rPr>
          <w:rFonts w:ascii="仿宋_GB2312" w:hint="eastAsia"/>
          <w:szCs w:val="32"/>
          <w:lang w:eastAsia="zh-CN"/>
        </w:rPr>
        <w:t>万元。</w:t>
      </w:r>
      <w:r>
        <w:rPr>
          <w:rFonts w:ascii="仿宋_GB2312" w:hint="eastAsia"/>
          <w:szCs w:val="32"/>
          <w:lang w:val="en-US" w:eastAsia="zh-CN"/>
        </w:rPr>
        <w:t>2025年本年预算</w:t>
      </w:r>
      <w:r>
        <w:rPr>
          <w:rFonts w:ascii="仿宋_GB2312" w:hint="eastAsia"/>
          <w:szCs w:val="32"/>
        </w:rPr>
        <w:t>比202</w:t>
      </w:r>
      <w:r>
        <w:rPr>
          <w:rFonts w:ascii="仿宋_GB2312" w:hint="eastAsia"/>
          <w:szCs w:val="32"/>
          <w:lang w:val="en-US" w:eastAsia="zh-CN"/>
        </w:rPr>
        <w:t>4</w:t>
      </w:r>
      <w:r>
        <w:rPr>
          <w:rFonts w:ascii="仿宋_GB2312" w:hint="eastAsia"/>
          <w:szCs w:val="32"/>
        </w:rPr>
        <w:t>年</w:t>
      </w:r>
      <w:r>
        <w:rPr>
          <w:rFonts w:ascii="仿宋_GB2312" w:hint="eastAsia"/>
          <w:szCs w:val="32"/>
          <w:lang w:eastAsia="zh-CN"/>
        </w:rPr>
        <w:t>当年</w:t>
      </w:r>
      <w:r>
        <w:rPr>
          <w:rFonts w:ascii="仿宋_GB2312" w:hint="eastAsia"/>
          <w:szCs w:val="32"/>
        </w:rPr>
        <w:t>预算</w:t>
      </w:r>
      <w:r>
        <w:rPr>
          <w:rFonts w:ascii="仿宋_GB2312"/>
          <w:szCs w:val="32"/>
        </w:rPr>
        <w:t>增加174.99</w:t>
      </w:r>
      <w:bookmarkStart w:id="0" w:name="_GoBack"/>
      <w:bookmarkEnd w:id="0"/>
      <w:r>
        <w:rPr>
          <w:rFonts w:ascii="仿宋_GB2312" w:hint="eastAsia"/>
          <w:szCs w:val="32"/>
        </w:rPr>
        <w:t>万元，主要原因是</w:t>
      </w:r>
      <w:r>
        <w:rPr>
          <w:rFonts w:ascii="仿宋_GB2312"/>
          <w:szCs w:val="32"/>
        </w:rPr>
        <w:t>本年度在职及退休人员较上年增加5人</w:t>
      </w:r>
      <w:r>
        <w:rPr>
          <w:rFonts w:ascii="仿宋_GB2312" w:hint="eastAsia"/>
          <w:szCs w:val="32"/>
        </w:rPr>
        <w:t>。</w:t>
      </w:r>
    </w:p>
    <w:p>
      <w:pPr>
        <w:ind w:left="0" w:firstLineChars="200" w:firstLine="640"/>
        <w:rPr>
          <w:szCs w:val="32"/>
        </w:rPr>
      </w:pPr>
      <w:r>
        <w:rPr>
          <w:rFonts w:eastAsia="黑体"/>
          <w:szCs w:val="32"/>
        </w:rPr>
        <w:t>二、20</w:t>
      </w:r>
      <w:r>
        <w:rPr>
          <w:rFonts w:eastAsia="黑体" w:hint="eastAsia"/>
          <w:szCs w:val="32"/>
        </w:rPr>
        <w:t>2</w:t>
      </w:r>
      <w:r>
        <w:rPr>
          <w:rFonts w:eastAsia="黑体" w:hint="eastAsia"/>
          <w:szCs w:val="32"/>
          <w:lang w:val="en-US" w:eastAsia="zh-CN"/>
        </w:rPr>
        <w:t>5</w:t>
      </w:r>
      <w:r>
        <w:rPr>
          <w:rFonts w:eastAsia="黑体"/>
          <w:szCs w:val="32"/>
        </w:rPr>
        <w:t>年收入预算情况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年收入预算</w:t>
      </w:r>
      <w:r>
        <w:rPr>
          <w:rFonts w:ascii="仿宋_GB2312"/>
          <w:szCs w:val="32"/>
        </w:rPr>
        <w:t>1531.82</w:t>
      </w:r>
      <w:r>
        <w:rPr>
          <w:szCs w:val="32"/>
        </w:rPr>
        <w:t>万元，其中：本年收入</w:t>
      </w:r>
      <w:r>
        <w:rPr>
          <w:rFonts w:ascii="仿宋_GB2312"/>
          <w:szCs w:val="32"/>
        </w:rPr>
        <w:t>1531.82</w:t>
      </w:r>
      <w:r>
        <w:rPr>
          <w:szCs w:val="32"/>
        </w:rPr>
        <w:t>万元，占100%。本年收入中，一般公共预算拨款收入</w:t>
      </w:r>
      <w:r>
        <w:rPr>
          <w:rFonts w:ascii="仿宋_GB2312"/>
          <w:szCs w:val="32"/>
        </w:rPr>
        <w:t>1531.82</w:t>
      </w:r>
      <w:r>
        <w:rPr>
          <w:szCs w:val="32"/>
        </w:rPr>
        <w:t>万元，占100%</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5</w:t>
      </w:r>
      <w:r>
        <w:rPr>
          <w:rFonts w:eastAsia="黑体"/>
          <w:szCs w:val="32"/>
        </w:rPr>
        <w:t>年支出预算情况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年支出预算</w:t>
      </w:r>
      <w:r>
        <w:rPr>
          <w:rFonts w:ascii="仿宋_GB2312"/>
          <w:szCs w:val="32"/>
        </w:rPr>
        <w:t>1531.82</w:t>
      </w:r>
      <w:r>
        <w:rPr>
          <w:szCs w:val="32"/>
        </w:rPr>
        <w:t>万元，其中：基本支出</w:t>
      </w:r>
      <w:r>
        <w:rPr>
          <w:rFonts w:ascii="仿宋_GB2312"/>
          <w:szCs w:val="32"/>
        </w:rPr>
        <w:t>1531.82</w:t>
      </w:r>
      <w:r>
        <w:rPr>
          <w:szCs w:val="32"/>
        </w:rPr>
        <w:t>万元，占100%。</w:t>
      </w:r>
    </w:p>
    <w:p>
      <w:pPr>
        <w:ind w:firstLine="600"/>
        <w:rPr>
          <w:rFonts w:eastAsia="黑体"/>
          <w:szCs w:val="32"/>
        </w:rPr>
      </w:pPr>
      <w:r>
        <w:rPr>
          <w:rFonts w:eastAsia="黑体"/>
          <w:szCs w:val="32"/>
        </w:rPr>
        <w:t>四、20</w:t>
      </w:r>
      <w:r>
        <w:rPr>
          <w:rFonts w:eastAsia="黑体" w:hint="eastAsia"/>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ascii="仿宋_GB2312"/>
          <w:szCs w:val="32"/>
        </w:rPr>
        <w:t>1531.82</w:t>
      </w:r>
      <w:r>
        <w:rPr>
          <w:szCs w:val="32"/>
        </w:rPr>
        <w:t>万元，其中：</w:t>
      </w:r>
      <w:r>
        <w:rPr>
          <w:rFonts w:hint="eastAsia"/>
          <w:szCs w:val="32"/>
        </w:rPr>
        <w:t>本年</w:t>
      </w:r>
      <w:r>
        <w:rPr>
          <w:rFonts w:hint="eastAsia"/>
          <w:szCs w:val="32"/>
          <w:lang w:eastAsia="zh-CN"/>
        </w:rPr>
        <w:t>预算</w:t>
      </w:r>
      <w:r>
        <w:rPr>
          <w:rFonts w:ascii="仿宋_GB2312"/>
          <w:szCs w:val="32"/>
        </w:rPr>
        <w:t>1531.82</w:t>
      </w:r>
      <w:r>
        <w:rPr>
          <w:szCs w:val="32"/>
        </w:rPr>
        <w:t>万元</w:t>
      </w:r>
      <w:r>
        <w:rPr>
          <w:rFonts w:hint="eastAsia"/>
          <w:szCs w:val="32"/>
        </w:rPr>
        <w:t>。</w:t>
      </w:r>
      <w:r>
        <w:rPr>
          <w:szCs w:val="32"/>
        </w:rPr>
        <w:t>支出包括：</w:t>
      </w:r>
      <w:r>
        <w:rPr>
          <w:kern w:val="0"/>
          <w:szCs w:val="32"/>
        </w:rPr>
        <w:t>一般公共服务支出</w:t>
      </w:r>
      <w:r>
        <w:rPr>
          <w:szCs w:val="32"/>
        </w:rPr>
        <w:t>1158.11万元，</w:t>
      </w:r>
      <w:r>
        <w:rPr>
          <w:kern w:val="0"/>
          <w:szCs w:val="32"/>
        </w:rPr>
        <w:t>社会保障和就业支出</w:t>
      </w:r>
      <w:r>
        <w:rPr>
          <w:szCs w:val="32"/>
        </w:rPr>
        <w:t>164.37万元，</w:t>
      </w:r>
      <w:r>
        <w:rPr>
          <w:kern w:val="0"/>
          <w:szCs w:val="32"/>
        </w:rPr>
        <w:t>卫生</w:t>
      </w:r>
      <w:r>
        <w:rPr>
          <w:rFonts w:hint="eastAsia"/>
          <w:kern w:val="0"/>
          <w:szCs w:val="32"/>
        </w:rPr>
        <w:t>健康</w:t>
      </w:r>
      <w:r>
        <w:rPr>
          <w:kern w:val="0"/>
          <w:szCs w:val="32"/>
        </w:rPr>
        <w:t>支出</w:t>
      </w:r>
      <w:r>
        <w:rPr>
          <w:szCs w:val="32"/>
        </w:rPr>
        <w:t>84.63万元，</w:t>
      </w:r>
      <w:r>
        <w:rPr>
          <w:kern w:val="0"/>
          <w:szCs w:val="32"/>
        </w:rPr>
        <w:t>住房保障支出</w:t>
      </w:r>
      <w:r>
        <w:rPr>
          <w:szCs w:val="32"/>
        </w:rPr>
        <w:t>124.71万元。</w:t>
      </w:r>
    </w:p>
    <w:p>
      <w:pPr>
        <w:ind w:firstLine="600"/>
        <w:rPr>
          <w:rFonts w:eastAsia="黑体"/>
          <w:szCs w:val="30"/>
        </w:rPr>
      </w:pPr>
      <w:r>
        <w:rPr>
          <w:rFonts w:eastAsia="黑体"/>
          <w:szCs w:val="30"/>
        </w:rPr>
        <w:t>五、20</w:t>
      </w:r>
      <w:r>
        <w:rPr>
          <w:rFonts w:eastAsia="黑体" w:hint="eastAsia"/>
          <w:szCs w:val="30"/>
        </w:rPr>
        <w:t>2</w:t>
      </w:r>
      <w:r>
        <w:rPr>
          <w:rFonts w:hint="eastAsia"/>
          <w:szCs w:val="32"/>
          <w:lang w:val="en-US" w:eastAsia="zh-CN"/>
        </w:rPr>
        <w:t>5</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ascii="仿宋_GB2312"/>
          <w:szCs w:val="32"/>
        </w:rPr>
        <w:t>1531.82</w:t>
      </w:r>
      <w:r>
        <w:rPr>
          <w:szCs w:val="32"/>
        </w:rPr>
        <w:t>万元，其中：基本支出</w:t>
      </w:r>
      <w:r>
        <w:rPr>
          <w:rFonts w:ascii="仿宋_GB2312"/>
          <w:szCs w:val="32"/>
        </w:rPr>
        <w:t>1531.82</w:t>
      </w:r>
      <w:r>
        <w:rPr>
          <w:szCs w:val="32"/>
        </w:rPr>
        <w:t>万元，占100%。基本支出中，人员经费1379.45万元，占90.05%；公用经费152.37万元，占9.95%。</w:t>
      </w:r>
    </w:p>
    <w:p>
      <w:pPr>
        <w:spacing w:line="520" w:lineRule="exact"/>
        <w:ind w:firstLineChars="200" w:firstLine="640"/>
        <w:rPr>
          <w:szCs w:val="32"/>
        </w:rPr>
      </w:pPr>
      <w:r>
        <w:rPr>
          <w:szCs w:val="32"/>
        </w:rPr>
        <w:t>一般公共服务（类）支出1158.11万元，占75.60%，主要用于</w:t>
      </w:r>
      <w:r>
        <w:rPr>
          <w:rFonts w:hint="eastAsia"/>
          <w:szCs w:val="32"/>
        </w:rPr>
        <w:t>保障职工工资，维持机关正常运转以及完成年度统计工作</w:t>
      </w:r>
      <w:r>
        <w:rPr>
          <w:szCs w:val="32"/>
        </w:rPr>
        <w:t>。</w:t>
      </w:r>
    </w:p>
    <w:p>
      <w:pPr>
        <w:spacing w:line="520" w:lineRule="exact"/>
        <w:ind w:left="0" w:firstLineChars="200" w:firstLine="640"/>
        <w:rPr>
          <w:szCs w:val="32"/>
        </w:rPr>
      </w:pPr>
      <w:r>
        <w:rPr>
          <w:szCs w:val="32"/>
        </w:rPr>
        <w:t>社会保障和就业（类）支出164.37万元，占10.73%，主要用于</w:t>
      </w:r>
      <w:r>
        <w:rPr>
          <w:rFonts w:hint="eastAsia"/>
          <w:szCs w:val="32"/>
        </w:rPr>
        <w:t>保障单位</w:t>
      </w:r>
      <w:r>
        <w:rPr>
          <w:szCs w:val="32"/>
        </w:rPr>
        <w:t>退</w:t>
      </w:r>
      <w:r>
        <w:rPr>
          <w:rFonts w:hint="eastAsia"/>
          <w:szCs w:val="32"/>
        </w:rPr>
        <w:t>休职工</w:t>
      </w:r>
      <w:r>
        <w:rPr>
          <w:szCs w:val="32"/>
        </w:rPr>
        <w:t>生活补贴</w:t>
      </w:r>
      <w:r>
        <w:rPr>
          <w:rFonts w:hint="eastAsia"/>
          <w:szCs w:val="32"/>
        </w:rPr>
        <w:t>、采暖补贴以及缴纳在职职工养老保险</w:t>
      </w:r>
      <w:r>
        <w:rPr>
          <w:szCs w:val="32"/>
        </w:rPr>
        <w:t>。</w:t>
      </w:r>
    </w:p>
    <w:p>
      <w:pPr>
        <w:spacing w:line="520" w:lineRule="exact"/>
        <w:ind w:left="0" w:firstLineChars="200" w:firstLine="640"/>
        <w:rPr>
          <w:szCs w:val="32"/>
        </w:rPr>
      </w:pPr>
      <w:r>
        <w:rPr>
          <w:rFonts w:hint="eastAsia"/>
          <w:szCs w:val="32"/>
          <w:lang w:eastAsia="zh-CN"/>
        </w:rPr>
        <w:t>卫生健康（类）支出</w:t>
      </w:r>
      <w:r>
        <w:rPr>
          <w:szCs w:val="32"/>
        </w:rPr>
        <w:t>84.63万元，占5.52%，主要用于</w:t>
      </w:r>
      <w:r>
        <w:rPr>
          <w:rFonts w:hint="eastAsia"/>
          <w:szCs w:val="32"/>
        </w:rPr>
        <w:t>缴纳职工医疗保险。</w:t>
      </w:r>
    </w:p>
    <w:p>
      <w:pPr>
        <w:spacing w:line="520" w:lineRule="exact"/>
        <w:ind w:firstLineChars="200" w:firstLine="640"/>
        <w:rPr>
          <w:rFonts w:eastAsia="楷体"/>
          <w:szCs w:val="32"/>
        </w:rPr>
      </w:pPr>
      <w:r>
        <w:rPr>
          <w:szCs w:val="32"/>
        </w:rPr>
        <w:t>住房保障（类）支出124.71万元，占8.14%，主要用于</w:t>
      </w:r>
      <w:r>
        <w:rPr>
          <w:rFonts w:hint="eastAsia"/>
          <w:szCs w:val="32"/>
        </w:rPr>
        <w:t>缴纳职工住房公积金</w:t>
      </w:r>
      <w:r>
        <w:rPr>
          <w:szCs w:val="32"/>
        </w:rPr>
        <w:t>。</w:t>
      </w:r>
    </w:p>
    <w:p>
      <w:pPr>
        <w:spacing w:line="520" w:lineRule="exact"/>
        <w:ind w:firstLineChars="200" w:firstLine="640"/>
        <w:rPr>
          <w:szCs w:val="32"/>
        </w:rPr>
      </w:pPr>
      <w:r>
        <w:rPr>
          <w:rFonts w:eastAsia="黑体"/>
          <w:szCs w:val="32"/>
        </w:rPr>
        <w:t>六、20</w:t>
      </w:r>
      <w:r>
        <w:rPr>
          <w:rFonts w:eastAsia="黑体" w:hint="eastAsia"/>
          <w:szCs w:val="32"/>
        </w:rPr>
        <w:t>2</w:t>
      </w:r>
      <w:r>
        <w:rPr>
          <w:rFonts w:hint="eastAsia"/>
          <w:szCs w:val="32"/>
          <w:lang w:val="en-US" w:eastAsia="zh-CN"/>
        </w:rPr>
        <w:t>5</w:t>
      </w:r>
      <w:r>
        <w:rPr>
          <w:rFonts w:eastAsia="黑体"/>
          <w:szCs w:val="32"/>
        </w:rPr>
        <w:t>年一般公共预算基本支出情况</w:t>
      </w:r>
    </w:p>
    <w:p>
      <w:pPr>
        <w:ind w:firstLine="640"/>
        <w:rPr>
          <w:szCs w:val="32"/>
        </w:rPr>
      </w:pPr>
      <w:r>
        <w:rPr>
          <w:rFonts w:ascii="仿宋_GB2312" w:hint="eastAsia"/>
          <w:szCs w:val="32"/>
        </w:rPr>
        <w:t>202</w:t>
      </w:r>
      <w:r>
        <w:rPr>
          <w:rFonts w:ascii="仿宋_GB2312" w:hint="eastAsia"/>
          <w:szCs w:val="32"/>
          <w:lang w:val="en-US" w:eastAsia="zh-CN"/>
        </w:rPr>
        <w:t>5</w:t>
      </w:r>
      <w:r>
        <w:rPr>
          <w:szCs w:val="32"/>
        </w:rPr>
        <w:t>年一般公共预算基本支出1531.82万元，其中：</w:t>
      </w:r>
    </w:p>
    <w:p>
      <w:pPr>
        <w:ind w:firstLineChars="200" w:firstLine="640"/>
        <w:rPr>
          <w:kern w:val="0"/>
          <w:szCs w:val="32"/>
        </w:rPr>
      </w:pPr>
      <w:r>
        <w:rPr>
          <w:szCs w:val="32"/>
        </w:rPr>
        <w:t>人员经费1379.45万元，主要包括：</w:t>
      </w:r>
      <w:r>
        <w:rPr>
          <w:kern w:val="0"/>
          <w:szCs w:val="32"/>
        </w:rPr>
        <w:t>基本工资、津贴补贴</w:t>
      </w:r>
      <w:r>
        <w:rPr>
          <w:szCs w:val="32"/>
        </w:rPr>
        <w:t>、</w:t>
      </w:r>
      <w:r>
        <w:rPr>
          <w:kern w:val="0"/>
          <w:szCs w:val="32"/>
        </w:rPr>
        <w:t>奖金</w:t>
      </w:r>
      <w:r>
        <w:rPr>
          <w:szCs w:val="32"/>
        </w:rPr>
        <w:t>、绩效工资、</w:t>
      </w:r>
      <w:r>
        <w:rPr>
          <w:kern w:val="0"/>
          <w:szCs w:val="32"/>
        </w:rPr>
        <w:t>机关事业单位基本养老保险缴费、职工基本医疗保险缴费、公务员医疗补助缴费、其他社会保障缴费、住房公积金、医疗费、其他工资福利支出、退休费、其他对个人和家庭的补助。</w:t>
      </w:r>
    </w:p>
    <w:p>
      <w:pPr>
        <w:ind w:firstLineChars="200" w:firstLine="640"/>
        <w:rPr>
          <w:szCs w:val="32"/>
        </w:rPr>
      </w:pPr>
      <w:r>
        <w:rPr>
          <w:kern w:val="0"/>
          <w:szCs w:val="32"/>
        </w:rPr>
        <w:t>公用经费152.37</w:t>
      </w:r>
      <w:r>
        <w:rPr>
          <w:szCs w:val="32"/>
        </w:rPr>
        <w:t>万元，主要包括：</w:t>
      </w:r>
      <w:r>
        <w:rPr>
          <w:kern w:val="0"/>
          <w:szCs w:val="32"/>
        </w:rPr>
        <w:t>办公费、印刷费、手续费、邮电费、差旅费、会议费、培训费、公务接待费、工会经费、福利费、其他商品和服务支出、办公设备购置。</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5</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szCs w:val="32"/>
        </w:rPr>
      </w:pPr>
      <w:r>
        <w:rPr>
          <w:szCs w:val="32"/>
        </w:rPr>
        <w:t>20</w:t>
      </w:r>
      <w:r>
        <w:rPr>
          <w:rFonts w:hint="eastAsia"/>
          <w:szCs w:val="32"/>
        </w:rPr>
        <w:t>2</w:t>
      </w:r>
      <w:r>
        <w:rPr>
          <w:rFonts w:hint="eastAsia"/>
          <w:szCs w:val="32"/>
          <w:lang w:val="en-US" w:eastAsia="zh-CN"/>
        </w:rPr>
        <w:t>5</w:t>
      </w:r>
      <w:r>
        <w:rPr>
          <w:szCs w:val="32"/>
        </w:rPr>
        <w:t>年“三公”经费预算数为1.67万元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年预算数增加1.67万元。其中：</w:t>
      </w:r>
    </w:p>
    <w:p>
      <w:pPr>
        <w:ind w:firstLineChars="200" w:firstLine="640"/>
        <w:rPr>
          <w:szCs w:val="32"/>
          <w:lang w:eastAsia="zh-CN"/>
        </w:rPr>
      </w:pPr>
      <w:r>
        <w:rPr>
          <w:szCs w:val="32"/>
        </w:rPr>
        <w:t>1.因公出国（境）费0万元</w:t>
      </w:r>
      <w:r>
        <w:rPr>
          <w:rFonts w:hint="eastAsia"/>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p>
    <w:p>
      <w:pPr>
        <w:ind w:firstLineChars="200" w:firstLine="640"/>
        <w:rPr>
          <w:szCs w:val="32"/>
        </w:rPr>
      </w:pPr>
      <w:r>
        <w:rPr>
          <w:szCs w:val="32"/>
        </w:rPr>
        <w:t>2.公务接待费1.67万元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年预算数增加1.67万元，主要原因是上年度未安排公务接待计划，本年度依据核定标准进行安排公务接待。</w:t>
      </w:r>
    </w:p>
    <w:p>
      <w:pPr>
        <w:ind w:firstLineChars="200" w:firstLine="640"/>
        <w:rPr>
          <w:rFonts w:hint="eastAsia"/>
          <w:szCs w:val="32"/>
        </w:rPr>
      </w:pPr>
      <w:r>
        <w:rPr>
          <w:szCs w:val="32"/>
        </w:rPr>
        <w:t>3.公务用车购置及运行</w:t>
      </w:r>
      <w:r>
        <w:rPr>
          <w:rFonts w:hint="eastAsia"/>
          <w:szCs w:val="32"/>
          <w:lang w:eastAsia="zh-CN"/>
        </w:rPr>
        <w:t>维护</w:t>
      </w:r>
      <w:r>
        <w:rPr>
          <w:szCs w:val="32"/>
        </w:rPr>
        <w:t>费0万元</w:t>
      </w:r>
      <w:r>
        <w:rPr>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r>
        <w:rPr>
          <w:szCs w:val="32"/>
        </w:rPr>
        <w:t>公务用车运行维护费0万元</w:t>
      </w:r>
      <w:r>
        <w:rPr>
          <w:rFonts w:hint="eastAsia"/>
          <w:szCs w:val="32"/>
          <w:lang w:val="en-US"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r>
        <w:rPr>
          <w:szCs w:val="32"/>
        </w:rPr>
        <w:t>公务用车购置费0万元</w:t>
      </w:r>
      <w:r>
        <w:rPr>
          <w:rFonts w:hint="eastAsia"/>
          <w:szCs w:val="32"/>
          <w:lang w:eastAsia="zh-CN"/>
        </w:rPr>
        <w:t>，</w:t>
      </w:r>
      <w:r>
        <w:rPr>
          <w:rFonts w:hint="eastAsia"/>
          <w:szCs w:val="32"/>
        </w:rPr>
        <w:t>与</w:t>
      </w:r>
      <w:r>
        <w:rPr>
          <w:szCs w:val="32"/>
        </w:rPr>
        <w:t>20</w:t>
      </w:r>
      <w:r>
        <w:rPr>
          <w:rFonts w:hint="eastAsia"/>
          <w:szCs w:val="32"/>
        </w:rPr>
        <w:t>2</w:t>
      </w:r>
      <w:r>
        <w:rPr>
          <w:szCs w:val="32"/>
        </w:rPr>
        <w:t>4年预算数</w:t>
      </w:r>
      <w:r>
        <w:rPr>
          <w:rFonts w:hint="eastAsia"/>
          <w:szCs w:val="32"/>
        </w:rPr>
        <w:t>持平</w:t>
      </w:r>
      <w:r>
        <w:rPr>
          <w:rFonts w:hint="eastAsia"/>
          <w:szCs w:val="32"/>
          <w:lang w:eastAsia="zh-CN"/>
        </w:rPr>
        <w:t>。</w:t>
      </w:r>
    </w:p>
    <w:p>
      <w:pPr>
        <w:ind w:firstLineChars="200" w:firstLine="640"/>
        <w:rPr>
          <w:rFonts w:eastAsia="黑体"/>
          <w:szCs w:val="32"/>
        </w:rPr>
      </w:pPr>
      <w:r>
        <w:rPr>
          <w:rFonts w:eastAsia="黑体"/>
          <w:szCs w:val="32"/>
        </w:rPr>
        <w:t>八、20</w:t>
      </w:r>
      <w:r>
        <w:rPr>
          <w:rFonts w:eastAsia="黑体" w:hint="eastAsia"/>
          <w:szCs w:val="32"/>
        </w:rPr>
        <w:t>2</w:t>
      </w:r>
      <w:r>
        <w:rPr>
          <w:rFonts w:eastAsia="黑体" w:hint="eastAsia"/>
          <w:szCs w:val="32"/>
          <w:lang w:val="en-US" w:eastAsia="zh-CN"/>
        </w:rPr>
        <w:t>5</w:t>
      </w:r>
      <w:r>
        <w:rPr>
          <w:rFonts w:eastAsia="黑体"/>
          <w:szCs w:val="32"/>
        </w:rPr>
        <w:t>年政府性基金预算支出情况</w:t>
      </w:r>
    </w:p>
    <w:p>
      <w:pPr>
        <w:ind w:firstLineChars="200" w:firstLine="640"/>
        <w:rPr>
          <w:rFonts w:eastAsia="楷体"/>
          <w:szCs w:val="32"/>
        </w:rPr>
      </w:pPr>
      <w:r>
        <w:rPr>
          <w:rFonts w:hint="eastAsia"/>
          <w:szCs w:val="32"/>
        </w:rPr>
        <w:t>本单位</w:t>
      </w:r>
      <w:r>
        <w:rPr>
          <w:szCs w:val="32"/>
        </w:rPr>
        <w:t>无政府性基金预算拨款</w:t>
      </w:r>
      <w:r>
        <w:rPr>
          <w:rFonts w:hint="eastAsia"/>
          <w:szCs w:val="32"/>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hint="eastAsia"/>
          <w:szCs w:val="32"/>
          <w:lang w:val="en-US" w:eastAsia="zh-CN"/>
        </w:rPr>
        <w:t>5</w:t>
      </w:r>
      <w:r>
        <w:rPr>
          <w:rFonts w:eastAsia="黑体"/>
          <w:szCs w:val="32"/>
        </w:rPr>
        <w:t>年</w:t>
      </w:r>
      <w:r>
        <w:rPr>
          <w:rFonts w:eastAsia="黑体" w:hint="eastAsia"/>
          <w:szCs w:val="32"/>
        </w:rPr>
        <w:t>国有资本经营</w:t>
      </w:r>
      <w:r>
        <w:rPr>
          <w:rFonts w:eastAsia="黑体"/>
          <w:szCs w:val="32"/>
        </w:rPr>
        <w:t>预算支出情况</w:t>
      </w:r>
    </w:p>
    <w:p>
      <w:pPr>
        <w:spacing w:line="540" w:lineRule="exact"/>
        <w:ind w:firstLineChars="200" w:firstLine="640"/>
        <w:rPr>
          <w:rFonts w:hint="eastAsia"/>
          <w:szCs w:val="32"/>
        </w:rPr>
      </w:pPr>
      <w:r>
        <w:rPr>
          <w:rFonts w:hint="eastAsia"/>
          <w:szCs w:val="32"/>
        </w:rPr>
        <w:t>本单位</w:t>
      </w:r>
      <w:r>
        <w:rPr>
          <w:szCs w:val="32"/>
        </w:rPr>
        <w:t>无</w:t>
      </w:r>
      <w:r>
        <w:rPr>
          <w:rFonts w:hint="eastAsia"/>
          <w:szCs w:val="32"/>
        </w:rPr>
        <w:t>国有资本经营</w:t>
      </w:r>
      <w:r>
        <w:rPr>
          <w:szCs w:val="32"/>
        </w:rPr>
        <w:t>预算拨款</w:t>
      </w:r>
      <w:r>
        <w:rPr>
          <w:rFonts w:hint="eastAsia"/>
          <w:szCs w:val="32"/>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ind w:firstLineChars="200" w:firstLine="640"/>
        <w:rPr>
          <w:szCs w:val="32"/>
          <w:shd w:val="solid" w:color="FFFFFF" w:fill="FFFFFF"/>
        </w:rPr>
      </w:pPr>
      <w:r>
        <w:rPr>
          <w:szCs w:val="32"/>
        </w:rPr>
        <w:t>本单位无机关运行经费</w:t>
      </w:r>
      <w:r>
        <w:rPr>
          <w:szCs w:val="32"/>
          <w:shd w:val="solid" w:color="FFFFFF" w:fill="FFFFFF"/>
        </w:rPr>
        <w:t>。</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rFonts w:hint="eastAsia"/>
          <w:szCs w:val="32"/>
        </w:rPr>
        <w:t>本单位无政府采购预算</w:t>
      </w:r>
      <w:r>
        <w:rPr>
          <w:szCs w:val="32"/>
        </w:rPr>
        <w:t>。</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rFonts w:eastAsia="楷体" w:hint="eastAsia"/>
          <w:szCs w:val="32"/>
        </w:rPr>
      </w:pPr>
      <w:r>
        <w:rPr>
          <w:rFonts w:hint="eastAsia"/>
          <w:szCs w:val="32"/>
        </w:rPr>
        <w:t>本单位无国有资产占有使用情况。</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rPr>
          <w:rFonts w:hint="eastAsia"/>
          <w:szCs w:val="32"/>
        </w:rPr>
      </w:pPr>
      <w:r>
        <w:rPr>
          <w:rFonts w:hint="eastAsia"/>
          <w:szCs w:val="32"/>
        </w:rPr>
        <w:t>本单位无项目支出拨款。</w:t>
      </w:r>
    </w:p>
    <w:p>
      <w:pPr>
        <w:spacing w:line="540" w:lineRule="exact"/>
        <w:ind w:firstLineChars="200" w:firstLine="640"/>
        <w:rPr>
          <w:rFonts w:eastAsia="楷体"/>
          <w:szCs w:val="32"/>
        </w:rPr>
      </w:pPr>
      <w:r>
        <w:rPr>
          <w:rFonts w:eastAsia="楷体" w:hint="eastAsia"/>
          <w:szCs w:val="32"/>
        </w:rPr>
        <w:t>（五）项目支出绩效目标情况说明</w:t>
      </w:r>
    </w:p>
    <w:p>
      <w:pPr>
        <w:spacing w:line="540" w:lineRule="exact"/>
        <w:ind w:firstLineChars="200" w:firstLine="640"/>
        <w:rPr>
          <w:rFonts w:hint="eastAsia"/>
          <w:szCs w:val="32"/>
        </w:rPr>
      </w:pPr>
      <w:r>
        <w:rPr>
          <w:rFonts w:hint="eastAsia"/>
          <w:szCs w:val="32"/>
        </w:rPr>
        <w:t>本单位无项目支出拨款。</w:t>
      </w: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楷体"/>
          <w:szCs w:val="32"/>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ascii="宋体" w:eastAsia="仿宋_GB2312" w:cs="Times New Roman" w:hAnsi="宋体" w:hint="eastAsia"/>
          <w:sz w:val="32"/>
          <w:szCs w:val="32"/>
          <w:lang w:val="en-US" w:eastAsia="zh-CN"/>
        </w:rPr>
      </w:pPr>
      <w:r>
        <w:rPr>
          <w:rFonts w:eastAsia="楷体" w:hint="eastAsia"/>
          <w:szCs w:val="32"/>
        </w:rPr>
        <w:t>（五）</w:t>
      </w:r>
      <w:r>
        <w:rPr>
          <w:rFonts w:eastAsia="楷体"/>
          <w:szCs w:val="32"/>
        </w:rPr>
        <w:t>事业收入：</w:t>
      </w:r>
      <w:r>
        <w:rPr>
          <w:rFonts w:ascii="宋体" w:cs="Times New Roman" w:hAnsi="宋体" w:hint="eastAsia"/>
          <w:sz w:val="32"/>
          <w:szCs w:val="32"/>
          <w:lang w:val="en-US" w:eastAsia="zh-CN"/>
        </w:rPr>
        <w:t>是指</w:t>
      </w:r>
      <w:r>
        <w:rPr>
          <w:rFonts w:ascii="宋体" w:eastAsia="仿宋_GB2312" w:cs="Times New Roman" w:hAnsi="宋体" w:hint="eastAsia"/>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Chars="200" w:firstLine="640"/>
        <w:jc w:val="both"/>
        <w:rPr>
          <w:rFonts w:ascii="宋体" w:eastAsia="仿宋_GB2312" w:cs="Times New Roman" w:hAnsi="宋体" w:hint="eastAsia"/>
          <w:sz w:val="32"/>
          <w:szCs w:val="32"/>
          <w:lang w:val="en-US" w:eastAsia="zh-CN"/>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ascii="宋体" w:cs="Times New Roman" w:hAnsi="宋体" w:hint="eastAsia"/>
          <w:sz w:val="32"/>
          <w:szCs w:val="32"/>
          <w:lang w:val="en-US" w:eastAsia="zh-CN"/>
        </w:rPr>
        <w:t>是指本单位所属下级单位上缴给本单位的全部收入。包括下级事业单位上缴的事业收入、其他收入和下级企业单位上缴的利润等。</w:t>
      </w:r>
    </w:p>
    <w:p>
      <w:pPr>
        <w:ind w:firstLineChars="200"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纳入财政预决算管理的“三公”经费，是指单位用财政拨款安排的因公出国（境）费、公务用车购置及运行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w:t>
      </w:r>
      <w:r>
        <w:rPr>
          <w:kern w:val="0"/>
          <w:szCs w:val="32"/>
        </w:rPr>
        <w:t>、邮电费、差旅费、会议费、福利费、日常维修费、专用材料及一般设备购置费、办公用房水电费、办公用房取暖费、办公用房物业管理费、公务用车运行维护费</w:t>
      </w:r>
      <w:r>
        <w:rPr>
          <w:szCs w:val="32"/>
        </w:rPr>
        <w:t>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w:type="default" r:id="rId7"/>
      <w:footerReference w:type="first" r:id="rId8"/>
      <w:pgSz w:w="11907" w:h="16840"/>
      <w:pgMar w:top="2041" w:right="1588" w:bottom="2041" w:left="1588" w:header="851" w:footer="1588" w:gutter="0"/>
      <w:pgNumType w:fmt="numberInDash" w:start="1" w:chapStyle="1"/>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auto"/>
    <w:pitch w:val="variable"/>
    <w:sig w:usb0="00000001" w:usb1="080E0000" w:usb2="00000000" w:usb3="00000000" w:csb0="00040000" w:csb1="00000000"/>
  </w:font>
  <w:font w:name="华文细黑">
    <w:altName w:val="微软雅黑"/>
    <w:panose1 w:val="02010600040101010101"/>
    <w:charset w:val="86"/>
    <w:family w:val="auto"/>
    <w:pitch w:val="variable"/>
    <w:sig w:usb0="00000287" w:usb1="080F0000" w:usb2="00000000" w:usb3="00000000" w:csb0="0004009F" w:csb1="DFD7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Page</w:instrText>
    </w:r>
    <w:r>
      <w:fldChar w:fldCharType="separate"/>
    </w:r>
    <w:r>
      <w:rPr>
        <w:rStyle w:val="22"/>
      </w:rPr>
      <w:t>- 2 -</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left" w:pos="5124"/>
      </w:tabs>
      <w:jc w:val="center"/>
      <w:rPr>
        <w:rFonts w:ascii="宋体" w:eastAsia="宋体" w:hint="eastAsia"/>
        <w:sz w:val="28"/>
        <w:szCs w:val="28"/>
      </w:rPr>
    </w:pP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rPr>
      <w:t>- 2 -</w:t>
    </w:r>
    <w:r>
      <w:rPr>
        <w:rFonts w:ascii="宋体" w:eastAsia="宋体" w:hint="eastAsia"/>
        <w:sz w:val="28"/>
        <w:szCs w:val="28"/>
      </w:rP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rPr>
        <w:rFonts w:ascii="宋体" w:eastAsia="宋体" w:hint="eastAsia"/>
        <w:sz w:val="28"/>
        <w:szCs w:val="28"/>
      </w:rPr>
    </w:pP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rPr>
      <w:t>- 1 -</w:t>
    </w:r>
    <w:r>
      <w:rPr>
        <w:rFonts w:ascii="宋体" w:eastAsia="宋体" w:hint="eastAsia"/>
        <w:sz w:val="28"/>
        <w:szCs w:val="28"/>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jc w:val="both"/>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kern w:val="0"/>
      <w:sz w:val="24"/>
      <w:szCs w:val="24"/>
    </w:rPr>
  </w:style>
  <w:style w:type="character" w:styleId="22">
    <w:name w:val="page number"/>
    <w:basedOn w:val="10"/>
  </w:style>
  <w:style w:type="character" w:customStyle="1" w:styleId="23">
    <w:name w:val="font21"/>
    <w:rPr>
      <w:rFonts w:ascii="Arial" w:cs="Arial" w:hAnsi="Arial"/>
      <w:color w:val="000000"/>
      <w:sz w:val="20"/>
      <w:szCs w:val="20"/>
      <w:u w:val="none"/>
    </w:rPr>
  </w:style>
  <w:style w:type="character" w:customStyle="1" w:styleId="24">
    <w:name w:val="font61"/>
    <w:rPr>
      <w:rFonts w:ascii="宋体" w:eastAsia="宋体" w:cs="宋体"/>
      <w:color w:val="000000"/>
      <w:sz w:val="24"/>
      <w:szCs w:val="24"/>
      <w:u w:val="none"/>
    </w:rPr>
  </w:style>
  <w:style w:type="character" w:customStyle="1" w:styleId="25">
    <w:name w:val="font01"/>
    <w:rPr>
      <w:rFonts w:ascii="Times New Roman" w:cs="Times New Roman" w:hAnsi="Times New Roman"/>
      <w:color w:val="000000"/>
      <w:sz w:val="24"/>
      <w:szCs w:val="24"/>
      <w:u w:val="none"/>
    </w:rPr>
  </w:style>
  <w:style w:type="character" w:customStyle="1" w:styleId="26">
    <w:name w:val="font41"/>
    <w:rPr>
      <w:rFonts w:ascii="华文细黑" w:eastAsia="华文细黑" w:cs="华文细黑"/>
      <w:color w:val="000000"/>
      <w:sz w:val="20"/>
      <w:szCs w:val="20"/>
      <w:u w:val="none"/>
    </w:rPr>
  </w:style>
  <w:style w:type="character" w:customStyle="1" w:styleId="27">
    <w:name w:val="font11"/>
    <w:rPr>
      <w:rFonts w:ascii="Arial" w:cs="Arial" w:hAnsi="Arial"/>
      <w:color w:val="000000"/>
      <w:sz w:val="24"/>
      <w:szCs w:val="24"/>
      <w:u w:val="none"/>
    </w:rPr>
  </w:style>
  <w:style w:type="paragraph" w:customStyle="1" w:styleId="2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29">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0">
    <w:name w:val="页脚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1">
    <w:name w:val="p0"/>
    <w:basedOn w:val="0"/>
    <w:pPr>
      <w:widowControl/>
    </w:pPr>
    <w:rPr>
      <w:rFonts w:eastAsia="宋体"/>
      <w:kern w:val="0"/>
      <w:szCs w:val="32"/>
    </w:rPr>
  </w:style>
  <w:style w:type="paragraph" w:customStyle="1" w:styleId="32">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3">
    <w:name w:val="页脚 New New New New New New New New New New New"/>
    <w:basedOn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7">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脚 New New New New"/>
    <w:basedOn w:val="0"/>
    <w:pPr>
      <w:tabs>
        <w:tab w:val="center" w:pos="4153"/>
        <w:tab w:val="right" w:pos="8306"/>
      </w:tabs>
      <w:snapToGrid w:val="0"/>
      <w:jc w:val="left"/>
    </w:pPr>
    <w:rPr>
      <w:rFonts w:eastAsia="仿宋_GB2312"/>
      <w:kern w:val="2"/>
      <w:sz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w:basedOn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2">
    <w:name w:val="页脚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3">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Char"/>
    <w:basedOn w:val="0"/>
    <w:rPr>
      <w:rFonts w:eastAsia="宋体"/>
      <w:sz w:val="21"/>
      <w:szCs w:val="21"/>
    </w:rPr>
  </w:style>
  <w:style w:type="paragraph" w:customStyle="1" w:styleId="45">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7">
    <w:name w:val="页脚 New"/>
    <w:basedOn w:val="0"/>
    <w:pPr>
      <w:tabs>
        <w:tab w:val="center" w:pos="4153"/>
        <w:tab w:val="right" w:pos="8306"/>
      </w:tabs>
      <w:snapToGrid w:val="0"/>
      <w:jc w:val="left"/>
    </w:pPr>
    <w:rPr>
      <w:rFonts w:eastAsia="仿宋_GB2312"/>
      <w:kern w:val="2"/>
      <w:sz w:val="18"/>
    </w:rPr>
  </w:style>
  <w:style w:type="paragraph" w:customStyle="1" w:styleId="48">
    <w:name w:val="页脚 New New New New New"/>
    <w:basedOn w:val="0"/>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3">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8">
    <w:name w:val="页脚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0">
    <w:name w:val="正文文本 21"/>
    <w:basedOn w:val="0"/>
    <w:pPr>
      <w:adjustRightInd w:val="0"/>
      <w:ind w:firstLine="630"/>
      <w:jc w:val="left"/>
      <w:textAlignment w:val="baseline"/>
    </w:pPr>
    <w:rPr>
      <w:rFonts w:eastAsia="黑体"/>
    </w:rPr>
  </w:style>
  <w:style w:type="paragraph" w:customStyle="1" w:styleId="61">
    <w:name w:val="页脚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2">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3">
    <w:name w:val="页脚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4">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w:basedOn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9">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1">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3">
    <w:name w:val="页脚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4">
    <w:name w:val="页脚 New New New"/>
    <w:basedOn w:val="0"/>
    <w:pPr>
      <w:tabs>
        <w:tab w:val="center" w:pos="4153"/>
        <w:tab w:val="right" w:pos="8306"/>
      </w:tabs>
      <w:snapToGrid w:val="0"/>
      <w:jc w:val="left"/>
    </w:pPr>
    <w:rPr>
      <w:rFonts w:eastAsia="仿宋_GB2312"/>
      <w:kern w:val="2"/>
      <w:sz w:val="18"/>
    </w:rPr>
  </w:style>
  <w:style w:type="paragraph" w:customStyle="1" w:styleId="75">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w:basedOn w:val="0"/>
    <w:pPr>
      <w:tabs>
        <w:tab w:val="center" w:pos="4153"/>
        <w:tab w:val="right" w:pos="8306"/>
      </w:tabs>
      <w:snapToGrid w:val="0"/>
      <w:jc w:val="left"/>
    </w:pPr>
    <w:rPr>
      <w:rFonts w:eastAsia="仿宋_GB2312"/>
      <w:kern w:val="2"/>
      <w:sz w:val="18"/>
    </w:rPr>
  </w:style>
  <w:style w:type="paragraph" w:customStyle="1" w:styleId="80">
    <w:name w:val="页脚 New New New New New New New"/>
    <w:basedOn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2">
    <w:name w:val="页脚 New New"/>
    <w:basedOn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4">
    <w:name w:val="页脚 New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5">
    <w:name w:val="页脚 New New New New New New"/>
    <w:basedOn w:val="0"/>
    <w:pPr>
      <w:tabs>
        <w:tab w:val="center" w:pos="4153"/>
        <w:tab w:val="right" w:pos="8306"/>
      </w:tabs>
      <w:snapToGrid w:val="0"/>
      <w:jc w:val="left"/>
    </w:pPr>
    <w:rPr>
      <w:rFonts w:eastAsia="仿宋_GB2312"/>
      <w:kern w:val="2"/>
      <w:sz w:val="18"/>
    </w:rPr>
  </w:style>
  <w:style w:type="paragraph" w:customStyle="1" w:styleId="86">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8">
    <w:name w:val="页脚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9">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90">
    <w:name w:val="页眉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563</TotalTime>
  <Application>Yozo_Office27021597764231179</Application>
  <Pages>23</Pages>
  <Words>4758</Words>
  <Characters>5921</Characters>
  <Lines>1424</Lines>
  <Paragraphs>546</Paragraphs>
  <CharactersWithSpaces>6542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2025-02-11T03:07:20Z</cp:lastPrinted>
  <dcterms:created xsi:type="dcterms:W3CDTF">2022-02-20T09:24:00Z</dcterms:created>
  <dcterms:modified xsi:type="dcterms:W3CDTF">2025-02-18T08:21:10Z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DCE2488A59ED425F8330D18FE76F5BBB_13</vt:lpwstr>
  </property>
</Properties>
</file>