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吉林市统计局</w:t>
      </w:r>
      <w:r>
        <w:rPr>
          <w:rFonts w:hint="eastAsia" w:eastAsia="方正小标宋简体"/>
          <w:sz w:val="44"/>
          <w:szCs w:val="44"/>
          <w:lang w:val="en-US" w:eastAsia="zh-CN"/>
        </w:rPr>
        <w:t>丰满区分局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numPr>
          <w:ilvl w:val="0"/>
          <w:numId w:val="1"/>
        </w:numPr>
        <w:ind w:firstLine="640" w:firstLineChars="200"/>
        <w:rPr>
          <w:rFonts w:eastAsia="楷体_GB2312"/>
        </w:rPr>
      </w:pPr>
      <w:r>
        <w:rPr>
          <w:rFonts w:eastAsia="楷体_GB2312"/>
        </w:rPr>
        <w:t>主要职能</w:t>
      </w:r>
    </w:p>
    <w:p>
      <w:pPr>
        <w:ind w:firstLine="640" w:firstLineChars="200"/>
        <w:rPr>
          <w:rFonts w:eastAsia="楷体_GB2312"/>
        </w:rPr>
      </w:pPr>
      <w:r>
        <w:rPr>
          <w:rFonts w:hint="eastAsia" w:ascii="仿宋_GB2312" w:hAnsi="仿宋_GB2312" w:eastAsia="仿宋_GB2312" w:cs="仿宋_GB2312"/>
          <w:color w:val="000000"/>
          <w:szCs w:val="32"/>
        </w:rPr>
        <w:t>全省统计系统实行垂直管理，按照省编办批复《关于吉林市统计局主要职责内设机构和人员编制规定的批复》（吉编办〔2009〕127号），设立吉林市统计局</w:t>
      </w:r>
      <w:r>
        <w:rPr>
          <w:rFonts w:hint="eastAsia" w:ascii="仿宋_GB2312" w:hAnsi="仿宋_GB2312" w:cs="仿宋_GB2312"/>
          <w:color w:val="000000"/>
          <w:szCs w:val="32"/>
          <w:lang w:eastAsia="zh-CN"/>
        </w:rPr>
        <w:t>丰满区</w:t>
      </w:r>
      <w:r>
        <w:rPr>
          <w:rFonts w:hint="eastAsia" w:ascii="仿宋_GB2312" w:hAnsi="仿宋_GB2312" w:eastAsia="仿宋_GB2312" w:cs="仿宋_GB2312"/>
          <w:color w:val="000000"/>
          <w:szCs w:val="32"/>
          <w:lang w:eastAsia="zh-CN"/>
        </w:rPr>
        <w:t>分局</w:t>
      </w:r>
      <w:r>
        <w:rPr>
          <w:rFonts w:hint="eastAsia" w:ascii="仿宋_GB2312" w:hAnsi="仿宋_GB2312" w:eastAsia="仿宋_GB2312" w:cs="仿宋_GB2312"/>
          <w:color w:val="000000"/>
          <w:szCs w:val="32"/>
        </w:rPr>
        <w:t>，为吉林</w:t>
      </w:r>
      <w:r>
        <w:rPr>
          <w:rFonts w:hint="eastAsia" w:ascii="仿宋_GB2312" w:hAnsi="仿宋_GB2312" w:eastAsia="仿宋_GB2312" w:cs="仿宋_GB2312"/>
          <w:color w:val="000000"/>
          <w:szCs w:val="32"/>
          <w:lang w:eastAsia="zh-CN"/>
        </w:rPr>
        <w:t>市</w:t>
      </w:r>
      <w:r>
        <w:rPr>
          <w:rFonts w:hint="eastAsia" w:ascii="仿宋_GB2312" w:hAnsi="仿宋_GB2312" w:eastAsia="仿宋_GB2312" w:cs="仿宋_GB2312"/>
          <w:color w:val="000000"/>
          <w:szCs w:val="32"/>
        </w:rPr>
        <w:t>统计局</w:t>
      </w:r>
      <w:r>
        <w:rPr>
          <w:rFonts w:hint="eastAsia" w:ascii="仿宋_GB2312" w:hAnsi="仿宋_GB2312" w:eastAsia="仿宋_GB2312" w:cs="仿宋_GB2312"/>
          <w:color w:val="000000"/>
          <w:szCs w:val="32"/>
          <w:lang w:eastAsia="zh-CN"/>
        </w:rPr>
        <w:t>的</w:t>
      </w:r>
      <w:r>
        <w:rPr>
          <w:rFonts w:hint="eastAsia" w:ascii="仿宋_GB2312" w:hAnsi="仿宋_GB2312" w:cs="仿宋_GB2312"/>
          <w:color w:val="000000"/>
          <w:szCs w:val="32"/>
          <w:lang w:val="en-US" w:eastAsia="zh-CN"/>
        </w:rPr>
        <w:t>派出</w:t>
      </w:r>
      <w:r>
        <w:rPr>
          <w:rFonts w:hint="eastAsia" w:ascii="仿宋_GB2312" w:hAnsi="仿宋_GB2312" w:eastAsia="仿宋_GB2312" w:cs="仿宋_GB2312"/>
          <w:color w:val="000000"/>
          <w:szCs w:val="32"/>
        </w:rPr>
        <w:t>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一</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依照国家法律、法规、政策和计划，制定全区的统计工作规章制度、统计现代化建设规划、统计调查计划和统计改革方案和实施办法。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二</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贯彻执行国家和省、市确定的统计方法制度和工作方针，具体组织落实全区国民经济和社会发展各专业的全面调查、抽样调查、重点调查和典型调查任务。监督检查《统计法》的实施，与有关</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共同调查（独立调查）处理统计违法案件。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三</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组织领导全区政府统计系统的统计工作，指导各行业</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和基层统计组织的统计工作。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四</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搜集、整理、提供全区性的基本统计资料，根据区委、区政府宏观管理和科学决策的需要，及时对全区国民经济、社会发展和科学进步情况进行统计分析、统计预测和统计监督，向区委、区政府及有关</w:t>
      </w:r>
      <w:r>
        <w:rPr>
          <w:rFonts w:hint="eastAsia" w:ascii="仿宋_GB2312" w:hAnsi="仿宋_GB2312" w:eastAsia="仿宋_GB2312" w:cs="仿宋_GB2312"/>
          <w:color w:val="000000"/>
          <w:szCs w:val="32"/>
          <w:lang w:val="en-US" w:eastAsia="zh-CN"/>
        </w:rPr>
        <w:t>单位</w:t>
      </w:r>
      <w:r>
        <w:rPr>
          <w:rFonts w:hint="eastAsia" w:ascii="仿宋_GB2312" w:hAnsi="仿宋_GB2312" w:eastAsia="仿宋_GB2312" w:cs="仿宋_GB2312"/>
          <w:color w:val="000000"/>
          <w:szCs w:val="32"/>
        </w:rPr>
        <w:t>提供咨询建议。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五</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统一核定、管理、公布、出版、发行全区性的基本统计资料，定期发布全区国民经济和社会发展情况的统计公报。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六</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建立健全和统一管理全区统计信息自动化系统和统计数据库体系。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七</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组织开展全区统计和经济管理干部的业务培训教育工作。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八</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接受国家各项重大的国情国力的普查任务，在</w:t>
      </w:r>
      <w:r>
        <w:rPr>
          <w:rFonts w:hint="eastAsia" w:ascii="仿宋_GB2312" w:hAnsi="仿宋_GB2312" w:cs="仿宋_GB2312"/>
          <w:color w:val="000000"/>
          <w:szCs w:val="32"/>
          <w:lang w:val="en-US" w:eastAsia="zh-CN"/>
        </w:rPr>
        <w:t>区</w:t>
      </w:r>
      <w:r>
        <w:rPr>
          <w:rFonts w:hint="eastAsia" w:ascii="仿宋_GB2312" w:hAnsi="仿宋_GB2312" w:eastAsia="仿宋_GB2312" w:cs="仿宋_GB2312"/>
          <w:color w:val="000000"/>
          <w:szCs w:val="32"/>
        </w:rPr>
        <w:t>政府的统一领导下，做好其组织、发动、协调、管理、实施等各项工作。</w:t>
      </w:r>
    </w:p>
    <w:p>
      <w:pPr>
        <w:ind w:firstLine="640" w:firstLineChars="200"/>
        <w:rPr>
          <w:rFonts w:hint="eastAsia" w:ascii="仿宋_GB2312" w:hAnsi="仿宋_GB2312" w:eastAsia="仿宋_GB2312" w:cs="仿宋_GB2312"/>
          <w:color w:val="000000"/>
          <w:szCs w:val="32"/>
        </w:rPr>
      </w:pPr>
      <w:r>
        <w:rPr>
          <w:rFonts w:hint="eastAsia" w:ascii="楷体_GB2312" w:hAnsi="楷体_GB2312" w:eastAsia="楷体_GB2312" w:cs="楷体_GB2312"/>
          <w:b w:val="0"/>
          <w:bCs w:val="0"/>
          <w:color w:val="000000"/>
          <w:szCs w:val="32"/>
          <w:lang w:eastAsia="zh-CN"/>
        </w:rPr>
        <w:t>（</w:t>
      </w:r>
      <w:r>
        <w:rPr>
          <w:rFonts w:hint="eastAsia" w:ascii="楷体_GB2312" w:hAnsi="楷体_GB2312" w:eastAsia="楷体_GB2312" w:cs="楷体_GB2312"/>
          <w:b w:val="0"/>
          <w:bCs w:val="0"/>
          <w:color w:val="000000"/>
          <w:szCs w:val="32"/>
          <w:lang w:val="en-US" w:eastAsia="zh-CN"/>
        </w:rPr>
        <w:t>九</w:t>
      </w:r>
      <w:r>
        <w:rPr>
          <w:rFonts w:hint="eastAsia" w:ascii="楷体_GB2312" w:hAnsi="楷体_GB2312" w:eastAsia="楷体_GB2312" w:cs="楷体_GB2312"/>
          <w:b w:val="0"/>
          <w:bCs w:val="0"/>
          <w:color w:val="000000"/>
          <w:szCs w:val="32"/>
          <w:lang w:eastAsia="zh-CN"/>
        </w:rPr>
        <w:t>）</w:t>
      </w:r>
      <w:r>
        <w:rPr>
          <w:rFonts w:hint="eastAsia" w:ascii="仿宋_GB2312" w:hAnsi="仿宋_GB2312" w:eastAsia="仿宋_GB2312" w:cs="仿宋_GB2312"/>
          <w:color w:val="000000"/>
          <w:szCs w:val="32"/>
        </w:rPr>
        <w:t>完成区委、区政府交办的其他工作。</w:t>
      </w:r>
    </w:p>
    <w:p>
      <w:pPr>
        <w:ind w:firstLine="640" w:firstLineChars="200"/>
      </w:pPr>
      <w:r>
        <w:rPr>
          <w:rFonts w:eastAsia="楷体_GB2312"/>
        </w:rPr>
        <w:t>二、机构设置</w:t>
      </w:r>
    </w:p>
    <w:p>
      <w:pPr>
        <w:pStyle w:val="24"/>
        <w:ind w:firstLine="640" w:firstLineChars="200"/>
        <w:rPr>
          <w:rFonts w:eastAsia="仿宋_GB2312"/>
        </w:rPr>
      </w:pPr>
      <w:r>
        <w:rPr>
          <w:rFonts w:eastAsia="仿宋_GB2312"/>
        </w:rPr>
        <w:t>根据上述职责，</w:t>
      </w:r>
      <w:r>
        <w:rPr>
          <w:rFonts w:hint="eastAsia" w:eastAsia="仿宋_GB2312"/>
          <w:u w:val="none"/>
          <w:lang w:eastAsia="zh-CN"/>
        </w:rPr>
        <w:t>吉林市统计局丰满区分局</w:t>
      </w:r>
      <w:r>
        <w:rPr>
          <w:rFonts w:eastAsia="仿宋_GB2312"/>
        </w:rPr>
        <w:t>内设</w:t>
      </w:r>
      <w:r>
        <w:rPr>
          <w:rFonts w:hint="eastAsia" w:eastAsia="仿宋_GB2312"/>
          <w:u w:val="none"/>
          <w:lang w:val="en-US" w:eastAsia="zh-CN"/>
        </w:rPr>
        <w:t>1</w:t>
      </w:r>
      <w:r>
        <w:rPr>
          <w:rFonts w:eastAsia="仿宋_GB2312"/>
        </w:rPr>
        <w:t>个机构</w:t>
      </w:r>
      <w:r>
        <w:rPr>
          <w:rFonts w:hint="eastAsia" w:eastAsia="仿宋_GB2312"/>
          <w:lang w:eastAsia="zh-CN"/>
        </w:rPr>
        <w:t>，</w:t>
      </w:r>
      <w:r>
        <w:rPr>
          <w:rFonts w:hint="eastAsia" w:ascii="仿宋_GB2312" w:hAnsi="仿宋_GB2312" w:eastAsia="仿宋_GB2312" w:cs="仿宋_GB2312"/>
          <w:u w:val="none"/>
        </w:rPr>
        <w:t>为</w:t>
      </w:r>
      <w:r>
        <w:rPr>
          <w:rFonts w:hint="eastAsia" w:ascii="仿宋_GB2312" w:hAnsi="仿宋_GB2312" w:eastAsia="仿宋_GB2312" w:cs="仿宋_GB2312"/>
          <w:u w:val="none"/>
          <w:lang w:val="en-US" w:eastAsia="zh-CN"/>
        </w:rPr>
        <w:t>综合科</w:t>
      </w:r>
      <w:r>
        <w:rPr>
          <w:rFonts w:eastAsia="仿宋_GB2312"/>
        </w:rPr>
        <w:t>。</w:t>
      </w:r>
    </w:p>
    <w:p>
      <w:pPr>
        <w:pStyle w:val="24"/>
        <w:ind w:firstLine="640" w:firstLineChars="200"/>
        <w:rPr>
          <w:rFonts w:hint="eastAsia" w:eastAsia="仿宋_GB2312"/>
          <w:lang w:eastAsia="zh-CN"/>
        </w:rPr>
      </w:pPr>
      <w:r>
        <w:rPr>
          <w:rFonts w:hint="eastAsia" w:eastAsia="仿宋_GB2312"/>
          <w:lang w:eastAsia="zh-CN"/>
        </w:rPr>
        <w:t>无下设预算单位。</w:t>
      </w:r>
    </w:p>
    <w:p>
      <w:pPr>
        <w:ind w:firstLine="640" w:firstLineChars="200"/>
        <w:rPr>
          <w:color w:val="000000"/>
          <w:szCs w:val="32"/>
        </w:rPr>
      </w:pPr>
    </w:p>
    <w:p>
      <w:pPr>
        <w:pStyle w:val="24"/>
        <w:ind w:firstLine="640" w:firstLineChars="200"/>
        <w:rPr>
          <w:rFonts w:eastAsia="楷体"/>
        </w:rPr>
      </w:pPr>
    </w:p>
    <w:p>
      <w:pPr>
        <w:pStyle w:val="24"/>
        <w:ind w:firstLine="640" w:firstLineChars="200"/>
        <w:rPr>
          <w:rFonts w:eastAsia="楷体"/>
        </w:rPr>
      </w:pPr>
    </w:p>
    <w:p>
      <w:pPr>
        <w:pStyle w:val="24"/>
        <w:ind w:firstLine="640" w:firstLineChars="200"/>
        <w:rPr>
          <w:rFonts w:hAnsi="楷体" w:eastAsia="楷体"/>
        </w:rPr>
      </w:pPr>
    </w:p>
    <w:p>
      <w:pPr>
        <w:pStyle w:val="24"/>
        <w:ind w:firstLine="640" w:firstLineChars="200"/>
        <w:rPr>
          <w:rFonts w:hAnsi="楷体" w:eastAsia="楷体"/>
        </w:rPr>
      </w:pPr>
    </w:p>
    <w:p>
      <w:pPr>
        <w:pStyle w:val="24"/>
        <w:ind w:firstLine="640" w:firstLineChars="200"/>
        <w:rPr>
          <w:rFonts w:hAnsi="楷体" w:eastAsia="楷体"/>
        </w:rPr>
      </w:pPr>
    </w:p>
    <w:p>
      <w:pPr>
        <w:pStyle w:val="24"/>
        <w:ind w:firstLine="640" w:firstLineChars="200"/>
        <w:rPr>
          <w:rFonts w:hAnsi="楷体" w:eastAsia="楷体"/>
        </w:rPr>
      </w:pPr>
    </w:p>
    <w:p>
      <w:pPr>
        <w:pStyle w:val="24"/>
        <w:ind w:firstLine="640" w:firstLineChars="200"/>
        <w:rPr>
          <w:rFonts w:hAnsi="楷体" w:eastAsia="楷体"/>
        </w:rPr>
      </w:pPr>
    </w:p>
    <w:p>
      <w:pPr>
        <w:pStyle w:val="24"/>
        <w:ind w:firstLine="640" w:firstLineChars="200"/>
        <w:rPr>
          <w:rFonts w:hAnsi="楷体" w:eastAsia="楷体"/>
        </w:rPr>
      </w:pPr>
    </w:p>
    <w:p>
      <w:pPr>
        <w:pStyle w:val="24"/>
        <w:ind w:firstLine="640" w:firstLineChars="200"/>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2"/>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155.34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155.34</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104.06</w:t>
            </w:r>
          </w:p>
        </w:tc>
        <w:tc>
          <w:tcPr>
            <w:tcW w:w="1182"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104.06</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155.34</w:t>
            </w: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lang w:val="en-US" w:eastAsia="zh-CN"/>
              </w:rPr>
              <w:t>155.34</w:t>
            </w: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35.29</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35.29</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9.04</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9.04</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四、</w:t>
            </w:r>
            <w:r>
              <w:rPr>
                <w:rFonts w:hint="eastAsia" w:ascii="宋体" w:hAnsi="宋体" w:eastAsia="宋体" w:cs="宋体"/>
                <w:color w:val="000000"/>
                <w:sz w:val="20"/>
                <w:lang w:val="en-US" w:eastAsia="zh-CN"/>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6.95</w:t>
            </w:r>
          </w:p>
        </w:tc>
        <w:tc>
          <w:tcPr>
            <w:tcW w:w="1182" w:type="dxa"/>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6.95</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29"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155.34</w:t>
            </w:r>
          </w:p>
        </w:tc>
        <w:tc>
          <w:tcPr>
            <w:tcW w:w="118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155.34</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ascii="Times New Roman" w:hAnsi="Times New Roman" w:eastAsia="宋体" w:cs="Times New Roman"/>
                <w:kern w:val="0"/>
                <w:sz w:val="20"/>
                <w:lang w:val="en-US" w:eastAsia="zh-CN"/>
              </w:rPr>
              <w:t>155.34</w:t>
            </w:r>
          </w:p>
        </w:tc>
        <w:tc>
          <w:tcPr>
            <w:tcW w:w="1182"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ascii="Times New Roman" w:hAnsi="Times New Roman" w:eastAsia="宋体" w:cs="Times New Roman"/>
                <w:kern w:val="0"/>
                <w:sz w:val="20"/>
                <w:lang w:val="en-US" w:eastAsia="zh-CN"/>
              </w:rPr>
              <w:t>155.34</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10488" w:type="dxa"/>
        <w:jc w:val="center"/>
        <w:tblLayout w:type="fixed"/>
        <w:tblCellMar>
          <w:top w:w="0" w:type="dxa"/>
          <w:left w:w="108" w:type="dxa"/>
          <w:bottom w:w="0" w:type="dxa"/>
          <w:right w:w="108" w:type="dxa"/>
        </w:tblCellMar>
      </w:tblPr>
      <w:tblGrid>
        <w:gridCol w:w="1258"/>
        <w:gridCol w:w="826"/>
        <w:gridCol w:w="793"/>
        <w:gridCol w:w="814"/>
        <w:gridCol w:w="385"/>
        <w:gridCol w:w="472"/>
        <w:gridCol w:w="536"/>
        <w:gridCol w:w="418"/>
        <w:gridCol w:w="477"/>
        <w:gridCol w:w="487"/>
        <w:gridCol w:w="488"/>
        <w:gridCol w:w="488"/>
        <w:gridCol w:w="486"/>
        <w:gridCol w:w="556"/>
        <w:gridCol w:w="492"/>
        <w:gridCol w:w="1"/>
        <w:gridCol w:w="504"/>
        <w:gridCol w:w="487"/>
        <w:gridCol w:w="520"/>
      </w:tblGrid>
      <w:tr>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463" w:type="dxa"/>
            <w:gridSpan w:val="3"/>
            <w:noWrap w:val="0"/>
            <w:vAlign w:val="center"/>
          </w:tcPr>
          <w:p>
            <w:pPr>
              <w:autoSpaceDN w:val="0"/>
              <w:jc w:val="left"/>
              <w:textAlignment w:val="center"/>
              <w:rPr>
                <w:rFonts w:eastAsia="华文细黑"/>
                <w:color w:val="000000"/>
                <w:sz w:val="20"/>
              </w:rPr>
            </w:pPr>
          </w:p>
        </w:tc>
        <w:tc>
          <w:tcPr>
            <w:tcW w:w="486" w:type="dxa"/>
            <w:noWrap w:val="0"/>
            <w:vAlign w:val="center"/>
          </w:tcPr>
          <w:p>
            <w:pPr>
              <w:autoSpaceDN w:val="0"/>
              <w:jc w:val="left"/>
              <w:textAlignment w:val="center"/>
              <w:rPr>
                <w:rFonts w:eastAsia="华文细黑"/>
                <w:color w:val="000000"/>
                <w:sz w:val="20"/>
              </w:rPr>
            </w:pPr>
          </w:p>
        </w:tc>
        <w:tc>
          <w:tcPr>
            <w:tcW w:w="556" w:type="dxa"/>
            <w:noWrap w:val="0"/>
            <w:vAlign w:val="center"/>
          </w:tcPr>
          <w:p>
            <w:pPr>
              <w:autoSpaceDN w:val="0"/>
              <w:jc w:val="left"/>
              <w:textAlignment w:val="center"/>
              <w:rPr>
                <w:rFonts w:eastAsia="华文细黑"/>
                <w:color w:val="000000"/>
                <w:sz w:val="20"/>
              </w:rPr>
            </w:pPr>
          </w:p>
        </w:tc>
        <w:tc>
          <w:tcPr>
            <w:tcW w:w="493" w:type="dxa"/>
            <w:gridSpan w:val="2"/>
            <w:noWrap w:val="0"/>
            <w:vAlign w:val="bottom"/>
          </w:tcPr>
          <w:p>
            <w:pPr>
              <w:autoSpaceDN w:val="0"/>
              <w:jc w:val="right"/>
              <w:textAlignment w:val="bottom"/>
              <w:rPr>
                <w:rFonts w:eastAsia="宋体"/>
                <w:color w:val="000000"/>
                <w:sz w:val="20"/>
              </w:rPr>
            </w:pPr>
          </w:p>
        </w:tc>
        <w:tc>
          <w:tcPr>
            <w:tcW w:w="1511"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val="en-US" w:eastAsia="zh-CN"/>
              </w:rPr>
              <w:t>部门</w:t>
            </w:r>
            <w:r>
              <w:rPr>
                <w:rFonts w:hint="eastAsia" w:eastAsia="宋体"/>
                <w:color w:val="000000"/>
                <w:sz w:val="20"/>
                <w:shd w:val="clear" w:color="auto" w:fill="FFFFFF"/>
                <w:lang w:eastAsia="zh-CN"/>
              </w:rPr>
              <w:t>（单位）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26"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58"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26"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793"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71"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36"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58"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lang w:eastAsia="zh-CN"/>
              </w:rPr>
            </w:pPr>
          </w:p>
        </w:tc>
        <w:tc>
          <w:tcPr>
            <w:tcW w:w="79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81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85"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7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36"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吉林市统计局丰满区分局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155.34</w:t>
            </w: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155.34</w:t>
            </w: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155.34</w:t>
            </w:r>
          </w:p>
        </w:tc>
        <w:tc>
          <w:tcPr>
            <w:tcW w:w="3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155.34</w:t>
            </w:r>
          </w:p>
        </w:tc>
        <w:tc>
          <w:tcPr>
            <w:tcW w:w="7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155.34</w:t>
            </w:r>
          </w:p>
        </w:tc>
        <w:tc>
          <w:tcPr>
            <w:tcW w:w="8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155.34</w:t>
            </w:r>
          </w:p>
        </w:tc>
        <w:tc>
          <w:tcPr>
            <w:tcW w:w="3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3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9840" w:type="dxa"/>
              <w:tblInd w:w="445" w:type="dxa"/>
              <w:tblLayout w:type="fixed"/>
              <w:tblCellMar>
                <w:top w:w="15" w:type="dxa"/>
                <w:left w:w="15" w:type="dxa"/>
                <w:bottom w:w="15" w:type="dxa"/>
                <w:right w:w="15" w:type="dxa"/>
              </w:tblCellMar>
            </w:tblPr>
            <w:tblGrid>
              <w:gridCol w:w="2250"/>
              <w:gridCol w:w="1166"/>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919" w:hRule="atLeast"/>
              </w:trPr>
              <w:tc>
                <w:tcPr>
                  <w:tcW w:w="2250"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166"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eastAsia="宋体"/>
                      <w:color w:val="000000"/>
                      <w:kern w:val="0"/>
                      <w:sz w:val="20"/>
                      <w:highlight w:val="none"/>
                    </w:rPr>
                    <w:t>一、一般公共服务</w:t>
                  </w:r>
                  <w:r>
                    <w:rPr>
                      <w:rFonts w:hint="eastAsia" w:ascii="Times New Roman" w:hAnsi="Times New Roman" w:eastAsia="宋体" w:cs="Times New Roman"/>
                      <w:color w:val="000000"/>
                      <w:kern w:val="0"/>
                      <w:sz w:val="20"/>
                      <w:highlight w:val="none"/>
                      <w:lang w:val="en-US" w:eastAsia="zh-CN"/>
                    </w:rPr>
                    <w:t>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统计信息事务</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70.07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eastAsia="宋体"/>
                      <w:color w:val="000000"/>
                      <w:kern w:val="0"/>
                      <w:sz w:val="20"/>
                    </w:rPr>
                    <w:t>行政运行</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ascii="Times New Roman" w:hAnsi="Times New Roman" w:eastAsia="宋体" w:cs="Times New Roman"/>
                      <w:color w:val="000000"/>
                      <w:kern w:val="0"/>
                      <w:sz w:val="20"/>
                      <w:lang w:val="en-US" w:eastAsia="zh-CN"/>
                    </w:rPr>
                    <w:t>70.07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default" w:eastAsia="宋体"/>
                      <w:color w:val="000000"/>
                      <w:kern w:val="0"/>
                      <w:sz w:val="20"/>
                      <w:lang w:val="en-US" w:eastAsia="zh-CN"/>
                    </w:rPr>
                  </w:pPr>
                  <w:r>
                    <w:rPr>
                      <w:rFonts w:hint="eastAsia" w:eastAsia="宋体"/>
                      <w:color w:val="000000"/>
                      <w:kern w:val="0"/>
                      <w:sz w:val="20"/>
                      <w:lang w:val="en-US" w:eastAsia="zh-CN"/>
                    </w:rPr>
                    <w:t>一般行政管理事务</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行政事业单位养老支出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35.29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35.29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行政单位离退休</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27.16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27.16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机关事业单位基本养老保险缴费支出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8.13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8.13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三、卫生健康支出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行政事业单位医疗</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行政单位医疗</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四、住房保障支出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住房改革支出</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住房公积金</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6.95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合计</w:t>
                  </w:r>
                </w:p>
              </w:tc>
              <w:tc>
                <w:tcPr>
                  <w:tcW w:w="11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155.34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121.35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rPr>
          <w:rFonts w:hint="eastAsia" w:eastAsia="仿宋_GB2312"/>
          <w:lang w:val="en-US" w:eastAsia="zh-CN"/>
        </w:rPr>
      </w:pPr>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Spec="center" w:tblpY="657"/>
              <w:tblOverlap w:val="never"/>
              <w:tblW w:w="0" w:type="auto"/>
              <w:jc w:val="center"/>
              <w:tblLayout w:type="fixed"/>
              <w:tblCellMar>
                <w:top w:w="0" w:type="dxa"/>
                <w:left w:w="108" w:type="dxa"/>
                <w:bottom w:w="0" w:type="dxa"/>
                <w:right w:w="108" w:type="dxa"/>
              </w:tblCellMar>
            </w:tblPr>
            <w:tblGrid>
              <w:gridCol w:w="1442"/>
              <w:gridCol w:w="1126"/>
              <w:gridCol w:w="1126"/>
              <w:gridCol w:w="1066"/>
              <w:gridCol w:w="1434"/>
              <w:gridCol w:w="1148"/>
              <w:gridCol w:w="1148"/>
              <w:gridCol w:w="1150"/>
            </w:tblGrid>
            <w:tr>
              <w:tblPrEx>
                <w:tblCellMar>
                  <w:top w:w="0" w:type="dxa"/>
                  <w:left w:w="108" w:type="dxa"/>
                  <w:bottom w:w="0" w:type="dxa"/>
                  <w:right w:w="108" w:type="dxa"/>
                </w:tblCellMar>
              </w:tblPrEx>
              <w:trPr>
                <w:trHeight w:val="634" w:hRule="atLeast"/>
                <w:jc w:val="center"/>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jc w:val="center"/>
              </w:trPr>
              <w:tc>
                <w:tcPr>
                  <w:tcW w:w="47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6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3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155.34</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b w:val="0"/>
                      <w:bCs w:val="0"/>
                      <w:kern w:val="0"/>
                      <w:sz w:val="20"/>
                      <w:szCs w:val="20"/>
                      <w:lang w:val="en-US" w:eastAsia="zh-CN"/>
                    </w:rPr>
                    <w:t>155.34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szCs w:val="22"/>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155.34</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104.06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104.06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35.29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35.29</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lang w:val="en-US"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9.04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9.04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ascii="宋体" w:hAnsi="宋体" w:eastAsia="宋体" w:cs="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6.95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6.95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499"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155.34</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155.34</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155.34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155.34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7963"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功能分类</w:t>
                  </w:r>
                </w:p>
                <w:p>
                  <w:pPr>
                    <w:widowControl/>
                    <w:jc w:val="center"/>
                    <w:rPr>
                      <w:rFonts w:eastAsia="华文细黑"/>
                      <w:color w:val="000000"/>
                      <w:kern w:val="0"/>
                      <w:sz w:val="20"/>
                    </w:rPr>
                  </w:pPr>
                  <w:r>
                    <w:rPr>
                      <w:rFonts w:eastAsia="华文细黑"/>
                      <w:color w:val="000000"/>
                      <w:kern w:val="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highlight w:val="none"/>
                    </w:rPr>
                    <w:t>一、一般公共服务</w:t>
                  </w:r>
                  <w:r>
                    <w:rPr>
                      <w:rFonts w:hint="eastAsia" w:ascii="Times New Roman" w:hAnsi="Times New Roman" w:eastAsia="宋体" w:cs="Times New Roman"/>
                      <w:color w:val="000000"/>
                      <w:kern w:val="0"/>
                      <w:sz w:val="20"/>
                      <w:highlight w:val="none"/>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70.07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33.99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70.07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691"/>
                    </w:tabs>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27.16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41" w:firstLineChars="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8.13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8.13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tabs>
                      <w:tab w:val="left" w:pos="316"/>
                    </w:tabs>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155.34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14.65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942"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7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79.28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79.28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27.68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13.61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12.09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kern w:val="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8.13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1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kern w:val="0"/>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3.01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2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1.75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0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4.28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6.95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1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20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r>
              <w:rPr>
                <w:rFonts w:hint="eastAsia" w:eastAsia="宋体"/>
                <w:kern w:val="0"/>
                <w:sz w:val="20"/>
                <w:lang w:val="en-US" w:eastAsia="zh-CN"/>
              </w:rPr>
              <w:t>0.82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3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14.25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14.25</w:t>
            </w:r>
          </w:p>
        </w:tc>
      </w:tr>
      <w:tr>
        <w:tblPrEx>
          <w:tblCellMar>
            <w:top w:w="0" w:type="dxa"/>
            <w:left w:w="108" w:type="dxa"/>
            <w:bottom w:w="0" w:type="dxa"/>
            <w:right w:w="108" w:type="dxa"/>
          </w:tblCellMar>
        </w:tblPrEx>
        <w:trPr>
          <w:trHeight w:val="17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2.76</w:t>
            </w:r>
          </w:p>
        </w:tc>
      </w:tr>
      <w:tr>
        <w:tblPrEx>
          <w:tblCellMar>
            <w:top w:w="0" w:type="dxa"/>
            <w:left w:w="108" w:type="dxa"/>
            <w:bottom w:w="0" w:type="dxa"/>
            <w:right w:w="108" w:type="dxa"/>
          </w:tblCellMar>
        </w:tblPrEx>
        <w:trPr>
          <w:trHeight w:val="14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9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0.80</w:t>
            </w:r>
          </w:p>
        </w:tc>
      </w:tr>
      <w:tr>
        <w:tblPrEx>
          <w:tblCellMar>
            <w:top w:w="0" w:type="dxa"/>
            <w:left w:w="108" w:type="dxa"/>
            <w:bottom w:w="0" w:type="dxa"/>
            <w:right w:w="108" w:type="dxa"/>
          </w:tblCellMar>
        </w:tblPrEx>
        <w:trPr>
          <w:trHeight w:val="22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维修</w:t>
            </w:r>
            <w:r>
              <w:rPr>
                <w:rFonts w:hint="eastAsia" w:ascii="宋体" w:hAnsi="宋体" w:eastAsia="宋体" w:cs="宋体"/>
                <w:kern w:val="0"/>
                <w:sz w:val="20"/>
                <w:lang w:eastAsia="zh-CN"/>
              </w:rPr>
              <w:t>（</w:t>
            </w:r>
            <w:r>
              <w:rPr>
                <w:rFonts w:hint="eastAsia" w:ascii="宋体" w:hAnsi="宋体" w:eastAsia="宋体" w:cs="宋体"/>
                <w:kern w:val="0"/>
                <w:sz w:val="20"/>
                <w:lang w:val="en-US" w:eastAsia="zh-CN"/>
              </w:rPr>
              <w:t>护</w:t>
            </w:r>
            <w:r>
              <w:rPr>
                <w:rFonts w:hint="eastAsia" w:ascii="宋体" w:hAnsi="宋体" w:eastAsia="宋体" w:cs="宋体"/>
                <w:kern w:val="0"/>
                <w:sz w:val="20"/>
                <w:lang w:eastAsia="zh-CN"/>
              </w:rPr>
              <w:t>）</w:t>
            </w:r>
            <w:r>
              <w:rPr>
                <w:rFonts w:hint="eastAsia" w:ascii="宋体" w:hAnsi="宋体" w:eastAsia="宋体" w:cs="宋体"/>
                <w:kern w:val="0"/>
                <w:sz w:val="20"/>
                <w:lang w:val="en-US" w:eastAsia="zh-CN"/>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0.90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0.90</w:t>
            </w:r>
          </w:p>
        </w:tc>
      </w:tr>
      <w:tr>
        <w:tblPrEx>
          <w:tblCellMar>
            <w:top w:w="0" w:type="dxa"/>
            <w:left w:w="108" w:type="dxa"/>
            <w:bottom w:w="0" w:type="dxa"/>
            <w:right w:w="108" w:type="dxa"/>
          </w:tblCellMar>
        </w:tblPrEx>
        <w:trPr>
          <w:trHeight w:val="2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培训费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0.01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Times New Roman" w:hAnsi="Times New Roman" w:eastAsia="仿宋_GB2312" w:cs="Times New Roman"/>
                <w:kern w:val="2"/>
                <w:sz w:val="32"/>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0.01</w:t>
            </w:r>
          </w:p>
        </w:tc>
      </w:tr>
      <w:tr>
        <w:tblPrEx>
          <w:tblCellMar>
            <w:top w:w="0" w:type="dxa"/>
            <w:left w:w="108" w:type="dxa"/>
            <w:bottom w:w="0" w:type="dxa"/>
            <w:right w:w="108" w:type="dxa"/>
          </w:tblCellMar>
        </w:tblPrEx>
        <w:trPr>
          <w:trHeight w:val="19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公务接待费</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ascii="Times New Roman" w:hAnsi="Times New Roman" w:eastAsia="仿宋_GB2312" w:cs="Times New Roman"/>
                <w:kern w:val="2"/>
                <w:sz w:val="32"/>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0.10</w:t>
            </w:r>
          </w:p>
        </w:tc>
      </w:tr>
      <w:tr>
        <w:tblPrEx>
          <w:tblCellMar>
            <w:top w:w="0" w:type="dxa"/>
            <w:left w:w="108" w:type="dxa"/>
            <w:bottom w:w="0" w:type="dxa"/>
            <w:right w:w="108" w:type="dxa"/>
          </w:tblCellMar>
        </w:tblPrEx>
        <w:trPr>
          <w:trHeight w:val="24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0.81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0.81</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福利</w:t>
            </w:r>
            <w:r>
              <w:rPr>
                <w:rFonts w:hint="eastAsia" w:ascii="宋体" w:hAnsi="宋体" w:eastAsia="宋体" w:cs="宋体"/>
                <w:kern w:val="0"/>
                <w:sz w:val="20"/>
                <w:lang w:eastAsia="zh-CN"/>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3.26</w:t>
            </w:r>
          </w:p>
        </w:tc>
      </w:tr>
      <w:tr>
        <w:tblPrEx>
          <w:tblCellMar>
            <w:top w:w="0" w:type="dxa"/>
            <w:left w:w="108" w:type="dxa"/>
            <w:bottom w:w="0" w:type="dxa"/>
            <w:right w:w="108" w:type="dxa"/>
          </w:tblCellMar>
        </w:tblPrEx>
        <w:trPr>
          <w:trHeight w:val="16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3.48</w:t>
            </w:r>
          </w:p>
        </w:tc>
      </w:tr>
      <w:tr>
        <w:tblPrEx>
          <w:tblCellMar>
            <w:top w:w="0" w:type="dxa"/>
            <w:left w:w="108" w:type="dxa"/>
            <w:bottom w:w="0" w:type="dxa"/>
            <w:right w:w="108" w:type="dxa"/>
          </w:tblCellMar>
        </w:tblPrEx>
        <w:trPr>
          <w:trHeight w:val="9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1.33</w:t>
            </w:r>
          </w:p>
        </w:tc>
      </w:tr>
      <w:tr>
        <w:tblPrEx>
          <w:tblCellMar>
            <w:top w:w="0" w:type="dxa"/>
            <w:left w:w="108" w:type="dxa"/>
            <w:bottom w:w="0" w:type="dxa"/>
            <w:right w:w="108" w:type="dxa"/>
          </w:tblCellMar>
        </w:tblPrEx>
        <w:trPr>
          <w:trHeight w:val="37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27.42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r>
              <w:rPr>
                <w:rFonts w:hint="eastAsia" w:eastAsia="宋体"/>
                <w:kern w:val="0"/>
                <w:sz w:val="20"/>
                <w:szCs w:val="20"/>
                <w:lang w:val="en-US" w:eastAsia="zh-CN"/>
              </w:rPr>
              <w:t>27.42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rPr>
            </w:pPr>
          </w:p>
        </w:tc>
      </w:tr>
      <w:tr>
        <w:tblPrEx>
          <w:tblCellMar>
            <w:top w:w="0" w:type="dxa"/>
            <w:left w:w="108" w:type="dxa"/>
            <w:bottom w:w="0" w:type="dxa"/>
            <w:right w:w="108" w:type="dxa"/>
          </w:tblCellMar>
        </w:tblPrEx>
        <w:trPr>
          <w:trHeight w:val="30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ind w:firstLine="400" w:firstLineChars="200"/>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18.29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18.29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rPr>
            </w:pPr>
          </w:p>
        </w:tc>
      </w:tr>
      <w:tr>
        <w:tblPrEx>
          <w:tblCellMar>
            <w:top w:w="0" w:type="dxa"/>
            <w:left w:w="108" w:type="dxa"/>
            <w:bottom w:w="0" w:type="dxa"/>
            <w:right w:w="108" w:type="dxa"/>
          </w:tblCellMar>
        </w:tblPrEx>
        <w:trPr>
          <w:trHeight w:val="27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8.87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r>
              <w:rPr>
                <w:rFonts w:hint="eastAsia" w:eastAsia="宋体"/>
                <w:kern w:val="0"/>
                <w:sz w:val="20"/>
                <w:lang w:val="en-US" w:eastAsia="zh-CN"/>
              </w:rPr>
              <w:t>8.87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rPr>
            </w:pPr>
          </w:p>
        </w:tc>
      </w:tr>
      <w:tr>
        <w:tblPrEx>
          <w:tblCellMar>
            <w:top w:w="0" w:type="dxa"/>
            <w:left w:w="108" w:type="dxa"/>
            <w:bottom w:w="0" w:type="dxa"/>
            <w:right w:w="108" w:type="dxa"/>
          </w:tblCellMar>
        </w:tblPrEx>
        <w:trPr>
          <w:trHeight w:val="34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r>
              <w:rPr>
                <w:rFonts w:hint="eastAsia" w:eastAsia="宋体"/>
                <w:kern w:val="0"/>
                <w:sz w:val="20"/>
                <w:lang w:val="en-US" w:eastAsia="zh-CN"/>
              </w:rPr>
              <w:t>0.26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rPr>
            </w:pPr>
          </w:p>
        </w:tc>
      </w:tr>
      <w:tr>
        <w:tblPrEx>
          <w:tblCellMar>
            <w:top w:w="0" w:type="dxa"/>
            <w:left w:w="108" w:type="dxa"/>
            <w:bottom w:w="0" w:type="dxa"/>
            <w:right w:w="108" w:type="dxa"/>
          </w:tblCellMar>
        </w:tblPrEx>
        <w:trPr>
          <w:trHeight w:val="25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kern w:val="0"/>
                <w:sz w:val="20"/>
                <w:lang w:val="en-US" w:eastAsia="zh-CN"/>
              </w:rPr>
              <w:t>0.40</w:t>
            </w:r>
          </w:p>
        </w:tc>
      </w:tr>
      <w:tr>
        <w:tblPrEx>
          <w:tblCellMar>
            <w:top w:w="0" w:type="dxa"/>
            <w:left w:w="108" w:type="dxa"/>
            <w:bottom w:w="0" w:type="dxa"/>
            <w:right w:w="108" w:type="dxa"/>
          </w:tblCellMar>
        </w:tblPrEx>
        <w:trPr>
          <w:trHeight w:val="19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Times New Roman" w:hAnsi="Times New Roman" w:eastAsia="宋体" w:cs="Times New Roman"/>
                <w:kern w:val="0"/>
                <w:sz w:val="20"/>
                <w:lang w:val="en-US" w:eastAsia="zh-CN"/>
              </w:rPr>
            </w:pPr>
            <w:r>
              <w:rPr>
                <w:rFonts w:hint="eastAsia" w:eastAsia="宋体"/>
                <w:kern w:val="0"/>
                <w:sz w:val="20"/>
                <w:lang w:val="en-US" w:eastAsia="zh-CN"/>
              </w:rPr>
              <w:t>0.40</w:t>
            </w:r>
          </w:p>
        </w:tc>
      </w:tr>
    </w:tbl>
    <w:p>
      <w:pPr>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0.10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0.10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widowControl/>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w:t>
      </w:r>
      <w:r>
        <w:rPr>
          <w:rFonts w:hint="eastAsia" w:ascii="Times New Roman" w:hAnsi="Times New Roman" w:cs="Times New Roman"/>
          <w:color w:val="000000"/>
          <w:kern w:val="0"/>
          <w:sz w:val="28"/>
          <w:szCs w:val="28"/>
          <w:lang w:val="en-US" w:eastAsia="zh-CN"/>
        </w:rPr>
        <w:t>政府性基金</w:t>
      </w:r>
      <w:r>
        <w:rPr>
          <w:rFonts w:hint="eastAsia"/>
          <w:color w:val="000000"/>
          <w:kern w:val="0"/>
          <w:sz w:val="28"/>
          <w:szCs w:val="28"/>
          <w:lang w:val="en-US" w:eastAsia="zh-CN"/>
        </w:rPr>
        <w:t>预算拨款预算，故本表无数据。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10"/>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widowControl/>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说明：本单位2025年度无国有资本经营预算，故本表无数据。</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jc w:val="center"/>
        <w:rPr>
          <w:rFonts w:eastAsia="楷体"/>
          <w:kern w:val="0"/>
          <w:szCs w:val="32"/>
        </w:rPr>
      </w:pPr>
    </w:p>
    <w:p>
      <w:pPr>
        <w:rPr>
          <w:rFonts w:eastAsia="楷体"/>
          <w:kern w:val="0"/>
          <w:szCs w:val="32"/>
        </w:rPr>
      </w:pPr>
    </w:p>
    <w:tbl>
      <w:tblPr>
        <w:tblStyle w:val="10"/>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78"/>
        <w:gridCol w:w="600"/>
        <w:gridCol w:w="448"/>
        <w:gridCol w:w="909"/>
        <w:gridCol w:w="750"/>
        <w:gridCol w:w="703"/>
        <w:gridCol w:w="431"/>
        <w:gridCol w:w="510"/>
        <w:gridCol w:w="390"/>
        <w:gridCol w:w="347"/>
        <w:gridCol w:w="413"/>
        <w:gridCol w:w="590"/>
        <w:gridCol w:w="544"/>
        <w:gridCol w:w="385"/>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321"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0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7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4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0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1"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49"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0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26"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09"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val="en-US" w:eastAsia="zh-CN"/>
              </w:rPr>
              <w:t>部门</w:t>
            </w:r>
            <w:r>
              <w:rPr>
                <w:rFonts w:hint="eastAsia" w:ascii="宋体" w:hAnsi="宋体" w:eastAsia="宋体" w:cs="宋体"/>
                <w:color w:val="000000"/>
                <w:sz w:val="20"/>
                <w:szCs w:val="22"/>
                <w:lang w:eastAsia="zh-CN"/>
              </w:rPr>
              <w:t>（单位）名称</w:t>
            </w:r>
          </w:p>
        </w:tc>
        <w:tc>
          <w:tcPr>
            <w:tcW w:w="75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381"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349"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0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78"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48"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909"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64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90"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47"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47"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02"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10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78"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048"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09"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3"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31"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1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9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4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13"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9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44"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5"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17"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06" w:type="dxa"/>
            <w:noWrap w:val="0"/>
            <w:vAlign w:val="center"/>
          </w:tcPr>
          <w:p>
            <w:pPr>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31部门特定目标类项目</w:t>
            </w:r>
          </w:p>
        </w:tc>
        <w:tc>
          <w:tcPr>
            <w:tcW w:w="778" w:type="dxa"/>
            <w:noWrap w:val="0"/>
            <w:vAlign w:val="center"/>
          </w:tcPr>
          <w:p>
            <w:pPr>
              <w:spacing w:line="700" w:lineRule="exact"/>
              <w:jc w:val="center"/>
              <w:rPr>
                <w:rFonts w:ascii="Calibri" w:hAnsi="Calibri" w:eastAsia="楷体"/>
                <w:kern w:val="0"/>
                <w:szCs w:val="32"/>
              </w:rPr>
            </w:pPr>
          </w:p>
        </w:tc>
        <w:tc>
          <w:tcPr>
            <w:tcW w:w="1048" w:type="dxa"/>
            <w:gridSpan w:val="2"/>
            <w:noWrap w:val="0"/>
            <w:vAlign w:val="center"/>
          </w:tcPr>
          <w:p>
            <w:pPr>
              <w:spacing w:line="700" w:lineRule="exact"/>
              <w:jc w:val="center"/>
              <w:rPr>
                <w:rFonts w:ascii="Calibri" w:hAnsi="Calibri" w:eastAsia="楷体"/>
                <w:kern w:val="0"/>
                <w:szCs w:val="32"/>
              </w:rPr>
            </w:pPr>
          </w:p>
        </w:tc>
        <w:tc>
          <w:tcPr>
            <w:tcW w:w="909"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703" w:type="dxa"/>
            <w:noWrap w:val="0"/>
            <w:vAlign w:val="center"/>
          </w:tcPr>
          <w:p>
            <w:pPr>
              <w:widowControl/>
              <w:spacing w:line="240" w:lineRule="auto"/>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431"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47"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590" w:type="dxa"/>
            <w:noWrap w:val="0"/>
            <w:vAlign w:val="center"/>
          </w:tcPr>
          <w:p>
            <w:pPr>
              <w:spacing w:line="700" w:lineRule="exact"/>
              <w:jc w:val="center"/>
              <w:rPr>
                <w:rFonts w:ascii="Calibri" w:hAnsi="Calibri" w:eastAsia="楷体"/>
                <w:kern w:val="0"/>
                <w:szCs w:val="32"/>
              </w:rPr>
            </w:pPr>
          </w:p>
        </w:tc>
        <w:tc>
          <w:tcPr>
            <w:tcW w:w="544" w:type="dxa"/>
            <w:noWrap w:val="0"/>
            <w:vAlign w:val="center"/>
          </w:tcPr>
          <w:p>
            <w:pPr>
              <w:spacing w:line="700" w:lineRule="exact"/>
              <w:jc w:val="center"/>
              <w:rPr>
                <w:rFonts w:ascii="Calibri" w:hAnsi="Calibri" w:eastAsia="楷体"/>
                <w:kern w:val="0"/>
                <w:szCs w:val="32"/>
              </w:rPr>
            </w:pPr>
          </w:p>
        </w:tc>
        <w:tc>
          <w:tcPr>
            <w:tcW w:w="385"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06" w:type="dxa"/>
            <w:noWrap w:val="0"/>
            <w:vAlign w:val="center"/>
          </w:tcPr>
          <w:p>
            <w:pPr>
              <w:spacing w:line="700" w:lineRule="exact"/>
              <w:jc w:val="center"/>
              <w:rPr>
                <w:rFonts w:ascii="Calibri" w:hAnsi="Calibri" w:eastAsia="楷体"/>
                <w:kern w:val="0"/>
                <w:szCs w:val="32"/>
              </w:rPr>
            </w:pPr>
          </w:p>
        </w:tc>
        <w:tc>
          <w:tcPr>
            <w:tcW w:w="778" w:type="dxa"/>
            <w:noWrap w:val="0"/>
            <w:vAlign w:val="center"/>
          </w:tcPr>
          <w:p>
            <w:pPr>
              <w:spacing w:line="240" w:lineRule="auto"/>
              <w:jc w:val="center"/>
              <w:rPr>
                <w:rFonts w:hint="eastAsia" w:ascii="Calibri" w:hAnsi="Calibri" w:eastAsia="楷体"/>
                <w:kern w:val="0"/>
                <w:szCs w:val="32"/>
                <w:lang w:val="en-US" w:eastAsia="zh-CN"/>
              </w:rPr>
            </w:pPr>
            <w:r>
              <w:rPr>
                <w:rFonts w:hint="eastAsia" w:ascii="宋体" w:hAnsi="宋体" w:eastAsia="宋体" w:cs="宋体"/>
                <w:kern w:val="0"/>
                <w:sz w:val="20"/>
                <w:szCs w:val="20"/>
                <w:lang w:val="en-US" w:eastAsia="zh-CN"/>
              </w:rPr>
              <w:t>专项统计业务</w:t>
            </w:r>
          </w:p>
        </w:tc>
        <w:tc>
          <w:tcPr>
            <w:tcW w:w="1048" w:type="dxa"/>
            <w:gridSpan w:val="2"/>
            <w:noWrap w:val="0"/>
            <w:vAlign w:val="center"/>
          </w:tcPr>
          <w:p>
            <w:pPr>
              <w:spacing w:line="700" w:lineRule="exact"/>
              <w:jc w:val="center"/>
              <w:rPr>
                <w:rFonts w:ascii="Calibri" w:hAnsi="Calibri" w:eastAsia="楷体"/>
                <w:kern w:val="0"/>
                <w:szCs w:val="32"/>
              </w:rPr>
            </w:pPr>
          </w:p>
        </w:tc>
        <w:tc>
          <w:tcPr>
            <w:tcW w:w="909"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703" w:type="dxa"/>
            <w:noWrap w:val="0"/>
            <w:vAlign w:val="center"/>
          </w:tcPr>
          <w:p>
            <w:pPr>
              <w:widowControl/>
              <w:spacing w:line="240" w:lineRule="auto"/>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431"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47"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590" w:type="dxa"/>
            <w:noWrap w:val="0"/>
            <w:vAlign w:val="center"/>
          </w:tcPr>
          <w:p>
            <w:pPr>
              <w:spacing w:line="700" w:lineRule="exact"/>
              <w:jc w:val="center"/>
              <w:rPr>
                <w:rFonts w:ascii="Calibri" w:hAnsi="Calibri" w:eastAsia="楷体"/>
                <w:kern w:val="0"/>
                <w:szCs w:val="32"/>
              </w:rPr>
            </w:pPr>
          </w:p>
        </w:tc>
        <w:tc>
          <w:tcPr>
            <w:tcW w:w="544" w:type="dxa"/>
            <w:noWrap w:val="0"/>
            <w:vAlign w:val="center"/>
          </w:tcPr>
          <w:p>
            <w:pPr>
              <w:spacing w:line="700" w:lineRule="exact"/>
              <w:jc w:val="center"/>
              <w:rPr>
                <w:rFonts w:ascii="Calibri" w:hAnsi="Calibri" w:eastAsia="楷体"/>
                <w:kern w:val="0"/>
                <w:szCs w:val="32"/>
              </w:rPr>
            </w:pPr>
          </w:p>
        </w:tc>
        <w:tc>
          <w:tcPr>
            <w:tcW w:w="385"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06" w:type="dxa"/>
            <w:noWrap w:val="0"/>
            <w:vAlign w:val="center"/>
          </w:tcPr>
          <w:p>
            <w:pPr>
              <w:spacing w:line="700" w:lineRule="exact"/>
              <w:jc w:val="center"/>
              <w:rPr>
                <w:rFonts w:ascii="Calibri" w:hAnsi="Calibri" w:eastAsia="楷体"/>
                <w:kern w:val="0"/>
                <w:szCs w:val="32"/>
              </w:rPr>
            </w:pPr>
          </w:p>
        </w:tc>
        <w:tc>
          <w:tcPr>
            <w:tcW w:w="778" w:type="dxa"/>
            <w:noWrap w:val="0"/>
            <w:vAlign w:val="center"/>
          </w:tcPr>
          <w:p>
            <w:pPr>
              <w:spacing w:line="700" w:lineRule="exact"/>
              <w:jc w:val="center"/>
              <w:rPr>
                <w:rFonts w:ascii="Calibri" w:hAnsi="Calibri" w:eastAsia="楷体"/>
                <w:kern w:val="0"/>
                <w:szCs w:val="32"/>
              </w:rPr>
            </w:pPr>
          </w:p>
        </w:tc>
        <w:tc>
          <w:tcPr>
            <w:tcW w:w="1048" w:type="dxa"/>
            <w:gridSpan w:val="2"/>
            <w:noWrap w:val="0"/>
            <w:vAlign w:val="center"/>
          </w:tcPr>
          <w:p>
            <w:pPr>
              <w:spacing w:line="240" w:lineRule="auto"/>
              <w:jc w:val="center"/>
              <w:rPr>
                <w:rFonts w:hint="default" w:ascii="Calibri" w:hAnsi="Calibri" w:eastAsia="楷体"/>
                <w:kern w:val="0"/>
                <w:szCs w:val="32"/>
                <w:lang w:val="en-US" w:eastAsia="zh-CN"/>
              </w:rPr>
            </w:pPr>
            <w:r>
              <w:rPr>
                <w:rFonts w:hint="eastAsia" w:ascii="宋体" w:hAnsi="宋体" w:eastAsia="宋体" w:cs="宋体"/>
                <w:kern w:val="0"/>
                <w:sz w:val="20"/>
                <w:szCs w:val="20"/>
                <w:lang w:val="en-US" w:eastAsia="zh-CN"/>
              </w:rPr>
              <w:t>综合统计业务费</w:t>
            </w:r>
          </w:p>
        </w:tc>
        <w:tc>
          <w:tcPr>
            <w:tcW w:w="909" w:type="dxa"/>
            <w:noWrap w:val="0"/>
            <w:vAlign w:val="center"/>
          </w:tcPr>
          <w:p>
            <w:pPr>
              <w:spacing w:line="240" w:lineRule="auto"/>
              <w:jc w:val="center"/>
              <w:rPr>
                <w:rFonts w:hint="default" w:ascii="Calibri" w:hAnsi="Calibri" w:eastAsia="楷体"/>
                <w:kern w:val="0"/>
                <w:szCs w:val="32"/>
                <w:lang w:val="en-US" w:eastAsia="zh-CN"/>
              </w:rPr>
            </w:pPr>
            <w:r>
              <w:rPr>
                <w:rFonts w:hint="eastAsia" w:ascii="宋体" w:hAnsi="宋体" w:eastAsia="宋体" w:cs="宋体"/>
                <w:kern w:val="0"/>
                <w:sz w:val="20"/>
                <w:szCs w:val="20"/>
                <w:lang w:val="en-US" w:eastAsia="zh-CN"/>
              </w:rPr>
              <w:t>吉林市统计局丰满区分局</w:t>
            </w:r>
          </w:p>
        </w:tc>
        <w:tc>
          <w:tcPr>
            <w:tcW w:w="750"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703" w:type="dxa"/>
            <w:noWrap w:val="0"/>
            <w:vAlign w:val="center"/>
          </w:tcPr>
          <w:p>
            <w:pPr>
              <w:widowControl/>
              <w:spacing w:line="240" w:lineRule="auto"/>
              <w:jc w:val="right"/>
              <w:rPr>
                <w:rFonts w:hint="default" w:ascii="Times New Roman" w:hAnsi="Times New Roman" w:eastAsia="宋体" w:cs="Times New Roman"/>
                <w:color w:val="000000"/>
                <w:kern w:val="0"/>
                <w:sz w:val="20"/>
                <w:lang w:val="en-US" w:eastAsia="zh-CN"/>
              </w:rPr>
            </w:pPr>
            <w:r>
              <w:rPr>
                <w:rFonts w:hint="eastAsia" w:ascii="Times New Roman" w:hAnsi="Times New Roman" w:eastAsia="宋体" w:cs="Times New Roman"/>
                <w:color w:val="000000"/>
                <w:kern w:val="0"/>
                <w:sz w:val="20"/>
                <w:lang w:val="en-US" w:eastAsia="zh-CN"/>
              </w:rPr>
              <w:t>33.99</w:t>
            </w:r>
          </w:p>
        </w:tc>
        <w:tc>
          <w:tcPr>
            <w:tcW w:w="431"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47"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590" w:type="dxa"/>
            <w:noWrap w:val="0"/>
            <w:vAlign w:val="center"/>
          </w:tcPr>
          <w:p>
            <w:pPr>
              <w:spacing w:line="700" w:lineRule="exact"/>
              <w:jc w:val="center"/>
              <w:rPr>
                <w:rFonts w:ascii="Calibri" w:hAnsi="Calibri" w:eastAsia="楷体"/>
                <w:kern w:val="0"/>
                <w:szCs w:val="32"/>
              </w:rPr>
            </w:pPr>
          </w:p>
        </w:tc>
        <w:tc>
          <w:tcPr>
            <w:tcW w:w="544" w:type="dxa"/>
            <w:noWrap w:val="0"/>
            <w:vAlign w:val="center"/>
          </w:tcPr>
          <w:p>
            <w:pPr>
              <w:spacing w:line="700" w:lineRule="exact"/>
              <w:jc w:val="center"/>
              <w:rPr>
                <w:rFonts w:ascii="Calibri" w:hAnsi="Calibri" w:eastAsia="楷体"/>
                <w:kern w:val="0"/>
                <w:szCs w:val="32"/>
              </w:rPr>
            </w:pPr>
          </w:p>
        </w:tc>
        <w:tc>
          <w:tcPr>
            <w:tcW w:w="385"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0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78" w:type="dxa"/>
            <w:noWrap w:val="0"/>
            <w:vAlign w:val="center"/>
          </w:tcPr>
          <w:p>
            <w:pPr>
              <w:autoSpaceDN w:val="0"/>
              <w:jc w:val="center"/>
              <w:textAlignment w:val="center"/>
              <w:rPr>
                <w:rFonts w:ascii="Calibri" w:hAnsi="Calibri" w:eastAsia="华文细黑"/>
                <w:color w:val="000000"/>
                <w:sz w:val="20"/>
                <w:szCs w:val="22"/>
              </w:rPr>
            </w:pPr>
          </w:p>
        </w:tc>
        <w:tc>
          <w:tcPr>
            <w:tcW w:w="1048" w:type="dxa"/>
            <w:gridSpan w:val="2"/>
            <w:noWrap w:val="0"/>
            <w:vAlign w:val="center"/>
          </w:tcPr>
          <w:p>
            <w:pPr>
              <w:spacing w:line="700" w:lineRule="exact"/>
              <w:jc w:val="center"/>
              <w:rPr>
                <w:rFonts w:ascii="Calibri" w:hAnsi="Calibri" w:eastAsia="楷体"/>
                <w:kern w:val="0"/>
                <w:szCs w:val="32"/>
              </w:rPr>
            </w:pPr>
          </w:p>
        </w:tc>
        <w:tc>
          <w:tcPr>
            <w:tcW w:w="909"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spacing w:line="700" w:lineRule="exact"/>
              <w:jc w:val="right"/>
              <w:rPr>
                <w:rFonts w:hint="default" w:ascii="Calibri" w:hAnsi="Calibri" w:eastAsia="楷体"/>
                <w:kern w:val="0"/>
                <w:szCs w:val="32"/>
                <w:lang w:val="en-US" w:eastAsia="zh-CN"/>
              </w:rPr>
            </w:pPr>
            <w:r>
              <w:rPr>
                <w:rFonts w:hint="eastAsia" w:ascii="Times New Roman" w:hAnsi="Times New Roman" w:eastAsia="宋体" w:cs="Times New Roman"/>
                <w:color w:val="000000"/>
                <w:kern w:val="0"/>
                <w:sz w:val="20"/>
                <w:lang w:val="en-US" w:eastAsia="zh-CN"/>
              </w:rPr>
              <w:t>33.99</w:t>
            </w:r>
          </w:p>
        </w:tc>
        <w:tc>
          <w:tcPr>
            <w:tcW w:w="703" w:type="dxa"/>
            <w:noWrap w:val="0"/>
            <w:vAlign w:val="center"/>
          </w:tcPr>
          <w:p>
            <w:pPr>
              <w:spacing w:line="700" w:lineRule="exact"/>
              <w:jc w:val="right"/>
              <w:rPr>
                <w:rFonts w:hint="default" w:ascii="Calibri" w:hAnsi="Calibri" w:eastAsia="楷体"/>
                <w:kern w:val="0"/>
                <w:szCs w:val="32"/>
                <w:lang w:val="en-US" w:eastAsia="zh-CN"/>
              </w:rPr>
            </w:pPr>
            <w:r>
              <w:rPr>
                <w:rFonts w:hint="eastAsia" w:ascii="Times New Roman" w:hAnsi="Times New Roman" w:eastAsia="宋体" w:cs="Times New Roman"/>
                <w:color w:val="000000"/>
                <w:kern w:val="0"/>
                <w:sz w:val="20"/>
                <w:lang w:val="en-US" w:eastAsia="zh-CN"/>
              </w:rPr>
              <w:t>33.99</w:t>
            </w:r>
          </w:p>
        </w:tc>
        <w:tc>
          <w:tcPr>
            <w:tcW w:w="431" w:type="dxa"/>
            <w:noWrap w:val="0"/>
            <w:vAlign w:val="center"/>
          </w:tcPr>
          <w:p>
            <w:pPr>
              <w:spacing w:line="700" w:lineRule="exact"/>
              <w:jc w:val="center"/>
              <w:rPr>
                <w:rFonts w:ascii="Calibri" w:hAnsi="Calibri" w:eastAsia="楷体"/>
                <w:kern w:val="0"/>
                <w:szCs w:val="32"/>
              </w:rPr>
            </w:pPr>
          </w:p>
        </w:tc>
        <w:tc>
          <w:tcPr>
            <w:tcW w:w="510" w:type="dxa"/>
            <w:noWrap w:val="0"/>
            <w:vAlign w:val="center"/>
          </w:tcPr>
          <w:p>
            <w:pPr>
              <w:spacing w:line="700" w:lineRule="exact"/>
              <w:jc w:val="center"/>
              <w:rPr>
                <w:rFonts w:ascii="Calibri" w:hAnsi="Calibri" w:eastAsia="楷体"/>
                <w:kern w:val="0"/>
                <w:szCs w:val="32"/>
              </w:rPr>
            </w:pPr>
          </w:p>
        </w:tc>
        <w:tc>
          <w:tcPr>
            <w:tcW w:w="390" w:type="dxa"/>
            <w:noWrap w:val="0"/>
            <w:vAlign w:val="center"/>
          </w:tcPr>
          <w:p>
            <w:pPr>
              <w:spacing w:line="700" w:lineRule="exact"/>
              <w:jc w:val="center"/>
              <w:rPr>
                <w:rFonts w:ascii="Calibri" w:hAnsi="Calibri" w:eastAsia="楷体"/>
                <w:kern w:val="0"/>
                <w:szCs w:val="32"/>
              </w:rPr>
            </w:pPr>
          </w:p>
        </w:tc>
        <w:tc>
          <w:tcPr>
            <w:tcW w:w="347"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590" w:type="dxa"/>
            <w:noWrap w:val="0"/>
            <w:vAlign w:val="center"/>
          </w:tcPr>
          <w:p>
            <w:pPr>
              <w:spacing w:line="700" w:lineRule="exact"/>
              <w:jc w:val="center"/>
              <w:rPr>
                <w:rFonts w:ascii="Calibri" w:hAnsi="Calibri" w:eastAsia="楷体"/>
                <w:kern w:val="0"/>
                <w:szCs w:val="32"/>
              </w:rPr>
            </w:pPr>
          </w:p>
        </w:tc>
        <w:tc>
          <w:tcPr>
            <w:tcW w:w="544" w:type="dxa"/>
            <w:noWrap w:val="0"/>
            <w:vAlign w:val="center"/>
          </w:tcPr>
          <w:p>
            <w:pPr>
              <w:spacing w:line="700" w:lineRule="exact"/>
              <w:jc w:val="center"/>
              <w:rPr>
                <w:rFonts w:ascii="Calibri" w:hAnsi="Calibri" w:eastAsia="楷体"/>
                <w:kern w:val="0"/>
                <w:szCs w:val="32"/>
              </w:rPr>
            </w:pPr>
          </w:p>
        </w:tc>
        <w:tc>
          <w:tcPr>
            <w:tcW w:w="385" w:type="dxa"/>
            <w:noWrap w:val="0"/>
            <w:vAlign w:val="center"/>
          </w:tcPr>
          <w:p>
            <w:pPr>
              <w:spacing w:line="700" w:lineRule="exact"/>
              <w:jc w:val="center"/>
              <w:rPr>
                <w:rFonts w:ascii="Calibri" w:hAnsi="Calibri" w:eastAsia="楷体"/>
                <w:kern w:val="0"/>
                <w:szCs w:val="32"/>
              </w:rPr>
            </w:pPr>
          </w:p>
        </w:tc>
        <w:tc>
          <w:tcPr>
            <w:tcW w:w="417"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hAnsi="楷体" w:eastAsia="楷体"/>
          <w:lang w:val="en-US" w:eastAsia="zh-CN"/>
        </w:rPr>
      </w:pPr>
      <w:r>
        <w:rPr>
          <w:rFonts w:hint="eastAsia" w:hAnsi="楷体" w:eastAsia="楷体"/>
          <w:lang w:val="en-US" w:eastAsia="zh-CN"/>
        </w:rPr>
        <w:t xml:space="preserve">  </w:t>
      </w: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99"/>
        <w:gridCol w:w="875"/>
        <w:gridCol w:w="2025"/>
        <w:gridCol w:w="647"/>
        <w:gridCol w:w="759"/>
        <w:gridCol w:w="797"/>
        <w:gridCol w:w="1284"/>
        <w:gridCol w:w="1144"/>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3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7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吉林市统计局</w:t>
            </w:r>
            <w:r>
              <w:rPr>
                <w:rFonts w:hint="eastAsia" w:ascii="宋体" w:hAnsi="宋体" w:eastAsia="宋体" w:cs="宋体"/>
                <w:kern w:val="0"/>
                <w:sz w:val="20"/>
                <w:szCs w:val="20"/>
                <w:vertAlign w:val="baseline"/>
                <w:lang w:val="en-US" w:eastAsia="zh-CN"/>
              </w:rPr>
              <w:t>丰满</w:t>
            </w:r>
            <w:r>
              <w:rPr>
                <w:rFonts w:hint="eastAsia" w:ascii="宋体" w:hAnsi="宋体" w:eastAsia="宋体" w:cs="宋体"/>
                <w:kern w:val="0"/>
                <w:sz w:val="20"/>
                <w:szCs w:val="20"/>
                <w:vertAlign w:val="baseline"/>
                <w:lang w:eastAsia="zh-CN"/>
              </w:rPr>
              <w:t>区分局</w:t>
            </w:r>
          </w:p>
        </w:tc>
        <w:tc>
          <w:tcPr>
            <w:tcW w:w="39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综合统计业务费</w:t>
            </w:r>
          </w:p>
        </w:tc>
        <w:tc>
          <w:tcPr>
            <w:tcW w:w="87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33.99</w:t>
            </w:r>
          </w:p>
        </w:tc>
        <w:tc>
          <w:tcPr>
            <w:tcW w:w="202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Theme="minorEastAsia" w:hAnsiTheme="minorEastAsia" w:eastAsiaTheme="minorEastAsia" w:cstheme="minorEastAsia"/>
                <w:kern w:val="0"/>
                <w:sz w:val="20"/>
                <w:szCs w:val="20"/>
                <w:vertAlign w:val="baseline"/>
              </w:rPr>
              <w:t>按照上级统计部门工作要求，组织实施年度统计调查任务，全面、及时、准确地上报各专业统计报表，及时发布统计公报，为社会公众需要和政府决策提供详实统计数据。全年绩效目标：按照国家、省市统计局工作要求及区委区政府统计数据要求，组织实施全年规模以上工业、资质建筑业、限额以上贸易业、重点服务业及人口变动情况抽样调查任务，做好各专业统计数据的审核验收及上报工作，形成经济月刊、运行服务表及统计年鉴，为区委区政府提供经济运行分析预测所需的统计数据，为社会各界提供行业发展所需的统计服务。</w:t>
            </w:r>
          </w:p>
        </w:tc>
        <w:tc>
          <w:tcPr>
            <w:tcW w:w="647" w:type="dxa"/>
            <w:tcBorders>
              <w:top w:val="single" w:color="000000" w:sz="4" w:space="0"/>
              <w:left w:val="single" w:color="000000" w:sz="4" w:space="0"/>
              <w:right w:val="single" w:color="000000" w:sz="4" w:space="0"/>
            </w:tcBorders>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成本指标</w:t>
            </w:r>
          </w:p>
        </w:tc>
        <w:tc>
          <w:tcPr>
            <w:tcW w:w="759" w:type="dxa"/>
            <w:tcBorders>
              <w:top w:val="single" w:color="000000" w:sz="4" w:space="0"/>
              <w:left w:val="single" w:color="000000" w:sz="4" w:space="0"/>
              <w:right w:val="single" w:color="000000" w:sz="4" w:space="0"/>
            </w:tcBorders>
            <w:shd w:val="clear" w:color="auto" w:fill="auto"/>
            <w:noWrap w:val="0"/>
            <w:vAlign w:val="center"/>
          </w:tcPr>
          <w:p>
            <w:pPr>
              <w:spacing w:line="240" w:lineRule="auto"/>
              <w:jc w:val="center"/>
              <w:rPr>
                <w:rFonts w:hint="default"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经济成本指标</w:t>
            </w:r>
          </w:p>
        </w:tc>
        <w:tc>
          <w:tcPr>
            <w:tcW w:w="797" w:type="dxa"/>
            <w:tcBorders>
              <w:top w:val="single" w:color="000000" w:sz="4" w:space="0"/>
              <w:left w:val="single" w:color="000000" w:sz="4" w:space="0"/>
              <w:right w:val="single" w:color="000000" w:sz="4" w:space="0"/>
            </w:tcBorders>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统计年鉴印刷成本费用</w:t>
            </w:r>
          </w:p>
        </w:tc>
        <w:tc>
          <w:tcPr>
            <w:tcW w:w="1284"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kern w:val="0"/>
                <w:sz w:val="20"/>
                <w:szCs w:val="20"/>
                <w:vertAlign w:val="baseline"/>
                <w:lang w:val="en-US" w:eastAsia="zh-CN" w:bidi="ar-SA"/>
              </w:rPr>
            </w:pPr>
            <w:r>
              <w:rPr>
                <w:rFonts w:hint="default" w:asciiTheme="minorEastAsia" w:hAnsiTheme="minorEastAsia" w:eastAsiaTheme="minorEastAsia" w:cstheme="minorEastAsia"/>
                <w:kern w:val="0"/>
                <w:sz w:val="20"/>
                <w:szCs w:val="20"/>
                <w:vertAlign w:val="baseline"/>
                <w:lang w:val="en-US" w:eastAsia="zh-CN"/>
              </w:rPr>
              <w:t>编印统计年鉴印刷成本</w:t>
            </w:r>
            <w:r>
              <w:rPr>
                <w:rFonts w:hint="eastAsia" w:asciiTheme="minorEastAsia" w:hAnsiTheme="minorEastAsia" w:eastAsiaTheme="minorEastAsia" w:cstheme="minorEastAsia"/>
                <w:kern w:val="0"/>
                <w:sz w:val="20"/>
                <w:szCs w:val="20"/>
                <w:vertAlign w:val="baseline"/>
                <w:lang w:val="en-US" w:eastAsia="zh-CN"/>
              </w:rPr>
              <w:t xml:space="preserve">   </w:t>
            </w:r>
            <w:r>
              <w:rPr>
                <w:rFonts w:hint="default" w:asciiTheme="minorEastAsia" w:hAnsiTheme="minorEastAsia" w:eastAsiaTheme="minorEastAsia" w:cstheme="minorEastAsia"/>
                <w:kern w:val="0"/>
                <w:sz w:val="20"/>
                <w:szCs w:val="20"/>
                <w:vertAlign w:val="baseline"/>
                <w:lang w:val="en-US" w:eastAsia="zh-CN"/>
              </w:rPr>
              <w:t>费用</w:t>
            </w:r>
          </w:p>
        </w:tc>
        <w:tc>
          <w:tcPr>
            <w:tcW w:w="1144"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i w:val="0"/>
                <w:iCs w:val="0"/>
                <w:color w:val="000000"/>
                <w:kern w:val="0"/>
                <w:sz w:val="20"/>
                <w:szCs w:val="20"/>
                <w:u w:val="none"/>
                <w:lang w:val="en-US" w:eastAsia="zh-CN" w:bidi="ar"/>
              </w:rPr>
              <w:t>2.2万元</w:t>
            </w:r>
          </w:p>
        </w:tc>
        <w:tc>
          <w:tcPr>
            <w:tcW w:w="534" w:type="dxa"/>
            <w:tcBorders>
              <w:top w:val="single" w:color="000000" w:sz="4" w:space="0"/>
              <w:left w:val="single" w:color="000000" w:sz="4" w:space="0"/>
              <w:right w:val="single" w:color="000000" w:sz="4" w:space="0"/>
            </w:tcBorders>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7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87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20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7" w:type="dxa"/>
            <w:vMerge w:val="restart"/>
            <w:tcBorders>
              <w:left w:val="single" w:color="000000" w:sz="4" w:space="0"/>
              <w:right w:val="single" w:color="000000" w:sz="4" w:space="0"/>
            </w:tcBorders>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产出</w:t>
            </w:r>
            <w:r>
              <w:rPr>
                <w:rFonts w:hint="eastAsia" w:asciiTheme="minorEastAsia" w:hAnsiTheme="minorEastAsia" w:eastAsiaTheme="minorEastAsia" w:cstheme="minorEastAsia"/>
                <w:kern w:val="0"/>
                <w:sz w:val="20"/>
                <w:szCs w:val="20"/>
                <w:vertAlign w:val="baseline"/>
                <w:lang w:eastAsia="zh-CN"/>
              </w:rPr>
              <w:t>指标</w:t>
            </w:r>
          </w:p>
          <w:p>
            <w:pPr>
              <w:spacing w:line="240" w:lineRule="auto"/>
              <w:jc w:val="center"/>
              <w:rPr>
                <w:rFonts w:hint="eastAsia" w:ascii="宋体" w:hAnsi="宋体" w:eastAsia="宋体" w:cs="宋体"/>
                <w:kern w:val="0"/>
                <w:sz w:val="20"/>
                <w:szCs w:val="20"/>
                <w:vertAlign w:val="baseline"/>
                <w:lang w:val="en-US" w:eastAsia="zh-CN" w:bidi="ar-SA"/>
              </w:rPr>
            </w:pPr>
          </w:p>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759"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eastAsia="zh-CN"/>
              </w:rPr>
              <w:t>数量指标</w:t>
            </w:r>
          </w:p>
        </w:tc>
        <w:tc>
          <w:tcPr>
            <w:tcW w:w="797"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统计培训人次</w:t>
            </w:r>
          </w:p>
        </w:tc>
        <w:tc>
          <w:tcPr>
            <w:tcW w:w="1284" w:type="dxa"/>
            <w:shd w:val="clear" w:color="auto" w:fill="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反应统计培训人次情况</w:t>
            </w:r>
          </w:p>
        </w:tc>
        <w:tc>
          <w:tcPr>
            <w:tcW w:w="1144"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kern w:val="0"/>
                <w:sz w:val="20"/>
                <w:szCs w:val="20"/>
                <w:vertAlign w:val="baseline"/>
                <w:lang w:val="en-US" w:eastAsia="zh-CN"/>
              </w:rPr>
              <w:t>200人</w:t>
            </w:r>
          </w:p>
        </w:tc>
        <w:tc>
          <w:tcPr>
            <w:tcW w:w="534"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477"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399"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87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2025" w:type="dxa"/>
            <w:vMerge w:val="continue"/>
            <w:tcBorders>
              <w:left w:val="single" w:color="000000" w:sz="4" w:space="0"/>
              <w:right w:val="single" w:color="000000" w:sz="4" w:space="0"/>
            </w:tcBorders>
            <w:noWrap w:val="0"/>
            <w:vAlign w:val="center"/>
          </w:tcPr>
          <w:p>
            <w:pPr>
              <w:spacing w:line="240" w:lineRule="auto"/>
              <w:jc w:val="center"/>
              <w:rPr>
                <w:szCs w:val="22"/>
              </w:rPr>
            </w:pPr>
          </w:p>
        </w:tc>
        <w:tc>
          <w:tcPr>
            <w:tcW w:w="647" w:type="dxa"/>
            <w:vMerge w:val="continue"/>
            <w:tcBorders>
              <w:left w:val="single" w:color="000000" w:sz="4" w:space="0"/>
              <w:right w:val="single" w:color="000000" w:sz="4" w:space="0"/>
            </w:tcBorders>
            <w:shd w:val="clear" w:color="auto" w:fill="auto"/>
            <w:noWrap w:val="0"/>
            <w:vAlign w:val="center"/>
          </w:tcPr>
          <w:p>
            <w:pPr>
              <w:spacing w:line="240" w:lineRule="auto"/>
              <w:jc w:val="center"/>
              <w:rPr>
                <w:szCs w:val="22"/>
              </w:rPr>
            </w:pPr>
          </w:p>
        </w:tc>
        <w:tc>
          <w:tcPr>
            <w:tcW w:w="759"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eastAsia="zh-CN"/>
              </w:rPr>
              <w:t>数量指标</w:t>
            </w:r>
          </w:p>
        </w:tc>
        <w:tc>
          <w:tcPr>
            <w:tcW w:w="797"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发布各类统计数据</w:t>
            </w:r>
          </w:p>
        </w:tc>
        <w:tc>
          <w:tcPr>
            <w:tcW w:w="1284"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default" w:asciiTheme="minorEastAsia" w:hAnsiTheme="minorEastAsia" w:eastAsiaTheme="minorEastAsia" w:cstheme="minorEastAsia"/>
                <w:kern w:val="0"/>
                <w:sz w:val="20"/>
                <w:szCs w:val="20"/>
                <w:vertAlign w:val="baseline"/>
                <w:lang w:val="en-US" w:eastAsia="zh-CN"/>
              </w:rPr>
              <w:t>从2月开始每月发布统计月报</w:t>
            </w:r>
          </w:p>
        </w:tc>
        <w:tc>
          <w:tcPr>
            <w:tcW w:w="114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i w:val="0"/>
                <w:iCs w:val="0"/>
                <w:color w:val="000000"/>
                <w:kern w:val="0"/>
                <w:sz w:val="20"/>
                <w:szCs w:val="20"/>
                <w:u w:val="none"/>
                <w:lang w:val="en-US" w:eastAsia="zh-CN" w:bidi="ar"/>
              </w:rPr>
              <w:t>10册</w:t>
            </w:r>
          </w:p>
        </w:tc>
        <w:tc>
          <w:tcPr>
            <w:tcW w:w="534"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39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8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202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647" w:type="dxa"/>
            <w:vMerge w:val="continue"/>
            <w:tcBorders>
              <w:left w:val="single" w:color="000000" w:sz="4" w:space="0"/>
              <w:right w:val="single" w:color="000000" w:sz="4" w:space="0"/>
            </w:tcBorders>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759"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数量</w:t>
            </w:r>
            <w:r>
              <w:rPr>
                <w:rFonts w:hint="eastAsia" w:asciiTheme="minorEastAsia" w:hAnsiTheme="minorEastAsia" w:eastAsiaTheme="minorEastAsia" w:cstheme="minorEastAsia"/>
                <w:kern w:val="0"/>
                <w:sz w:val="20"/>
                <w:szCs w:val="20"/>
                <w:vertAlign w:val="baseline"/>
                <w:lang w:eastAsia="zh-CN"/>
              </w:rPr>
              <w:t>指标</w:t>
            </w:r>
          </w:p>
        </w:tc>
        <w:tc>
          <w:tcPr>
            <w:tcW w:w="797"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统计专报篇数</w:t>
            </w:r>
          </w:p>
        </w:tc>
        <w:tc>
          <w:tcPr>
            <w:tcW w:w="1284"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default" w:asciiTheme="minorEastAsia" w:hAnsiTheme="minorEastAsia" w:eastAsiaTheme="minorEastAsia" w:cstheme="minorEastAsia"/>
                <w:kern w:val="0"/>
                <w:sz w:val="20"/>
                <w:szCs w:val="20"/>
                <w:vertAlign w:val="baseline"/>
                <w:lang w:val="en-US" w:eastAsia="zh-CN"/>
              </w:rPr>
              <w:t>反映统计专报篇数情况</w:t>
            </w:r>
          </w:p>
        </w:tc>
        <w:tc>
          <w:tcPr>
            <w:tcW w:w="1144"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kern w:val="0"/>
                <w:sz w:val="20"/>
                <w:szCs w:val="20"/>
                <w:vertAlign w:val="baseline"/>
                <w:lang w:val="en-US" w:eastAsia="zh-CN"/>
              </w:rPr>
              <w:t>4篇</w:t>
            </w:r>
          </w:p>
        </w:tc>
        <w:tc>
          <w:tcPr>
            <w:tcW w:w="534"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77"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399"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87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2025"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647" w:type="dxa"/>
            <w:vMerge w:val="continue"/>
            <w:tcBorders>
              <w:left w:val="single" w:color="000000" w:sz="4" w:space="0"/>
              <w:right w:val="single" w:color="000000" w:sz="4" w:space="0"/>
            </w:tcBorders>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p>
        </w:tc>
        <w:tc>
          <w:tcPr>
            <w:tcW w:w="759"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数量</w:t>
            </w:r>
            <w:r>
              <w:rPr>
                <w:rFonts w:hint="eastAsia" w:asciiTheme="minorEastAsia" w:hAnsiTheme="minorEastAsia" w:eastAsiaTheme="minorEastAsia" w:cstheme="minorEastAsia"/>
                <w:kern w:val="0"/>
                <w:sz w:val="20"/>
                <w:szCs w:val="20"/>
                <w:vertAlign w:val="baseline"/>
                <w:lang w:eastAsia="zh-CN"/>
              </w:rPr>
              <w:t>指标</w:t>
            </w:r>
          </w:p>
        </w:tc>
        <w:tc>
          <w:tcPr>
            <w:tcW w:w="797" w:type="dxa"/>
            <w:shd w:val="clear" w:color="auto" w:fill="FFFFFF"/>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编印年鉴数</w:t>
            </w:r>
          </w:p>
        </w:tc>
        <w:tc>
          <w:tcPr>
            <w:tcW w:w="1284"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default" w:asciiTheme="minorEastAsia" w:hAnsiTheme="minorEastAsia" w:eastAsiaTheme="minorEastAsia" w:cstheme="minorEastAsia"/>
                <w:kern w:val="0"/>
                <w:sz w:val="20"/>
                <w:szCs w:val="20"/>
                <w:vertAlign w:val="baseline"/>
                <w:lang w:val="en-US" w:eastAsia="zh-CN"/>
              </w:rPr>
              <w:t>反映编印年鉴数量</w:t>
            </w:r>
          </w:p>
        </w:tc>
        <w:tc>
          <w:tcPr>
            <w:tcW w:w="114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kern w:val="0"/>
                <w:sz w:val="20"/>
                <w:szCs w:val="20"/>
                <w:vertAlign w:val="baseline"/>
                <w:lang w:val="en-US" w:eastAsia="zh-CN"/>
              </w:rPr>
              <w:t>1册</w:t>
            </w:r>
          </w:p>
        </w:tc>
        <w:tc>
          <w:tcPr>
            <w:tcW w:w="534"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47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87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202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7"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效益指标</w:t>
            </w:r>
          </w:p>
        </w:tc>
        <w:tc>
          <w:tcPr>
            <w:tcW w:w="759" w:type="dxa"/>
            <w:shd w:val="clear" w:color="auto" w:fill="auto"/>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社会效益指标</w:t>
            </w:r>
          </w:p>
        </w:tc>
        <w:tc>
          <w:tcPr>
            <w:tcW w:w="797" w:type="dxa"/>
            <w:shd w:val="clear" w:color="auto" w:fill="FFFFFF"/>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Theme="minorEastAsia" w:hAnsiTheme="minorEastAsia" w:eastAsiaTheme="minorEastAsia" w:cstheme="minorEastAsia"/>
                <w:kern w:val="0"/>
                <w:sz w:val="20"/>
                <w:szCs w:val="20"/>
                <w:vertAlign w:val="baseline"/>
                <w:lang w:val="en-US" w:eastAsia="zh-CN"/>
              </w:rPr>
              <w:t>向社会公众提供统计公报</w:t>
            </w:r>
          </w:p>
        </w:tc>
        <w:tc>
          <w:tcPr>
            <w:tcW w:w="128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bidi="ar-SA"/>
              </w:rPr>
            </w:pPr>
            <w:r>
              <w:rPr>
                <w:rFonts w:hint="default" w:asciiTheme="minorEastAsia" w:hAnsiTheme="minorEastAsia" w:eastAsiaTheme="minorEastAsia" w:cstheme="minorEastAsia"/>
                <w:kern w:val="0"/>
                <w:sz w:val="20"/>
                <w:szCs w:val="20"/>
                <w:vertAlign w:val="baseline"/>
                <w:lang w:val="en-US" w:eastAsia="zh-CN"/>
              </w:rPr>
              <w:t>向社会公众提供统计公报</w:t>
            </w:r>
            <w:r>
              <w:rPr>
                <w:rFonts w:hint="eastAsia" w:asciiTheme="minorEastAsia" w:hAnsiTheme="minorEastAsia" w:eastAsiaTheme="minorEastAsia" w:cstheme="minorEastAsia"/>
                <w:kern w:val="0"/>
                <w:sz w:val="20"/>
                <w:szCs w:val="20"/>
                <w:vertAlign w:val="baseline"/>
                <w:lang w:val="en-US" w:eastAsia="zh-CN"/>
              </w:rPr>
              <w:t>篇数</w:t>
            </w:r>
          </w:p>
        </w:tc>
        <w:tc>
          <w:tcPr>
            <w:tcW w:w="114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bidi="ar-SA"/>
              </w:rPr>
            </w:pPr>
            <w:r>
              <w:rPr>
                <w:rFonts w:hint="eastAsia" w:ascii="微软雅黑" w:hAnsi="微软雅黑" w:eastAsia="微软雅黑" w:cs="微软雅黑"/>
                <w:kern w:val="0"/>
                <w:sz w:val="20"/>
                <w:szCs w:val="20"/>
                <w:vertAlign w:val="baseline"/>
                <w:lang w:val="en-US" w:eastAsia="zh-CN"/>
              </w:rPr>
              <w:t>＝</w:t>
            </w:r>
            <w:r>
              <w:rPr>
                <w:rFonts w:hint="eastAsia" w:ascii="宋体" w:hAnsi="宋体" w:eastAsia="宋体" w:cs="宋体"/>
                <w:i w:val="0"/>
                <w:iCs w:val="0"/>
                <w:color w:val="000000"/>
                <w:kern w:val="0"/>
                <w:sz w:val="20"/>
                <w:szCs w:val="20"/>
                <w:u w:val="none"/>
                <w:lang w:val="en-US" w:eastAsia="zh-CN" w:bidi="ar"/>
              </w:rPr>
              <w:t>1篇</w:t>
            </w:r>
          </w:p>
        </w:tc>
        <w:tc>
          <w:tcPr>
            <w:tcW w:w="534" w:type="dxa"/>
            <w:shd w:val="clear" w:color="auto" w:fill="auto"/>
            <w:noWrap w:val="0"/>
            <w:vAlign w:val="center"/>
          </w:tcPr>
          <w:p>
            <w:pPr>
              <w:spacing w:line="240" w:lineRule="auto"/>
              <w:jc w:val="center"/>
              <w:rPr>
                <w:rFonts w:hint="eastAsia" w:ascii="宋体" w:hAnsi="宋体" w:eastAsia="宋体" w:cs="宋体"/>
                <w:kern w:val="0"/>
                <w:sz w:val="20"/>
                <w:szCs w:val="20"/>
                <w:vertAlign w:val="baseline"/>
                <w:lang w:val="en-US" w:eastAsia="zh-CN" w:bidi="ar-SA"/>
              </w:rPr>
            </w:pPr>
            <w:r>
              <w:rPr>
                <w:rFonts w:hint="eastAsia" w:asciiTheme="minorEastAsia" w:hAnsiTheme="minorEastAsia" w:eastAsiaTheme="minorEastAsia" w:cstheme="minorEastAsia"/>
                <w:kern w:val="0"/>
                <w:sz w:val="20"/>
                <w:szCs w:val="20"/>
                <w:vertAlign w:val="baseline"/>
                <w:lang w:val="en-US" w:eastAsia="zh-CN"/>
              </w:rPr>
              <w:t>30</w:t>
            </w:r>
          </w:p>
        </w:tc>
      </w:tr>
    </w:tbl>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rPr>
          <w:rFonts w:hint="eastAsia" w:hAnsi="楷体" w:eastAsia="楷体"/>
          <w:lang w:val="en-US" w:eastAsia="zh-CN"/>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rFonts w:hint="default"/>
          <w:color w:val="auto"/>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w:t>
      </w:r>
      <w:r>
        <w:rPr>
          <w:rFonts w:hint="eastAsia"/>
          <w:szCs w:val="32"/>
          <w:lang w:eastAsia="zh-CN"/>
        </w:rPr>
        <w:t>等</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155.34</w:t>
      </w:r>
      <w:r>
        <w:rPr>
          <w:szCs w:val="32"/>
        </w:rPr>
        <w:t>万元</w:t>
      </w:r>
      <w:r>
        <w:rPr>
          <w:rFonts w:hint="eastAsia"/>
          <w:szCs w:val="32"/>
          <w:lang w:eastAsia="zh-CN"/>
        </w:rPr>
        <w:t>，其中：本年预算</w:t>
      </w:r>
      <w:r>
        <w:rPr>
          <w:rFonts w:hint="eastAsia"/>
          <w:szCs w:val="32"/>
          <w:lang w:val="en-US" w:eastAsia="zh-CN"/>
        </w:rPr>
        <w:t>155.34</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36.53</w:t>
      </w:r>
      <w:r>
        <w:rPr>
          <w:szCs w:val="32"/>
        </w:rPr>
        <w:t>万元，主要原因</w:t>
      </w:r>
      <w:r>
        <w:rPr>
          <w:rFonts w:hint="eastAsia"/>
          <w:szCs w:val="32"/>
          <w:lang w:val="en-US" w:eastAsia="zh-CN"/>
        </w:rPr>
        <w:t>一</w:t>
      </w:r>
      <w:r>
        <w:rPr>
          <w:szCs w:val="32"/>
        </w:rPr>
        <w:t>是</w:t>
      </w:r>
      <w:r>
        <w:rPr>
          <w:rFonts w:hint="eastAsia"/>
          <w:szCs w:val="32"/>
          <w:lang w:val="en-US" w:eastAsia="zh-CN"/>
        </w:rPr>
        <w:t>本单位人员减少，相应预算经费减少</w:t>
      </w:r>
      <w:r>
        <w:rPr>
          <w:rFonts w:hint="eastAsia"/>
          <w:color w:val="auto"/>
          <w:szCs w:val="32"/>
          <w:lang w:val="en-US" w:eastAsia="zh-CN"/>
        </w:rPr>
        <w:t>；二是上年度为</w:t>
      </w:r>
      <w:r>
        <w:rPr>
          <w:rFonts w:hint="eastAsia"/>
          <w:color w:val="auto"/>
          <w:szCs w:val="32"/>
          <w:lang w:eastAsia="zh-CN"/>
        </w:rPr>
        <w:t>普查年份，</w:t>
      </w:r>
      <w:r>
        <w:rPr>
          <w:rFonts w:hint="eastAsia"/>
          <w:color w:val="auto"/>
          <w:szCs w:val="32"/>
          <w:lang w:val="en-US" w:eastAsia="zh-CN"/>
        </w:rPr>
        <w:t>含普查项目预算，本年度无该项目预算，致使本年预算较2024年减少。</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rFonts w:hint="eastAsia" w:eastAsia="仿宋_GB2312"/>
          <w:szCs w:val="30"/>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155.34</w:t>
      </w:r>
      <w:r>
        <w:rPr>
          <w:szCs w:val="32"/>
        </w:rPr>
        <w:t>万元，其中：本年收入</w:t>
      </w:r>
      <w:r>
        <w:rPr>
          <w:rFonts w:hint="eastAsia"/>
          <w:szCs w:val="32"/>
          <w:lang w:val="en-US" w:eastAsia="zh-CN"/>
        </w:rPr>
        <w:t>155.34</w:t>
      </w:r>
      <w:r>
        <w:rPr>
          <w:szCs w:val="32"/>
        </w:rPr>
        <w:t>万元，占</w:t>
      </w:r>
      <w:r>
        <w:rPr>
          <w:rFonts w:hint="eastAsia"/>
          <w:szCs w:val="32"/>
          <w:lang w:val="en-US" w:eastAsia="zh-CN"/>
        </w:rPr>
        <w:t>100</w:t>
      </w:r>
      <w:r>
        <w:rPr>
          <w:szCs w:val="32"/>
        </w:rPr>
        <w:t>%</w:t>
      </w:r>
      <w:r>
        <w:rPr>
          <w:rFonts w:hint="eastAsia"/>
          <w:szCs w:val="32"/>
          <w:lang w:eastAsia="zh-CN"/>
        </w:rPr>
        <w:t>；</w:t>
      </w:r>
      <w:r>
        <w:rPr>
          <w:rFonts w:hint="eastAsia"/>
          <w:szCs w:val="32"/>
          <w:lang w:val="en-US" w:eastAsia="zh-CN"/>
        </w:rPr>
        <w:t>上年结转结余0万元。</w:t>
      </w:r>
      <w:r>
        <w:rPr>
          <w:szCs w:val="32"/>
        </w:rPr>
        <w:t>本年收入中，一般公共预算拨款收入</w:t>
      </w:r>
      <w:r>
        <w:rPr>
          <w:rFonts w:hint="eastAsia"/>
          <w:szCs w:val="32"/>
          <w:lang w:val="en-US" w:eastAsia="zh-CN"/>
        </w:rPr>
        <w:t>155.34</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155.34</w:t>
      </w:r>
      <w:r>
        <w:rPr>
          <w:szCs w:val="32"/>
        </w:rPr>
        <w:t>万元，其中：基本支出</w:t>
      </w:r>
      <w:r>
        <w:rPr>
          <w:rFonts w:hint="eastAsia"/>
          <w:szCs w:val="32"/>
          <w:lang w:val="en-US" w:eastAsia="zh-CN"/>
        </w:rPr>
        <w:t>121.35</w:t>
      </w:r>
      <w:r>
        <w:rPr>
          <w:szCs w:val="32"/>
        </w:rPr>
        <w:t>万元，占</w:t>
      </w:r>
      <w:r>
        <w:rPr>
          <w:rFonts w:hint="eastAsia"/>
          <w:szCs w:val="32"/>
          <w:lang w:val="en-US" w:eastAsia="zh-CN"/>
        </w:rPr>
        <w:t>78.1</w:t>
      </w:r>
      <w:r>
        <w:rPr>
          <w:szCs w:val="32"/>
        </w:rPr>
        <w:t>%；项目支出</w:t>
      </w:r>
      <w:r>
        <w:rPr>
          <w:rFonts w:hint="eastAsia"/>
          <w:szCs w:val="32"/>
          <w:lang w:val="en-US" w:eastAsia="zh-CN"/>
        </w:rPr>
        <w:t>33.99</w:t>
      </w:r>
      <w:r>
        <w:rPr>
          <w:szCs w:val="32"/>
        </w:rPr>
        <w:t>万元，占</w:t>
      </w:r>
      <w:r>
        <w:rPr>
          <w:rFonts w:hint="eastAsia"/>
          <w:szCs w:val="32"/>
          <w:lang w:val="en-US" w:eastAsia="zh-CN"/>
        </w:rPr>
        <w:t>21.9</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155.34</w:t>
      </w:r>
      <w:r>
        <w:rPr>
          <w:szCs w:val="32"/>
        </w:rPr>
        <w:t>万元，其中：</w:t>
      </w:r>
      <w:r>
        <w:rPr>
          <w:rFonts w:hint="eastAsia"/>
          <w:szCs w:val="32"/>
        </w:rPr>
        <w:t>本年</w:t>
      </w:r>
      <w:r>
        <w:rPr>
          <w:rFonts w:hint="eastAsia"/>
          <w:szCs w:val="32"/>
          <w:lang w:eastAsia="zh-CN"/>
        </w:rPr>
        <w:t>预算</w:t>
      </w:r>
      <w:r>
        <w:rPr>
          <w:rFonts w:hint="eastAsia"/>
          <w:szCs w:val="32"/>
          <w:lang w:val="en-US" w:eastAsia="zh-CN"/>
        </w:rPr>
        <w:t>155.34</w:t>
      </w:r>
      <w:r>
        <w:rPr>
          <w:szCs w:val="32"/>
        </w:rPr>
        <w:t>万元</w:t>
      </w:r>
      <w:r>
        <w:rPr>
          <w:rFonts w:hint="eastAsia"/>
          <w:szCs w:val="32"/>
        </w:rPr>
        <w:t>。</w:t>
      </w:r>
      <w:r>
        <w:rPr>
          <w:szCs w:val="32"/>
        </w:rPr>
        <w:t>支出包括：</w:t>
      </w:r>
      <w:r>
        <w:rPr>
          <w:kern w:val="0"/>
          <w:szCs w:val="32"/>
        </w:rPr>
        <w:t>一般公共服务支出</w:t>
      </w:r>
      <w:r>
        <w:rPr>
          <w:rFonts w:hint="eastAsia"/>
          <w:kern w:val="0"/>
          <w:szCs w:val="32"/>
          <w:lang w:val="en-US" w:eastAsia="zh-CN"/>
        </w:rPr>
        <w:t>104.06</w:t>
      </w:r>
      <w:r>
        <w:rPr>
          <w:szCs w:val="32"/>
        </w:rPr>
        <w:t>万元，</w:t>
      </w:r>
      <w:r>
        <w:rPr>
          <w:kern w:val="0"/>
          <w:szCs w:val="32"/>
        </w:rPr>
        <w:t>社会保障和就业支出</w:t>
      </w:r>
      <w:r>
        <w:rPr>
          <w:rFonts w:hint="eastAsia"/>
          <w:kern w:val="0"/>
          <w:szCs w:val="32"/>
          <w:lang w:val="en-US" w:eastAsia="zh-CN"/>
        </w:rPr>
        <w:t>35.29</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9.04</w:t>
      </w:r>
      <w:r>
        <w:rPr>
          <w:szCs w:val="32"/>
        </w:rPr>
        <w:t>万元，</w:t>
      </w:r>
      <w:r>
        <w:rPr>
          <w:kern w:val="0"/>
          <w:szCs w:val="32"/>
        </w:rPr>
        <w:t>住房保障支出</w:t>
      </w:r>
      <w:r>
        <w:rPr>
          <w:rFonts w:hint="eastAsia"/>
          <w:kern w:val="0"/>
          <w:szCs w:val="32"/>
          <w:lang w:val="en-US" w:eastAsia="zh-CN"/>
        </w:rPr>
        <w:t>6.95</w:t>
      </w:r>
      <w:r>
        <w:rPr>
          <w:szCs w:val="32"/>
        </w:rPr>
        <w:t>万元</w:t>
      </w:r>
      <w:r>
        <w:rPr>
          <w:rFonts w:hint="eastAsia"/>
          <w:szCs w:val="32"/>
          <w:lang w:eastAsia="zh-CN"/>
        </w:rPr>
        <w:t>。</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155.34</w:t>
      </w:r>
      <w:r>
        <w:rPr>
          <w:szCs w:val="32"/>
        </w:rPr>
        <w:t>万元，其中：基本支出</w:t>
      </w:r>
      <w:r>
        <w:rPr>
          <w:rFonts w:hint="eastAsia"/>
          <w:szCs w:val="32"/>
          <w:lang w:val="en-US" w:eastAsia="zh-CN"/>
        </w:rPr>
        <w:t>121.35</w:t>
      </w:r>
      <w:r>
        <w:rPr>
          <w:szCs w:val="32"/>
        </w:rPr>
        <w:t>万元，占</w:t>
      </w:r>
      <w:r>
        <w:rPr>
          <w:rFonts w:hint="eastAsia"/>
          <w:szCs w:val="32"/>
          <w:lang w:val="en-US" w:eastAsia="zh-CN"/>
        </w:rPr>
        <w:t>78.1</w:t>
      </w:r>
      <w:r>
        <w:rPr>
          <w:szCs w:val="32"/>
        </w:rPr>
        <w:t>%；项目支出</w:t>
      </w:r>
      <w:r>
        <w:rPr>
          <w:rFonts w:hint="eastAsia"/>
          <w:szCs w:val="32"/>
          <w:lang w:val="en-US" w:eastAsia="zh-CN"/>
        </w:rPr>
        <w:t>33.99</w:t>
      </w:r>
      <w:r>
        <w:rPr>
          <w:szCs w:val="32"/>
        </w:rPr>
        <w:t>万元，占</w:t>
      </w:r>
      <w:r>
        <w:rPr>
          <w:rFonts w:hint="eastAsia"/>
          <w:szCs w:val="32"/>
          <w:lang w:val="en-US" w:eastAsia="zh-CN"/>
        </w:rPr>
        <w:t>21.9</w:t>
      </w:r>
      <w:r>
        <w:rPr>
          <w:szCs w:val="32"/>
        </w:rPr>
        <w:t>%。基本支出中，人员经费</w:t>
      </w:r>
      <w:r>
        <w:rPr>
          <w:rFonts w:hint="eastAsia"/>
          <w:szCs w:val="32"/>
          <w:lang w:val="en-US" w:eastAsia="zh-CN"/>
        </w:rPr>
        <w:t>106.70</w:t>
      </w:r>
      <w:r>
        <w:rPr>
          <w:szCs w:val="32"/>
        </w:rPr>
        <w:t>万元，占</w:t>
      </w:r>
      <w:r>
        <w:rPr>
          <w:rFonts w:hint="eastAsia"/>
          <w:szCs w:val="32"/>
          <w:lang w:val="en-US" w:eastAsia="zh-CN"/>
        </w:rPr>
        <w:t>87.9</w:t>
      </w:r>
      <w:r>
        <w:rPr>
          <w:szCs w:val="32"/>
        </w:rPr>
        <w:t>%；公用经费</w:t>
      </w:r>
      <w:r>
        <w:rPr>
          <w:rFonts w:hint="eastAsia"/>
          <w:szCs w:val="32"/>
          <w:lang w:val="en-US" w:eastAsia="zh-CN"/>
        </w:rPr>
        <w:t>14.65</w:t>
      </w:r>
      <w:r>
        <w:rPr>
          <w:szCs w:val="32"/>
        </w:rPr>
        <w:t>万元，占</w:t>
      </w:r>
      <w:r>
        <w:rPr>
          <w:rFonts w:hint="eastAsia"/>
          <w:szCs w:val="32"/>
          <w:lang w:val="en-US" w:eastAsia="zh-CN"/>
        </w:rPr>
        <w:t>12.1</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104.06</w:t>
      </w:r>
      <w:r>
        <w:rPr>
          <w:szCs w:val="32"/>
        </w:rPr>
        <w:t>万元，占</w:t>
      </w:r>
      <w:r>
        <w:rPr>
          <w:rFonts w:hint="eastAsia"/>
          <w:szCs w:val="32"/>
          <w:lang w:val="en-US" w:eastAsia="zh-CN"/>
        </w:rPr>
        <w:t>67</w:t>
      </w:r>
      <w:r>
        <w:rPr>
          <w:szCs w:val="32"/>
        </w:rPr>
        <w:t>%，主要用于</w:t>
      </w:r>
      <w:r>
        <w:rPr>
          <w:rFonts w:hint="eastAsia"/>
          <w:szCs w:val="32"/>
          <w:lang w:val="en-US" w:eastAsia="zh-CN"/>
        </w:rPr>
        <w:t>保障本单位人员工资发放和机关运行正常开展</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35.29</w:t>
      </w:r>
      <w:r>
        <w:rPr>
          <w:szCs w:val="32"/>
        </w:rPr>
        <w:t>万元，占</w:t>
      </w:r>
      <w:r>
        <w:rPr>
          <w:rFonts w:hint="eastAsia"/>
          <w:szCs w:val="32"/>
          <w:lang w:val="en-US" w:eastAsia="zh-CN"/>
        </w:rPr>
        <w:t>22.7</w:t>
      </w:r>
      <w:r>
        <w:rPr>
          <w:szCs w:val="32"/>
        </w:rPr>
        <w:t>%，主要用于</w:t>
      </w:r>
      <w:r>
        <w:rPr>
          <w:rFonts w:ascii="仿宋" w:hAnsi="仿宋" w:eastAsia="仿宋" w:cs="仿宋"/>
          <w:color w:val="000000"/>
          <w:kern w:val="0"/>
          <w:sz w:val="31"/>
          <w:szCs w:val="31"/>
          <w:lang w:val="en-US" w:eastAsia="zh-CN" w:bidi="ar"/>
        </w:rPr>
        <w:t>保障退休职工</w:t>
      </w:r>
      <w:r>
        <w:rPr>
          <w:rFonts w:hint="eastAsia" w:ascii="仿宋" w:hAnsi="仿宋" w:eastAsia="仿宋" w:cs="仿宋"/>
          <w:color w:val="000000"/>
          <w:kern w:val="0"/>
          <w:sz w:val="31"/>
          <w:szCs w:val="31"/>
          <w:lang w:val="en-US" w:eastAsia="zh-CN" w:bidi="ar"/>
        </w:rPr>
        <w:t>生活补贴、</w:t>
      </w:r>
      <w:r>
        <w:rPr>
          <w:rFonts w:ascii="仿宋" w:hAnsi="仿宋" w:eastAsia="仿宋" w:cs="仿宋"/>
          <w:color w:val="000000"/>
          <w:kern w:val="0"/>
          <w:sz w:val="31"/>
          <w:szCs w:val="31"/>
          <w:lang w:val="en-US" w:eastAsia="zh-CN" w:bidi="ar"/>
        </w:rPr>
        <w:t>取暖补贴及机关事业单位基本养老保险缴费</w:t>
      </w:r>
      <w:r>
        <w:rPr>
          <w:rFonts w:hint="eastAsia" w:ascii="仿宋" w:hAnsi="仿宋" w:eastAsia="仿宋" w:cs="仿宋"/>
          <w:color w:val="000000"/>
          <w:kern w:val="0"/>
          <w:sz w:val="31"/>
          <w:szCs w:val="31"/>
          <w:lang w:val="en-US" w:eastAsia="zh-CN" w:bidi="ar"/>
        </w:rPr>
        <w:t>支出</w:t>
      </w:r>
      <w:r>
        <w:rPr>
          <w:szCs w:val="32"/>
        </w:rPr>
        <w:t>。</w:t>
      </w:r>
    </w:p>
    <w:p>
      <w:pPr>
        <w:keepNext w:val="0"/>
        <w:keepLines w:val="0"/>
        <w:widowControl/>
        <w:suppressLineNumbers w:val="0"/>
        <w:ind w:firstLine="640" w:firstLineChars="200"/>
        <w:jc w:val="left"/>
        <w:rPr>
          <w:szCs w:val="32"/>
        </w:rPr>
      </w:pPr>
      <w:r>
        <w:rPr>
          <w:rFonts w:hint="eastAsia"/>
          <w:szCs w:val="32"/>
          <w:lang w:eastAsia="zh-CN"/>
        </w:rPr>
        <w:t>卫生健康（类）支出</w:t>
      </w:r>
      <w:r>
        <w:rPr>
          <w:rFonts w:hint="eastAsia"/>
          <w:szCs w:val="32"/>
          <w:lang w:val="en-US" w:eastAsia="zh-CN"/>
        </w:rPr>
        <w:t>9.04</w:t>
      </w:r>
      <w:r>
        <w:rPr>
          <w:szCs w:val="32"/>
        </w:rPr>
        <w:t>万元，占</w:t>
      </w:r>
      <w:r>
        <w:rPr>
          <w:rFonts w:hint="eastAsia"/>
          <w:szCs w:val="32"/>
          <w:lang w:val="en-US" w:eastAsia="zh-CN"/>
        </w:rPr>
        <w:t>5.8</w:t>
      </w:r>
      <w:r>
        <w:rPr>
          <w:szCs w:val="32"/>
        </w:rPr>
        <w:t>%，主要用于</w:t>
      </w:r>
      <w:r>
        <w:rPr>
          <w:rFonts w:hint="eastAsia" w:ascii="仿宋" w:hAnsi="仿宋" w:eastAsia="仿宋" w:cs="仿宋"/>
          <w:color w:val="000000"/>
          <w:kern w:val="0"/>
          <w:sz w:val="31"/>
          <w:szCs w:val="31"/>
          <w:lang w:val="en-US" w:eastAsia="zh-CN" w:bidi="ar"/>
        </w:rPr>
        <w:t>缴纳在职及离退休人员基本医疗保险</w:t>
      </w:r>
      <w:r>
        <w:rPr>
          <w:szCs w:val="32"/>
        </w:rPr>
        <w:t>。</w:t>
      </w:r>
    </w:p>
    <w:p>
      <w:pPr>
        <w:keepNext w:val="0"/>
        <w:keepLines w:val="0"/>
        <w:widowControl/>
        <w:suppressLineNumbers w:val="0"/>
        <w:ind w:firstLine="640" w:firstLineChars="200"/>
        <w:jc w:val="left"/>
      </w:pPr>
      <w:r>
        <w:rPr>
          <w:szCs w:val="32"/>
        </w:rPr>
        <w:t>住房保障（类）支出</w:t>
      </w:r>
      <w:r>
        <w:rPr>
          <w:rFonts w:hint="eastAsia"/>
          <w:szCs w:val="32"/>
          <w:lang w:val="en-US" w:eastAsia="zh-CN"/>
        </w:rPr>
        <w:t>6.95</w:t>
      </w:r>
      <w:r>
        <w:rPr>
          <w:szCs w:val="32"/>
        </w:rPr>
        <w:t>万元，占</w:t>
      </w:r>
      <w:r>
        <w:rPr>
          <w:rFonts w:hint="eastAsia"/>
          <w:szCs w:val="32"/>
          <w:lang w:val="en-US" w:eastAsia="zh-CN"/>
        </w:rPr>
        <w:t>4.5</w:t>
      </w:r>
      <w:r>
        <w:rPr>
          <w:szCs w:val="32"/>
        </w:rPr>
        <w:t>%，主要用于</w:t>
      </w:r>
      <w:r>
        <w:rPr>
          <w:rFonts w:ascii="仿宋" w:hAnsi="仿宋" w:eastAsia="仿宋" w:cs="仿宋"/>
          <w:color w:val="000000"/>
          <w:kern w:val="0"/>
          <w:sz w:val="31"/>
          <w:szCs w:val="31"/>
          <w:lang w:val="en-US" w:eastAsia="zh-CN" w:bidi="ar"/>
        </w:rPr>
        <w:t>缴纳</w:t>
      </w:r>
    </w:p>
    <w:p>
      <w:pPr>
        <w:spacing w:line="520" w:lineRule="exact"/>
        <w:rPr>
          <w:szCs w:val="32"/>
        </w:rPr>
      </w:pPr>
      <w:r>
        <w:rPr>
          <w:rFonts w:hint="eastAsia" w:ascii="仿宋" w:hAnsi="仿宋" w:eastAsia="仿宋" w:cs="仿宋"/>
          <w:color w:val="000000"/>
          <w:kern w:val="0"/>
          <w:sz w:val="31"/>
          <w:szCs w:val="31"/>
          <w:lang w:val="en-US" w:eastAsia="zh-CN" w:bidi="ar"/>
        </w:rPr>
        <w:t>在职人员住房公积金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121.35</w:t>
      </w:r>
      <w:r>
        <w:rPr>
          <w:szCs w:val="32"/>
        </w:rPr>
        <w:t>万元，其中：</w:t>
      </w:r>
    </w:p>
    <w:p>
      <w:pPr>
        <w:ind w:firstLine="640" w:firstLineChars="200"/>
        <w:rPr>
          <w:kern w:val="0"/>
          <w:szCs w:val="32"/>
        </w:rPr>
      </w:pPr>
      <w:r>
        <w:rPr>
          <w:szCs w:val="32"/>
        </w:rPr>
        <w:t>人员经费</w:t>
      </w:r>
      <w:r>
        <w:rPr>
          <w:rFonts w:hint="eastAsia"/>
          <w:szCs w:val="32"/>
          <w:lang w:val="en-US" w:eastAsia="zh-CN"/>
        </w:rPr>
        <w:t>106.70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离休费</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kern w:val="0"/>
          <w:szCs w:val="32"/>
          <w:lang w:val="en-US" w:eastAsia="zh-CN"/>
        </w:rPr>
        <w:t>14.65</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万元。其中：</w:t>
      </w:r>
    </w:p>
    <w:p>
      <w:pPr>
        <w:ind w:firstLine="640" w:firstLineChars="200"/>
        <w:jc w:val="both"/>
        <w:rPr>
          <w:rFonts w:hint="default"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与2024年预算数持平。</w:t>
      </w:r>
    </w:p>
    <w:p>
      <w:pPr>
        <w:ind w:firstLine="640" w:firstLineChars="200"/>
        <w:rPr>
          <w:rFonts w:hint="default" w:eastAsia="仿宋_GB2312"/>
          <w:szCs w:val="32"/>
          <w:highlight w:val="none"/>
          <w:lang w:val="en-US" w:eastAsia="zh-CN"/>
        </w:rPr>
      </w:pPr>
      <w:r>
        <w:rPr>
          <w:szCs w:val="32"/>
        </w:rPr>
        <w:t>2.公务接待费</w:t>
      </w:r>
      <w:r>
        <w:rPr>
          <w:rFonts w:hint="eastAsia"/>
          <w:szCs w:val="32"/>
          <w:lang w:val="en-US" w:eastAsia="zh-CN"/>
        </w:rPr>
        <w:t>0.10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万元，主要原因是</w:t>
      </w:r>
      <w:r>
        <w:rPr>
          <w:rFonts w:hint="eastAsia"/>
          <w:szCs w:val="32"/>
          <w:lang w:val="en-US" w:eastAsia="zh-CN"/>
        </w:rPr>
        <w:t>本单位人员减少，致使公务接待费相对减少。</w:t>
      </w:r>
    </w:p>
    <w:p>
      <w:pPr>
        <w:ind w:firstLine="640" w:firstLineChars="200"/>
        <w:jc w:val="both"/>
        <w:rPr>
          <w:rFonts w:hint="eastAsia"/>
          <w:color w:val="FF0000"/>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w:t>
      </w:r>
      <w:r>
        <w:rPr>
          <w:szCs w:val="32"/>
        </w:rPr>
        <w:t>预算数</w:t>
      </w:r>
      <w:r>
        <w:rPr>
          <w:rFonts w:hint="eastAsia"/>
          <w:szCs w:val="32"/>
          <w:lang w:eastAsia="zh-CN"/>
        </w:rPr>
        <w:t>持平。</w:t>
      </w:r>
      <w:r>
        <w:rPr>
          <w:color w:val="auto"/>
          <w:szCs w:val="32"/>
        </w:rPr>
        <w:t>公务用车运行维护费</w:t>
      </w:r>
      <w:r>
        <w:rPr>
          <w:rFonts w:hint="eastAsia"/>
          <w:color w:val="auto"/>
          <w:szCs w:val="32"/>
          <w:lang w:val="en-US" w:eastAsia="zh-CN"/>
        </w:rPr>
        <w:t>0</w:t>
      </w:r>
      <w:r>
        <w:rPr>
          <w:color w:val="auto"/>
          <w:szCs w:val="32"/>
        </w:rPr>
        <w:t>万元</w:t>
      </w:r>
      <w:r>
        <w:rPr>
          <w:rFonts w:hint="eastAsia"/>
          <w:color w:val="auto"/>
          <w:szCs w:val="32"/>
          <w:lang w:val="en-US" w:eastAsia="zh-CN"/>
        </w:rPr>
        <w:t>，与2024年</w:t>
      </w:r>
      <w:r>
        <w:rPr>
          <w:color w:val="auto"/>
          <w:szCs w:val="32"/>
        </w:rPr>
        <w:t>预算数</w:t>
      </w:r>
      <w:r>
        <w:rPr>
          <w:rFonts w:hint="eastAsia"/>
          <w:color w:val="auto"/>
          <w:szCs w:val="32"/>
          <w:lang w:val="en-US" w:eastAsia="zh-CN"/>
        </w:rPr>
        <w:t>持平</w:t>
      </w:r>
      <w:r>
        <w:rPr>
          <w:color w:val="auto"/>
          <w:szCs w:val="32"/>
        </w:rPr>
        <w:t>；公务用车购置费</w:t>
      </w:r>
      <w:r>
        <w:rPr>
          <w:rFonts w:hint="eastAsia"/>
          <w:color w:val="auto"/>
          <w:szCs w:val="32"/>
          <w:lang w:val="en-US" w:eastAsia="zh-CN"/>
        </w:rPr>
        <w:t>0</w:t>
      </w:r>
      <w:r>
        <w:rPr>
          <w:color w:val="auto"/>
          <w:szCs w:val="32"/>
        </w:rPr>
        <w:t>万元</w:t>
      </w:r>
      <w:r>
        <w:rPr>
          <w:rFonts w:hint="eastAsia"/>
          <w:color w:val="auto"/>
          <w:szCs w:val="32"/>
          <w:lang w:eastAsia="zh-CN"/>
        </w:rPr>
        <w:t>，</w:t>
      </w:r>
      <w:r>
        <w:rPr>
          <w:rFonts w:hint="eastAsia"/>
          <w:color w:val="auto"/>
          <w:szCs w:val="32"/>
          <w:lang w:val="en-US" w:eastAsia="zh-CN"/>
        </w:rPr>
        <w:t>与2024年预算数持平</w:t>
      </w:r>
      <w:r>
        <w:rPr>
          <w:color w:val="auto"/>
          <w:szCs w:val="32"/>
        </w:rPr>
        <w:t>。</w:t>
      </w:r>
      <w:r>
        <w:rPr>
          <w:rFonts w:hint="eastAsia"/>
          <w:color w:val="auto"/>
          <w:szCs w:val="32"/>
          <w:lang w:val="en-US" w:eastAsia="zh-CN"/>
        </w:rPr>
        <w:t xml:space="preserve"> </w:t>
      </w:r>
      <w:r>
        <w:rPr>
          <w:rFonts w:hint="eastAsia"/>
          <w:color w:val="FF0000"/>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firstLineChars="200"/>
        <w:jc w:val="both"/>
        <w:rPr>
          <w:rFonts w:eastAsia="楷体"/>
          <w:szCs w:val="32"/>
        </w:rPr>
      </w:pPr>
      <w:r>
        <w:rPr>
          <w:rFonts w:hint="eastAsia" w:ascii="Times New Roman" w:hAnsi="Times New Roman" w:cs="Times New Roman"/>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ascii="Times New Roman" w:hAnsi="Times New Roman" w:cs="Times New Roman"/>
          <w:szCs w:val="32"/>
          <w:lang w:eastAsia="zh-CN"/>
        </w:rPr>
      </w:pPr>
      <w:r>
        <w:rPr>
          <w:rFonts w:hint="eastAsia" w:ascii="Times New Roman" w:hAnsi="Times New Roman" w:cs="Times New Roman"/>
          <w:szCs w:val="32"/>
          <w:lang w:eastAsia="zh-CN"/>
        </w:rPr>
        <w:t>本单位无国有资本经营预算拨款。</w:t>
      </w:r>
    </w:p>
    <w:p>
      <w:pPr>
        <w:ind w:firstLine="640" w:firstLineChars="20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keepNext w:val="0"/>
        <w:keepLines w:val="0"/>
        <w:widowControl/>
        <w:suppressLineNumbers w:val="0"/>
        <w:ind w:firstLine="960" w:firstLineChars="300"/>
        <w:jc w:val="left"/>
        <w:rPr>
          <w:color w:val="auto"/>
          <w:szCs w:val="32"/>
          <w:highlight w:val="none"/>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w:t>
      </w:r>
      <w:r>
        <w:rPr>
          <w:rFonts w:hint="eastAsia"/>
          <w:szCs w:val="32"/>
          <w:lang w:val="en-US" w:eastAsia="zh-CN"/>
        </w:rPr>
        <w:t>的</w:t>
      </w:r>
      <w:r>
        <w:rPr>
          <w:szCs w:val="32"/>
        </w:rPr>
        <w:t>机关运行经费财政拨款预算</w:t>
      </w:r>
      <w:r>
        <w:rPr>
          <w:rFonts w:hint="eastAsia"/>
          <w:szCs w:val="32"/>
          <w:lang w:val="en-US" w:eastAsia="zh-CN"/>
        </w:rPr>
        <w:t>14.65</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1.96</w:t>
      </w:r>
      <w:r>
        <w:rPr>
          <w:szCs w:val="32"/>
        </w:rPr>
        <w:t>万元，下降</w:t>
      </w:r>
      <w:r>
        <w:rPr>
          <w:rFonts w:hint="eastAsia"/>
          <w:szCs w:val="32"/>
          <w:lang w:val="en-US" w:eastAsia="zh-CN"/>
        </w:rPr>
        <w:t>11.8</w:t>
      </w:r>
      <w:r>
        <w:rPr>
          <w:szCs w:val="32"/>
        </w:rPr>
        <w:t>%</w:t>
      </w:r>
      <w:r>
        <w:rPr>
          <w:rFonts w:hint="eastAsia"/>
          <w:szCs w:val="32"/>
        </w:rPr>
        <w:t>，主</w:t>
      </w:r>
      <w:r>
        <w:rPr>
          <w:rFonts w:hint="eastAsia"/>
          <w:szCs w:val="32"/>
          <w:highlight w:val="none"/>
        </w:rPr>
        <w:t>要原因</w:t>
      </w:r>
      <w:r>
        <w:rPr>
          <w:rFonts w:hint="eastAsia"/>
          <w:szCs w:val="32"/>
          <w:highlight w:val="none"/>
          <w:lang w:val="en-US" w:eastAsia="zh-CN"/>
        </w:rPr>
        <w:t>一是人员减少，相应预算经费减少；二</w:t>
      </w:r>
      <w:r>
        <w:rPr>
          <w:rFonts w:ascii="仿宋" w:hAnsi="仿宋" w:eastAsia="仿宋" w:cs="仿宋"/>
          <w:color w:val="000000"/>
          <w:kern w:val="0"/>
          <w:sz w:val="31"/>
          <w:szCs w:val="31"/>
          <w:lang w:val="en-US" w:eastAsia="zh-CN" w:bidi="ar"/>
        </w:rPr>
        <w:t>是</w:t>
      </w:r>
      <w:r>
        <w:rPr>
          <w:rFonts w:hint="eastAsia" w:ascii="仿宋" w:hAnsi="仿宋" w:eastAsia="仿宋" w:cs="仿宋"/>
          <w:color w:val="000000"/>
          <w:kern w:val="0"/>
          <w:sz w:val="31"/>
          <w:szCs w:val="31"/>
          <w:lang w:val="en-US" w:eastAsia="zh-CN" w:bidi="ar"/>
        </w:rPr>
        <w:t>按照省财政要求压减本年公用经费，致使本年机关运行经费较</w:t>
      </w:r>
      <w:r>
        <w:rPr>
          <w:rFonts w:hint="default" w:ascii="Times New Roman" w:hAnsi="Times New Roman" w:eastAsia="宋体" w:cs="Times New Roman"/>
          <w:color w:val="000000"/>
          <w:kern w:val="0"/>
          <w:sz w:val="31"/>
          <w:szCs w:val="31"/>
          <w:lang w:val="en-US" w:eastAsia="zh-CN" w:bidi="ar"/>
        </w:rPr>
        <w:t>2024</w:t>
      </w:r>
      <w:bookmarkStart w:id="0" w:name="_GoBack"/>
      <w:bookmarkEnd w:id="0"/>
      <w:r>
        <w:rPr>
          <w:rFonts w:hint="eastAsia" w:ascii="仿宋" w:hAnsi="仿宋" w:eastAsia="仿宋" w:cs="仿宋"/>
          <w:color w:val="000000"/>
          <w:kern w:val="0"/>
          <w:sz w:val="31"/>
          <w:szCs w:val="31"/>
          <w:lang w:val="en-US" w:eastAsia="zh-CN" w:bidi="ar"/>
        </w:rPr>
        <w:t>年减少。</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szCs w:val="32"/>
          <w:lang w:eastAsia="zh-CN"/>
        </w:rPr>
      </w:pPr>
      <w:r>
        <w:t>202</w:t>
      </w:r>
      <w:r>
        <w:rPr>
          <w:rFonts w:hint="eastAsia"/>
          <w:lang w:val="en-US" w:eastAsia="zh-CN"/>
        </w:rPr>
        <w:t>5</w:t>
      </w:r>
      <w:r>
        <w:t>年</w:t>
      </w:r>
      <w:r>
        <w:rPr>
          <w:rFonts w:hint="eastAsia"/>
          <w:lang w:val="en-US" w:eastAsia="zh-CN"/>
        </w:rPr>
        <w:t>单位</w:t>
      </w:r>
      <w:r>
        <w:t>项目支出</w:t>
      </w:r>
      <w:r>
        <w:rPr>
          <w:rFonts w:hint="eastAsia"/>
          <w:lang w:val="en-US" w:eastAsia="zh-CN"/>
        </w:rPr>
        <w:t>33.99</w:t>
      </w:r>
      <w:r>
        <w:rPr>
          <w:szCs w:val="32"/>
        </w:rPr>
        <w:t>万元，其中：</w:t>
      </w:r>
      <w:r>
        <w:rPr>
          <w:szCs w:val="32"/>
          <w:highlight w:val="none"/>
        </w:rPr>
        <w:t>一级项目</w:t>
      </w:r>
      <w:r>
        <w:rPr>
          <w:rFonts w:hint="eastAsia"/>
          <w:szCs w:val="32"/>
          <w:highlight w:val="none"/>
          <w:lang w:val="en-US" w:eastAsia="zh-CN"/>
        </w:rPr>
        <w:t>1</w:t>
      </w:r>
      <w:r>
        <w:rPr>
          <w:szCs w:val="32"/>
          <w:highlight w:val="none"/>
        </w:rPr>
        <w:t>个，二级</w:t>
      </w:r>
      <w:r>
        <w:rPr>
          <w:rFonts w:hint="eastAsia"/>
          <w:szCs w:val="32"/>
          <w:highlight w:val="none"/>
          <w:lang w:val="en-US" w:eastAsia="zh-CN"/>
        </w:rPr>
        <w:t>项目1个</w:t>
      </w:r>
      <w:r>
        <w:rPr>
          <w:szCs w:val="32"/>
        </w:rPr>
        <w:t>；使用</w:t>
      </w:r>
      <w:r>
        <w:rPr>
          <w:rFonts w:hint="eastAsia"/>
          <w:szCs w:val="32"/>
        </w:rPr>
        <w:t>本年拨款</w:t>
      </w:r>
      <w:r>
        <w:rPr>
          <w:rFonts w:hint="eastAsia"/>
          <w:szCs w:val="32"/>
          <w:lang w:val="en-US" w:eastAsia="zh-CN"/>
        </w:rPr>
        <w:t>33.99</w:t>
      </w:r>
      <w:r>
        <w:rPr>
          <w:szCs w:val="32"/>
        </w:rPr>
        <w:t>万元</w:t>
      </w:r>
      <w:r>
        <w:rPr>
          <w:rFonts w:hint="eastAsia"/>
          <w:szCs w:val="32"/>
          <w:lang w:eastAsia="zh-CN"/>
        </w:rPr>
        <w:t>。</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highlight w:val="none"/>
          <w:lang w:val="en-US" w:eastAsia="zh-CN"/>
        </w:rPr>
        <w:t>1</w:t>
      </w:r>
      <w:r>
        <w:rPr>
          <w:rFonts w:hint="eastAsia" w:ascii="宋体" w:hAnsi="宋体"/>
          <w:highlight w:val="none"/>
        </w:rPr>
        <w:t>个项目支</w:t>
      </w:r>
      <w:r>
        <w:rPr>
          <w:rFonts w:hint="eastAsia" w:ascii="宋体" w:hAnsi="宋体"/>
        </w:rPr>
        <w:t>出的绩效目标和指标向社会公开，涉及金额</w:t>
      </w:r>
      <w:r>
        <w:rPr>
          <w:rFonts w:hint="eastAsia" w:ascii="宋体" w:hAnsi="宋体"/>
          <w:lang w:val="en-US" w:eastAsia="zh-CN"/>
        </w:rPr>
        <w:t>33.99</w:t>
      </w:r>
      <w:r>
        <w:rPr>
          <w:rFonts w:hint="eastAsia" w:ascii="宋体" w:hAnsi="宋体"/>
        </w:rPr>
        <w:t>万元。</w:t>
      </w:r>
    </w:p>
    <w:p>
      <w:pPr>
        <w:spacing w:line="540" w:lineRule="exact"/>
        <w:rPr>
          <w:szCs w:val="32"/>
        </w:rPr>
      </w:pPr>
      <w:r>
        <w:rPr>
          <w:rFonts w:eastAsia="楷体"/>
          <w:szCs w:val="32"/>
        </w:rPr>
        <w:br w:type="page"/>
      </w:r>
    </w:p>
    <w:p>
      <w:pPr>
        <w:numPr>
          <w:ilvl w:val="0"/>
          <w:numId w:val="3"/>
        </w:numPr>
        <w:jc w:val="center"/>
        <w:rPr>
          <w:rFonts w:eastAsia="黑体"/>
        </w:rPr>
      </w:pPr>
      <w:r>
        <w:rPr>
          <w:rFonts w:eastAsia="黑体"/>
        </w:rPr>
        <w:t>名词解释</w:t>
      </w:r>
    </w:p>
    <w:p>
      <w:pPr>
        <w:numPr>
          <w:ilvl w:val="0"/>
          <w:numId w:val="0"/>
        </w:numPr>
        <w:jc w:val="both"/>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rFonts w:ascii="Times New Roman" w:hAnsi="Times New Roman" w:cs="Times New Roman"/>
          <w:szCs w:val="32"/>
        </w:rPr>
      </w:pPr>
      <w:r>
        <w:rPr>
          <w:rFonts w:eastAsia="楷体"/>
          <w:szCs w:val="32"/>
        </w:rPr>
        <w:t>（十</w:t>
      </w:r>
      <w:r>
        <w:rPr>
          <w:rFonts w:hint="eastAsia" w:eastAsia="楷体"/>
          <w:szCs w:val="32"/>
          <w:lang w:eastAsia="zh-CN"/>
        </w:rPr>
        <w:t>一</w:t>
      </w:r>
      <w:r>
        <w:rPr>
          <w:rFonts w:eastAsia="楷体"/>
          <w:szCs w:val="32"/>
        </w:rPr>
        <w:t>）结转下年：</w:t>
      </w:r>
      <w:r>
        <w:rPr>
          <w:rFonts w:ascii="Times New Roman" w:hAnsi="Times New Roman" w:cs="Times New Roman"/>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rFonts w:ascii="Times New Roman" w:hAnsi="Times New Roman" w:cs="Times New Roman"/>
          <w:szCs w:val="32"/>
        </w:rPr>
      </w:pPr>
      <w:r>
        <w:rPr>
          <w:rFonts w:eastAsia="楷体"/>
          <w:szCs w:val="32"/>
        </w:rPr>
        <w:t>（十</w:t>
      </w:r>
      <w:r>
        <w:rPr>
          <w:rFonts w:hint="eastAsia" w:eastAsia="楷体"/>
          <w:szCs w:val="32"/>
          <w:lang w:eastAsia="zh-CN"/>
        </w:rPr>
        <w:t>八</w:t>
      </w:r>
      <w:r>
        <w:rPr>
          <w:rFonts w:eastAsia="楷体"/>
          <w:szCs w:val="32"/>
        </w:rPr>
        <w:t>）机关运行经费：</w:t>
      </w:r>
      <w:r>
        <w:rPr>
          <w:rFonts w:ascii="Times New Roman" w:hAnsi="Times New Roman" w:cs="Times New Roman"/>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cs="Times New Roman"/>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Times New Roman" w:hAnsi="Times New Roman" w:cs="Times New Roman"/>
          <w:szCs w:val="32"/>
        </w:rPr>
        <w:t>项目支出绩效目标是指</w:t>
      </w:r>
      <w:r>
        <w:rPr>
          <w:rFonts w:hint="eastAsia" w:ascii="Times New Roman" w:hAnsi="Times New Roman" w:cs="Times New Roman"/>
          <w:szCs w:val="32"/>
          <w:lang w:eastAsia="zh-CN"/>
        </w:rPr>
        <w:t>单位</w:t>
      </w:r>
      <w:r>
        <w:rPr>
          <w:rFonts w:hint="eastAsia" w:ascii="Times New Roman" w:hAnsi="Times New Roman" w:cs="Times New Roman"/>
          <w:szCs w:val="32"/>
        </w:rPr>
        <w:t>预算安排的项目支出在一定期限内预期达到的产出和效果。</w:t>
      </w:r>
    </w:p>
    <w:p>
      <w:pPr>
        <w:ind w:firstLine="640"/>
        <w:rPr>
          <w:szCs w:val="32"/>
        </w:rPr>
      </w:pPr>
    </w:p>
    <w:p>
      <w:pPr>
        <w:ind w:firstLine="640" w:firstLineChars="200"/>
        <w:jc w:val="center"/>
        <w:rPr>
          <w:rFonts w:eastAsia="黑体"/>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p>
  <w:p>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53945"/>
    <w:multiLevelType w:val="singleLevel"/>
    <w:tmpl w:val="C2353945"/>
    <w:lvl w:ilvl="0" w:tentative="0">
      <w:start w:val="4"/>
      <w:numFmt w:val="chineseCounting"/>
      <w:suff w:val="space"/>
      <w:lvlText w:val="第%1部分"/>
      <w:lvlJc w:val="left"/>
      <w:rPr>
        <w:rFonts w:hint="eastAsia"/>
      </w:rPr>
    </w:lvl>
  </w:abstractNum>
  <w:abstractNum w:abstractNumId="1">
    <w:nsid w:val="5ACF7EE9"/>
    <w:multiLevelType w:val="singleLevel"/>
    <w:tmpl w:val="5ACF7EE9"/>
    <w:lvl w:ilvl="0" w:tentative="0">
      <w:start w:val="1"/>
      <w:numFmt w:val="chineseCounting"/>
      <w:suff w:val="nothing"/>
      <w:lvlText w:val="%1、"/>
      <w:lvlJc w:val="left"/>
      <w:rPr>
        <w:rFonts w:hint="eastAsia"/>
      </w:rPr>
    </w:lvl>
  </w:abstractNum>
  <w:abstractNum w:abstractNumId="2">
    <w:nsid w:val="601A1281"/>
    <w:multiLevelType w:val="singleLevel"/>
    <w:tmpl w:val="601A1281"/>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8F71C9"/>
    <w:rsid w:val="03D57286"/>
    <w:rsid w:val="0486486A"/>
    <w:rsid w:val="04954460"/>
    <w:rsid w:val="04B818D1"/>
    <w:rsid w:val="050D06DA"/>
    <w:rsid w:val="051448F8"/>
    <w:rsid w:val="05310B72"/>
    <w:rsid w:val="05513E94"/>
    <w:rsid w:val="056F5A6D"/>
    <w:rsid w:val="059B3770"/>
    <w:rsid w:val="05C56ED2"/>
    <w:rsid w:val="063949A0"/>
    <w:rsid w:val="06BD5BC7"/>
    <w:rsid w:val="06F008FF"/>
    <w:rsid w:val="077E1262"/>
    <w:rsid w:val="079E5032"/>
    <w:rsid w:val="09015F14"/>
    <w:rsid w:val="091C5C63"/>
    <w:rsid w:val="09421190"/>
    <w:rsid w:val="09A0082A"/>
    <w:rsid w:val="0A00435B"/>
    <w:rsid w:val="0A9E379F"/>
    <w:rsid w:val="0AAA1697"/>
    <w:rsid w:val="0ABA06FE"/>
    <w:rsid w:val="0B49202F"/>
    <w:rsid w:val="0B5F5ADA"/>
    <w:rsid w:val="0B956BE6"/>
    <w:rsid w:val="0C2A5C84"/>
    <w:rsid w:val="0C4F64D9"/>
    <w:rsid w:val="0C583939"/>
    <w:rsid w:val="0C6D1BAE"/>
    <w:rsid w:val="0D2A2435"/>
    <w:rsid w:val="0DA001B0"/>
    <w:rsid w:val="0DA87805"/>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31204B"/>
    <w:rsid w:val="136D62BD"/>
    <w:rsid w:val="136E4388"/>
    <w:rsid w:val="13F21722"/>
    <w:rsid w:val="1441443C"/>
    <w:rsid w:val="14C12787"/>
    <w:rsid w:val="15593E10"/>
    <w:rsid w:val="15761EE4"/>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4ED38F7"/>
    <w:rsid w:val="254029E1"/>
    <w:rsid w:val="259B5BC5"/>
    <w:rsid w:val="25EF7FBC"/>
    <w:rsid w:val="25F62C4E"/>
    <w:rsid w:val="26643D6C"/>
    <w:rsid w:val="26FE109D"/>
    <w:rsid w:val="27073E1E"/>
    <w:rsid w:val="27B04AB3"/>
    <w:rsid w:val="282C3BA1"/>
    <w:rsid w:val="28A63332"/>
    <w:rsid w:val="28C96E8E"/>
    <w:rsid w:val="28ED4A8C"/>
    <w:rsid w:val="28FF1557"/>
    <w:rsid w:val="29527C78"/>
    <w:rsid w:val="29C45F24"/>
    <w:rsid w:val="2ABC6246"/>
    <w:rsid w:val="2D405AAC"/>
    <w:rsid w:val="2D9038E4"/>
    <w:rsid w:val="2DA059AB"/>
    <w:rsid w:val="2DF8796C"/>
    <w:rsid w:val="2EB22F18"/>
    <w:rsid w:val="2EE12108"/>
    <w:rsid w:val="2EED35E3"/>
    <w:rsid w:val="2F0B5068"/>
    <w:rsid w:val="2F250383"/>
    <w:rsid w:val="2F63610B"/>
    <w:rsid w:val="2FBC646B"/>
    <w:rsid w:val="30077F63"/>
    <w:rsid w:val="300965A3"/>
    <w:rsid w:val="3045283A"/>
    <w:rsid w:val="30730D6E"/>
    <w:rsid w:val="308B20C9"/>
    <w:rsid w:val="30B91A70"/>
    <w:rsid w:val="30F706D4"/>
    <w:rsid w:val="30F84C22"/>
    <w:rsid w:val="310C6AA2"/>
    <w:rsid w:val="316B4522"/>
    <w:rsid w:val="31793674"/>
    <w:rsid w:val="31894469"/>
    <w:rsid w:val="32332703"/>
    <w:rsid w:val="32CF2C5D"/>
    <w:rsid w:val="32EE2C61"/>
    <w:rsid w:val="33391D55"/>
    <w:rsid w:val="335402B5"/>
    <w:rsid w:val="339466B2"/>
    <w:rsid w:val="34555AF5"/>
    <w:rsid w:val="34FF687B"/>
    <w:rsid w:val="354C4987"/>
    <w:rsid w:val="35616772"/>
    <w:rsid w:val="35EA1663"/>
    <w:rsid w:val="3635621D"/>
    <w:rsid w:val="363C4E84"/>
    <w:rsid w:val="364C598E"/>
    <w:rsid w:val="368A3622"/>
    <w:rsid w:val="36B543E5"/>
    <w:rsid w:val="36CC2B0F"/>
    <w:rsid w:val="36FC762F"/>
    <w:rsid w:val="3838492F"/>
    <w:rsid w:val="383A009B"/>
    <w:rsid w:val="3887374F"/>
    <w:rsid w:val="38C11E11"/>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2F04887"/>
    <w:rsid w:val="434A6B47"/>
    <w:rsid w:val="436B1E42"/>
    <w:rsid w:val="456D114B"/>
    <w:rsid w:val="45EB670F"/>
    <w:rsid w:val="46AB7C0D"/>
    <w:rsid w:val="46D44808"/>
    <w:rsid w:val="46DA5E03"/>
    <w:rsid w:val="46ED776B"/>
    <w:rsid w:val="475F1FD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B52211"/>
    <w:rsid w:val="51282B99"/>
    <w:rsid w:val="5136104F"/>
    <w:rsid w:val="51465EDE"/>
    <w:rsid w:val="515B05A9"/>
    <w:rsid w:val="52071113"/>
    <w:rsid w:val="52085509"/>
    <w:rsid w:val="522774C4"/>
    <w:rsid w:val="522A7431"/>
    <w:rsid w:val="525A440D"/>
    <w:rsid w:val="52626449"/>
    <w:rsid w:val="53021794"/>
    <w:rsid w:val="544E511A"/>
    <w:rsid w:val="54741940"/>
    <w:rsid w:val="54810E66"/>
    <w:rsid w:val="54C063E4"/>
    <w:rsid w:val="54C2556E"/>
    <w:rsid w:val="54D70AFE"/>
    <w:rsid w:val="55480EEF"/>
    <w:rsid w:val="555314A7"/>
    <w:rsid w:val="55BB0D24"/>
    <w:rsid w:val="569B7F91"/>
    <w:rsid w:val="56D21BED"/>
    <w:rsid w:val="57194DC1"/>
    <w:rsid w:val="572651B2"/>
    <w:rsid w:val="57AE5C26"/>
    <w:rsid w:val="57DD75A9"/>
    <w:rsid w:val="5801059F"/>
    <w:rsid w:val="58256ABD"/>
    <w:rsid w:val="58C27FDB"/>
    <w:rsid w:val="58CB74D0"/>
    <w:rsid w:val="59472AC7"/>
    <w:rsid w:val="59D514A6"/>
    <w:rsid w:val="59EC6E09"/>
    <w:rsid w:val="59FF5F31"/>
    <w:rsid w:val="5AB343F7"/>
    <w:rsid w:val="5ABF50F2"/>
    <w:rsid w:val="5AF25D13"/>
    <w:rsid w:val="5AF76904"/>
    <w:rsid w:val="5B052E7A"/>
    <w:rsid w:val="5B3D7F7E"/>
    <w:rsid w:val="5B7C7777"/>
    <w:rsid w:val="5BAD0C38"/>
    <w:rsid w:val="5BEC6771"/>
    <w:rsid w:val="5C0056E3"/>
    <w:rsid w:val="5C1378B8"/>
    <w:rsid w:val="5C681D31"/>
    <w:rsid w:val="5CA506B9"/>
    <w:rsid w:val="5CF74CE4"/>
    <w:rsid w:val="5D46181B"/>
    <w:rsid w:val="5D5A7C63"/>
    <w:rsid w:val="5E256F6F"/>
    <w:rsid w:val="5EBD2BD2"/>
    <w:rsid w:val="5F6235A9"/>
    <w:rsid w:val="5F781C91"/>
    <w:rsid w:val="60CD20BB"/>
    <w:rsid w:val="60DC439E"/>
    <w:rsid w:val="614125C2"/>
    <w:rsid w:val="61AA1D1F"/>
    <w:rsid w:val="61E82EA1"/>
    <w:rsid w:val="624C5C52"/>
    <w:rsid w:val="63DF08E4"/>
    <w:rsid w:val="64616F3B"/>
    <w:rsid w:val="64C04AFD"/>
    <w:rsid w:val="655B219F"/>
    <w:rsid w:val="661A7B69"/>
    <w:rsid w:val="66455323"/>
    <w:rsid w:val="664909C1"/>
    <w:rsid w:val="66635AE4"/>
    <w:rsid w:val="66C63EB5"/>
    <w:rsid w:val="67182C3B"/>
    <w:rsid w:val="67592674"/>
    <w:rsid w:val="679461D3"/>
    <w:rsid w:val="6858287E"/>
    <w:rsid w:val="68593A1E"/>
    <w:rsid w:val="68C04D52"/>
    <w:rsid w:val="68D33DE9"/>
    <w:rsid w:val="69157114"/>
    <w:rsid w:val="691A443E"/>
    <w:rsid w:val="69DA0131"/>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1940AEF"/>
    <w:rsid w:val="72783A23"/>
    <w:rsid w:val="728027C6"/>
    <w:rsid w:val="728A3B01"/>
    <w:rsid w:val="7332313A"/>
    <w:rsid w:val="73D62FA6"/>
    <w:rsid w:val="73FE7ACC"/>
    <w:rsid w:val="74556746"/>
    <w:rsid w:val="74743258"/>
    <w:rsid w:val="761B13C4"/>
    <w:rsid w:val="764B6A8A"/>
    <w:rsid w:val="76C17E06"/>
    <w:rsid w:val="76CA67BD"/>
    <w:rsid w:val="76E6298C"/>
    <w:rsid w:val="770021AC"/>
    <w:rsid w:val="773F02C1"/>
    <w:rsid w:val="774E6400"/>
    <w:rsid w:val="775B0046"/>
    <w:rsid w:val="7840713B"/>
    <w:rsid w:val="79700BEF"/>
    <w:rsid w:val="798D552B"/>
    <w:rsid w:val="7A090695"/>
    <w:rsid w:val="7A1D5951"/>
    <w:rsid w:val="7AE175F4"/>
    <w:rsid w:val="7B417685"/>
    <w:rsid w:val="7B5220F0"/>
    <w:rsid w:val="7BA169C0"/>
    <w:rsid w:val="7BC55243"/>
    <w:rsid w:val="7C2F4A9A"/>
    <w:rsid w:val="7CAD595B"/>
    <w:rsid w:val="7CF65D07"/>
    <w:rsid w:val="7D2975D1"/>
    <w:rsid w:val="7D2F3083"/>
    <w:rsid w:val="7D456FA2"/>
    <w:rsid w:val="7D906046"/>
    <w:rsid w:val="7DCC0CD6"/>
    <w:rsid w:val="7E130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2372</Words>
  <Characters>3099</Characters>
  <Lines>71</Lines>
  <Paragraphs>20</Paragraphs>
  <TotalTime>2</TotalTime>
  <ScaleCrop>false</ScaleCrop>
  <LinksUpToDate>false</LinksUpToDate>
  <CharactersWithSpaces>3628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leo</cp:lastModifiedBy>
  <cp:lastPrinted>2025-02-11T03:07:00Z</cp:lastPrinted>
  <dcterms:modified xsi:type="dcterms:W3CDTF">2024-12-17T03:13:42Z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897184E2A2FF42B1918B8C4D1897FD2E_13</vt:lpwstr>
  </property>
  <property fmtid="{D5CDD505-2E9C-101B-9397-08002B2CF9AE}" pid="4" name="KSOTemplateDocerSaveRecord">
    <vt:lpwstr>eyJoZGlkIjoiNGViZTJlNDRiMmMyOGRiMTZiODc0Nzk5M2RmOWIxODciLCJ1c2VySWQiOiIxNTMwOTYyNzMzIn0=</vt:lpwstr>
  </property>
</Properties>
</file>